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E80A" w14:textId="77777777" w:rsidR="003D7129" w:rsidRPr="00613F35" w:rsidRDefault="003D7129" w:rsidP="003D7129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613F35">
        <w:rPr>
          <w:rFonts w:ascii="Arial" w:eastAsia="Times New Roman" w:hAnsi="Arial" w:cs="Arial"/>
        </w:rPr>
        <w:t>ANEXA Nr. 7d la statutul comunei Fărcașa</w:t>
      </w:r>
    </w:p>
    <w:p w14:paraId="249EC73D" w14:textId="77777777" w:rsidR="003D7129" w:rsidRPr="00015001" w:rsidRDefault="003D7129" w:rsidP="003D7129">
      <w:pPr>
        <w:pStyle w:val="Heading4"/>
        <w:spacing w:line="345" w:lineRule="atLeast"/>
        <w:jc w:val="center"/>
        <w:rPr>
          <w:rFonts w:ascii="Arial" w:eastAsia="Times New Roman" w:hAnsi="Arial" w:cs="Arial"/>
          <w:i w:val="0"/>
          <w:iCs w:val="0"/>
          <w:color w:val="auto"/>
        </w:rPr>
      </w:pPr>
      <w:r w:rsidRPr="00015001">
        <w:rPr>
          <w:rFonts w:ascii="Arial" w:eastAsia="Times New Roman" w:hAnsi="Arial" w:cs="Arial"/>
          <w:i w:val="0"/>
          <w:iCs w:val="0"/>
          <w:color w:val="auto"/>
        </w:rPr>
        <w:t xml:space="preserve">Premierea profesorilor care au ajuns la vârsta pensionări </w:t>
      </w:r>
    </w:p>
    <w:p w14:paraId="7A4E2F85" w14:textId="77777777" w:rsidR="003D7129" w:rsidRPr="00015001" w:rsidRDefault="003D7129" w:rsidP="003D7129">
      <w:pPr>
        <w:pStyle w:val="Heading4"/>
        <w:spacing w:line="345" w:lineRule="atLeast"/>
        <w:rPr>
          <w:rFonts w:ascii="Arial" w:eastAsia="Times New Roman" w:hAnsi="Arial" w:cs="Arial"/>
          <w:i w:val="0"/>
          <w:iCs w:val="0"/>
          <w:color w:val="auto"/>
        </w:rPr>
      </w:pPr>
    </w:p>
    <w:p w14:paraId="248202A5" w14:textId="47187B10" w:rsidR="003D7129" w:rsidRPr="00015001" w:rsidRDefault="003D7129" w:rsidP="00476868">
      <w:pPr>
        <w:pStyle w:val="Heading4"/>
        <w:spacing w:line="345" w:lineRule="atLeast"/>
        <w:ind w:firstLine="720"/>
        <w:jc w:val="both"/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</w:pPr>
      <w:r w:rsidRPr="00654DFD"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  <w:t>Art. 1.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 Pentru activitatea didactică prestată la nivelul comunei Fărcașa, consiliul local al comunei Fărcașa acordă premii cadrelor didactice pensionabile, cu activitate deosebită în învățământ</w:t>
      </w:r>
      <w:r w:rsidR="00313E2A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.</w:t>
      </w:r>
    </w:p>
    <w:p w14:paraId="2AAC3B33" w14:textId="77777777" w:rsidR="003D7129" w:rsidRPr="00015001" w:rsidRDefault="003D7129" w:rsidP="003D7129">
      <w:pPr>
        <w:pStyle w:val="Heading4"/>
        <w:numPr>
          <w:ilvl w:val="0"/>
          <w:numId w:val="1"/>
        </w:numPr>
        <w:tabs>
          <w:tab w:val="num" w:pos="360"/>
        </w:tabs>
        <w:spacing w:line="345" w:lineRule="atLeast"/>
        <w:ind w:left="0" w:firstLine="0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Premiul se acordă cadrelor dida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c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tice titulare pensionabile cu activitate didactică neîntreruptă pe raza comunei Fărcașa de cel puțin 15 ani. </w:t>
      </w:r>
    </w:p>
    <w:p w14:paraId="2C67E367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2. Premiul constă într-o sumă de bani, diferențiată raportat la numărul anilor de activitate didactică neîntreruptă 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în cadrul unităților de învățământ de 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pe raza comunei Fărcașa, după cum urmează:</w:t>
      </w:r>
    </w:p>
    <w:p w14:paraId="288BB206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a) pentru activitate neîntreruptă de minim 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10-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15 ani, premiul este în sumă de 1000 lei;</w:t>
      </w:r>
    </w:p>
    <w:p w14:paraId="12394E39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b) Pentru activitate neîntreruptă între 1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6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-20 de ani, premiul este în sumă de 1500 lei;</w:t>
      </w:r>
    </w:p>
    <w:p w14:paraId="3B7AA378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c) Pentru activitate neîntreruptă de 2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1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-25 de ani, premiul este de 2000 lei;</w:t>
      </w:r>
    </w:p>
    <w:p w14:paraId="6ADE065C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d) Pentru activitate neîntreruptă peste 25 de ani, premiul este de 3000 lei.</w:t>
      </w:r>
    </w:p>
    <w:p w14:paraId="62A6FA78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3. Criteriile avute în vedere pentru acordarea premiului sunt: </w:t>
      </w:r>
    </w:p>
    <w:p w14:paraId="3AE3C1F5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a) Rezultate obținute în activitatea didactică;</w:t>
      </w:r>
    </w:p>
    <w:p w14:paraId="4E94B137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b) Rezultate obținute în procesul de dezvoltare a resurselor umane și creșterea competenței profesionale;</w:t>
      </w:r>
    </w:p>
    <w:p w14:paraId="395F6352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c) 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P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articiparea la cursuri de formare și/sau perfecționare;</w:t>
      </w:r>
    </w:p>
    <w:p w14:paraId="1B72208D" w14:textId="77777777" w:rsidR="003D7129" w:rsidRPr="00015001" w:rsidRDefault="003D7129" w:rsidP="003D7129">
      <w:pPr>
        <w:pStyle w:val="Heading4"/>
        <w:spacing w:line="345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d) grade, diplome, distincții obținute în activitatea didactică. </w:t>
      </w:r>
    </w:p>
    <w:p w14:paraId="045779F3" w14:textId="30CBCF22" w:rsidR="003D7129" w:rsidRPr="00015001" w:rsidRDefault="00313E2A" w:rsidP="00476868">
      <w:pPr>
        <w:pStyle w:val="Heading4"/>
        <w:spacing w:line="345" w:lineRule="atLeast"/>
        <w:ind w:firstLine="720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313E2A"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  <w:t>Art.2</w:t>
      </w:r>
      <w:r w:rsidR="003D7129"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. Conducerea Școlii gimnaziale „Lucian Blaga” Fărcașa furnizează datele privind situația profesorilor care merită recompensați pentru activitatea depusă până la vârsta pensionării</w:t>
      </w:r>
    </w:p>
    <w:p w14:paraId="2AEDFFA6" w14:textId="7A951D1C" w:rsidR="003D7129" w:rsidRPr="00015001" w:rsidRDefault="00313E2A" w:rsidP="00476868">
      <w:pPr>
        <w:pStyle w:val="Heading4"/>
        <w:spacing w:line="345" w:lineRule="atLeast"/>
        <w:ind w:firstLine="720"/>
        <w:jc w:val="both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  <w:t>Art. 3.</w:t>
      </w:r>
      <w:r w:rsidR="003D7129"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Propunerile de acordare a premiilor se fac de către consiliul profesoral al unității de învățământ, cu avizul consiliului de administrație, pe baza unui memoriu de activitate întocmit de cadrul didactic vizat.  </w:t>
      </w:r>
    </w:p>
    <w:p w14:paraId="70DEE821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44E"/>
    <w:multiLevelType w:val="hybridMultilevel"/>
    <w:tmpl w:val="2AB82354"/>
    <w:lvl w:ilvl="0" w:tplc="8F041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7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66"/>
    <w:rsid w:val="00042498"/>
    <w:rsid w:val="00313E2A"/>
    <w:rsid w:val="003D7129"/>
    <w:rsid w:val="00476868"/>
    <w:rsid w:val="007B6166"/>
    <w:rsid w:val="008E6F5F"/>
    <w:rsid w:val="00A91A5E"/>
    <w:rsid w:val="00DB0A35"/>
    <w:rsid w:val="00E50618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0AA1"/>
  <w15:chartTrackingRefBased/>
  <w15:docId w15:val="{00412E7A-1FBE-46CE-BC97-B0E8D53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1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1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16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7B616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16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16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16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16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16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B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16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16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B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16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B6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16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B6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4</cp:revision>
  <dcterms:created xsi:type="dcterms:W3CDTF">2025-04-16T07:17:00Z</dcterms:created>
  <dcterms:modified xsi:type="dcterms:W3CDTF">2025-04-22T07:26:00Z</dcterms:modified>
</cp:coreProperties>
</file>