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475" w:rsidRDefault="00961475" w:rsidP="00F17C6F">
      <w:pPr>
        <w:shd w:val="clear" w:color="auto" w:fill="FFFFFF"/>
        <w:spacing w:after="160"/>
        <w:jc w:val="right"/>
        <w:textAlignment w:val="baseline"/>
        <w:rPr>
          <w:rFonts w:eastAsiaTheme="minorHAnsi"/>
          <w:b/>
          <w:bCs/>
          <w:color w:val="000000" w:themeColor="text1"/>
          <w:sz w:val="24"/>
          <w:szCs w:val="24"/>
          <w:lang w:val="ro-RO" w:eastAsia="en-GB"/>
        </w:rPr>
      </w:pPr>
      <w:r>
        <w:rPr>
          <w:rFonts w:eastAsiaTheme="minorHAnsi"/>
          <w:b/>
          <w:bCs/>
          <w:color w:val="000000" w:themeColor="text1"/>
          <w:sz w:val="24"/>
          <w:szCs w:val="24"/>
          <w:lang w:val="ro-RO" w:eastAsia="en-GB"/>
        </w:rPr>
        <w:t>ANEXA NR.2</w:t>
      </w:r>
    </w:p>
    <w:p w:rsidR="00093801" w:rsidRPr="00093801" w:rsidRDefault="00093801" w:rsidP="00093801">
      <w:pPr>
        <w:shd w:val="clear" w:color="auto" w:fill="FFFFFF"/>
        <w:spacing w:after="160"/>
        <w:jc w:val="center"/>
        <w:textAlignment w:val="baseline"/>
        <w:rPr>
          <w:rFonts w:eastAsiaTheme="minorHAnsi"/>
          <w:color w:val="000000" w:themeColor="text1"/>
          <w:sz w:val="24"/>
          <w:szCs w:val="24"/>
          <w:lang w:val="ro-RO" w:eastAsia="en-GB"/>
        </w:rPr>
      </w:pPr>
      <w:r w:rsidRPr="00093801">
        <w:rPr>
          <w:rFonts w:eastAsiaTheme="minorHAnsi"/>
          <w:b/>
          <w:bCs/>
          <w:color w:val="000000" w:themeColor="text1"/>
          <w:sz w:val="24"/>
          <w:szCs w:val="24"/>
          <w:lang w:val="ro-RO" w:eastAsia="en-GB"/>
        </w:rPr>
        <w:t>PROGRAM DE MĂSURI</w:t>
      </w:r>
    </w:p>
    <w:p w:rsidR="00093801" w:rsidRPr="00093801" w:rsidRDefault="00093801" w:rsidP="00093801">
      <w:pPr>
        <w:shd w:val="clear" w:color="auto" w:fill="FFFFFF"/>
        <w:spacing w:after="160"/>
        <w:jc w:val="center"/>
        <w:textAlignment w:val="baseline"/>
        <w:rPr>
          <w:rFonts w:eastAsiaTheme="minorHAnsi"/>
          <w:b/>
          <w:bCs/>
          <w:color w:val="000000" w:themeColor="text1"/>
          <w:sz w:val="24"/>
          <w:szCs w:val="24"/>
          <w:lang w:val="ro-RO" w:eastAsia="en-GB"/>
        </w:rPr>
      </w:pPr>
      <w:r w:rsidRPr="00093801">
        <w:rPr>
          <w:rFonts w:eastAsiaTheme="minorHAnsi"/>
          <w:b/>
          <w:bCs/>
          <w:color w:val="000000" w:themeColor="text1"/>
          <w:sz w:val="24"/>
          <w:szCs w:val="24"/>
          <w:lang w:val="ro-RO" w:eastAsia="en-GB"/>
        </w:rPr>
        <w:t>pentru</w:t>
      </w:r>
      <w:r>
        <w:rPr>
          <w:rFonts w:eastAsiaTheme="minorHAnsi"/>
          <w:b/>
          <w:bCs/>
          <w:color w:val="000000" w:themeColor="text1"/>
          <w:sz w:val="24"/>
          <w:szCs w:val="24"/>
          <w:lang w:val="ro-RO" w:eastAsia="en-GB"/>
        </w:rPr>
        <w:t xml:space="preserve"> eficientizarea activitatii de î</w:t>
      </w:r>
      <w:r w:rsidRPr="00093801">
        <w:rPr>
          <w:rFonts w:eastAsiaTheme="minorHAnsi"/>
          <w:b/>
          <w:bCs/>
          <w:color w:val="000000" w:themeColor="text1"/>
          <w:sz w:val="24"/>
          <w:szCs w:val="24"/>
          <w:lang w:val="ro-RO" w:eastAsia="en-GB"/>
        </w:rPr>
        <w:t>nscriere a datelor in Registrul Agricol</w:t>
      </w:r>
    </w:p>
    <w:p w:rsidR="00093801" w:rsidRPr="00093801" w:rsidRDefault="00093801" w:rsidP="00093801">
      <w:pPr>
        <w:shd w:val="clear" w:color="auto" w:fill="FFFFFF"/>
        <w:spacing w:after="160"/>
        <w:jc w:val="center"/>
        <w:textAlignment w:val="baseline"/>
        <w:rPr>
          <w:rFonts w:eastAsiaTheme="minorHAnsi"/>
          <w:color w:val="000000" w:themeColor="text1"/>
          <w:sz w:val="24"/>
          <w:szCs w:val="24"/>
          <w:lang w:val="ro-RO" w:eastAsia="en-GB"/>
        </w:rPr>
      </w:pPr>
    </w:p>
    <w:tbl>
      <w:tblPr>
        <w:tblStyle w:val="TableGrid"/>
        <w:tblW w:w="0" w:type="auto"/>
        <w:tblLook w:val="04A0" w:firstRow="1" w:lastRow="0" w:firstColumn="1" w:lastColumn="0" w:noHBand="0" w:noVBand="1"/>
      </w:tblPr>
      <w:tblGrid>
        <w:gridCol w:w="605"/>
        <w:gridCol w:w="4315"/>
        <w:gridCol w:w="2125"/>
        <w:gridCol w:w="2305"/>
      </w:tblGrid>
      <w:tr w:rsidR="00093801" w:rsidRPr="00093801" w:rsidTr="005224D1">
        <w:tc>
          <w:tcPr>
            <w:tcW w:w="605" w:type="dxa"/>
          </w:tcPr>
          <w:p w:rsidR="00093801" w:rsidRPr="00093801" w:rsidRDefault="00093801" w:rsidP="00093801">
            <w:pPr>
              <w:rPr>
                <w:rFonts w:eastAsiaTheme="minorHAnsi"/>
                <w:b/>
                <w:sz w:val="22"/>
                <w:szCs w:val="22"/>
                <w:lang w:val="ro-RO"/>
              </w:rPr>
            </w:pPr>
            <w:r w:rsidRPr="00093801">
              <w:rPr>
                <w:rFonts w:eastAsiaTheme="minorHAnsi"/>
                <w:b/>
                <w:sz w:val="22"/>
                <w:szCs w:val="22"/>
                <w:lang w:val="ro-RO"/>
              </w:rPr>
              <w:t>Nr.</w:t>
            </w:r>
          </w:p>
          <w:p w:rsidR="00093801" w:rsidRPr="00093801" w:rsidRDefault="00093801" w:rsidP="00093801">
            <w:pPr>
              <w:rPr>
                <w:rFonts w:asciiTheme="minorHAnsi" w:eastAsiaTheme="minorHAnsi" w:hAnsiTheme="minorHAnsi" w:cstheme="minorBidi"/>
                <w:sz w:val="22"/>
                <w:szCs w:val="22"/>
              </w:rPr>
            </w:pPr>
            <w:r w:rsidRPr="00093801">
              <w:rPr>
                <w:rFonts w:eastAsiaTheme="minorHAnsi"/>
                <w:b/>
                <w:sz w:val="22"/>
                <w:szCs w:val="22"/>
                <w:lang w:val="ro-RO"/>
              </w:rPr>
              <w:t>Crt</w:t>
            </w:r>
            <w:r w:rsidRPr="00093801">
              <w:rPr>
                <w:rFonts w:asciiTheme="minorHAnsi" w:eastAsiaTheme="minorHAnsi" w:hAnsiTheme="minorHAnsi" w:cstheme="minorBidi"/>
                <w:b/>
                <w:sz w:val="22"/>
                <w:szCs w:val="22"/>
                <w:lang w:val="ro-RO"/>
              </w:rPr>
              <w:t>.</w:t>
            </w:r>
          </w:p>
        </w:tc>
        <w:tc>
          <w:tcPr>
            <w:tcW w:w="431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Denumirea activității</w:t>
            </w:r>
          </w:p>
        </w:tc>
        <w:tc>
          <w:tcPr>
            <w:tcW w:w="212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Termen de indeplinire</w:t>
            </w:r>
          </w:p>
        </w:tc>
        <w:tc>
          <w:tcPr>
            <w:tcW w:w="230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Persoane responsabile</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1</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Se va efectua afișajul și înștiințarea populației cu privire la procedura si termenele de înregistrare în registrele agricole și verificarea în teren a corectitudinii înscrierii datelor pe baza declarației date de către capii gospodăriilor și de către reprezentanții legali a persoanelor juridice</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2</w:t>
            </w:r>
          </w:p>
        </w:tc>
        <w:tc>
          <w:tcPr>
            <w:tcW w:w="4315" w:type="dxa"/>
          </w:tcPr>
          <w:p w:rsidR="00093801" w:rsidRPr="00093801" w:rsidRDefault="00093801" w:rsidP="00093801">
            <w:pPr>
              <w:jc w:val="both"/>
              <w:textAlignment w:val="baseline"/>
              <w:rPr>
                <w:rFonts w:asciiTheme="minorHAnsi" w:eastAsiaTheme="minorHAnsi" w:hAnsiTheme="minorHAnsi" w:cstheme="minorBidi"/>
                <w:color w:val="000000" w:themeColor="text1"/>
                <w:sz w:val="24"/>
                <w:szCs w:val="24"/>
                <w:lang w:val="ro-RO" w:eastAsia="en-GB"/>
              </w:rPr>
            </w:pPr>
            <w:r w:rsidRPr="00093801">
              <w:rPr>
                <w:rFonts w:eastAsiaTheme="minorHAnsi"/>
                <w:color w:val="000000" w:themeColor="text1"/>
                <w:sz w:val="24"/>
                <w:szCs w:val="24"/>
                <w:lang w:val="ro-RO" w:eastAsia="en-GB"/>
              </w:rPr>
              <w:t>Întocmirea și ținerea la zi a registrului agricol se organizează conform celor prevăzute în HCL nr. 44 din 19.03.2020 pe suport electronic.</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3</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Toate datele din registrul agricol, atât  pe suport hârtie, cât si în format electronic, au caracter de interes public și trebuie sa fie corecte din punctul de vedere al proprietății termenilor utilizați, sub aspect gramatical, ortografic, ortoepic și, după caz, sub aspectul punctuației, conform normelor academice în vigoare, potrivit prevederilor Legii nr.500/2004 privind folosirea limbii române în locuri, relații și institutii publice</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4</w:t>
            </w:r>
          </w:p>
        </w:tc>
        <w:tc>
          <w:tcPr>
            <w:tcW w:w="4315" w:type="dxa"/>
            <w:vAlign w:val="bottom"/>
          </w:tcPr>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elaborarea pe plan local a unor politici in domeniile : fiscal, agrar, protecție socială, cadastru, edilitar-urbanistic, sanitar, școlar, servicii publice de interes local,</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pentru satisfacerea unor solicitări ale cetățenilor,</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xml:space="preserve">-este sursa administrativă de date pentru sistemul informațional statistic, respectiv : </w:t>
            </w:r>
            <w:r w:rsidRPr="00093801">
              <w:rPr>
                <w:rFonts w:eastAsiaTheme="minorHAnsi"/>
                <w:color w:val="000000" w:themeColor="text1"/>
                <w:sz w:val="24"/>
                <w:szCs w:val="24"/>
                <w:lang w:val="ro-RO" w:eastAsia="en-GB"/>
              </w:rPr>
              <w:lastRenderedPageBreak/>
              <w:t>statistică oficială, pregatirea și organizarea recensămintelor agricole, ale clădirilor si ale populației, ale unor anchete-pilot, organizarea unui sistem de observări statistice prin sondaj, etc</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lastRenderedPageBreak/>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5</w:t>
            </w:r>
          </w:p>
        </w:tc>
        <w:tc>
          <w:tcPr>
            <w:tcW w:w="4315" w:type="dxa"/>
          </w:tcPr>
          <w:p w:rsidR="00093801" w:rsidRPr="00093801" w:rsidRDefault="00093801" w:rsidP="00093801">
            <w:pPr>
              <w:jc w:val="both"/>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Registrul agricol în format electronic furnizează la termenele stabilite sau la cerere, date ce pot caracteriza un rând de formular, un formular, o structură administrativ-teritoriala, pentru unul sau mai multi ani, păstrând codurile de rand si denumirile din cadrul formularelor registrului agricol pe suport hartie.</w:t>
            </w:r>
          </w:p>
          <w:p w:rsidR="00093801" w:rsidRPr="00093801" w:rsidRDefault="00093801" w:rsidP="00093801">
            <w:pPr>
              <w:spacing w:before="120" w:after="120"/>
              <w:jc w:val="both"/>
              <w:textAlignment w:val="baseline"/>
              <w:rPr>
                <w:rFonts w:asciiTheme="minorHAnsi" w:eastAsiaTheme="minorHAnsi" w:hAnsiTheme="minorHAnsi" w:cstheme="minorBidi"/>
                <w:color w:val="000000" w:themeColor="text1"/>
                <w:sz w:val="24"/>
                <w:szCs w:val="24"/>
                <w:lang w:val="ro-RO" w:eastAsia="en-GB"/>
              </w:rPr>
            </w:pPr>
            <w:r w:rsidRPr="00093801">
              <w:rPr>
                <w:rFonts w:eastAsiaTheme="minorHAnsi"/>
                <w:color w:val="000000" w:themeColor="text1"/>
                <w:sz w:val="24"/>
                <w:szCs w:val="24"/>
                <w:lang w:val="ro-RO" w:eastAsia="en-GB"/>
              </w:rPr>
              <w:t>Tehnica de completare a registrului agricol se face conform Normelor tehnice de completare a registrului agricol pentru perioada 2025-2029.</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6</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Comunicarea către Compartimentul impozite și taxe locale, în termen de 3 zile lucrătoare,a modificărilor intervenite in registrul agricol, referitoare la terenuri, categoria de folosintă a acestora, la clădiri sau orice alte bunuri deținute în proprietate sau în folosință, după caz, de natura să conducă  la modificarea oricăror impozite și taxe locale prevăzute de Codul fiscal</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7</w:t>
            </w:r>
          </w:p>
        </w:tc>
        <w:tc>
          <w:tcPr>
            <w:tcW w:w="4315" w:type="dxa"/>
          </w:tcPr>
          <w:p w:rsidR="00093801" w:rsidRPr="00093801" w:rsidRDefault="00093801" w:rsidP="00093801">
            <w:pPr>
              <w:jc w:val="both"/>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Datele instrumentare la nivelul Compartimentului Impozite și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spacing w:before="240" w:after="240"/>
              <w:jc w:val="center"/>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Ciarnău Mihaela</w:t>
            </w:r>
          </w:p>
          <w:p w:rsidR="00093801" w:rsidRPr="00093801" w:rsidRDefault="00144251" w:rsidP="00093801">
            <w:pPr>
              <w:jc w:val="center"/>
              <w:rPr>
                <w:rFonts w:asciiTheme="minorHAnsi" w:eastAsiaTheme="minorHAnsi" w:hAnsiTheme="minorHAnsi" w:cstheme="minorBidi"/>
                <w:sz w:val="22"/>
                <w:szCs w:val="22"/>
              </w:rPr>
            </w:pPr>
            <w:r>
              <w:rPr>
                <w:rFonts w:eastAsiaTheme="minorHAnsi"/>
                <w:color w:val="000000" w:themeColor="text1"/>
                <w:sz w:val="24"/>
                <w:szCs w:val="24"/>
                <w:lang w:val="ro-RO" w:eastAsia="en-GB"/>
              </w:rPr>
              <w:t>Borzasi Tamas</w:t>
            </w:r>
            <w:bookmarkStart w:id="0" w:name="_GoBack"/>
            <w:bookmarkEnd w:id="0"/>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8</w:t>
            </w:r>
          </w:p>
        </w:tc>
        <w:tc>
          <w:tcPr>
            <w:tcW w:w="4315" w:type="dxa"/>
          </w:tcPr>
          <w:p w:rsidR="00093801" w:rsidRPr="00093801" w:rsidRDefault="00093801" w:rsidP="00093801">
            <w:pPr>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Orice modificare în registrul agricol se va face numai cu avizul  scris al Secretarului general al Municipiul  Marghita.</w:t>
            </w:r>
          </w:p>
          <w:p w:rsidR="00093801" w:rsidRPr="00093801" w:rsidRDefault="00093801" w:rsidP="00093801">
            <w:pPr>
              <w:rPr>
                <w:rFonts w:eastAsiaTheme="minorHAnsi"/>
                <w:color w:val="000000" w:themeColor="text1"/>
                <w:sz w:val="24"/>
                <w:szCs w:val="24"/>
                <w:lang w:val="ro-RO" w:eastAsia="en-GB"/>
              </w:rPr>
            </w:pP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bl>
    <w:p w:rsidR="00093801" w:rsidRPr="00093801" w:rsidRDefault="00093801" w:rsidP="00093801">
      <w:pPr>
        <w:jc w:val="center"/>
        <w:rPr>
          <w:rFonts w:eastAsiaTheme="minorHAnsi"/>
          <w:b/>
          <w:color w:val="000000" w:themeColor="text1"/>
          <w:sz w:val="24"/>
          <w:szCs w:val="24"/>
          <w:lang w:val="ro-RO"/>
        </w:rPr>
      </w:pPr>
    </w:p>
    <w:p w:rsidR="00F17C6F" w:rsidRDefault="00F17C6F" w:rsidP="00F17C6F">
      <w:pPr>
        <w:ind w:left="426"/>
        <w:jc w:val="both"/>
        <w:rPr>
          <w:b/>
          <w:sz w:val="24"/>
          <w:szCs w:val="24"/>
        </w:rPr>
      </w:pPr>
      <w:r>
        <w:rPr>
          <w:b/>
          <w:sz w:val="24"/>
          <w:szCs w:val="24"/>
        </w:rPr>
        <w:t xml:space="preserve">       Initiator                                                               </w:t>
      </w:r>
      <w:proofErr w:type="spellStart"/>
      <w:r>
        <w:rPr>
          <w:b/>
          <w:sz w:val="24"/>
          <w:szCs w:val="24"/>
        </w:rPr>
        <w:t>Aviz</w:t>
      </w:r>
      <w:proofErr w:type="spellEnd"/>
      <w:r>
        <w:rPr>
          <w:b/>
          <w:sz w:val="24"/>
          <w:szCs w:val="24"/>
        </w:rPr>
        <w:t xml:space="preserve"> </w:t>
      </w:r>
      <w:proofErr w:type="spellStart"/>
      <w:r>
        <w:rPr>
          <w:b/>
          <w:sz w:val="24"/>
          <w:szCs w:val="24"/>
        </w:rPr>
        <w:t>pentru</w:t>
      </w:r>
      <w:proofErr w:type="spellEnd"/>
      <w:r>
        <w:rPr>
          <w:b/>
          <w:sz w:val="24"/>
          <w:szCs w:val="24"/>
        </w:rPr>
        <w:t xml:space="preserve"> </w:t>
      </w:r>
      <w:proofErr w:type="spellStart"/>
      <w:r>
        <w:rPr>
          <w:b/>
          <w:sz w:val="24"/>
          <w:szCs w:val="24"/>
        </w:rPr>
        <w:t>legalitate</w:t>
      </w:r>
      <w:proofErr w:type="spellEnd"/>
      <w:r>
        <w:rPr>
          <w:b/>
          <w:sz w:val="24"/>
          <w:szCs w:val="24"/>
        </w:rPr>
        <w:t xml:space="preserve"> </w:t>
      </w:r>
    </w:p>
    <w:p w:rsidR="00F17C6F" w:rsidRDefault="00F17C6F" w:rsidP="00F17C6F">
      <w:pPr>
        <w:ind w:left="426"/>
        <w:jc w:val="both"/>
        <w:rPr>
          <w:b/>
          <w:sz w:val="24"/>
          <w:szCs w:val="24"/>
        </w:rPr>
      </w:pPr>
      <w:r>
        <w:rPr>
          <w:b/>
          <w:sz w:val="24"/>
          <w:szCs w:val="24"/>
        </w:rPr>
        <w:t xml:space="preserve">       </w:t>
      </w:r>
      <w:proofErr w:type="spellStart"/>
      <w:r>
        <w:rPr>
          <w:b/>
          <w:sz w:val="24"/>
          <w:szCs w:val="24"/>
        </w:rPr>
        <w:t>Primar</w:t>
      </w:r>
      <w:proofErr w:type="spellEnd"/>
      <w:r>
        <w:rPr>
          <w:b/>
          <w:sz w:val="24"/>
          <w:szCs w:val="24"/>
        </w:rPr>
        <w:t xml:space="preserve">                                                               </w:t>
      </w:r>
      <w:proofErr w:type="spellStart"/>
      <w:r>
        <w:rPr>
          <w:b/>
          <w:sz w:val="24"/>
          <w:szCs w:val="24"/>
        </w:rPr>
        <w:t>Secretar</w:t>
      </w:r>
      <w:proofErr w:type="spellEnd"/>
      <w:r>
        <w:rPr>
          <w:b/>
          <w:sz w:val="24"/>
          <w:szCs w:val="24"/>
        </w:rPr>
        <w:t xml:space="preserve"> general U.A.T.          </w:t>
      </w:r>
    </w:p>
    <w:p w:rsidR="00F17C6F" w:rsidRDefault="00F17C6F" w:rsidP="00F17C6F">
      <w:pPr>
        <w:ind w:left="426"/>
        <w:jc w:val="both"/>
        <w:rPr>
          <w:b/>
          <w:sz w:val="24"/>
          <w:szCs w:val="24"/>
        </w:rPr>
      </w:pPr>
      <w:proofErr w:type="spellStart"/>
      <w:r>
        <w:rPr>
          <w:b/>
          <w:sz w:val="24"/>
          <w:szCs w:val="24"/>
        </w:rPr>
        <w:t>Zsolt</w:t>
      </w:r>
      <w:proofErr w:type="spellEnd"/>
      <w:r>
        <w:rPr>
          <w:b/>
          <w:sz w:val="24"/>
          <w:szCs w:val="24"/>
        </w:rPr>
        <w:t xml:space="preserve"> DEMIAN                                                            Cornelia DEMETER</w:t>
      </w:r>
    </w:p>
    <w:p w:rsidR="000D7C3B" w:rsidRDefault="000D7C3B" w:rsidP="000D7C3B">
      <w:pPr>
        <w:rPr>
          <w:color w:val="000000" w:themeColor="text1"/>
        </w:rPr>
      </w:pPr>
    </w:p>
    <w:sectPr w:rsidR="000D7C3B" w:rsidSect="004C5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DFB"/>
    <w:rsid w:val="00093801"/>
    <w:rsid w:val="000D1C13"/>
    <w:rsid w:val="000D73C3"/>
    <w:rsid w:val="000D7C3B"/>
    <w:rsid w:val="000E0DFB"/>
    <w:rsid w:val="00141505"/>
    <w:rsid w:val="00144251"/>
    <w:rsid w:val="00147012"/>
    <w:rsid w:val="001E2C60"/>
    <w:rsid w:val="00281700"/>
    <w:rsid w:val="003538B4"/>
    <w:rsid w:val="00393DDA"/>
    <w:rsid w:val="004C55F8"/>
    <w:rsid w:val="004E31D2"/>
    <w:rsid w:val="004E593C"/>
    <w:rsid w:val="005057E7"/>
    <w:rsid w:val="005A1FCD"/>
    <w:rsid w:val="005F39EE"/>
    <w:rsid w:val="00617D67"/>
    <w:rsid w:val="00665780"/>
    <w:rsid w:val="00767D53"/>
    <w:rsid w:val="00773208"/>
    <w:rsid w:val="00786FE0"/>
    <w:rsid w:val="007C5A7D"/>
    <w:rsid w:val="007F1D46"/>
    <w:rsid w:val="008E1010"/>
    <w:rsid w:val="008F11BB"/>
    <w:rsid w:val="00926D75"/>
    <w:rsid w:val="00937444"/>
    <w:rsid w:val="00961475"/>
    <w:rsid w:val="009D3988"/>
    <w:rsid w:val="00B975A8"/>
    <w:rsid w:val="00C025E5"/>
    <w:rsid w:val="00C26DA6"/>
    <w:rsid w:val="00C578D4"/>
    <w:rsid w:val="00C767B2"/>
    <w:rsid w:val="00C95108"/>
    <w:rsid w:val="00CF1038"/>
    <w:rsid w:val="00D91735"/>
    <w:rsid w:val="00DA3145"/>
    <w:rsid w:val="00E95EEF"/>
    <w:rsid w:val="00EE2537"/>
    <w:rsid w:val="00F17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8A54"/>
  <w15:docId w15:val="{04696549-788A-4CDB-8308-667B4004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6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D7C3B"/>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617D67"/>
    <w:rPr>
      <w:color w:val="0000FF"/>
      <w:u w:val="single"/>
    </w:rPr>
  </w:style>
  <w:style w:type="character" w:customStyle="1" w:styleId="Heading1Char">
    <w:name w:val="Heading 1 Char"/>
    <w:basedOn w:val="DefaultParagraphFont"/>
    <w:link w:val="Heading1"/>
    <w:uiPriority w:val="9"/>
    <w:rsid w:val="000D7C3B"/>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0D7C3B"/>
    <w:rPr>
      <w:color w:val="0000FF"/>
      <w:u w:val="single"/>
    </w:rPr>
  </w:style>
  <w:style w:type="paragraph" w:styleId="ListParagraph">
    <w:name w:val="List Paragraph"/>
    <w:basedOn w:val="Normal"/>
    <w:uiPriority w:val="34"/>
    <w:qFormat/>
    <w:rsid w:val="000D7C3B"/>
    <w:pPr>
      <w:ind w:left="720"/>
      <w:contextualSpacing/>
    </w:pPr>
  </w:style>
  <w:style w:type="table" w:styleId="TableGrid">
    <w:name w:val="Table Grid"/>
    <w:basedOn w:val="TableNormal"/>
    <w:uiPriority w:val="39"/>
    <w:rsid w:val="0009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38"/>
    <w:rPr>
      <w:rFonts w:ascii="Tahoma" w:hAnsi="Tahoma" w:cs="Tahoma"/>
      <w:sz w:val="16"/>
      <w:szCs w:val="16"/>
    </w:rPr>
  </w:style>
  <w:style w:type="character" w:customStyle="1" w:styleId="BalloonTextChar">
    <w:name w:val="Balloon Text Char"/>
    <w:basedOn w:val="DefaultParagraphFont"/>
    <w:link w:val="BalloonText"/>
    <w:uiPriority w:val="99"/>
    <w:semiHidden/>
    <w:rsid w:val="00CF1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31</cp:revision>
  <dcterms:created xsi:type="dcterms:W3CDTF">2025-07-22T10:09:00Z</dcterms:created>
  <dcterms:modified xsi:type="dcterms:W3CDTF">2026-07-13T12:11:00Z</dcterms:modified>
</cp:coreProperties>
</file>