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817" w:rsidRDefault="00027817" w:rsidP="0074048D">
      <w:pPr>
        <w:spacing w:after="0" w:line="240" w:lineRule="auto"/>
        <w:rPr>
          <w:rFonts w:ascii="Times New Roman" w:hAnsi="Times New Roman" w:cs="Times New Roman"/>
          <w:b/>
          <w:sz w:val="24"/>
          <w:szCs w:val="24"/>
        </w:rPr>
      </w:pPr>
    </w:p>
    <w:p w:rsidR="00B67B16" w:rsidRDefault="00B67B16" w:rsidP="0074048D">
      <w:pPr>
        <w:spacing w:after="0" w:line="240" w:lineRule="auto"/>
        <w:rPr>
          <w:rFonts w:ascii="Times New Roman" w:hAnsi="Times New Roman" w:cs="Times New Roman"/>
          <w:b/>
          <w:sz w:val="24"/>
          <w:szCs w:val="24"/>
        </w:rPr>
      </w:pPr>
    </w:p>
    <w:p w:rsidR="00776796" w:rsidRDefault="00776796" w:rsidP="00027817">
      <w:pPr>
        <w:spacing w:after="0" w:line="240" w:lineRule="auto"/>
        <w:jc w:val="right"/>
        <w:rPr>
          <w:rFonts w:ascii="Times New Roman" w:hAnsi="Times New Roman" w:cs="Times New Roman"/>
          <w:b/>
          <w:sz w:val="24"/>
          <w:szCs w:val="24"/>
        </w:rPr>
      </w:pPr>
      <w:r w:rsidRPr="00776796">
        <w:rPr>
          <w:rFonts w:ascii="Times New Roman" w:hAnsi="Times New Roman" w:cs="Times New Roman"/>
          <w:b/>
          <w:sz w:val="24"/>
          <w:szCs w:val="24"/>
        </w:rPr>
        <w:t xml:space="preserve">Anexa nr.2 </w:t>
      </w:r>
    </w:p>
    <w:p w:rsidR="00EA6C51" w:rsidRPr="00776796" w:rsidRDefault="00EA6C51" w:rsidP="0002781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La HCL nr. 209 din 20 octombrie 2022</w:t>
      </w:r>
    </w:p>
    <w:p w:rsidR="00776796" w:rsidRPr="00776796" w:rsidRDefault="00776796" w:rsidP="00776796">
      <w:pPr>
        <w:spacing w:after="0" w:line="240" w:lineRule="auto"/>
        <w:jc w:val="both"/>
        <w:rPr>
          <w:rFonts w:ascii="Times New Roman" w:hAnsi="Times New Roman" w:cs="Times New Roman"/>
          <w:sz w:val="24"/>
          <w:szCs w:val="24"/>
        </w:rPr>
      </w:pPr>
    </w:p>
    <w:p w:rsidR="00776796" w:rsidRPr="00776796" w:rsidRDefault="00776796" w:rsidP="00776796">
      <w:pPr>
        <w:shd w:val="clear" w:color="auto" w:fill="FFFFFF"/>
        <w:spacing w:after="0" w:line="240" w:lineRule="auto"/>
        <w:jc w:val="center"/>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PROGRAM DE MĂSURI</w:t>
      </w:r>
    </w:p>
    <w:p w:rsidR="00776796" w:rsidRPr="00776796" w:rsidRDefault="00776796" w:rsidP="00776796">
      <w:pPr>
        <w:shd w:val="clear" w:color="auto" w:fill="FFFFFF"/>
        <w:spacing w:after="0" w:line="240" w:lineRule="auto"/>
        <w:jc w:val="center"/>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pentru eficientizarea activității de înscriere a datelor în Registrul Agricol</w:t>
      </w:r>
    </w:p>
    <w:p w:rsidR="00776796" w:rsidRPr="00776796" w:rsidRDefault="00776796" w:rsidP="00776796">
      <w:pPr>
        <w:shd w:val="clear" w:color="auto" w:fill="FFFFFF"/>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 </w:t>
      </w:r>
    </w:p>
    <w:tbl>
      <w:tblPr>
        <w:tblW w:w="9678" w:type="dxa"/>
        <w:tblInd w:w="-142" w:type="dxa"/>
        <w:tblBorders>
          <w:bottom w:val="single" w:sz="4" w:space="0" w:color="EDEDED"/>
        </w:tblBorders>
        <w:shd w:val="clear" w:color="auto" w:fill="FFFFFF"/>
        <w:tblCellMar>
          <w:left w:w="0" w:type="dxa"/>
          <w:right w:w="0" w:type="dxa"/>
        </w:tblCellMar>
        <w:tblLook w:val="04A0" w:firstRow="1" w:lastRow="0" w:firstColumn="1" w:lastColumn="0" w:noHBand="0" w:noVBand="1"/>
      </w:tblPr>
      <w:tblGrid>
        <w:gridCol w:w="1027"/>
        <w:gridCol w:w="4021"/>
        <w:gridCol w:w="1480"/>
        <w:gridCol w:w="3150"/>
      </w:tblGrid>
      <w:tr w:rsidR="00776796" w:rsidRPr="00776796" w:rsidTr="007B4D79">
        <w:tc>
          <w:tcPr>
            <w:tcW w:w="1027"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Nr.crt.</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Denumirea activitatii</w:t>
            </w:r>
          </w:p>
        </w:tc>
        <w:tc>
          <w:tcPr>
            <w:tcW w:w="148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b/>
                <w:bCs/>
                <w:sz w:val="24"/>
                <w:szCs w:val="24"/>
                <w:lang w:eastAsia="en-GB"/>
              </w:rPr>
            </w:pPr>
            <w:r w:rsidRPr="00776796">
              <w:rPr>
                <w:rFonts w:ascii="Times New Roman" w:hAnsi="Times New Roman" w:cs="Times New Roman"/>
                <w:b/>
                <w:bCs/>
                <w:sz w:val="24"/>
                <w:szCs w:val="24"/>
                <w:lang w:eastAsia="en-GB"/>
              </w:rPr>
              <w:t xml:space="preserve">Termen </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de indeplinire</w:t>
            </w:r>
          </w:p>
        </w:tc>
        <w:tc>
          <w:tcPr>
            <w:tcW w:w="315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Persoane responsabile</w:t>
            </w: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1.</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Se va efectua afisajul și înștiințarea populației cu privire la procedura și termenele de înregistrare în registrele agricole și verificarea în teren a corectitudinii înscrierii datelor pe baza declarației date de către capii gospodăriilor și de către reprezentanții legali a persoanelor juridice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2.</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Intocmirea și ținerea la zi a registrului agricol se organizează conform celor prevăzute în HCL nr 44 din 19.03.2020 pe suport electronic.</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3.</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Toate datele din registrul agricol, au caracter de interes public și trebuie să fie corecte din punctul de vedere al proprietății termenilor utilizați, sub aspect gramatical, ortografic, ortoepic și, după caz, sub aspectul punctuației, conform normelor academice în vigoare, potrivit prevederilor Legii nr.500/2004 privind folosirea limbii romane în locuri, relații și instituții publice.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4.</w:t>
            </w:r>
          </w:p>
        </w:tc>
        <w:tc>
          <w:tcPr>
            <w:tcW w:w="4021"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Tehnica de completare a registrului agricol se face cu respectarea strictă a Normelor tehnice de completare a registrului agricol pentru perioada 2020-2024, având caracterul unui document oficial care constituie o sursa importanta de informatii pentru :</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elaborarea pe plan local a unor politici in domeniile : fiscal, agrar, protectie sociala, cadastru, edilitar-urbanistic, sanitar, scolar, servicii publice de interes local,</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–satisfacerea unor solicitări ale cetățenilor,</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-este sursa administrativă de date pentru sistemul informațional statistic, respectiv : statistica oficială, pregătirea și organizarea recensămintelor agricole, ale clădirilor și ale populației, ale unor </w:t>
            </w:r>
            <w:r w:rsidRPr="00776796">
              <w:rPr>
                <w:rFonts w:ascii="Times New Roman" w:hAnsi="Times New Roman" w:cs="Times New Roman"/>
                <w:sz w:val="24"/>
                <w:szCs w:val="24"/>
                <w:lang w:eastAsia="en-GB"/>
              </w:rPr>
              <w:lastRenderedPageBreak/>
              <w:t>anchete-pilot, organizarea unui sistem de observări statistice prin sontaj, etc</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lastRenderedPageBreak/>
              <w:t xml:space="preserve">  permanent</w:t>
            </w:r>
          </w:p>
        </w:tc>
        <w:tc>
          <w:tcPr>
            <w:tcW w:w="3150"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lastRenderedPageBreak/>
              <w:t>5.</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Registrul agricol în format electronic furnizeaza la termenele stabilite sau la cerere, date ce pot caracteriza un rând de formular, un formular, o structura administrativ-teritorială, pentru unul sau mai mulți ani, păstrând codurile de rând și denumirile din cadrul formularelor registrului agricol pe suport hartie.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6.</w:t>
            </w:r>
          </w:p>
        </w:tc>
        <w:tc>
          <w:tcPr>
            <w:tcW w:w="4021"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Comunicarea către Compartimentul  taxe și  impozite locale, în termen de 3 zile lucrătoare,a modificărilor intervenite în registrul agricol, referitoare la terenuri, categoria de folosință a acestora, la clădiri sau orice alte bunuri deținute în proprietate sau în folosința, după caz, de natura să conduca la modificarea oricaror impozite si taxe locale prevazute de Codul fiscal.</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7.</w:t>
            </w:r>
          </w:p>
        </w:tc>
        <w:tc>
          <w:tcPr>
            <w:tcW w:w="4021"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Comunicarea către Compartimentul impozite si taxe locale, in termen de 3 zile lucratoare,a modificarilor intervenite in registrul agricol, referitoare la terenuri, categoria de folosinta a acestora, la cladiri sau orice alte bunuri detinute in proprietate sau in folosinta, dupa caz, de natura sa conduca la modificarea oricaror impozite si taxe locale prevazute de Codul fiscal.</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8.</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Datele instrumentate la nivelul Compartimentului  Impozite și taxe locale și Compartimentului Urbanism, amenajarea teritoriului, care fac obiectul înscrierii în registrul agricol, se comunica compartimentului de resort în termen de 3 zile lucrătoare de la data înregistrării lor, prin grija conducatorului compartimentului respectiv ,</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Bosca Anca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bookmarkStart w:id="0" w:name="_GoBack"/>
            <w:bookmarkEnd w:id="0"/>
            <w:r w:rsidRPr="00776796">
              <w:rPr>
                <w:rFonts w:ascii="Times New Roman" w:hAnsi="Times New Roman" w:cs="Times New Roman"/>
                <w:sz w:val="24"/>
                <w:szCs w:val="24"/>
                <w:lang w:eastAsia="en-GB"/>
              </w:rPr>
              <w:t>Tecău Balog Daniela</w:t>
            </w: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9.</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Orice modificare în registrul agricol se va face numai cu avizul scris al Secretarului general al Municipiului marghita;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315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bl>
    <w:p w:rsidR="00F77985" w:rsidRDefault="00F77985"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C4032D" w:rsidRDefault="00C4032D" w:rsidP="00776796">
      <w:pPr>
        <w:spacing w:after="0" w:line="240" w:lineRule="auto"/>
        <w:rPr>
          <w:rFonts w:ascii="Times New Roman" w:hAnsi="Times New Roman" w:cs="Times New Roman"/>
          <w:sz w:val="24"/>
          <w:szCs w:val="24"/>
        </w:rPr>
      </w:pPr>
    </w:p>
    <w:p w:rsidR="00EA6C51" w:rsidRPr="00697D63" w:rsidRDefault="00EA6C51" w:rsidP="00EA6C5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697D63">
        <w:rPr>
          <w:rFonts w:ascii="Times New Roman" w:eastAsia="Times New Roman" w:hAnsi="Times New Roman" w:cs="Times New Roman"/>
          <w:b/>
          <w:sz w:val="24"/>
          <w:szCs w:val="24"/>
        </w:rPr>
        <w:t>Preşedinte de şedinţă                                                       Contrasemnează</w:t>
      </w:r>
    </w:p>
    <w:p w:rsidR="00EA6C51" w:rsidRPr="00697D63" w:rsidRDefault="00725713" w:rsidP="00EA6C5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Florentia</w:t>
      </w:r>
      <w:proofErr w:type="spellEnd"/>
      <w:r>
        <w:rPr>
          <w:rFonts w:ascii="Times New Roman" w:eastAsia="Times New Roman" w:hAnsi="Times New Roman" w:cs="Times New Roman"/>
          <w:b/>
          <w:sz w:val="24"/>
          <w:szCs w:val="24"/>
        </w:rPr>
        <w:t xml:space="preserve"> Angela TOIA</w:t>
      </w:r>
      <w:r w:rsidR="00EA6C51" w:rsidRPr="00697D63">
        <w:rPr>
          <w:rFonts w:ascii="Times New Roman" w:eastAsia="Times New Roman" w:hAnsi="Times New Roman" w:cs="Times New Roman"/>
          <w:b/>
          <w:sz w:val="24"/>
          <w:szCs w:val="24"/>
        </w:rPr>
        <w:t xml:space="preserve">                                                     Secretar        General </w:t>
      </w:r>
    </w:p>
    <w:p w:rsidR="00C4032D" w:rsidRDefault="00EA6C51" w:rsidP="00EA6C51">
      <w:pPr>
        <w:spacing w:after="0" w:line="240" w:lineRule="auto"/>
        <w:jc w:val="both"/>
        <w:rPr>
          <w:rFonts w:ascii="Times New Roman" w:hAnsi="Times New Roman" w:cs="Times New Roman"/>
          <w:sz w:val="24"/>
          <w:szCs w:val="24"/>
        </w:rPr>
      </w:pPr>
      <w:r w:rsidRPr="00697D63">
        <w:rPr>
          <w:rFonts w:ascii="Times New Roman" w:eastAsia="Times New Roman" w:hAnsi="Times New Roman" w:cs="Times New Roman"/>
          <w:b/>
          <w:sz w:val="24"/>
          <w:szCs w:val="24"/>
        </w:rPr>
        <w:t xml:space="preserve">                                                                                                 Cornelia DEMETER</w:t>
      </w:r>
    </w:p>
    <w:p w:rsidR="00C4032D" w:rsidRDefault="00C4032D" w:rsidP="00C4032D">
      <w:pPr>
        <w:spacing w:after="0" w:line="240" w:lineRule="auto"/>
        <w:rPr>
          <w:rFonts w:ascii="Times New Roman" w:hAnsi="Times New Roman" w:cs="Times New Roman"/>
          <w:sz w:val="24"/>
          <w:szCs w:val="24"/>
        </w:rPr>
      </w:pPr>
    </w:p>
    <w:sectPr w:rsidR="00C4032D" w:rsidSect="00F77985">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90BFB"/>
    <w:multiLevelType w:val="hybridMultilevel"/>
    <w:tmpl w:val="0F00F302"/>
    <w:lvl w:ilvl="0" w:tplc="AB2AD9A4">
      <w:start w:val="1"/>
      <w:numFmt w:val="decimal"/>
      <w:lvlText w:val="(%1)"/>
      <w:lvlJc w:val="left"/>
      <w:pPr>
        <w:ind w:left="450" w:hanging="45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2533BA"/>
    <w:rsid w:val="00027817"/>
    <w:rsid w:val="000A4F30"/>
    <w:rsid w:val="000F189D"/>
    <w:rsid w:val="00172868"/>
    <w:rsid w:val="00180ACF"/>
    <w:rsid w:val="002533BA"/>
    <w:rsid w:val="0031749C"/>
    <w:rsid w:val="00361180"/>
    <w:rsid w:val="003D1D9F"/>
    <w:rsid w:val="003D5F2E"/>
    <w:rsid w:val="00432EF5"/>
    <w:rsid w:val="00451624"/>
    <w:rsid w:val="00501F81"/>
    <w:rsid w:val="00725713"/>
    <w:rsid w:val="0074048D"/>
    <w:rsid w:val="00762FC0"/>
    <w:rsid w:val="00776796"/>
    <w:rsid w:val="008E1AA0"/>
    <w:rsid w:val="0092643E"/>
    <w:rsid w:val="00990700"/>
    <w:rsid w:val="009E050A"/>
    <w:rsid w:val="009E5CFF"/>
    <w:rsid w:val="009F2E7D"/>
    <w:rsid w:val="00A66BBF"/>
    <w:rsid w:val="00B34272"/>
    <w:rsid w:val="00B65883"/>
    <w:rsid w:val="00B67B16"/>
    <w:rsid w:val="00BC5F00"/>
    <w:rsid w:val="00C4032D"/>
    <w:rsid w:val="00D4104D"/>
    <w:rsid w:val="00EA6C51"/>
    <w:rsid w:val="00F11424"/>
    <w:rsid w:val="00F7798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CF"/>
  </w:style>
  <w:style w:type="paragraph" w:styleId="Titlu1">
    <w:name w:val="heading 1"/>
    <w:basedOn w:val="Normal"/>
    <w:link w:val="Titlu1Caracter"/>
    <w:uiPriority w:val="9"/>
    <w:qFormat/>
    <w:rsid w:val="002533B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533BA"/>
    <w:rPr>
      <w:rFonts w:ascii="Times New Roman" w:eastAsia="Times New Roman" w:hAnsi="Times New Roman" w:cs="Times New Roman"/>
      <w:b/>
      <w:bCs/>
      <w:kern w:val="36"/>
      <w:sz w:val="48"/>
      <w:szCs w:val="48"/>
      <w:lang w:val="en-GB" w:eastAsia="en-GB"/>
    </w:rPr>
  </w:style>
  <w:style w:type="paragraph" w:styleId="Corptext">
    <w:name w:val="Body Text"/>
    <w:basedOn w:val="Normal"/>
    <w:link w:val="CorptextCaracter"/>
    <w:unhideWhenUsed/>
    <w:rsid w:val="002533BA"/>
    <w:pPr>
      <w:spacing w:after="0" w:line="240" w:lineRule="auto"/>
      <w:jc w:val="both"/>
    </w:pPr>
    <w:rPr>
      <w:rFonts w:ascii="Times New Roman" w:eastAsia="Times New Roman" w:hAnsi="Times New Roman" w:cs="Times New Roman"/>
      <w:b/>
      <w:bCs/>
      <w:sz w:val="28"/>
      <w:szCs w:val="24"/>
      <w:lang w:val="hu-HU"/>
    </w:rPr>
  </w:style>
  <w:style w:type="character" w:customStyle="1" w:styleId="CorptextCaracter">
    <w:name w:val="Corp text Caracter"/>
    <w:basedOn w:val="Fontdeparagrafimplicit"/>
    <w:link w:val="Corptext"/>
    <w:rsid w:val="002533BA"/>
    <w:rPr>
      <w:rFonts w:ascii="Times New Roman" w:eastAsia="Times New Roman" w:hAnsi="Times New Roman" w:cs="Times New Roman"/>
      <w:b/>
      <w:bCs/>
      <w:sz w:val="28"/>
      <w:szCs w:val="24"/>
      <w:lang w:val="hu-HU"/>
    </w:rPr>
  </w:style>
  <w:style w:type="paragraph" w:styleId="Frspaiere">
    <w:name w:val="No Spacing"/>
    <w:uiPriority w:val="1"/>
    <w:qFormat/>
    <w:rsid w:val="002533BA"/>
    <w:pPr>
      <w:spacing w:after="0"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2533BA"/>
    <w:pPr>
      <w:ind w:left="720"/>
      <w:contextualSpacing/>
    </w:pPr>
  </w:style>
  <w:style w:type="paragraph" w:customStyle="1" w:styleId="al">
    <w:name w:val="a_l"/>
    <w:basedOn w:val="Normal"/>
    <w:rsid w:val="002533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Fontdeparagrafimplicit"/>
    <w:rsid w:val="00F77985"/>
    <w:rPr>
      <w:color w:val="0000FF"/>
      <w:u w:val="single"/>
    </w:rPr>
  </w:style>
  <w:style w:type="paragraph" w:styleId="Corptext2">
    <w:name w:val="Body Text 2"/>
    <w:basedOn w:val="Normal"/>
    <w:link w:val="Corptext2Caracter"/>
    <w:uiPriority w:val="99"/>
    <w:unhideWhenUsed/>
    <w:rsid w:val="00C4032D"/>
    <w:pPr>
      <w:spacing w:after="120" w:line="480" w:lineRule="auto"/>
    </w:pPr>
    <w:rPr>
      <w:rFonts w:ascii="Times New Roman" w:eastAsia="Times New Roman" w:hAnsi="Times New Roman" w:cs="Times New Roman"/>
      <w:sz w:val="24"/>
      <w:szCs w:val="24"/>
    </w:rPr>
  </w:style>
  <w:style w:type="character" w:customStyle="1" w:styleId="Corptext2Caracter">
    <w:name w:val="Corp text 2 Caracter"/>
    <w:basedOn w:val="Fontdeparagrafimplicit"/>
    <w:link w:val="Corptext2"/>
    <w:uiPriority w:val="99"/>
    <w:rsid w:val="00C4032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593124">
      <w:bodyDiv w:val="1"/>
      <w:marLeft w:val="0"/>
      <w:marRight w:val="0"/>
      <w:marTop w:val="0"/>
      <w:marBottom w:val="0"/>
      <w:divBdr>
        <w:top w:val="none" w:sz="0" w:space="0" w:color="auto"/>
        <w:left w:val="none" w:sz="0" w:space="0" w:color="auto"/>
        <w:bottom w:val="none" w:sz="0" w:space="0" w:color="auto"/>
        <w:right w:val="none" w:sz="0" w:space="0" w:color="auto"/>
      </w:divBdr>
    </w:div>
    <w:div w:id="19251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5883C-2056-4C1E-9A72-A5AC4A34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611</Words>
  <Characters>3484</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Neli</cp:lastModifiedBy>
  <cp:revision>5</cp:revision>
  <cp:lastPrinted>2022-10-25T10:23:00Z</cp:lastPrinted>
  <dcterms:created xsi:type="dcterms:W3CDTF">2022-10-13T07:18:00Z</dcterms:created>
  <dcterms:modified xsi:type="dcterms:W3CDTF">2022-10-25T10:25:00Z</dcterms:modified>
</cp:coreProperties>
</file>