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A3689" w14:textId="77777777" w:rsidR="00131381" w:rsidRPr="00131381" w:rsidRDefault="00131381" w:rsidP="00131381">
      <w:pPr>
        <w:autoSpaceDE w:val="0"/>
        <w:autoSpaceDN w:val="0"/>
        <w:adjustRightInd w:val="0"/>
        <w:spacing w:after="0" w:line="240" w:lineRule="auto"/>
        <w:jc w:val="center"/>
        <w:rPr>
          <w:rFonts w:ascii="Times New Roman" w:hAnsi="Times New Roman" w:cs="Times New Roman"/>
          <w:sz w:val="24"/>
          <w:szCs w:val="24"/>
        </w:rPr>
      </w:pPr>
      <w:r w:rsidRPr="00131381">
        <w:rPr>
          <w:rFonts w:ascii="Times New Roman" w:hAnsi="Times New Roman" w:cs="Times New Roman"/>
          <w:sz w:val="24"/>
          <w:szCs w:val="24"/>
        </w:rPr>
        <w:t xml:space="preserve">                                                                                                             </w:t>
      </w:r>
      <w:proofErr w:type="spellStart"/>
      <w:r w:rsidRPr="00131381">
        <w:rPr>
          <w:rFonts w:ascii="Times New Roman" w:hAnsi="Times New Roman" w:cs="Times New Roman"/>
          <w:sz w:val="24"/>
          <w:szCs w:val="24"/>
        </w:rPr>
        <w:t>Anexa</w:t>
      </w:r>
      <w:proofErr w:type="spellEnd"/>
      <w:r w:rsidRPr="00131381">
        <w:rPr>
          <w:rFonts w:ascii="Times New Roman" w:hAnsi="Times New Roman" w:cs="Times New Roman"/>
          <w:sz w:val="24"/>
          <w:szCs w:val="24"/>
        </w:rPr>
        <w:t xml:space="preserve"> nr. 1 </w:t>
      </w:r>
    </w:p>
    <w:p w14:paraId="119AF7D2" w14:textId="77777777" w:rsidR="00131381" w:rsidRPr="00131381" w:rsidRDefault="00131381" w:rsidP="00131381">
      <w:pPr>
        <w:autoSpaceDE w:val="0"/>
        <w:autoSpaceDN w:val="0"/>
        <w:adjustRightInd w:val="0"/>
        <w:spacing w:after="0" w:line="240" w:lineRule="auto"/>
        <w:jc w:val="center"/>
        <w:rPr>
          <w:rFonts w:ascii="Times New Roman" w:hAnsi="Times New Roman" w:cs="Times New Roman"/>
          <w:sz w:val="24"/>
          <w:szCs w:val="24"/>
        </w:rPr>
      </w:pPr>
      <w:r w:rsidRPr="00131381">
        <w:rPr>
          <w:rFonts w:ascii="Times New Roman" w:hAnsi="Times New Roman" w:cs="Times New Roman"/>
          <w:sz w:val="24"/>
          <w:szCs w:val="24"/>
        </w:rPr>
        <w:t xml:space="preserve">                                                                                                            la HCL nr………</w:t>
      </w:r>
      <w:proofErr w:type="gramStart"/>
      <w:r w:rsidRPr="00131381">
        <w:rPr>
          <w:rFonts w:ascii="Times New Roman" w:hAnsi="Times New Roman" w:cs="Times New Roman"/>
          <w:sz w:val="24"/>
          <w:szCs w:val="24"/>
        </w:rPr>
        <w:t>…..</w:t>
      </w:r>
      <w:proofErr w:type="gramEnd"/>
      <w:r w:rsidRPr="00131381">
        <w:rPr>
          <w:rFonts w:ascii="Times New Roman" w:hAnsi="Times New Roman" w:cs="Times New Roman"/>
          <w:sz w:val="24"/>
          <w:szCs w:val="24"/>
        </w:rPr>
        <w:t xml:space="preserve"> a </w:t>
      </w:r>
    </w:p>
    <w:p w14:paraId="0121E2CC" w14:textId="77777777" w:rsidR="00131381" w:rsidRPr="00131381" w:rsidRDefault="00131381" w:rsidP="00131381">
      <w:pPr>
        <w:autoSpaceDE w:val="0"/>
        <w:autoSpaceDN w:val="0"/>
        <w:adjustRightInd w:val="0"/>
        <w:spacing w:after="0" w:line="240" w:lineRule="auto"/>
        <w:jc w:val="right"/>
        <w:rPr>
          <w:rFonts w:ascii="Times New Roman" w:hAnsi="Times New Roman" w:cs="Times New Roman"/>
        </w:rPr>
      </w:pPr>
      <w:r w:rsidRPr="00131381">
        <w:rPr>
          <w:rFonts w:ascii="Times New Roman" w:hAnsi="Times New Roman" w:cs="Times New Roman"/>
        </w:rPr>
        <w:t xml:space="preserve">  CONSILIULUI LOCAL AL COMUNEI TÂRGUȘOR</w:t>
      </w:r>
    </w:p>
    <w:p w14:paraId="0C0665BC" w14:textId="01270D5A" w:rsidR="00131381" w:rsidRPr="00131381" w:rsidRDefault="00131381" w:rsidP="00131381">
      <w:pPr>
        <w:autoSpaceDE w:val="0"/>
        <w:autoSpaceDN w:val="0"/>
        <w:adjustRightInd w:val="0"/>
        <w:spacing w:after="0" w:line="240" w:lineRule="auto"/>
        <w:jc w:val="right"/>
        <w:rPr>
          <w:rFonts w:ascii="Times New Roman" w:hAnsi="Times New Roman" w:cs="Times New Roman"/>
        </w:rPr>
      </w:pPr>
      <w:r w:rsidRPr="00131381">
        <w:rPr>
          <w:rFonts w:ascii="Times New Roman" w:hAnsi="Times New Roman" w:cs="Times New Roman"/>
        </w:rPr>
        <w:t xml:space="preserve">                                                                                                                                                                             </w:t>
      </w:r>
      <w:r>
        <w:rPr>
          <w:rFonts w:ascii="Times New Roman" w:hAnsi="Times New Roman" w:cs="Times New Roman"/>
        </w:rPr>
        <w:t xml:space="preserve">     </w:t>
      </w:r>
      <w:r w:rsidRPr="00131381">
        <w:rPr>
          <w:rFonts w:ascii="Times New Roman" w:hAnsi="Times New Roman" w:cs="Times New Roman"/>
        </w:rPr>
        <w:t>JUDEȚUL CONSTANȚA</w:t>
      </w:r>
    </w:p>
    <w:p w14:paraId="6DC7366A" w14:textId="097F34F2" w:rsidR="00131381" w:rsidRPr="00131381" w:rsidRDefault="00131381" w:rsidP="00131381">
      <w:pPr>
        <w:autoSpaceDE w:val="0"/>
        <w:autoSpaceDN w:val="0"/>
        <w:adjustRightInd w:val="0"/>
        <w:spacing w:after="0" w:line="240" w:lineRule="auto"/>
        <w:jc w:val="right"/>
        <w:rPr>
          <w:rFonts w:ascii="Times New Roman" w:hAnsi="Times New Roman" w:cs="Times New Roman"/>
        </w:rPr>
      </w:pPr>
      <w:r w:rsidRPr="00131381">
        <w:rPr>
          <w:rFonts w:ascii="Times New Roman" w:hAnsi="Times New Roman" w:cs="Times New Roman"/>
        </w:rPr>
        <w:t xml:space="preserve">                                                                                                                                                          </w:t>
      </w:r>
      <w:r>
        <w:rPr>
          <w:rFonts w:ascii="Times New Roman" w:hAnsi="Times New Roman" w:cs="Times New Roman"/>
        </w:rPr>
        <w:t xml:space="preserve"> </w:t>
      </w:r>
      <w:r w:rsidRPr="00131381">
        <w:rPr>
          <w:rFonts w:ascii="Times New Roman" w:hAnsi="Times New Roman" w:cs="Times New Roman"/>
        </w:rPr>
        <w:t>PREȘEDINTE DE ȘEDINȚĂ</w:t>
      </w:r>
    </w:p>
    <w:p w14:paraId="0E7F7C71" w14:textId="3F073B02" w:rsidR="00131381" w:rsidRPr="00131381" w:rsidRDefault="00131381" w:rsidP="00131381">
      <w:pPr>
        <w:autoSpaceDE w:val="0"/>
        <w:autoSpaceDN w:val="0"/>
        <w:adjustRightInd w:val="0"/>
        <w:spacing w:after="0" w:line="240" w:lineRule="auto"/>
        <w:jc w:val="right"/>
        <w:rPr>
          <w:rFonts w:ascii="Times New Roman" w:hAnsi="Times New Roman" w:cs="Times New Roman"/>
        </w:rPr>
      </w:pPr>
      <w:r w:rsidRPr="00131381">
        <w:rPr>
          <w:rFonts w:ascii="Times New Roman" w:hAnsi="Times New Roman" w:cs="Times New Roman"/>
        </w:rPr>
        <w:t xml:space="preserve">                                                                                                                                                          </w:t>
      </w:r>
      <w:r>
        <w:rPr>
          <w:rFonts w:ascii="Times New Roman" w:hAnsi="Times New Roman" w:cs="Times New Roman"/>
        </w:rPr>
        <w:t xml:space="preserve"> </w:t>
      </w:r>
      <w:proofErr w:type="spellStart"/>
      <w:r w:rsidRPr="00131381">
        <w:rPr>
          <w:rFonts w:ascii="Times New Roman" w:hAnsi="Times New Roman" w:cs="Times New Roman"/>
        </w:rPr>
        <w:t>Consilier</w:t>
      </w:r>
      <w:proofErr w:type="spellEnd"/>
      <w:r w:rsidRPr="00131381">
        <w:rPr>
          <w:rFonts w:ascii="Times New Roman" w:hAnsi="Times New Roman" w:cs="Times New Roman"/>
        </w:rPr>
        <w:t>, …………</w:t>
      </w:r>
    </w:p>
    <w:p w14:paraId="708A1FB0" w14:textId="7DEE8ED5" w:rsidR="00131381" w:rsidRDefault="00131381" w:rsidP="00131381">
      <w:pPr>
        <w:autoSpaceDE w:val="0"/>
        <w:autoSpaceDN w:val="0"/>
        <w:adjustRightInd w:val="0"/>
        <w:spacing w:after="0" w:line="240" w:lineRule="auto"/>
        <w:jc w:val="center"/>
        <w:rPr>
          <w:rFonts w:ascii="Times New Roman" w:hAnsi="Times New Roman" w:cs="Times New Roman"/>
          <w:sz w:val="16"/>
          <w:szCs w:val="16"/>
        </w:rPr>
      </w:pPr>
    </w:p>
    <w:p w14:paraId="43EA70CC" w14:textId="13F61FD9" w:rsidR="00131381" w:rsidRDefault="00131381" w:rsidP="00131381">
      <w:pPr>
        <w:autoSpaceDE w:val="0"/>
        <w:autoSpaceDN w:val="0"/>
        <w:adjustRightInd w:val="0"/>
        <w:spacing w:after="0" w:line="240" w:lineRule="auto"/>
        <w:jc w:val="center"/>
        <w:rPr>
          <w:rFonts w:ascii="Times New Roman" w:hAnsi="Times New Roman" w:cs="Times New Roman"/>
          <w:sz w:val="16"/>
          <w:szCs w:val="16"/>
        </w:rPr>
      </w:pPr>
    </w:p>
    <w:p w14:paraId="64308439" w14:textId="77777777" w:rsidR="00131381" w:rsidRPr="00675B32" w:rsidRDefault="00131381" w:rsidP="00131381">
      <w:pPr>
        <w:autoSpaceDE w:val="0"/>
        <w:autoSpaceDN w:val="0"/>
        <w:adjustRightInd w:val="0"/>
        <w:spacing w:after="0" w:line="240" w:lineRule="auto"/>
        <w:jc w:val="center"/>
        <w:rPr>
          <w:rFonts w:ascii="Times New Roman" w:hAnsi="Times New Roman" w:cs="Times New Roman"/>
          <w:sz w:val="16"/>
          <w:szCs w:val="16"/>
        </w:rPr>
      </w:pPr>
    </w:p>
    <w:p w14:paraId="09795379" w14:textId="77777777" w:rsidR="00131381" w:rsidRPr="00131381" w:rsidRDefault="00131381" w:rsidP="00131381">
      <w:pPr>
        <w:tabs>
          <w:tab w:val="left" w:pos="2670"/>
        </w:tabs>
        <w:spacing w:after="160" w:line="259" w:lineRule="auto"/>
        <w:jc w:val="center"/>
        <w:rPr>
          <w:rFonts w:ascii="Times New Roman" w:hAnsi="Times New Roman" w:cs="Times New Roman"/>
          <w:b/>
          <w:bCs/>
          <w:sz w:val="28"/>
          <w:szCs w:val="28"/>
          <w:lang w:val="ro-RO"/>
        </w:rPr>
      </w:pPr>
      <w:r w:rsidRPr="00131381">
        <w:rPr>
          <w:rFonts w:ascii="Times New Roman" w:hAnsi="Times New Roman" w:cs="Times New Roman"/>
          <w:b/>
          <w:bCs/>
          <w:sz w:val="28"/>
          <w:szCs w:val="28"/>
          <w:lang w:val="ro-RO"/>
        </w:rPr>
        <w:t>Modalitatea de identificare a beneficiarilor stimulentului educaţional şi modalitatea de soluţionare a situaţiilor identificate</w:t>
      </w:r>
    </w:p>
    <w:p w14:paraId="0E840667"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În temeiul prevederilor art. 2 din Legea nr. 248/2015 privind stimularea participării în învăţământul preşcolar a copiilor provenind din familii defavorizate, modificată și completată prin Legea nr. 49/2020, stimulentele educaţionale se acordă numai pentru copiii înscrişi într-o unitate de învăţământ preşcolar, conform Legii educaţiei naţionale nr. 1/2011, cu modificările şi completările ulterioare, după cum urmează:</w:t>
      </w:r>
    </w:p>
    <w:p w14:paraId="79F64ECB"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a) copiilor din familiile care au stabilit dreptul la alocaţie pentru susţinerea familiei acordată în baza Legii nr. 277/2010 privind alocaţia pentru susţinerea familiei, republicată, cu modificările şi completările ulterioare, indiferent dacă familia se află în plata acestui drept sau acesta este suspendat. </w:t>
      </w:r>
    </w:p>
    <w:p w14:paraId="7939B67B"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b) copiilor aflaţi în îngrijirea persoanei care a fost desemnată de părinte pentru întreţinerea copilului, pe perioada absenţei părinţilor, conform art. 104 din Legea nr. 272/2004 privind protecţia şi promovarea drepturilor copilului, republicată, cu modificările şi completările ulterioare, dacă veniturile pe persoană, inclusiv copilul aflat în îngrijire, nu depăşesc nivelul maxim de venituri pentru acordarea alocaţiei pentru susţinerea familiei. Valoarea stimulentului educaţional în tichete sociale pentru grădiniţă este 100 de lei/lună/copil, conform art. 6 din Legea nr. 248/2015, cu modificările și completările ulterioare. </w:t>
      </w:r>
    </w:p>
    <w:p w14:paraId="361A8CE3"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Având în vedere prevederile art. 4 alin. (2) din Legea nr. 248/2015, cu modificările și completările ulterioare, şi art. 35 din Normele de aplicare a Legii nr. 248/2015, conform cărora autorităţile administraţiei publice locale stabilesc prin hotărâre a consiliului local modalitatea de identificare a beneficiarilor, precum şi modalitatea de soluţionare a situaţiilor identificate, în limita procedurală prevăzută de normele metodologice şi procedura de acordare a tichetelor sociale pentru grădiniţă, prezentăm mai jos modul de identificare a beneficiarilor de stimulente educaţionale şi modalitatea de soluţionare a situaţiilor identificate.</w:t>
      </w:r>
    </w:p>
    <w:p w14:paraId="339BB236"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Datorită faptului că Compartimentul de specialitate  a primarului comunei Targusor, județul Constanța deţine o bază de date cu beneficiari  de asistenţă socială, este o sursă sigură de date pentru beneficiarii stimulentului educaţional care pot fi informaţi în timp util despre aceste beneficii, atât direct de către personalul de specialitate, cât şi prin alte mijloace de comunicare (telefon, poştă, vizită la domiciliu, etc). </w:t>
      </w:r>
    </w:p>
    <w:p w14:paraId="7710A1F9"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O altă modalitate de identificare a acestor categorii de beneficiari este stabilită prin art. 4 alin. (3) din Legea nr. 248/2015, cu modificările și completările ulterioare, potrivit căruia, în vederea asigurării accesului cât mai multor copii defavorizaţi la stimulentul educaţional, primarul şi </w:t>
      </w:r>
      <w:r w:rsidRPr="00131381">
        <w:rPr>
          <w:rFonts w:ascii="Times New Roman" w:hAnsi="Times New Roman" w:cs="Times New Roman"/>
          <w:sz w:val="24"/>
          <w:szCs w:val="24"/>
          <w:lang w:val="ro-RO"/>
        </w:rPr>
        <w:lastRenderedPageBreak/>
        <w:t xml:space="preserve">managerii unităţilor de învăţământ preşcolar dispun efectuarea, la un interval de cel mult 6 luni, de campanii de informare şi consiliere a familiilor care îndeplinesc condiţiile de eligibilitate, cu privire la importanţa înscrierii copiilor la grădiniţă şi la metodologia de funcţionare a legii. </w:t>
      </w:r>
    </w:p>
    <w:p w14:paraId="5422BDEC"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Altă modalitate de indentificare a acestor categorii o constituie şi  analizează bazele de date aflate în evidenţele proprii  ale compartimentului cu privire la: - familiile beneficiare de alocaţie pentru susţinerea familiei, acordată în conformitate cu prevederile Legii nr. 277/2010 privind alocaţia pentru susţinerea familiei, cu modificările ulterioare; - familiile cu copii pentru care a fost delegată autoritatea părintească, pe perioada absenței părinților, conform art. 104 din Legea nr. 272/2004 privind protecţia şi promovarea drepturilor copilului, republicată, cu modificările şi completările ulterioare, vor aduce la cunoştinţă prevederile legale privind acordarea stimulentului educaţional sub formă de tichete sociale pentru copiii ce provin din familii defavorizate. </w:t>
      </w:r>
    </w:p>
    <w:p w14:paraId="53DCF94D"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În cazul copiilor înscriși într-o unitate de învățământ preșcolar, conform Legii nr. 1/2011, cu modificările și completările ulterioare, din familiile care au stabilit dreptul la alocaţie pentru susţinerea familiei acordată în baza Legii nr. 277/2010 privind alocaţia pentru susţinerea familiei, republicată, cu modificările şi completările ulterioare, indiferent dacă familia se află în plata acestui drept sau acesta este suspendat, stimulentul educațional va fi acordat, din oficiu, după caz, odată cu stabilirea dreptului de alocaţie pentru susţinerea familiei, sau după acordarea acestuia, persoanei care este şi titularul alocaţiei pentru susţinerea familiei. În cazul identificării de copii înscriși într-o unitate de învățământ preșcolar, aflați în îngrijirea persoanelor care au fost desemnate de părinți pentru întreţinerea copilului, pe perioada absenţei părinţilor, conform art. 104 din Legea nr. 272/2004 privind protecţia şi promovarea drepturilor copilului, republicată, cu modificările şi completările ulterioare, fiind îndeplinit și criteriul legal privind veniturile pe persoană, inclusiv copilul aflat în îngrijire, de până la 530 lei/lună, personalul va oferi acestor familii servicii sociale de informare, îndrumare, consiliere socială în vederea completării şi depunerii cererii şi declaraţiei pe propria răspundere pentru acordarea stimulentului educaţional (tichet social pentru grădiniţă) - cerere tip - conform Anexei nr. 1 la Normele metodologice de aplicare a prevederilor Legii nr. 248/2015 privind stimularea participării în învăţământul preşcolar a copiilor provenind din familii defavorizate şi procedura de acordare a tichetelor sociale pentru grădiniţă din Hotărârea Guvernului nr. 15/2016 cu modificările şi completările ulterioare, însoţită de acte doveditoare (conform prevederilor legale). </w:t>
      </w:r>
    </w:p>
    <w:p w14:paraId="5F54CE65"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Stimulentul educațional se acordă lunar, pe perioada participării copilului la activităţile organizate în cadrul unităţilor din învăţământul preşcolar, în perioada septembrie-iunie, fiind incluse şi zilele libere acordate prin lege, vacanţele şi programul național „Școala altfel”, începând cu luna în care sunt îndeplinite următoarele condiţii de eligibilitate: - copilul este înscris într-o unitate de învăţământ preşcolar, conform Legii Educaţiei Naţionale nr. 1/2011, cu modificările şi completările ulterioare; - venitul lunar pe persoană este de până la 530 lei, pentru situația copiilor aflaţi în îngrijirea persoanei care a fost desemnată de părinte pentru întreţinerea copilului, pe perioada absenţei părinţilor, conform art. 104 din Legea nr. 272/2004 privind protecţia şi promovarea drepturilor copilului, republicată, cu modificările şi completările ulterioare; - se constată frecvenţa regulată la grădiniţă a copilului. Persoana care a fost desemnată de părinte pentru întreţinerea copilului, pe perioada absenţei părinţilor, conform art. 104 din Legea nr. 272/2004 privind protecţia şi promovarea drepturilor copilului, republicată, cu modificările şi completările ulterioare, depune cererea şi declaraţia pe propria răspundere, </w:t>
      </w:r>
      <w:r w:rsidRPr="00131381">
        <w:rPr>
          <w:rFonts w:ascii="Times New Roman" w:hAnsi="Times New Roman" w:cs="Times New Roman"/>
          <w:sz w:val="24"/>
          <w:szCs w:val="24"/>
          <w:lang w:val="ro-RO"/>
        </w:rPr>
        <w:lastRenderedPageBreak/>
        <w:t>oricând pe perioada anului şcolar, însoţită de actele doveditoare, privind: - componenţa familiei, inclusiv copilul pentru care se solicită dreptul la stimulent educațional; - veniturile nete lunare ale familiei; - dovada înscrierii/frecventării activităţilor organizate de grădiniţă.</w:t>
      </w:r>
    </w:p>
    <w:p w14:paraId="537EE736"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Stimulentul se acordă din prima lună în care copilul a îndeplinit criteriile de frecvenţă definite la art. 5 din lege, dacă se menţin criteriile de eligibilitate prevăzute la art. 2 din lege. În vederea unei mai bune verificări a îndeplinirii condiţiilor de acordare a stimulentului educațional, dovada înscrierii/frecventării activităților organizate de grădiniță se va solicita şi familiilor beneficiare de alocaţie pentru susţinerea familiei. Titularul tichetului social pentru grădiniţă este informat, cu ocazia depunerii dosarului de alocație pentru susținerea familiei, respectiv a cereriideclaraţiei pe proprie răspundere, că are obligaţia să anunţe orice modificare în componenţa familiei sau în veniturile realizate în termen de maximum 15 zile de la producerea acesteia, precum şi faptul că pentru orice absenţă a copilului de la grădiniţă este obligat să prezinte certificatul medical sau scutirea medicală până în data de 3 a lunii următoare ori, în cazul învoirilor, dovada înștiințării cadrelor didactice, în vederea motivării absenţelor. </w:t>
      </w:r>
    </w:p>
    <w:p w14:paraId="4678D962"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Cererile şi declaraţiile pe propria răspundere, însoţite de documente justificative, se depun la Compartimentul de specialitate a primarului comunei Târgusor .</w:t>
      </w:r>
    </w:p>
    <w:p w14:paraId="25386B7B"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Cheltuielile administrative privind stabilirea sau încetarea dreptului la stimulentul educațional, pentru tipărirea formularelor cererii şi declaraţiei pe propria răspundere vor fi suportate din bugetul de venituri şi cheltuieli al Primariei comunei Targusor, județul Constanța. </w:t>
      </w:r>
    </w:p>
    <w:p w14:paraId="00801039"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Verificarea datelor şi informaţiilor cuprinse în cerere şi în documentele doveditoare pentru acordarea stimulentului, precum şi prelucrarea datelor înscrise în cerere, se realizează în termen de maximum 15 zile de la data înregistrării acestora, de personalul cu atribuții în acest sens din cadrul COMPARTIMENTULUI DE ASISTENTA SOCIALA</w:t>
      </w:r>
    </w:p>
    <w:p w14:paraId="4BFB1992"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În situaţia în care unul sau ambii membri ai familiei au înscris în actul de identitate domiciliul sau reşedinţa în altă localitate decât cea în care locuiesc efectiv, stimulentul educaţional se va acorda de către unitatea administrativteritorială unde familia locuieşte efectiv, pe baza declaraţiei pe propria răspundere sau a adeverinţei emise de unitatea administrativ-teritorială înscrisă în actul de identitate că nu s-a solicitat un drept de stimulent educaţional.</w:t>
      </w:r>
    </w:p>
    <w:p w14:paraId="7B10DF16"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În situaţia beneficiarilor care provin din familii fără adăpost, sau în situaţiile în care datele din cerere şi din declaraţie nu se corelează, se va proceda la verificarea în teren pe bază de anchetă socială acolo unde locuiesc efectiv, la adresa menţionată în cerere. De asemenea, ancheta socială se efectuează şi în cazul în care nu există hotărâre de stabilire a domiciliului copilului în cazul părinţilor despărţiţi în fapt. În vederea verificării în teren, se utilizează formularul de anchetă socială prevăzut în Anexa nr. 2 la Hotărârea Guvernului nr. 50/2011 pentru aprobarea normelor metodologice de aplicare a prevederilor Legii nr. 416/2001 privind venitul minim garantat, cu modificările și completările ulterioare. Acordarea sau respingerea dreptului la stimulent se face prin dispoziţia scrisă a primarului COMUNEI TARGUSOR, în termen de maximum 5 zile de la finalizarea verificării criteriilor de eligibilitate.</w:t>
      </w:r>
    </w:p>
    <w:p w14:paraId="514B4D9F"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Dispoziţia primarului va conţine cel puţin următoarele elemente: </w:t>
      </w:r>
    </w:p>
    <w:p w14:paraId="50EDA5B3"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a) nume, prenume, cod numeric personal pentru titular; </w:t>
      </w:r>
    </w:p>
    <w:p w14:paraId="47FAB52B"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b) nume, prenume, cod numeric personal pentru beneficiar, respectiv copilul/copiii pentru care se acordă stimulentul educaţional;</w:t>
      </w:r>
    </w:p>
    <w:p w14:paraId="78051719"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lastRenderedPageBreak/>
        <w:t xml:space="preserve"> c) adresa de domiciliu/reşedinţă sau de corespondenţă a titularului;</w:t>
      </w:r>
    </w:p>
    <w:p w14:paraId="76540A2C"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d) suma acordată cu titlu de stimulent educaţional şi numărul de copii pentru care se acordă;</w:t>
      </w:r>
    </w:p>
    <w:p w14:paraId="11173000"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e) anul şcolar pe perioada căruia se acordă stimulentul educaţional; </w:t>
      </w:r>
    </w:p>
    <w:p w14:paraId="419926C6"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f) modalitatea de distribuire a tichetelor sociale pentru grădiniţă. </w:t>
      </w:r>
    </w:p>
    <w:p w14:paraId="2B714B4E"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Modificarea dreptului la stimulent se efectuează în situaţia în care se comunică sau se constată modificarea numărului de copii din familie pentru care a fost acordat iniţial dreptul. În luna în care se comunică sau se constată, după caz, că unul sau mai mulţi copii din familie nu îndeplinesc condiţiile de frecvenţă prevăzute de lege, tichetul social pentru grădiniţă nu se acordă pentru copilul/copiii aflat/aflaţi în această situaţie. Dreptul la stimulent încetează dacă nu mai sunt îndeplinite criteriile prevăzute la art. 2 din lege. Modificarea sau încetarea dreptului se face începând cu luna următoare celei în care se comunică sau, după caz, se constată una dintre situaţiile prevăzute la art. 20 alin. (1) şi (3) din Normele metodologice de aplicare a prevederilor Legii nr. 248/2015, cu modificările și completările ulterioare, prin dispoziţie scrisă a primarului care se comunică titularului în termenul prevăzut la art. 14 alin. (1) din norme. </w:t>
      </w:r>
    </w:p>
    <w:p w14:paraId="3462ACDA"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Dispoziţia scrisă a primarului se comunică titularului, după caz vechi sau nou, şi unităţii de învăţământ preşcolar la care este înscris copilul până în data de 10 a lunii, pentru cererile depuse în luna anterioară. </w:t>
      </w:r>
    </w:p>
    <w:p w14:paraId="488E05E8"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În situaţia în care se constată schimbări ce conduc la încetarea dreptului la stimulent, primarul emite dispoziţie de încetare a dreptului şi/sau de recuperare a tichetelor sociale pentru grădiniţă, după caz, cu luna următoare celei în care au intervenit modificările, cu aplicarea corespunzătoare a prevederilor Ordonanţei de urgenţă a Guvernului nr. 44/2014 pentru reglementarea unor măsuri privind recuperarea debitelor pentru beneficiile de asistenţă socială, precum şi pentru modificarea art. 101 din Legea nr. 448/2006 privind protecţia şi promovarea drepturilor persoanelor cu handicap, aprobată cu modificări prin Legea nr. 266/2015, cu modificările şi completările ulterioare.</w:t>
      </w:r>
    </w:p>
    <w:p w14:paraId="0B855F8A"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Dacă restituirea în natură a tichetelor sociale pentru grădiniţă necuvenite nu este posibilă, sumele reprezentând contravaloarea acestora se recuperează de la titular, în condiţiile legii, pe baza dispoziţiei emise de primar. </w:t>
      </w:r>
    </w:p>
    <w:p w14:paraId="16AEE4D6"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Tichetele sociale pentru grădiniţă necuvenite şi neutilizate, respectiv sumele reprezentând contravaloarea acestora, după caz, se restituie/achită de către titular, în termen de maximum 30 de zile de la data comunicării dispoziţiei. Responsabilitatea achiziţionării şi gestionării tichetelor sociale pentru grădiniţe revine COMPARTIMENTULUI DE SPECIALITATE A PRIMARULUI COMUNEI TÂRGUȘOR. Gestionarea tichetelor sociale revine persoanelor împuternicite prin dispoziţia PRIMARULUI COMUNEI TÂRGUȘOR. </w:t>
      </w:r>
    </w:p>
    <w:p w14:paraId="4E8DA5F5"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CDistribuirea lunară a tichetelor sociale pentru grădiniţă, către titulari, se face de către persoanele împuternicite cu gestionarea tichetelor.</w:t>
      </w:r>
    </w:p>
    <w:p w14:paraId="2B247508"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Unităţile de învăţământ preşcolar vor transmite situaţia centralizatoare privind beneficiarii de stimulent educațional, situaţia prezenţei înregistrate în luna anterioară, după caz, împreună cu documentele justificative pentru absenţe, până în data de 5 a lunii, COMPARTIMENTULUI DE ASISTENTA SOCIALA-PRIMARIA TÂRGUȘOR în format electronic şi letric, semnate de conducătorul unităţii de învăţământ. Până în data de 10 a lunii, </w:t>
      </w:r>
      <w:r w:rsidRPr="00131381">
        <w:rPr>
          <w:rFonts w:ascii="Times New Roman" w:hAnsi="Times New Roman" w:cs="Times New Roman"/>
          <w:sz w:val="24"/>
          <w:szCs w:val="24"/>
          <w:lang w:val="ro-RO"/>
        </w:rPr>
        <w:lastRenderedPageBreak/>
        <w:t>PRIMARIA COMUNEI TÂRGUȘOR face solicitare către furnizor cu numărul de tichete necesare pentru a fi distribuite, cuvenite lunii anterioare.</w:t>
      </w:r>
    </w:p>
    <w:p w14:paraId="30AA8342"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Până în data de 15 a lunii, PRIMARIA COMUNEI TÂRGUȘOR distribuie tichetele sociale, prin personalul împuternicit în acest sens. Personalul de specialitate din cadrul COMPARTIMENTULUI DE SPECIALITATE A SISTENȚĂ SOCIALĂ -PRIMARIA TÂRGUȘOR analizează situaţia absenţelor şi face propuneri justificate primarului pentru acordarea, modificarea, încetarea sau, după caz, aprobarea cazurilor excepţionale care pot beneficia de dreptul la stimulentul educațional.</w:t>
      </w:r>
    </w:p>
    <w:p w14:paraId="187A3C2B"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Pentru solicitanţii cărora li s-a acordat dreptul la stimulentul educațional, se întocmește o listă cu datele de identificare ale acestora, conform tabelului din Anexa nr. 4 lit. A-D la normele metodologice, care se transmite pe suport electronic Agenţiei Judeţene pentru Plăţi şi Inspecţie Socială CONSTANȚA până la data de 25 a fiecărei luni, pentru informare. </w:t>
      </w:r>
    </w:p>
    <w:p w14:paraId="2462F226" w14:textId="77777777"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În vederea desfăşurării activităţii prevăzută de prezenta, unitatea de învăţământ preşcolar la care sunt înscrişi copiii beneficiari de tichete sociale vor utiliza şi respecta modelele aprobate prin Hotărârea Guvernului nr. 15/2016, cu modificările și completările ulterioare. Prezentele modalități se completează cu dispoziţiile Legii nr. 248/2015 actualizată, ale Hotărârii Guvernului nr. 15/2016 pentru aprobarea Normelor metodologice de aplicare a prevederilor Legii nr. 248/2015 privind stimularea participării în învăţământul preşcolar a copiilor provenind din familii defavorizate şi a procedurii de acordare a tichetelor sociale pentru grădiniţă, cu modificările și completările ulterioare, precum şi cu orice procedură sau normă metodologică ulterioară care vizează aplicarea prevederilor legislației în materie.</w:t>
      </w:r>
    </w:p>
    <w:p w14:paraId="1D62F7D2" w14:textId="77777777" w:rsidR="00C97768" w:rsidRPr="00131381" w:rsidRDefault="00C97768" w:rsidP="00131381">
      <w:pPr>
        <w:jc w:val="both"/>
        <w:rPr>
          <w:rFonts w:ascii="Times New Roman" w:hAnsi="Times New Roman" w:cs="Times New Roman"/>
          <w:sz w:val="24"/>
          <w:szCs w:val="24"/>
        </w:rPr>
      </w:pPr>
    </w:p>
    <w:sectPr w:rsidR="00C97768" w:rsidRPr="001313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68"/>
    <w:rsid w:val="00131381"/>
    <w:rsid w:val="006305FC"/>
    <w:rsid w:val="00C9776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44EA0"/>
  <w15:chartTrackingRefBased/>
  <w15:docId w15:val="{2BB959DC-EEBE-4A99-9F02-659CCE2C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381"/>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2510</Words>
  <Characters>14563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Andronache</dc:creator>
  <cp:keywords/>
  <dc:description/>
  <cp:lastModifiedBy>Liliana Andronache</cp:lastModifiedBy>
  <cp:revision>3</cp:revision>
  <cp:lastPrinted>2022-02-22T08:34:00Z</cp:lastPrinted>
  <dcterms:created xsi:type="dcterms:W3CDTF">2022-02-22T08:29:00Z</dcterms:created>
  <dcterms:modified xsi:type="dcterms:W3CDTF">2022-02-22T09:40:00Z</dcterms:modified>
</cp:coreProperties>
</file>