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Anexa nr.3 la HCL   /     .11.2024</w:t>
      </w:r>
    </w:p>
    <w:p w:rsid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</w:p>
    <w:p w:rsid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609A0">
        <w:rPr>
          <w:rFonts w:ascii="Times New Roman" w:hAnsi="Times New Roman" w:cs="Times New Roman"/>
          <w:b/>
          <w:sz w:val="28"/>
          <w:szCs w:val="28"/>
          <w:lang w:val="es-ES"/>
        </w:rPr>
        <w:t>Comisia pentru invatamant, sanatate si familie activitati social-culturale,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>culte</w:t>
      </w:r>
      <w:proofErr w:type="gramEnd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>munca</w:t>
      </w:r>
      <w:proofErr w:type="spellEnd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>protectie</w:t>
      </w:r>
      <w:proofErr w:type="spellEnd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>sociala</w:t>
      </w:r>
      <w:proofErr w:type="spellEnd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>protectie</w:t>
      </w:r>
      <w:proofErr w:type="spellEnd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>copii</w:t>
      </w:r>
      <w:proofErr w:type="spellEnd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>tineret</w:t>
      </w:r>
      <w:proofErr w:type="spellEnd"/>
      <w:r w:rsidRPr="00860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si sport.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fr-FR"/>
        </w:rPr>
      </w:pP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fr-FR"/>
        </w:rPr>
        <w:t xml:space="preserve">              </w:t>
      </w: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- Analizeaza programele generale anuale,stabilind orientarea activitatii specifice in domeniu si propune masuri concrete conform legii;                                                                    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Avizeaza planurile de dezvoltare a retelei scolare si bazei tehnico-materiale din scoli;                    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Propune consiliului local elaborarea unor proiecte de cercetare stiintifica cu implicatii directe privind calitatea vietii cetatenilor comunei;                                                                                                                      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Avizeaza masuri de igienizare completa a localitatii privind sursele de apa potabila,indepartarea rezidurilor , asigurarea calitatii aerului si urmareste periodic realizarea acestora; 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Analizeaza periodic starea de sanatate,activitatea de prevenire si combatere a bolilor transmisibile cu potential epidemic pe teritoriul comunei;                                            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Avizeaza programele speciale de ocrotire a persoanelor handicapate si, in general,a persoanelor cu dificultati in asigurarea conditiilor de trai;                                          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Avizeaza programul anual al principalelor activitati culturale,organizate de caminul cultural si biblioteca;                                                                                                    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Analizeaza periodic piata fortei de munca si stabileste masuri de integrare in activitate si reconversie a celor disponibilizati;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Analizeaza periodic activitatea desfasurata de persoanele beneficiare ale Legii 416/2001 privind venitul minim garantat;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Analizeaza periodic respectarea si implementarea sistemului local de servicii de asistenta sociala centrat pe familie si comunitate;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Elaboreaza si implementeaza strategii de dezvoltare a serviciilor de asistenta sociala pentru varsnici;                                                                                                               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Stabileste masuri pentru dezvoltarea sportului prin atragerea de sponsuri sau,alte surse de finantare.                                          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8609A0">
        <w:rPr>
          <w:rFonts w:ascii="Times New Roman" w:hAnsi="Times New Roman" w:cs="Times New Roman"/>
          <w:sz w:val="24"/>
          <w:szCs w:val="24"/>
          <w:lang w:val="pt-BR"/>
        </w:rPr>
        <w:t xml:space="preserve">              - Propune masuri pentru protectia patrimoniului cultural si sustine orice forma de dezvoltare a acestuia.                                                                                                                </w:t>
      </w:r>
    </w:p>
    <w:p w:rsid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</w:p>
    <w:p w:rsid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8609A0">
        <w:rPr>
          <w:rFonts w:ascii="Times New Roman" w:hAnsi="Times New Roman" w:cs="Times New Roman"/>
          <w:sz w:val="24"/>
          <w:szCs w:val="24"/>
          <w:lang w:val="es-ES"/>
        </w:rPr>
        <w:t xml:space="preserve">     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09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PREŞEDINTE DE </w:t>
      </w:r>
      <w:proofErr w:type="gramStart"/>
      <w:r w:rsidRPr="008609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ȘEDINȚĂ,   </w:t>
      </w:r>
      <w:proofErr w:type="gramEnd"/>
      <w:r w:rsidRPr="008609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CONTRASEMNEAZĂ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0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</w:t>
      </w:r>
      <w:r w:rsidRPr="008609A0">
        <w:rPr>
          <w:rFonts w:ascii="Times New Roman" w:hAnsi="Times New Roman" w:cs="Times New Roman"/>
          <w:b/>
          <w:sz w:val="24"/>
          <w:szCs w:val="24"/>
          <w:lang w:val="en-US"/>
        </w:rPr>
        <w:t>SECRETARUL GENERAL AL COMUNEI,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  <w:r w:rsidRPr="008609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Pr="008609A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Remus EBETIUC</w:t>
      </w: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:rsidR="008609A0" w:rsidRPr="008609A0" w:rsidRDefault="008609A0" w:rsidP="008609A0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:rsidR="00B05B02" w:rsidRPr="008609A0" w:rsidRDefault="00B05B02" w:rsidP="008609A0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B05B02" w:rsidRPr="0086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A0"/>
    <w:rsid w:val="00666AB2"/>
    <w:rsid w:val="008609A0"/>
    <w:rsid w:val="00B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A65D"/>
  <w15:chartTrackingRefBased/>
  <w15:docId w15:val="{CB7B2844-5E85-4F74-98EC-98DD999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60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2024-11-06T12:01:00Z</dcterms:created>
  <dcterms:modified xsi:type="dcterms:W3CDTF">2024-11-06T12:02:00Z</dcterms:modified>
</cp:coreProperties>
</file>