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1D" w:rsidRPr="004D7C1D" w:rsidRDefault="004D7C1D" w:rsidP="004D7C1D">
      <w:pPr>
        <w:shd w:val="clear" w:color="auto" w:fill="FFFFFF"/>
        <w:spacing w:before="100" w:beforeAutospacing="1" w:after="100" w:afterAutospacing="1"/>
        <w:ind w:left="125"/>
        <w:rPr>
          <w:b/>
          <w:color w:val="1D2228"/>
          <w:sz w:val="24"/>
          <w:szCs w:val="24"/>
          <w:shd w:val="clear" w:color="auto" w:fill="FFFFFF"/>
          <w:lang w:val="ro-RO"/>
        </w:rPr>
      </w:pPr>
      <w:r w:rsidRPr="004D7C1D">
        <w:rPr>
          <w:b/>
          <w:color w:val="1D2228"/>
          <w:sz w:val="24"/>
          <w:szCs w:val="24"/>
          <w:shd w:val="clear" w:color="auto" w:fill="FFFFFF"/>
          <w:lang w:val="ro-RO"/>
        </w:rPr>
        <w:t xml:space="preserve">                                                               </w:t>
      </w:r>
      <w:r w:rsidR="00CF2E47">
        <w:rPr>
          <w:b/>
          <w:color w:val="1D2228"/>
          <w:sz w:val="24"/>
          <w:szCs w:val="24"/>
          <w:shd w:val="clear" w:color="auto" w:fill="FFFFFF"/>
          <w:lang w:val="ro-RO"/>
        </w:rPr>
        <w:t xml:space="preserve">                     </w:t>
      </w:r>
      <w:r w:rsidRPr="004D7C1D">
        <w:rPr>
          <w:b/>
          <w:color w:val="1D2228"/>
          <w:sz w:val="24"/>
          <w:szCs w:val="24"/>
          <w:shd w:val="clear" w:color="auto" w:fill="FFFFFF"/>
          <w:lang w:val="ro-RO"/>
        </w:rPr>
        <w:t xml:space="preserve">  </w:t>
      </w:r>
      <w:r w:rsidR="00EF4590">
        <w:rPr>
          <w:b/>
          <w:color w:val="1D2228"/>
          <w:sz w:val="24"/>
          <w:szCs w:val="24"/>
          <w:shd w:val="clear" w:color="auto" w:fill="FFFFFF"/>
          <w:lang w:val="ro-RO"/>
        </w:rPr>
        <w:t xml:space="preserve">Anexă la HCL nr. 18 </w:t>
      </w:r>
      <w:bookmarkStart w:id="0" w:name="_GoBack"/>
      <w:bookmarkEnd w:id="0"/>
      <w:r w:rsidR="00CF2E47">
        <w:rPr>
          <w:b/>
          <w:color w:val="1D2228"/>
          <w:sz w:val="24"/>
          <w:szCs w:val="24"/>
          <w:shd w:val="clear" w:color="auto" w:fill="FFFFFF"/>
          <w:lang w:val="ro-RO"/>
        </w:rPr>
        <w:t>din 04.02.2025</w:t>
      </w:r>
    </w:p>
    <w:p w:rsidR="004D7C1D" w:rsidRPr="004D7C1D" w:rsidRDefault="004D7C1D" w:rsidP="004D7C1D">
      <w:pPr>
        <w:shd w:val="clear" w:color="auto" w:fill="FFFFFF"/>
        <w:spacing w:before="100" w:beforeAutospacing="1" w:after="100" w:afterAutospacing="1"/>
        <w:ind w:left="125"/>
        <w:rPr>
          <w:b/>
          <w:color w:val="1D2228"/>
          <w:sz w:val="24"/>
          <w:szCs w:val="24"/>
          <w:shd w:val="clear" w:color="auto" w:fill="FFFFFF"/>
          <w:lang w:val="ro-RO"/>
        </w:rPr>
      </w:pPr>
    </w:p>
    <w:p w:rsidR="004D7C1D" w:rsidRPr="004D7C1D" w:rsidRDefault="004D7C1D" w:rsidP="004D7C1D">
      <w:pPr>
        <w:shd w:val="clear" w:color="auto" w:fill="FFFFFF"/>
        <w:spacing w:before="100" w:beforeAutospacing="1" w:after="100" w:afterAutospacing="1"/>
        <w:ind w:left="125"/>
        <w:rPr>
          <w:b/>
          <w:color w:val="1D2228"/>
          <w:sz w:val="24"/>
          <w:szCs w:val="24"/>
          <w:shd w:val="clear" w:color="auto" w:fill="FFFFFF"/>
          <w:lang w:val="ro-RO"/>
        </w:rPr>
      </w:pPr>
    </w:p>
    <w:p w:rsidR="004D7C1D" w:rsidRPr="004D7C1D" w:rsidRDefault="004D7C1D" w:rsidP="004D7C1D">
      <w:pPr>
        <w:shd w:val="clear" w:color="auto" w:fill="FFFFFF"/>
        <w:spacing w:before="100" w:beforeAutospacing="1" w:after="100" w:afterAutospacing="1"/>
        <w:ind w:left="125"/>
        <w:rPr>
          <w:b/>
          <w:color w:val="1D2228"/>
          <w:sz w:val="24"/>
          <w:szCs w:val="24"/>
          <w:lang w:val="ro-RO"/>
        </w:rPr>
      </w:pPr>
      <w:r w:rsidRPr="004D7C1D">
        <w:rPr>
          <w:b/>
          <w:color w:val="1D2228"/>
          <w:sz w:val="24"/>
          <w:szCs w:val="24"/>
          <w:shd w:val="clear" w:color="auto" w:fill="FFFFFF"/>
          <w:lang w:val="ro-RO"/>
        </w:rPr>
        <w:t>Balanta Apei prin metodologia IWA</w:t>
      </w:r>
      <w:r w:rsidRPr="004D7C1D">
        <w:rPr>
          <w:b/>
          <w:color w:val="1D2228"/>
          <w:spacing w:val="-2"/>
          <w:sz w:val="24"/>
          <w:szCs w:val="24"/>
          <w:shd w:val="clear" w:color="auto" w:fill="FFFFFF"/>
          <w:lang w:val="ro-RO"/>
        </w:rPr>
        <w:t> </w:t>
      </w:r>
      <w:r w:rsidRPr="004D7C1D">
        <w:rPr>
          <w:b/>
          <w:color w:val="1D2228"/>
          <w:spacing w:val="-2"/>
          <w:sz w:val="24"/>
          <w:szCs w:val="24"/>
          <w:lang w:val="ro-RO"/>
        </w:rPr>
        <w:t> pe anul 2024</w:t>
      </w:r>
    </w:p>
    <w:tbl>
      <w:tblPr>
        <w:tblW w:w="10440" w:type="dxa"/>
        <w:tblInd w:w="-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00"/>
        <w:gridCol w:w="1845"/>
        <w:gridCol w:w="3375"/>
        <w:gridCol w:w="1800"/>
      </w:tblGrid>
      <w:tr w:rsidR="004D7C1D" w:rsidRPr="004D7C1D" w:rsidTr="00984A09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pacing w:val="-1"/>
                <w:sz w:val="24"/>
                <w:szCs w:val="24"/>
                <w:lang w:val="ro-RO"/>
              </w:rPr>
              <w:t> 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pacing w:val="-1"/>
                <w:sz w:val="24"/>
                <w:szCs w:val="24"/>
                <w:lang w:val="ro-RO"/>
              </w:rPr>
              <w:t> 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pacing w:val="-1"/>
                <w:sz w:val="24"/>
                <w:szCs w:val="24"/>
                <w:lang w:val="ro-RO"/>
              </w:rPr>
              <w:t> 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pacing w:val="-1"/>
                <w:sz w:val="24"/>
                <w:szCs w:val="24"/>
                <w:lang w:val="ro-RO"/>
              </w:rPr>
              <w:t> Volumul de apă </w:t>
            </w:r>
            <w:r w:rsidRPr="004D7C1D">
              <w:rPr>
                <w:color w:val="1D2228"/>
                <w:sz w:val="24"/>
                <w:szCs w:val="24"/>
                <w:lang w:val="ro-RO"/>
              </w:rPr>
              <w:t>intrat în sistem</w:t>
            </w:r>
          </w:p>
          <w:p w:rsidR="004D7C1D" w:rsidRPr="004D7C1D" w:rsidRDefault="004D7C1D" w:rsidP="00984A09">
            <w:pPr>
              <w:shd w:val="clear" w:color="auto" w:fill="FFFFFF"/>
              <w:tabs>
                <w:tab w:val="left" w:pos="1215"/>
              </w:tabs>
              <w:spacing w:before="100" w:beforeAutospacing="1" w:after="100" w:afterAutospacing="1" w:line="264" w:lineRule="atLeast"/>
              <w:ind w:left="5"/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  <w:t>645.507 mc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 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 Consum autorizat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b/>
                <w:color w:val="1D2228"/>
                <w:sz w:val="24"/>
                <w:szCs w:val="24"/>
                <w:u w:val="single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u w:val="single"/>
                <w:lang w:val="ro-RO"/>
              </w:rPr>
              <w:t>517.697 mc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" w:firstLine="5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autorizat facturat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" w:firstLine="5"/>
              <w:jc w:val="center"/>
              <w:rPr>
                <w:i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lang w:val="ro-RO"/>
              </w:rPr>
              <w:t>463.810 mc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52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contorizat facturat (incluzând apa exportată)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52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459.910 mc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221" w:firstLine="14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Volumul de apă care aduce venit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221" w:firstLine="14"/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  <w:t>463.810 mc</w:t>
            </w:r>
          </w:p>
        </w:tc>
      </w:tr>
      <w:tr w:rsidR="004D7C1D" w:rsidRPr="004D7C1D" w:rsidTr="00984A09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necontorizat facturat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3.900 mc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rPr>
          <w:trHeight w:val="538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jc w:val="center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autorizat nefacturat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jc w:val="center"/>
              <w:rPr>
                <w:b/>
                <w:i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lang w:val="ro-RO"/>
              </w:rPr>
              <w:t>53.887 mc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contorizat nefacturat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0 mc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Volumul de apă care nu aduce venit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color w:val="1D2228"/>
                <w:sz w:val="24"/>
                <w:szCs w:val="24"/>
                <w:lang w:val="ro-RO"/>
              </w:rPr>
            </w:pP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color w:val="1D2228"/>
                <w:sz w:val="24"/>
                <w:szCs w:val="24"/>
                <w:lang w:val="ro-RO"/>
              </w:rPr>
            </w:pP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color w:val="1D2228"/>
                <w:sz w:val="24"/>
                <w:szCs w:val="24"/>
                <w:lang w:val="ro-RO"/>
              </w:rPr>
            </w:pP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u w:val="single"/>
                <w:lang w:val="ro-RO"/>
              </w:rPr>
              <w:t>181.697 mc</w:t>
            </w:r>
          </w:p>
        </w:tc>
      </w:tr>
      <w:tr w:rsidR="004D7C1D" w:rsidRPr="004D7C1D" w:rsidTr="00984A09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necontorizat nefacturat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53.887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 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Pierderi de apă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color w:val="1D2228"/>
                <w:sz w:val="24"/>
                <w:szCs w:val="24"/>
                <w:lang w:val="ro-RO"/>
              </w:rPr>
            </w:pP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jc w:val="center"/>
              <w:rPr>
                <w:b/>
                <w:color w:val="1D2228"/>
                <w:sz w:val="24"/>
                <w:szCs w:val="24"/>
                <w:u w:val="single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u w:val="single"/>
                <w:lang w:val="ro-RO"/>
              </w:rPr>
              <w:t>127.810 mc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Pierderi aparente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i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lang w:val="ro-RO"/>
              </w:rPr>
              <w:t>22.229 mc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Consum neautorizat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22.229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rPr>
          <w:trHeight w:val="898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Inadvertenţe de contorizare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 xml:space="preserve">0  mc 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Pierderi reale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i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i/>
                <w:color w:val="1D2228"/>
                <w:sz w:val="24"/>
                <w:szCs w:val="24"/>
                <w:lang w:val="ro-RO"/>
              </w:rPr>
              <w:t>105.581 mc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38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Exfiltrări din conductele de transmisie și/sau distribuție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538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 xml:space="preserve">        93.020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53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Pierderi și revărsări din bazinele de stocare din rețea.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64" w:lineRule="atLeast"/>
              <w:ind w:right="53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95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  <w:tr w:rsidR="004D7C1D" w:rsidRPr="004D7C1D" w:rsidTr="00984A09">
        <w:trPr>
          <w:trHeight w:val="790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43"/>
              <w:rPr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color w:val="1D2228"/>
                <w:sz w:val="24"/>
                <w:szCs w:val="24"/>
                <w:lang w:val="ro-RO"/>
              </w:rPr>
              <w:t>Pierderi la branșamente, pâna la nivelul contorului clientului.</w:t>
            </w:r>
          </w:p>
          <w:p w:rsidR="004D7C1D" w:rsidRPr="004D7C1D" w:rsidRDefault="004D7C1D" w:rsidP="00984A09">
            <w:pPr>
              <w:shd w:val="clear" w:color="auto" w:fill="FFFFFF"/>
              <w:spacing w:before="100" w:beforeAutospacing="1" w:after="100" w:afterAutospacing="1" w:line="254" w:lineRule="atLeast"/>
              <w:ind w:right="43"/>
              <w:jc w:val="center"/>
              <w:rPr>
                <w:b/>
                <w:color w:val="1D2228"/>
                <w:sz w:val="24"/>
                <w:szCs w:val="24"/>
                <w:lang w:val="ro-RO"/>
              </w:rPr>
            </w:pPr>
            <w:r w:rsidRPr="004D7C1D">
              <w:rPr>
                <w:b/>
                <w:color w:val="1D2228"/>
                <w:sz w:val="24"/>
                <w:szCs w:val="24"/>
                <w:lang w:val="ro-RO"/>
              </w:rPr>
              <w:t>12.466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7C1D" w:rsidRPr="004D7C1D" w:rsidRDefault="004D7C1D" w:rsidP="00984A09">
            <w:pPr>
              <w:rPr>
                <w:color w:val="1D2228"/>
                <w:sz w:val="24"/>
                <w:szCs w:val="24"/>
                <w:lang w:val="ro-RO"/>
              </w:rPr>
            </w:pPr>
          </w:p>
        </w:tc>
      </w:tr>
    </w:tbl>
    <w:p w:rsidR="004D7C1D" w:rsidRPr="004D7C1D" w:rsidRDefault="004D7C1D">
      <w:pPr>
        <w:rPr>
          <w:sz w:val="24"/>
          <w:szCs w:val="24"/>
          <w:lang w:val="ro-RO"/>
        </w:rPr>
      </w:pPr>
    </w:p>
    <w:p w:rsidR="006D1DDB" w:rsidRPr="006D1DDB" w:rsidRDefault="006D1DDB" w:rsidP="006D1DDB">
      <w:pPr>
        <w:pStyle w:val="NormalWeb"/>
        <w:shd w:val="clear" w:color="auto" w:fill="FFFFFF"/>
        <w:spacing w:before="0" w:beforeAutospacing="0" w:after="0" w:afterAutospacing="0"/>
        <w:jc w:val="both"/>
      </w:pPr>
      <w:r w:rsidRPr="006D1DDB">
        <w:t>PREȘEDINTE DE ȘEDINȚĂ,</w:t>
      </w:r>
    </w:p>
    <w:p w:rsidR="006D1DDB" w:rsidRPr="006D1DDB" w:rsidRDefault="006D1DDB" w:rsidP="006D1DD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aps/>
        </w:rPr>
      </w:pPr>
      <w:proofErr w:type="spellStart"/>
      <w:r w:rsidRPr="006D1DDB">
        <w:rPr>
          <w:rStyle w:val="first-name"/>
          <w:b/>
          <w:bCs/>
        </w:rPr>
        <w:t>Ștefan</w:t>
      </w:r>
      <w:proofErr w:type="spellEnd"/>
      <w:r w:rsidRPr="006D1DDB">
        <w:rPr>
          <w:rStyle w:val="first-name"/>
          <w:b/>
          <w:bCs/>
        </w:rPr>
        <w:t>-Mihai</w:t>
      </w:r>
      <w:r w:rsidRPr="006D1DDB">
        <w:t> </w:t>
      </w:r>
      <w:r w:rsidRPr="006D1DDB">
        <w:rPr>
          <w:rStyle w:val="last-name"/>
          <w:b/>
          <w:bCs/>
          <w:caps/>
        </w:rPr>
        <w:t>ALMÁSI</w:t>
      </w:r>
    </w:p>
    <w:p w:rsidR="006D1DDB" w:rsidRPr="006D1DDB" w:rsidRDefault="006D1DDB" w:rsidP="006D1DDB">
      <w:pPr>
        <w:pStyle w:val="NormalWeb"/>
        <w:shd w:val="clear" w:color="auto" w:fill="FFFFFF"/>
        <w:spacing w:before="0" w:beforeAutospacing="0" w:after="0" w:afterAutospacing="0"/>
        <w:jc w:val="right"/>
      </w:pPr>
      <w:r w:rsidRPr="006D1DDB">
        <w:t>CONTRASEMNEAZĂ PENTRU LEGALITATE:</w:t>
      </w:r>
    </w:p>
    <w:p w:rsidR="006D1DDB" w:rsidRPr="006D1DDB" w:rsidRDefault="006D1DDB" w:rsidP="006D1DDB">
      <w:pPr>
        <w:pStyle w:val="NormalWeb"/>
        <w:shd w:val="clear" w:color="auto" w:fill="FFFFFF"/>
        <w:spacing w:before="0" w:beforeAutospacing="0" w:after="0" w:afterAutospacing="0"/>
        <w:jc w:val="right"/>
      </w:pPr>
      <w:r w:rsidRPr="006D1DDB">
        <w:t>SECRETARUL GENERAL AL MUNICIPIULUI MARGHITA,</w:t>
      </w:r>
    </w:p>
    <w:p w:rsidR="006D1DDB" w:rsidRPr="006D1DDB" w:rsidRDefault="00D04169" w:rsidP="00D0416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Style w:val="first-name"/>
          <w:b/>
          <w:bCs/>
        </w:rPr>
        <w:t xml:space="preserve">                                                                     </w:t>
      </w:r>
      <w:r w:rsidR="006D1DDB" w:rsidRPr="006D1DDB">
        <w:rPr>
          <w:rStyle w:val="first-name"/>
          <w:b/>
          <w:bCs/>
        </w:rPr>
        <w:t>Cornelia</w:t>
      </w:r>
      <w:r w:rsidR="006D1DDB" w:rsidRPr="006D1DDB">
        <w:t> </w:t>
      </w:r>
      <w:r w:rsidR="006D1DDB" w:rsidRPr="006D1DDB">
        <w:rPr>
          <w:rStyle w:val="last-name"/>
          <w:b/>
          <w:bCs/>
          <w:caps/>
        </w:rPr>
        <w:t>DEMETER</w:t>
      </w:r>
    </w:p>
    <w:sectPr w:rsidR="006D1DDB" w:rsidRPr="006D1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7D"/>
    <w:rsid w:val="004D7C1D"/>
    <w:rsid w:val="006D1DDB"/>
    <w:rsid w:val="00A46D7D"/>
    <w:rsid w:val="00CF2E47"/>
    <w:rsid w:val="00D04169"/>
    <w:rsid w:val="00E70030"/>
    <w:rsid w:val="00E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B361"/>
  <w15:docId w15:val="{97B5D481-B7DA-4527-9B38-723CAFE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DDB"/>
    <w:pPr>
      <w:spacing w:before="100" w:beforeAutospacing="1" w:after="100" w:afterAutospacing="1"/>
    </w:pPr>
    <w:rPr>
      <w:sz w:val="24"/>
      <w:szCs w:val="24"/>
    </w:rPr>
  </w:style>
  <w:style w:type="character" w:customStyle="1" w:styleId="first-name">
    <w:name w:val="first-name"/>
    <w:basedOn w:val="DefaultParagraphFont"/>
    <w:rsid w:val="006D1DDB"/>
  </w:style>
  <w:style w:type="character" w:customStyle="1" w:styleId="last-name">
    <w:name w:val="last-name"/>
    <w:basedOn w:val="DefaultParagraphFont"/>
    <w:rsid w:val="006D1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6</cp:revision>
  <cp:lastPrinted>2025-01-30T11:17:00Z</cp:lastPrinted>
  <dcterms:created xsi:type="dcterms:W3CDTF">2025-01-30T11:15:00Z</dcterms:created>
  <dcterms:modified xsi:type="dcterms:W3CDTF">2025-01-31T08:16:00Z</dcterms:modified>
</cp:coreProperties>
</file>