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171A" w14:textId="77777777" w:rsidR="00862A78" w:rsidRPr="00862A78" w:rsidRDefault="00862A78" w:rsidP="00862A78">
      <w:pPr>
        <w:spacing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2A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62A78">
        <w:rPr>
          <w:rFonts w:ascii="Times New Roman" w:eastAsia="Calibri" w:hAnsi="Times New Roman" w:cs="Times New Roman"/>
          <w:b/>
          <w:sz w:val="24"/>
          <w:szCs w:val="24"/>
        </w:rPr>
        <w:t xml:space="preserve">Anexa la </w:t>
      </w:r>
    </w:p>
    <w:p w14:paraId="4EDA381B" w14:textId="77777777" w:rsidR="00862A78" w:rsidRPr="00862A78" w:rsidRDefault="00862A78" w:rsidP="00862A78">
      <w:pPr>
        <w:tabs>
          <w:tab w:val="left" w:pos="1080"/>
        </w:tabs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A78">
        <w:rPr>
          <w:rFonts w:ascii="Times New Roman" w:hAnsi="Times New Roman" w:cs="Times New Roman"/>
          <w:b/>
          <w:sz w:val="24"/>
          <w:szCs w:val="24"/>
        </w:rPr>
        <w:tab/>
      </w:r>
      <w:r w:rsidRPr="00862A78">
        <w:rPr>
          <w:rFonts w:ascii="Times New Roman" w:hAnsi="Times New Roman" w:cs="Times New Roman"/>
          <w:b/>
          <w:sz w:val="24"/>
          <w:szCs w:val="24"/>
        </w:rPr>
        <w:tab/>
      </w:r>
      <w:r w:rsidRPr="00862A78">
        <w:rPr>
          <w:rFonts w:ascii="Times New Roman" w:hAnsi="Times New Roman" w:cs="Times New Roman"/>
          <w:b/>
          <w:sz w:val="24"/>
          <w:szCs w:val="24"/>
        </w:rPr>
        <w:tab/>
      </w:r>
      <w:r w:rsidRPr="00862A78">
        <w:rPr>
          <w:rFonts w:ascii="Times New Roman" w:hAnsi="Times New Roman" w:cs="Times New Roman"/>
          <w:b/>
          <w:sz w:val="24"/>
          <w:szCs w:val="24"/>
        </w:rPr>
        <w:tab/>
      </w:r>
      <w:r w:rsidRPr="00862A78">
        <w:rPr>
          <w:rFonts w:ascii="Times New Roman" w:hAnsi="Times New Roman" w:cs="Times New Roman"/>
          <w:b/>
          <w:sz w:val="24"/>
          <w:szCs w:val="24"/>
        </w:rPr>
        <w:tab/>
      </w:r>
      <w:r w:rsidRPr="00862A78">
        <w:rPr>
          <w:rFonts w:ascii="Times New Roman" w:hAnsi="Times New Roman" w:cs="Times New Roman"/>
          <w:b/>
          <w:sz w:val="24"/>
          <w:szCs w:val="24"/>
        </w:rPr>
        <w:tab/>
        <w:t xml:space="preserve">     la HCL nr. ……/2025</w:t>
      </w:r>
    </w:p>
    <w:p w14:paraId="24A740B9" w14:textId="77777777" w:rsidR="00862A78" w:rsidRPr="00862A78" w:rsidRDefault="00862A78" w:rsidP="00862A78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6AB5AD" w14:textId="77777777" w:rsidR="00862A78" w:rsidRPr="00862A78" w:rsidRDefault="00862A78" w:rsidP="00862A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62A7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ACORD DE COLABORARE</w:t>
      </w:r>
    </w:p>
    <w:p w14:paraId="7BC877B9" w14:textId="77777777" w:rsidR="00862A78" w:rsidRPr="00862A78" w:rsidRDefault="00862A78" w:rsidP="00862A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2A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asigurarea sustenabilității </w:t>
      </w:r>
      <w:bookmarkStart w:id="0" w:name="_Hlk192752119"/>
      <w:r w:rsidRPr="00862A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Proiectului </w:t>
      </w:r>
    </w:p>
    <w:p w14:paraId="54A5F828" w14:textId="77777777" w:rsidR="00862A78" w:rsidRPr="00862A78" w:rsidRDefault="00862A78" w:rsidP="00862A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Hlk137025239"/>
      <w:r w:rsidRPr="00862A78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„Microbuze electrice pentru elevii din județul Cluj</w:t>
      </w:r>
      <w:r w:rsidRPr="00862A78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bookmarkEnd w:id="0"/>
    <w:bookmarkEnd w:id="1"/>
    <w:p w14:paraId="7E2DEB6C" w14:textId="77777777" w:rsidR="00862A78" w:rsidRPr="00862A78" w:rsidRDefault="00862A78" w:rsidP="00862A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AD86B8" w14:textId="77777777" w:rsidR="00862A78" w:rsidRPr="00862A78" w:rsidRDefault="00862A78" w:rsidP="00862A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PĂRȚILE</w:t>
      </w:r>
    </w:p>
    <w:p w14:paraId="16161DAF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97D7812" w14:textId="77777777" w:rsidR="00862A78" w:rsidRPr="00862A78" w:rsidRDefault="00862A78" w:rsidP="00862A78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-7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bookmarkStart w:id="2" w:name="_Hlk97213597"/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JUDEŢUL CLUJ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, cu sediul în Cluj-Napoca, str. Calea Dorobanților nr. 106, telefon 0372-640000, fax 0372-640000, cod identificare fiscală 4288110, cont IBAN RO06TREZ21624510220XXXXX, deschis la Trezoreria Municipiului Cluj-Napoca, reprezentat legal prin domnul Alin TIȘE, în calitate de Președinte</w:t>
      </w:r>
      <w:bookmarkEnd w:id="2"/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– </w:t>
      </w: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beneficiar al finanțării în cadrul Proiectului „Microbuze electrice pentru elevii din județul Cluj”</w:t>
      </w:r>
    </w:p>
    <w:p w14:paraId="0D743EE8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</w:p>
    <w:p w14:paraId="3F9E0121" w14:textId="77777777" w:rsidR="00862A78" w:rsidRPr="00862A78" w:rsidRDefault="00862A78" w:rsidP="00862A78">
      <w:pPr>
        <w:autoSpaceDE w:val="0"/>
        <w:autoSpaceDN w:val="0"/>
        <w:adjustRightInd w:val="0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Și</w:t>
      </w:r>
    </w:p>
    <w:p w14:paraId="2B9E2755" w14:textId="77777777" w:rsidR="00862A78" w:rsidRPr="00862A78" w:rsidRDefault="00862A78" w:rsidP="00862A78">
      <w:pPr>
        <w:autoSpaceDE w:val="0"/>
        <w:autoSpaceDN w:val="0"/>
        <w:adjustRightInd w:val="0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</w:p>
    <w:p w14:paraId="55D2D983" w14:textId="012A5FB1" w:rsidR="00862A78" w:rsidRPr="00862A78" w:rsidRDefault="00862A78" w:rsidP="00862A78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bookmarkStart w:id="3" w:name="_Hlk137023178"/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Comuna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 Mihai Viteazu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, reprezentant legal</w:t>
      </w:r>
      <w:r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Paul-Cristian OLARU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, în calitate de Primar</w:t>
      </w:r>
      <w:bookmarkEnd w:id="3"/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, î</w:t>
      </w: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n calitate de beneficiar al investiției,</w:t>
      </w:r>
    </w:p>
    <w:p w14:paraId="14EF63C3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ED2FC44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62A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 hotărât  încheierea prezentului Acord de colaborare (denumit în continuare Acord).</w:t>
      </w:r>
    </w:p>
    <w:p w14:paraId="3F24A108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B42920F" w14:textId="77777777" w:rsidR="00862A78" w:rsidRPr="00862A78" w:rsidRDefault="00862A78" w:rsidP="00862A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 SCOPUL ȘI  OBIECTUL  ACORDULUI</w:t>
      </w:r>
    </w:p>
    <w:p w14:paraId="43EA47B4" w14:textId="77777777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-7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Scopul acestui acord îl constituie reglementarea situației juridice a mijloacelor fixe - microbuze electrice pentru elevi - achiziționate în cadrul proiectului „Microbuze electrice pentru elevii din județul Cluj”.</w:t>
      </w:r>
    </w:p>
    <w:p w14:paraId="0DCDA0C8" w14:textId="77777777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Obiectul acestui Acord constă în stabilirea drepturilor şi obligațiilor părților  ce le </w:t>
      </w:r>
    </w:p>
    <w:p w14:paraId="249DCAB6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revin la finalizarea perioadei de implementare a proiectului „Microbuze electrice pentru elevii din județul Cluj”.</w:t>
      </w:r>
    </w:p>
    <w:p w14:paraId="5476687B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D9311A5" w14:textId="77777777" w:rsidR="00862A78" w:rsidRPr="00862A78" w:rsidRDefault="00862A78" w:rsidP="00862A7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 DURATA ACORDULUI</w:t>
      </w:r>
    </w:p>
    <w:p w14:paraId="6E18D469" w14:textId="77777777" w:rsidR="00862A78" w:rsidRPr="00862A78" w:rsidRDefault="00862A78" w:rsidP="00862A7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-70"/>
        <w:jc w:val="both"/>
        <w:rPr>
          <w:rFonts w:ascii="Times New Roman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Prezentul Acord intră în vigoare de la data semnării de către fiecare parte și este valabil pe o perioadă de 4 ani calculată de la data intrării în vigoare. </w:t>
      </w:r>
    </w:p>
    <w:p w14:paraId="4999A872" w14:textId="77777777" w:rsidR="00862A78" w:rsidRPr="00862A78" w:rsidRDefault="00862A78" w:rsidP="00862A7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hAnsi="Times New Roman" w:cs="Times New Roman"/>
          <w:sz w:val="24"/>
          <w:szCs w:val="24"/>
          <w:lang w:val="ro-RO" w:eastAsia="x-none"/>
        </w:rPr>
        <w:t xml:space="preserve">.Perioada de valabilitate a Acordului se poate prelungi prin acordul părților, exprimat în scris, prin încheierea unui act adițional la prezentul Acord.  </w:t>
      </w:r>
    </w:p>
    <w:p w14:paraId="26DFF143" w14:textId="77777777" w:rsidR="00862A78" w:rsidRPr="00862A78" w:rsidRDefault="00862A78" w:rsidP="00862A78">
      <w:pPr>
        <w:pStyle w:val="ListParagraph"/>
        <w:autoSpaceDE w:val="0"/>
        <w:autoSpaceDN w:val="0"/>
        <w:adjustRightInd w:val="0"/>
        <w:spacing w:line="240" w:lineRule="auto"/>
        <w:ind w:left="907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x-none"/>
        </w:rPr>
      </w:pPr>
    </w:p>
    <w:p w14:paraId="783754A1" w14:textId="77777777" w:rsidR="00862A78" w:rsidRPr="00862A78" w:rsidRDefault="00862A78" w:rsidP="00862A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 RESPONSABILITĂȚILE PĂRȚILOR</w:t>
      </w:r>
    </w:p>
    <w:p w14:paraId="7DB694A7" w14:textId="77777777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JUDEȚUL CLUJ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are următoarele responsabilități:</w:t>
      </w:r>
    </w:p>
    <w:p w14:paraId="6071C7B9" w14:textId="77777777" w:rsidR="00862A78" w:rsidRPr="00862A78" w:rsidRDefault="00862A78" w:rsidP="00862A78">
      <w:pPr>
        <w:numPr>
          <w:ilvl w:val="2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bookmarkStart w:id="4" w:name="_Hlk97216669"/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la intrarea în vigoare a Acordului, va preda pe bază de proces verbal de predare-primire bunurile achiziționate împreună cu dotările și documentele aferente, către fiecare UAT beneficiar, conform anexei nr. 1 la Hotărârea Consiliului Județean Cluj nr. 31/13.03.2025</w:t>
      </w:r>
    </w:p>
    <w:p w14:paraId="0807E432" w14:textId="77777777" w:rsidR="00862A78" w:rsidRPr="00862A78" w:rsidRDefault="00862A78" w:rsidP="00862A78">
      <w:pPr>
        <w:numPr>
          <w:ilvl w:val="2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va monitoriza respectarea de către beneficiari a obligațiilor stabilite de finanțator în Contractul de finanțare nr.12077/14.09.2023;</w:t>
      </w:r>
    </w:p>
    <w:p w14:paraId="31C9F96D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</w:p>
    <w:bookmarkEnd w:id="4"/>
    <w:p w14:paraId="2C72AB55" w14:textId="77777777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Beneficiarul investiției 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are următoarele responsabilități:</w:t>
      </w:r>
    </w:p>
    <w:p w14:paraId="4623A276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va prelua pe bază de proces verbal de predare-primire bunurile achiziționate în cadrul proiectului (câte un microbuz pentru fiecare UAT beneficiar), în vederea utilizării acestuia în scopul asigurării transportului elevilor din zonele izolate, rurale la școală;</w:t>
      </w:r>
    </w:p>
    <w:p w14:paraId="601C66C0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lastRenderedPageBreak/>
        <w:t>respectarea  condițiilor prevăzute în certificatul de garanție al bunului;</w:t>
      </w:r>
    </w:p>
    <w:p w14:paraId="3C9EC471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asigurarea funcționării stației de încărcare, pe toată perioada de sustenabilitate a proiectului, având parametrii și caracteristicile tehnice solicitate de către furnizorul microbuzelor școlare </w:t>
      </w:r>
    </w:p>
    <w:p w14:paraId="31E30416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asigurarea, pe o durată de minimum 4 ani, a resursei umane (șofer), a costurilor de reparații și întreținere a microbuzelor, cu excepția celor efectuate în baza garanției de către furnizor, precum și costurile de alimentare,</w:t>
      </w:r>
    </w:p>
    <w:p w14:paraId="6D207C15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microbuzul școlar va fi utilizate exclusiv pentru transportul școlar al elevilor către și dinspre unitatea școlară de învățământ preuniversitar de pe raza unității administrativ-teritoriale, fiind interzisă închirierea acestuia către terțe persoane/ entități;</w:t>
      </w:r>
    </w:p>
    <w:p w14:paraId="12452565" w14:textId="77777777" w:rsidR="00862A78" w:rsidRPr="00862A78" w:rsidRDefault="00862A78" w:rsidP="00862A78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hAnsi="Times New Roman" w:cs="Times New Roman"/>
          <w:sz w:val="24"/>
          <w:szCs w:val="24"/>
          <w:lang w:val="ro-RO" w:eastAsia="x-none"/>
        </w:rPr>
        <w:t>respectarea întocmai a clauzelor Contractului de finanțare nr. 12.077/ 14.09. 2023 încheiat între Ministerul Educației și Consiliul Județean Cluj;</w:t>
      </w:r>
    </w:p>
    <w:p w14:paraId="01B85F99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înmatricularea microbuzului electrice într-o perioadă de maxim 30 de zile de la data transferului dreptului de proprietate.</w:t>
      </w:r>
    </w:p>
    <w:p w14:paraId="19382423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 cazul apariției unor avarii care nu sunt imputabile furnizorului, acestea se vor rezolva contra cost, numai în unități service autorizate ale furnizorului. În acest sens, unitatea beneficiară are obligația de a anunța Consiliul Județean Cluj în termen de maxim 24 de ore de la producerea evenimentului.</w:t>
      </w:r>
    </w:p>
    <w:p w14:paraId="19CF04FF" w14:textId="77777777" w:rsidR="00862A78" w:rsidRPr="00862A78" w:rsidRDefault="00862A78" w:rsidP="00862A78">
      <w:pPr>
        <w:numPr>
          <w:ilvl w:val="2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 cazul apariției unor avarii imputabile furnizorului, unității administrativ teritoriale beneficiare îi revine sarcina de a anunța Consiliul Județean Cluj în termen de maxim 24 de ore de la constatare.</w:t>
      </w:r>
    </w:p>
    <w:p w14:paraId="35FF708C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38D7065" w14:textId="77777777" w:rsidR="00862A78" w:rsidRPr="00862A78" w:rsidRDefault="00862A78" w:rsidP="00862A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 xml:space="preserve"> SOLUŢIONAREA LITIGIILOR</w:t>
      </w:r>
    </w:p>
    <w:p w14:paraId="041D9BC0" w14:textId="43A82B39" w:rsidR="00862A78" w:rsidRPr="00862A78" w:rsidRDefault="003368EF" w:rsidP="00862A78">
      <w:pPr>
        <w:autoSpaceDE w:val="0"/>
        <w:autoSpaceDN w:val="0"/>
        <w:adjustRightInd w:val="0"/>
        <w:spacing w:line="240" w:lineRule="auto"/>
        <w:ind w:left="-90" w:firstLine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ă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rțile</w:t>
      </w:r>
      <w:r w:rsidR="00862A78"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convin ca toate neînțelegerile privind validitatea Acordului sau cele rezultate din interpretarea, executarea sau încetarea acestuia, precum </w:t>
      </w:r>
      <w:r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ș</w:t>
      </w:r>
      <w:r w:rsidR="00862A78"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i orice alte neînțelegeri </w:t>
      </w:r>
      <w:r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ș</w:t>
      </w:r>
      <w:r w:rsidR="00862A78"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i sau dispute rezultate din prezentul Acord sau în legătura cu el să fie rezolvate pe cale amiabilă.</w:t>
      </w:r>
    </w:p>
    <w:p w14:paraId="7EECCC0B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D5CC425" w14:textId="77777777" w:rsidR="00862A78" w:rsidRPr="00862A78" w:rsidRDefault="00862A78" w:rsidP="00862A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45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b/>
          <w:bCs/>
          <w:sz w:val="24"/>
          <w:szCs w:val="24"/>
          <w:lang w:val="ro-RO" w:eastAsia="x-none"/>
        </w:rPr>
        <w:t>DISPOZIŢII FINALE</w:t>
      </w:r>
    </w:p>
    <w:p w14:paraId="4ADDACE9" w14:textId="3B80D2C9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-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Începând cu data încheierii procesului verbal de predare-primire, prin raportare la reglementările legale în vigoare, beneficiarul va înregistra în evidența contabilă proprie intrarea în gestiune a bunului mobil - m</w:t>
      </w:r>
      <w:r w:rsidR="003368EF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i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jloc fix (microbuz electric).</w:t>
      </w:r>
    </w:p>
    <w:p w14:paraId="353F4EF2" w14:textId="58233F7C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-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În baza procesului verbal de predare-primire, se vor efectua operațiunile financiar-contabile de ieșire din evidența contabilă a UAT – Județul Cluj, respectiv de intrare în evidența contabilă a UAT ben</w:t>
      </w:r>
      <w:r w:rsidR="003368EF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e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ficiar, a bunului mobil - m</w:t>
      </w:r>
      <w:r w:rsidR="003368EF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i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jloc fix (microbuz electric) împreună cu toate accesoriile aferente.</w:t>
      </w:r>
    </w:p>
    <w:p w14:paraId="58C46DC2" w14:textId="5B476969" w:rsidR="00862A78" w:rsidRPr="00862A78" w:rsidRDefault="00862A78" w:rsidP="00862A78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ind w:left="-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 Începând cu data încheierii procesului verbal de predare-primire, se transferă toate riscurile cu privire la bunul mobil - m</w:t>
      </w:r>
      <w:r w:rsidR="003368EF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i</w:t>
      </w: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 xml:space="preserve">jloc fix (microbuz electric) </w:t>
      </w:r>
    </w:p>
    <w:p w14:paraId="02B38F23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ind w:left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x-none"/>
        </w:rPr>
      </w:pPr>
    </w:p>
    <w:p w14:paraId="3D86D528" w14:textId="77777777" w:rsidR="00862A78" w:rsidRPr="00862A78" w:rsidRDefault="00862A78" w:rsidP="00862A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62A78">
        <w:rPr>
          <w:rFonts w:ascii="Times New Roman" w:eastAsia="Calibri" w:hAnsi="Times New Roman" w:cs="Times New Roman"/>
          <w:sz w:val="24"/>
          <w:szCs w:val="24"/>
          <w:lang w:val="ro-RO" w:eastAsia="x-none"/>
        </w:rPr>
        <w:t>Prezentul Acord  s-a încheiat în 2  exemplare originale, astăzi,........... câte unul pentru fiecare parte.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45"/>
        <w:gridCol w:w="3188"/>
        <w:gridCol w:w="2993"/>
      </w:tblGrid>
      <w:tr w:rsidR="00862A78" w:rsidRPr="00862A78" w14:paraId="2C4ED5EA" w14:textId="77777777" w:rsidTr="00E60A99">
        <w:tc>
          <w:tcPr>
            <w:tcW w:w="2846" w:type="dxa"/>
          </w:tcPr>
          <w:p w14:paraId="78AC3626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189" w:type="dxa"/>
          </w:tcPr>
          <w:p w14:paraId="01A63FC0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61E86A9C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862A78" w:rsidRPr="00862A78" w14:paraId="53EE0BC2" w14:textId="77777777" w:rsidTr="00E60A99">
        <w:tc>
          <w:tcPr>
            <w:tcW w:w="2846" w:type="dxa"/>
          </w:tcPr>
          <w:p w14:paraId="67713EE2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189" w:type="dxa"/>
          </w:tcPr>
          <w:p w14:paraId="7E864BE0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0119C02C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62A78" w:rsidRPr="00862A78" w14:paraId="2CFCB679" w14:textId="77777777" w:rsidTr="00E60A99">
        <w:tc>
          <w:tcPr>
            <w:tcW w:w="2846" w:type="dxa"/>
          </w:tcPr>
          <w:p w14:paraId="6E45FF05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9"/>
            </w:tblGrid>
            <w:tr w:rsidR="00862A78" w:rsidRPr="00862A78" w14:paraId="28A68A86" w14:textId="77777777" w:rsidTr="00E60A99">
              <w:tc>
                <w:tcPr>
                  <w:tcW w:w="3189" w:type="dxa"/>
                </w:tcPr>
                <w:p w14:paraId="0E555D8D" w14:textId="77777777" w:rsidR="00862A78" w:rsidRPr="00862A78" w:rsidRDefault="00862A78" w:rsidP="00E60A9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  <w:p w14:paraId="7BF2B213" w14:textId="77777777" w:rsidR="00862A78" w:rsidRPr="00862A78" w:rsidRDefault="00862A78" w:rsidP="00E60A9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862A7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      JUDEŢUL CLUJ                                               </w:t>
                  </w:r>
                </w:p>
              </w:tc>
            </w:tr>
            <w:tr w:rsidR="00862A78" w:rsidRPr="00862A78" w14:paraId="5EB11EAD" w14:textId="77777777" w:rsidTr="00E60A99">
              <w:tc>
                <w:tcPr>
                  <w:tcW w:w="3189" w:type="dxa"/>
                </w:tcPr>
                <w:p w14:paraId="181D07D4" w14:textId="77777777" w:rsidR="00862A78" w:rsidRPr="00862A78" w:rsidRDefault="00862A78" w:rsidP="00E60A9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862A7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         Președinte</w:t>
                  </w:r>
                </w:p>
                <w:p w14:paraId="2CC21EFE" w14:textId="77777777" w:rsidR="00862A78" w:rsidRPr="00862A78" w:rsidRDefault="00862A78" w:rsidP="00E60A9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862A7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          Alin TIȘE</w:t>
                  </w:r>
                </w:p>
                <w:p w14:paraId="2E2BBAFC" w14:textId="77777777" w:rsidR="00862A78" w:rsidRPr="00862A78" w:rsidRDefault="00862A78" w:rsidP="00E60A9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4BF2B77A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189" w:type="dxa"/>
          </w:tcPr>
          <w:p w14:paraId="39759AFD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6FC7A350" w14:textId="4B680191" w:rsidR="00862A78" w:rsidRPr="00862A78" w:rsidRDefault="00862A78" w:rsidP="00862A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62A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COMUNA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MIHAI VITEAZU</w:t>
            </w:r>
          </w:p>
          <w:p w14:paraId="58D1383C" w14:textId="3C7281AF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Primar,</w:t>
            </w:r>
          </w:p>
          <w:p w14:paraId="6D673F85" w14:textId="488440A3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Paul-Cristian OLARU</w:t>
            </w:r>
          </w:p>
        </w:tc>
      </w:tr>
      <w:tr w:rsidR="00862A78" w:rsidRPr="00862A78" w14:paraId="2BF68B39" w14:textId="77777777" w:rsidTr="00E60A99">
        <w:tc>
          <w:tcPr>
            <w:tcW w:w="2846" w:type="dxa"/>
          </w:tcPr>
          <w:p w14:paraId="75F0FBD2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189" w:type="dxa"/>
          </w:tcPr>
          <w:p w14:paraId="38F9AC83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5D5BF5EE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62A78" w:rsidRPr="00862A78" w14:paraId="47FB93B6" w14:textId="77777777" w:rsidTr="00E60A99">
        <w:tc>
          <w:tcPr>
            <w:tcW w:w="2846" w:type="dxa"/>
          </w:tcPr>
          <w:p w14:paraId="2C47C26E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3189" w:type="dxa"/>
          </w:tcPr>
          <w:p w14:paraId="57FABCB1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4925BE1F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</w:tr>
      <w:tr w:rsidR="00862A78" w:rsidRPr="00862A78" w14:paraId="43FD7BE1" w14:textId="77777777" w:rsidTr="00E60A99">
        <w:tc>
          <w:tcPr>
            <w:tcW w:w="2846" w:type="dxa"/>
          </w:tcPr>
          <w:p w14:paraId="195E8EE7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bookmarkStart w:id="5" w:name="_Hlk137028736"/>
          </w:p>
        </w:tc>
        <w:tc>
          <w:tcPr>
            <w:tcW w:w="3189" w:type="dxa"/>
          </w:tcPr>
          <w:p w14:paraId="5B9CE8F7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994" w:type="dxa"/>
          </w:tcPr>
          <w:p w14:paraId="2DA23CA6" w14:textId="77777777" w:rsidR="00862A78" w:rsidRPr="00862A78" w:rsidRDefault="00862A78" w:rsidP="00E60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</w:tc>
        <w:bookmarkEnd w:id="5"/>
      </w:tr>
    </w:tbl>
    <w:p w14:paraId="19E03E39" w14:textId="77777777" w:rsidR="001F5173" w:rsidRPr="00862A78" w:rsidRDefault="001F5173" w:rsidP="00862A78">
      <w:pPr>
        <w:rPr>
          <w:rFonts w:ascii="Times New Roman" w:hAnsi="Times New Roman" w:cs="Times New Roman"/>
          <w:sz w:val="24"/>
          <w:szCs w:val="24"/>
        </w:rPr>
      </w:pPr>
    </w:p>
    <w:sectPr w:rsidR="001F5173" w:rsidRPr="00862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B0C"/>
    <w:multiLevelType w:val="multilevel"/>
    <w:tmpl w:val="3462D9DC"/>
    <w:lvl w:ilvl="0">
      <w:start w:val="1"/>
      <w:numFmt w:val="decimal"/>
      <w:lvlText w:val="ARTICOLU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5" w:firstLine="340"/>
      </w:pPr>
      <w:rPr>
        <w:rFonts w:hint="default"/>
        <w:b w:val="0"/>
        <w:bCs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C2106D"/>
    <w:multiLevelType w:val="multilevel"/>
    <w:tmpl w:val="0304FA1E"/>
    <w:lvl w:ilvl="0">
      <w:start w:val="1"/>
      <w:numFmt w:val="decimal"/>
      <w:lvlText w:val="ARTICOLUL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340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8F4B89"/>
    <w:multiLevelType w:val="multilevel"/>
    <w:tmpl w:val="EE18A9C8"/>
    <w:lvl w:ilvl="0">
      <w:start w:val="1"/>
      <w:numFmt w:val="decimal"/>
      <w:lvlText w:val="ARTICOLUL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340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FC2906"/>
    <w:multiLevelType w:val="multilevel"/>
    <w:tmpl w:val="0F30E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072309360">
    <w:abstractNumId w:val="0"/>
  </w:num>
  <w:num w:numId="2" w16cid:durableId="5060252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75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66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18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8"/>
    <w:rsid w:val="001F5173"/>
    <w:rsid w:val="003368EF"/>
    <w:rsid w:val="00862A78"/>
    <w:rsid w:val="009A6B77"/>
    <w:rsid w:val="00AB52E1"/>
    <w:rsid w:val="00AF5056"/>
    <w:rsid w:val="00E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39AA"/>
  <w15:chartTrackingRefBased/>
  <w15:docId w15:val="{3C85A966-4095-4D7E-A5DE-AC389445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78"/>
    <w:pPr>
      <w:spacing w:after="0" w:line="276" w:lineRule="auto"/>
    </w:pPr>
    <w:rPr>
      <w:rFonts w:ascii="Arial" w:eastAsia="Arial" w:hAnsi="Arial" w:cs="Arial"/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78"/>
    <w:rPr>
      <w:i/>
      <w:iCs/>
      <w:color w:val="404040" w:themeColor="text1" w:themeTint="BF"/>
    </w:rPr>
  </w:style>
  <w:style w:type="paragraph" w:styleId="ListParagraph">
    <w:name w:val="List Paragraph"/>
    <w:aliases w:val="body 2,List Paragraph1,Citation List,본문(내용),List Paragraph (numbered (a)),Normal bullet 2,Forth level,List1,List Paragraph11,Listă colorată - Accentuare 11,Bullet,Header bold,List Paragraph111,tabla negro"/>
    <w:basedOn w:val="Normal"/>
    <w:link w:val="ListParagraphChar"/>
    <w:uiPriority w:val="34"/>
    <w:qFormat/>
    <w:rsid w:val="0086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7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Normal bullet 2 Char,Forth level Char,List1 Char,List Paragraph11 Char,Listă colorată - Accentuare 11 Char,Bullet Char"/>
    <w:link w:val="ListParagraph"/>
    <w:uiPriority w:val="34"/>
    <w:qFormat/>
    <w:rsid w:val="0086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te a new document." ma:contentTypeScope="" ma:versionID="25311144b569ff27d3605abae1d947aa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38bb92981fecf0590c9c13060e290a29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6186AC0D-86A2-4DCA-B6D2-905692BE6164}"/>
</file>

<file path=customXml/itemProps2.xml><?xml version="1.0" encoding="utf-8"?>
<ds:datastoreItem xmlns:ds="http://schemas.openxmlformats.org/officeDocument/2006/customXml" ds:itemID="{20781FE8-FF60-4F25-88CB-CB9A4735B780}"/>
</file>

<file path=customXml/itemProps3.xml><?xml version="1.0" encoding="utf-8"?>
<ds:datastoreItem xmlns:ds="http://schemas.openxmlformats.org/officeDocument/2006/customXml" ds:itemID="{F084D814-1246-4503-8468-5E804FACD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Proiecte Europene</dc:creator>
  <cp:keywords/>
  <dc:description/>
  <cp:lastModifiedBy>Proiecte Europene</cp:lastModifiedBy>
  <cp:revision>2</cp:revision>
  <dcterms:created xsi:type="dcterms:W3CDTF">2025-03-14T07:04:00Z</dcterms:created>
  <dcterms:modified xsi:type="dcterms:W3CDTF">2025-03-14T07:10:00Z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