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36B" w:rsidRDefault="00F6336B" w:rsidP="00F6336B">
      <w:pPr>
        <w:jc w:val="both"/>
        <w:rPr>
          <w:b/>
          <w:sz w:val="24"/>
          <w:szCs w:val="24"/>
          <w:lang w:val="ro-RO"/>
        </w:rPr>
      </w:pPr>
      <w:r>
        <w:rPr>
          <w:b/>
          <w:sz w:val="24"/>
          <w:szCs w:val="24"/>
          <w:lang w:val="ro-RO"/>
        </w:rPr>
        <w:t>JUDEȚUL BIHOR</w:t>
      </w:r>
    </w:p>
    <w:p w:rsidR="00F6336B" w:rsidRDefault="00F6336B" w:rsidP="00F6336B">
      <w:pPr>
        <w:jc w:val="both"/>
        <w:rPr>
          <w:b/>
          <w:sz w:val="24"/>
          <w:szCs w:val="24"/>
          <w:lang w:val="ro-RO"/>
        </w:rPr>
      </w:pPr>
      <w:r>
        <w:rPr>
          <w:b/>
          <w:sz w:val="24"/>
          <w:szCs w:val="24"/>
          <w:lang w:val="ro-RO"/>
        </w:rPr>
        <w:t xml:space="preserve">CONSILIL LOCAL AL MUNICIPIULUI MARGHITA </w:t>
      </w:r>
    </w:p>
    <w:p w:rsidR="00F6336B" w:rsidRDefault="00F6336B" w:rsidP="00F6336B">
      <w:pPr>
        <w:pStyle w:val="Heading1"/>
        <w:shd w:val="clear" w:color="auto" w:fill="FFFFFF"/>
        <w:spacing w:before="0" w:beforeAutospacing="0" w:after="60" w:afterAutospacing="0" w:line="360" w:lineRule="auto"/>
        <w:ind w:firstLine="720"/>
        <w:jc w:val="both"/>
        <w:rPr>
          <w:sz w:val="24"/>
          <w:szCs w:val="24"/>
          <w:lang w:val="ro-RO"/>
        </w:rPr>
      </w:pPr>
      <w:bookmarkStart w:id="0" w:name="_GoBack"/>
      <w:bookmarkEnd w:id="0"/>
    </w:p>
    <w:p w:rsidR="000D7C3B" w:rsidRPr="000F5C3E" w:rsidRDefault="000F5C3E" w:rsidP="000F5C3E">
      <w:pPr>
        <w:pStyle w:val="Heading1"/>
        <w:shd w:val="clear" w:color="auto" w:fill="FFFFFF"/>
        <w:spacing w:before="0" w:beforeAutospacing="0" w:after="60" w:afterAutospacing="0" w:line="360" w:lineRule="auto"/>
        <w:ind w:firstLine="720"/>
        <w:jc w:val="right"/>
        <w:rPr>
          <w:sz w:val="24"/>
          <w:szCs w:val="24"/>
          <w:lang w:val="ro-RO"/>
        </w:rPr>
      </w:pPr>
      <w:r w:rsidRPr="000F5C3E">
        <w:rPr>
          <w:sz w:val="24"/>
          <w:szCs w:val="24"/>
          <w:lang w:val="ro-RO"/>
        </w:rPr>
        <w:t>ANEXA NR.</w:t>
      </w:r>
      <w:r>
        <w:rPr>
          <w:sz w:val="24"/>
          <w:szCs w:val="24"/>
          <w:lang w:val="ro-RO"/>
        </w:rPr>
        <w:t xml:space="preserve"> </w:t>
      </w:r>
      <w:r w:rsidRPr="000F5C3E">
        <w:rPr>
          <w:sz w:val="24"/>
          <w:szCs w:val="24"/>
          <w:lang w:val="ro-RO"/>
        </w:rPr>
        <w:t>2</w:t>
      </w:r>
    </w:p>
    <w:p w:rsidR="00093801" w:rsidRPr="00093801" w:rsidRDefault="00093801" w:rsidP="00093801">
      <w:pPr>
        <w:shd w:val="clear" w:color="auto" w:fill="FFFFFF"/>
        <w:spacing w:after="160"/>
        <w:jc w:val="center"/>
        <w:textAlignment w:val="baseline"/>
        <w:rPr>
          <w:rFonts w:eastAsiaTheme="minorHAnsi"/>
          <w:color w:val="000000" w:themeColor="text1"/>
          <w:sz w:val="24"/>
          <w:szCs w:val="24"/>
          <w:lang w:val="ro-RO" w:eastAsia="en-GB"/>
        </w:rPr>
      </w:pPr>
      <w:r w:rsidRPr="00093801">
        <w:rPr>
          <w:rFonts w:eastAsiaTheme="minorHAnsi"/>
          <w:b/>
          <w:bCs/>
          <w:color w:val="000000" w:themeColor="text1"/>
          <w:sz w:val="24"/>
          <w:szCs w:val="24"/>
          <w:lang w:val="ro-RO" w:eastAsia="en-GB"/>
        </w:rPr>
        <w:t>PROGRAM DE MĂSURI</w:t>
      </w:r>
    </w:p>
    <w:p w:rsidR="00093801" w:rsidRPr="00093801" w:rsidRDefault="00093801" w:rsidP="00093801">
      <w:pPr>
        <w:shd w:val="clear" w:color="auto" w:fill="FFFFFF"/>
        <w:spacing w:after="160"/>
        <w:jc w:val="center"/>
        <w:textAlignment w:val="baseline"/>
        <w:rPr>
          <w:rFonts w:eastAsiaTheme="minorHAnsi"/>
          <w:b/>
          <w:bCs/>
          <w:color w:val="000000" w:themeColor="text1"/>
          <w:sz w:val="24"/>
          <w:szCs w:val="24"/>
          <w:lang w:val="ro-RO" w:eastAsia="en-GB"/>
        </w:rPr>
      </w:pPr>
      <w:r w:rsidRPr="00093801">
        <w:rPr>
          <w:rFonts w:eastAsiaTheme="minorHAnsi"/>
          <w:b/>
          <w:bCs/>
          <w:color w:val="000000" w:themeColor="text1"/>
          <w:sz w:val="24"/>
          <w:szCs w:val="24"/>
          <w:lang w:val="ro-RO" w:eastAsia="en-GB"/>
        </w:rPr>
        <w:t>pentru</w:t>
      </w:r>
      <w:r w:rsidR="000F5C3E">
        <w:rPr>
          <w:rFonts w:eastAsiaTheme="minorHAnsi"/>
          <w:b/>
          <w:bCs/>
          <w:color w:val="000000" w:themeColor="text1"/>
          <w:sz w:val="24"/>
          <w:szCs w:val="24"/>
          <w:lang w:val="ro-RO" w:eastAsia="en-GB"/>
        </w:rPr>
        <w:t xml:space="preserve"> eficientizarea activităț</w:t>
      </w:r>
      <w:r>
        <w:rPr>
          <w:rFonts w:eastAsiaTheme="minorHAnsi"/>
          <w:b/>
          <w:bCs/>
          <w:color w:val="000000" w:themeColor="text1"/>
          <w:sz w:val="24"/>
          <w:szCs w:val="24"/>
          <w:lang w:val="ro-RO" w:eastAsia="en-GB"/>
        </w:rPr>
        <w:t>ii de î</w:t>
      </w:r>
      <w:r w:rsidR="000F5C3E">
        <w:rPr>
          <w:rFonts w:eastAsiaTheme="minorHAnsi"/>
          <w:b/>
          <w:bCs/>
          <w:color w:val="000000" w:themeColor="text1"/>
          <w:sz w:val="24"/>
          <w:szCs w:val="24"/>
          <w:lang w:val="ro-RO" w:eastAsia="en-GB"/>
        </w:rPr>
        <w:t>nscriere a datelor î</w:t>
      </w:r>
      <w:r w:rsidRPr="00093801">
        <w:rPr>
          <w:rFonts w:eastAsiaTheme="minorHAnsi"/>
          <w:b/>
          <w:bCs/>
          <w:color w:val="000000" w:themeColor="text1"/>
          <w:sz w:val="24"/>
          <w:szCs w:val="24"/>
          <w:lang w:val="ro-RO" w:eastAsia="en-GB"/>
        </w:rPr>
        <w:t>n Registrul Agricol</w:t>
      </w:r>
    </w:p>
    <w:p w:rsidR="00093801" w:rsidRPr="00093801" w:rsidRDefault="00093801" w:rsidP="00093801">
      <w:pPr>
        <w:shd w:val="clear" w:color="auto" w:fill="FFFFFF"/>
        <w:spacing w:after="160"/>
        <w:jc w:val="center"/>
        <w:textAlignment w:val="baseline"/>
        <w:rPr>
          <w:rFonts w:eastAsiaTheme="minorHAnsi"/>
          <w:color w:val="000000" w:themeColor="text1"/>
          <w:sz w:val="24"/>
          <w:szCs w:val="24"/>
          <w:lang w:val="ro-RO" w:eastAsia="en-GB"/>
        </w:rPr>
      </w:pPr>
    </w:p>
    <w:tbl>
      <w:tblPr>
        <w:tblStyle w:val="TableGrid"/>
        <w:tblW w:w="0" w:type="auto"/>
        <w:tblLook w:val="04A0" w:firstRow="1" w:lastRow="0" w:firstColumn="1" w:lastColumn="0" w:noHBand="0" w:noVBand="1"/>
      </w:tblPr>
      <w:tblGrid>
        <w:gridCol w:w="605"/>
        <w:gridCol w:w="4315"/>
        <w:gridCol w:w="2125"/>
        <w:gridCol w:w="2305"/>
      </w:tblGrid>
      <w:tr w:rsidR="00093801" w:rsidRPr="00093801" w:rsidTr="005224D1">
        <w:tc>
          <w:tcPr>
            <w:tcW w:w="605" w:type="dxa"/>
          </w:tcPr>
          <w:p w:rsidR="00093801" w:rsidRPr="00093801" w:rsidRDefault="00093801" w:rsidP="00093801">
            <w:pPr>
              <w:rPr>
                <w:rFonts w:eastAsiaTheme="minorHAnsi"/>
                <w:b/>
                <w:sz w:val="22"/>
                <w:szCs w:val="22"/>
                <w:lang w:val="ro-RO"/>
              </w:rPr>
            </w:pPr>
            <w:r w:rsidRPr="00093801">
              <w:rPr>
                <w:rFonts w:eastAsiaTheme="minorHAnsi"/>
                <w:b/>
                <w:sz w:val="22"/>
                <w:szCs w:val="22"/>
                <w:lang w:val="ro-RO"/>
              </w:rPr>
              <w:t>Nr.</w:t>
            </w:r>
          </w:p>
          <w:p w:rsidR="00093801" w:rsidRPr="00093801" w:rsidRDefault="00093801" w:rsidP="00093801">
            <w:pPr>
              <w:rPr>
                <w:rFonts w:asciiTheme="minorHAnsi" w:eastAsiaTheme="minorHAnsi" w:hAnsiTheme="minorHAnsi" w:cstheme="minorBidi"/>
                <w:sz w:val="22"/>
                <w:szCs w:val="22"/>
              </w:rPr>
            </w:pPr>
            <w:r w:rsidRPr="00093801">
              <w:rPr>
                <w:rFonts w:eastAsiaTheme="minorHAnsi"/>
                <w:b/>
                <w:sz w:val="22"/>
                <w:szCs w:val="22"/>
                <w:lang w:val="ro-RO"/>
              </w:rPr>
              <w:t>Crt</w:t>
            </w:r>
            <w:r w:rsidRPr="00093801">
              <w:rPr>
                <w:rFonts w:asciiTheme="minorHAnsi" w:eastAsiaTheme="minorHAnsi" w:hAnsiTheme="minorHAnsi" w:cstheme="minorBidi"/>
                <w:b/>
                <w:sz w:val="22"/>
                <w:szCs w:val="22"/>
                <w:lang w:val="ro-RO"/>
              </w:rPr>
              <w:t>.</w:t>
            </w:r>
          </w:p>
        </w:tc>
        <w:tc>
          <w:tcPr>
            <w:tcW w:w="4315" w:type="dxa"/>
          </w:tcPr>
          <w:p w:rsidR="00093801" w:rsidRPr="00093801" w:rsidRDefault="00093801" w:rsidP="00093801">
            <w:pPr>
              <w:rPr>
                <w:rFonts w:asciiTheme="minorHAnsi" w:eastAsiaTheme="minorHAnsi" w:hAnsiTheme="minorHAnsi" w:cstheme="minorBidi"/>
                <w:sz w:val="22"/>
                <w:szCs w:val="22"/>
              </w:rPr>
            </w:pPr>
            <w:r w:rsidRPr="00093801">
              <w:rPr>
                <w:rFonts w:eastAsiaTheme="minorHAnsi"/>
                <w:b/>
                <w:bCs/>
                <w:color w:val="000000" w:themeColor="text1"/>
                <w:sz w:val="24"/>
                <w:szCs w:val="24"/>
                <w:lang w:val="ro-RO" w:eastAsia="en-GB"/>
              </w:rPr>
              <w:t>Denumirea activității</w:t>
            </w:r>
          </w:p>
        </w:tc>
        <w:tc>
          <w:tcPr>
            <w:tcW w:w="2125" w:type="dxa"/>
          </w:tcPr>
          <w:p w:rsidR="00093801" w:rsidRPr="00093801" w:rsidRDefault="00093801" w:rsidP="00093801">
            <w:pPr>
              <w:rPr>
                <w:rFonts w:asciiTheme="minorHAnsi" w:eastAsiaTheme="minorHAnsi" w:hAnsiTheme="minorHAnsi" w:cstheme="minorBidi"/>
                <w:sz w:val="22"/>
                <w:szCs w:val="22"/>
              </w:rPr>
            </w:pPr>
            <w:r w:rsidRPr="00093801">
              <w:rPr>
                <w:rFonts w:eastAsiaTheme="minorHAnsi"/>
                <w:b/>
                <w:bCs/>
                <w:color w:val="000000" w:themeColor="text1"/>
                <w:sz w:val="24"/>
                <w:szCs w:val="24"/>
                <w:lang w:val="ro-RO" w:eastAsia="en-GB"/>
              </w:rPr>
              <w:t>Termen de indeplinire</w:t>
            </w:r>
          </w:p>
        </w:tc>
        <w:tc>
          <w:tcPr>
            <w:tcW w:w="2305" w:type="dxa"/>
          </w:tcPr>
          <w:p w:rsidR="00093801" w:rsidRPr="00093801" w:rsidRDefault="00093801" w:rsidP="00093801">
            <w:pPr>
              <w:rPr>
                <w:rFonts w:asciiTheme="minorHAnsi" w:eastAsiaTheme="minorHAnsi" w:hAnsiTheme="minorHAnsi" w:cstheme="minorBidi"/>
                <w:sz w:val="22"/>
                <w:szCs w:val="22"/>
              </w:rPr>
            </w:pPr>
            <w:r w:rsidRPr="00093801">
              <w:rPr>
                <w:rFonts w:eastAsiaTheme="minorHAnsi"/>
                <w:b/>
                <w:bCs/>
                <w:color w:val="000000" w:themeColor="text1"/>
                <w:sz w:val="24"/>
                <w:szCs w:val="24"/>
                <w:lang w:val="ro-RO" w:eastAsia="en-GB"/>
              </w:rPr>
              <w:t>Persoane responsabile</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1</w:t>
            </w:r>
          </w:p>
        </w:tc>
        <w:tc>
          <w:tcPr>
            <w:tcW w:w="4315" w:type="dxa"/>
          </w:tcPr>
          <w:p w:rsidR="00093801" w:rsidRPr="00093801" w:rsidRDefault="00093801" w:rsidP="00093801">
            <w:pPr>
              <w:jc w:val="both"/>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Se va efectua afișajul și înștiințarea populației cu privire la procedura si termenele de înregistrare în registrele agricole și verificarea în teren a corectitudinii înscrierii datelor pe baza declarației date de către capii gospodăriilor și de către reprezentanții legali a persoanelor juridice</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2</w:t>
            </w:r>
          </w:p>
        </w:tc>
        <w:tc>
          <w:tcPr>
            <w:tcW w:w="4315" w:type="dxa"/>
          </w:tcPr>
          <w:p w:rsidR="00093801" w:rsidRPr="00093801" w:rsidRDefault="00093801" w:rsidP="00093801">
            <w:pPr>
              <w:jc w:val="both"/>
              <w:textAlignment w:val="baseline"/>
              <w:rPr>
                <w:rFonts w:asciiTheme="minorHAnsi" w:eastAsiaTheme="minorHAnsi" w:hAnsiTheme="minorHAnsi" w:cstheme="minorBidi"/>
                <w:color w:val="000000" w:themeColor="text1"/>
                <w:sz w:val="24"/>
                <w:szCs w:val="24"/>
                <w:lang w:val="ro-RO" w:eastAsia="en-GB"/>
              </w:rPr>
            </w:pPr>
            <w:r w:rsidRPr="00093801">
              <w:rPr>
                <w:rFonts w:eastAsiaTheme="minorHAnsi"/>
                <w:color w:val="000000" w:themeColor="text1"/>
                <w:sz w:val="24"/>
                <w:szCs w:val="24"/>
                <w:lang w:val="ro-RO" w:eastAsia="en-GB"/>
              </w:rPr>
              <w:t>Întocmirea și ținerea la zi a registrului agricol se organizează conform celor prevăzute în HCL nr. 44 din 19.03.2020 pe suport electronic.</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3</w:t>
            </w:r>
          </w:p>
        </w:tc>
        <w:tc>
          <w:tcPr>
            <w:tcW w:w="4315" w:type="dxa"/>
          </w:tcPr>
          <w:p w:rsidR="00093801" w:rsidRPr="00093801" w:rsidRDefault="00093801" w:rsidP="00093801">
            <w:pPr>
              <w:jc w:val="both"/>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Toate datele din registrul agricol, atât  pe suport hârtie, cât si în format electronic, au caracter de interes public și trebuie sa fie corecte din punctul de vedere al proprietății termenilor utilizați, sub aspect gramatical, ortografic, ortoepic și, după caz, sub aspectul punctuației, conform normelor academice în vigoare, potrivit prevederilor Legii nr.500/2004 privind folosirea limbii române în locuri, relații și institutii publice</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4</w:t>
            </w:r>
          </w:p>
        </w:tc>
        <w:tc>
          <w:tcPr>
            <w:tcW w:w="4315" w:type="dxa"/>
            <w:vAlign w:val="bottom"/>
          </w:tcPr>
          <w:p w:rsidR="00093801" w:rsidRPr="00093801" w:rsidRDefault="00093801" w:rsidP="00093801">
            <w:pPr>
              <w:jc w:val="both"/>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Tehnica de completare a registrului  agricol se face cu respectare strict a Normelor tehnice  de completare a registrului agricol pentru perioada 2020-2024, având  caracterul unui document oficial care constituie  o sursă important de informații pentru:</w:t>
            </w:r>
          </w:p>
          <w:p w:rsidR="00093801" w:rsidRPr="00093801" w:rsidRDefault="00093801" w:rsidP="00093801">
            <w:pPr>
              <w:jc w:val="both"/>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 elaborarea pe plan local a unor politici in domeniile : fiscal, agrar, protecție socială, cadastru, edilitar-urbanistic, sanitar, școlar, servicii publice de interes local,</w:t>
            </w:r>
          </w:p>
          <w:p w:rsidR="00093801" w:rsidRPr="00093801" w:rsidRDefault="00093801" w:rsidP="00093801">
            <w:pPr>
              <w:jc w:val="both"/>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lastRenderedPageBreak/>
              <w:t>– pentru satisfacerea unor solicitări ale cetățenilor,</w:t>
            </w:r>
          </w:p>
          <w:p w:rsidR="00093801" w:rsidRPr="00093801" w:rsidRDefault="00093801" w:rsidP="00093801">
            <w:pPr>
              <w:jc w:val="both"/>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-este sursa administrativă de date pentru sistemul informațional statistic, respectiv : statistică oficială, pregatirea și organizarea recensămintelor agricole, ale clădirilor si ale populației, ale unor anchete-pilot, organizarea unui sistem de observări statistice prin sondaj, etc</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lastRenderedPageBreak/>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5</w:t>
            </w:r>
          </w:p>
        </w:tc>
        <w:tc>
          <w:tcPr>
            <w:tcW w:w="4315" w:type="dxa"/>
          </w:tcPr>
          <w:p w:rsidR="00093801" w:rsidRPr="00093801" w:rsidRDefault="00093801" w:rsidP="00093801">
            <w:pPr>
              <w:jc w:val="both"/>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Registrul agricol în format electronic furnizează la termenele stabilite sau la cerere, date ce pot caracteriza un rând de formular, un formular, o structură administrativ-teritoriala, pentru unul sau mai multi ani, păstrând codurile de rand si denumirile din cadrul formularelor registrului agricol pe suport hartie.</w:t>
            </w:r>
          </w:p>
          <w:p w:rsidR="00093801" w:rsidRPr="00093801" w:rsidRDefault="00093801" w:rsidP="00093801">
            <w:pPr>
              <w:spacing w:before="120" w:after="120"/>
              <w:jc w:val="both"/>
              <w:textAlignment w:val="baseline"/>
              <w:rPr>
                <w:rFonts w:asciiTheme="minorHAnsi" w:eastAsiaTheme="minorHAnsi" w:hAnsiTheme="minorHAnsi" w:cstheme="minorBidi"/>
                <w:color w:val="000000" w:themeColor="text1"/>
                <w:sz w:val="24"/>
                <w:szCs w:val="24"/>
                <w:lang w:val="ro-RO" w:eastAsia="en-GB"/>
              </w:rPr>
            </w:pPr>
            <w:r w:rsidRPr="00093801">
              <w:rPr>
                <w:rFonts w:eastAsiaTheme="minorHAnsi"/>
                <w:color w:val="000000" w:themeColor="text1"/>
                <w:sz w:val="24"/>
                <w:szCs w:val="24"/>
                <w:lang w:val="ro-RO" w:eastAsia="en-GB"/>
              </w:rPr>
              <w:t>Tehnica de completare a registrului agricol se face conform Normelor tehnice de completare a registrului agricol pentru perioada 2025-2029.</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6</w:t>
            </w:r>
          </w:p>
        </w:tc>
        <w:tc>
          <w:tcPr>
            <w:tcW w:w="4315" w:type="dxa"/>
          </w:tcPr>
          <w:p w:rsidR="00093801" w:rsidRPr="00093801" w:rsidRDefault="00093801" w:rsidP="00093801">
            <w:pPr>
              <w:jc w:val="both"/>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Comunicarea către Compartimentul impozite și taxe locale, în termen de 3 zile lucrătoare,a modificărilor intervenite in registrul agricol, referitoare la terenuri, categoria de folosintă a acestora, la clădiri sau orice alte bunuri deținute în proprietate sau în folosință, după caz, de natura să conducă  la modificarea oricăror impozite și taxe locale prevăzute de Codul fiscal</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7</w:t>
            </w:r>
          </w:p>
        </w:tc>
        <w:tc>
          <w:tcPr>
            <w:tcW w:w="4315" w:type="dxa"/>
          </w:tcPr>
          <w:p w:rsidR="00093801" w:rsidRPr="00093801" w:rsidRDefault="00093801" w:rsidP="00093801">
            <w:pPr>
              <w:jc w:val="both"/>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Datele instrumentare la nivelul Compartimentului Impozite și taxe locale și Compartimentul Urbanism , amenajarea teritoriului , care fac obiectul înscrierii în registrul agricol, se comunică compartimentului de resort în termen de 3 zile lucrătoare de la data înregistrării lor, prin grija conducătorului compartimentului repectiv.</w:t>
            </w: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spacing w:before="240" w:after="240"/>
              <w:jc w:val="center"/>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Ciarnău Mihaela</w:t>
            </w:r>
          </w:p>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Salami Izabella-Ștefania</w:t>
            </w:r>
          </w:p>
        </w:tc>
      </w:tr>
      <w:tr w:rsidR="00093801" w:rsidRPr="00093801" w:rsidTr="005224D1">
        <w:tc>
          <w:tcPr>
            <w:tcW w:w="6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asciiTheme="minorHAnsi" w:eastAsiaTheme="minorHAnsi" w:hAnsiTheme="minorHAnsi" w:cstheme="minorBidi"/>
                <w:sz w:val="22"/>
                <w:szCs w:val="22"/>
              </w:rPr>
              <w:t>8</w:t>
            </w:r>
          </w:p>
        </w:tc>
        <w:tc>
          <w:tcPr>
            <w:tcW w:w="4315" w:type="dxa"/>
          </w:tcPr>
          <w:p w:rsidR="00093801" w:rsidRPr="00093801" w:rsidRDefault="00093801" w:rsidP="00093801">
            <w:pPr>
              <w:textAlignment w:val="baseline"/>
              <w:rPr>
                <w:rFonts w:eastAsiaTheme="minorHAnsi"/>
                <w:color w:val="000000" w:themeColor="text1"/>
                <w:sz w:val="24"/>
                <w:szCs w:val="24"/>
                <w:lang w:val="ro-RO" w:eastAsia="en-GB"/>
              </w:rPr>
            </w:pPr>
            <w:r w:rsidRPr="00093801">
              <w:rPr>
                <w:rFonts w:eastAsiaTheme="minorHAnsi"/>
                <w:color w:val="000000" w:themeColor="text1"/>
                <w:sz w:val="24"/>
                <w:szCs w:val="24"/>
                <w:lang w:val="ro-RO" w:eastAsia="en-GB"/>
              </w:rPr>
              <w:t>Orice modificare în registrul agricol se va face numai cu avizul  scris al Secretarului general al Municipiul  Marghita.</w:t>
            </w:r>
          </w:p>
          <w:p w:rsidR="00093801" w:rsidRPr="00093801" w:rsidRDefault="00093801" w:rsidP="00093801">
            <w:pPr>
              <w:rPr>
                <w:rFonts w:eastAsiaTheme="minorHAnsi"/>
                <w:color w:val="000000" w:themeColor="text1"/>
                <w:sz w:val="24"/>
                <w:szCs w:val="24"/>
                <w:lang w:val="ro-RO" w:eastAsia="en-GB"/>
              </w:rPr>
            </w:pPr>
          </w:p>
        </w:tc>
        <w:tc>
          <w:tcPr>
            <w:tcW w:w="212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permanent</w:t>
            </w:r>
          </w:p>
        </w:tc>
        <w:tc>
          <w:tcPr>
            <w:tcW w:w="2305" w:type="dxa"/>
            <w:vAlign w:val="center"/>
          </w:tcPr>
          <w:p w:rsidR="00093801" w:rsidRPr="00093801" w:rsidRDefault="00093801" w:rsidP="00093801">
            <w:pPr>
              <w:jc w:val="center"/>
              <w:rPr>
                <w:rFonts w:asciiTheme="minorHAnsi" w:eastAsiaTheme="minorHAnsi" w:hAnsiTheme="minorHAnsi" w:cstheme="minorBidi"/>
                <w:sz w:val="22"/>
                <w:szCs w:val="22"/>
              </w:rPr>
            </w:pPr>
            <w:r w:rsidRPr="00093801">
              <w:rPr>
                <w:rFonts w:eastAsiaTheme="minorHAnsi"/>
                <w:color w:val="000000" w:themeColor="text1"/>
                <w:sz w:val="24"/>
                <w:szCs w:val="24"/>
                <w:lang w:val="ro-RO" w:eastAsia="en-GB"/>
              </w:rPr>
              <w:t>Dan Andreea Mari</w:t>
            </w:r>
            <w:r w:rsidRPr="00093801">
              <w:rPr>
                <w:rFonts w:asciiTheme="minorHAnsi" w:eastAsiaTheme="minorHAnsi" w:hAnsiTheme="minorHAnsi" w:cstheme="minorBidi"/>
                <w:color w:val="000000" w:themeColor="text1"/>
                <w:sz w:val="24"/>
                <w:szCs w:val="24"/>
                <w:lang w:val="ro-RO" w:eastAsia="en-GB"/>
              </w:rPr>
              <w:t>a</w:t>
            </w:r>
          </w:p>
        </w:tc>
      </w:tr>
    </w:tbl>
    <w:p w:rsidR="00093801" w:rsidRPr="00093801" w:rsidRDefault="00093801" w:rsidP="00093801">
      <w:pPr>
        <w:jc w:val="center"/>
        <w:rPr>
          <w:rFonts w:eastAsiaTheme="minorHAnsi"/>
          <w:b/>
          <w:color w:val="000000" w:themeColor="text1"/>
          <w:sz w:val="24"/>
          <w:szCs w:val="24"/>
          <w:lang w:val="ro-RO"/>
        </w:rPr>
      </w:pPr>
    </w:p>
    <w:p w:rsidR="000D7C3B" w:rsidRDefault="000D7C3B" w:rsidP="000D7C3B">
      <w:pPr>
        <w:rPr>
          <w:color w:val="000000" w:themeColor="text1"/>
        </w:rPr>
      </w:pPr>
    </w:p>
    <w:sectPr w:rsidR="000D7C3B" w:rsidSect="004C5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E0DFB"/>
    <w:rsid w:val="00093801"/>
    <w:rsid w:val="000D73C3"/>
    <w:rsid w:val="000D7C3B"/>
    <w:rsid w:val="000E0DFB"/>
    <w:rsid w:val="000F5C3E"/>
    <w:rsid w:val="0023793C"/>
    <w:rsid w:val="00281700"/>
    <w:rsid w:val="004C55F8"/>
    <w:rsid w:val="004E593C"/>
    <w:rsid w:val="005A1FCD"/>
    <w:rsid w:val="00617D67"/>
    <w:rsid w:val="00665780"/>
    <w:rsid w:val="00773208"/>
    <w:rsid w:val="007C5A7D"/>
    <w:rsid w:val="008F11BB"/>
    <w:rsid w:val="00937444"/>
    <w:rsid w:val="00B325E4"/>
    <w:rsid w:val="00C578D4"/>
    <w:rsid w:val="00C95108"/>
    <w:rsid w:val="00CF1038"/>
    <w:rsid w:val="00DA3145"/>
    <w:rsid w:val="00F63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A9FA"/>
  <w15:docId w15:val="{E19D6541-1CDE-4FB8-B969-EEADB3BC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D67"/>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0D7C3B"/>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urInternet">
    <w:name w:val="Legătură Internet"/>
    <w:basedOn w:val="DefaultParagraphFont"/>
    <w:rsid w:val="00617D67"/>
    <w:rPr>
      <w:color w:val="0000FF"/>
      <w:u w:val="single"/>
    </w:rPr>
  </w:style>
  <w:style w:type="character" w:customStyle="1" w:styleId="Heading1Char">
    <w:name w:val="Heading 1 Char"/>
    <w:basedOn w:val="DefaultParagraphFont"/>
    <w:link w:val="Heading1"/>
    <w:uiPriority w:val="9"/>
    <w:rsid w:val="000D7C3B"/>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rsid w:val="000D7C3B"/>
    <w:rPr>
      <w:color w:val="0000FF"/>
      <w:u w:val="single"/>
    </w:rPr>
  </w:style>
  <w:style w:type="paragraph" w:styleId="ListParagraph">
    <w:name w:val="List Paragraph"/>
    <w:basedOn w:val="Normal"/>
    <w:uiPriority w:val="34"/>
    <w:qFormat/>
    <w:rsid w:val="000D7C3B"/>
    <w:pPr>
      <w:ind w:left="720"/>
      <w:contextualSpacing/>
    </w:pPr>
  </w:style>
  <w:style w:type="table" w:styleId="TableGrid">
    <w:name w:val="Table Grid"/>
    <w:basedOn w:val="TableNormal"/>
    <w:uiPriority w:val="39"/>
    <w:rsid w:val="00093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1038"/>
    <w:rPr>
      <w:rFonts w:ascii="Tahoma" w:hAnsi="Tahoma" w:cs="Tahoma"/>
      <w:sz w:val="16"/>
      <w:szCs w:val="16"/>
    </w:rPr>
  </w:style>
  <w:style w:type="character" w:customStyle="1" w:styleId="BalloonTextChar">
    <w:name w:val="Balloon Text Char"/>
    <w:basedOn w:val="DefaultParagraphFont"/>
    <w:link w:val="BalloonText"/>
    <w:uiPriority w:val="99"/>
    <w:semiHidden/>
    <w:rsid w:val="00CF10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16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CIUPE</dc:creator>
  <cp:keywords/>
  <dc:description/>
  <cp:lastModifiedBy>Elena CIUPE</cp:lastModifiedBy>
  <cp:revision>14</cp:revision>
  <dcterms:created xsi:type="dcterms:W3CDTF">2025-07-22T10:09:00Z</dcterms:created>
  <dcterms:modified xsi:type="dcterms:W3CDTF">2025-10-23T08:06:00Z</dcterms:modified>
</cp:coreProperties>
</file>