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9B33E">
      <w:pPr>
        <w:shd w:val="clear" w:color="auto" w:fill="17365D"/>
        <w:spacing w:after="0" w:line="240" w:lineRule="auto"/>
        <w:jc w:val="center"/>
        <w:rPr>
          <w:rFonts w:asciiTheme="majorHAnsi" w:hAnsiTheme="majorHAnsi" w:cstheme="majorHAnsi"/>
          <w:b/>
          <w:sz w:val="24"/>
          <w:szCs w:val="24"/>
          <w:lang w:val="ro-RO"/>
        </w:rPr>
      </w:pPr>
      <w:bookmarkStart w:id="13" w:name="_GoBack"/>
      <w:bookmarkEnd w:id="13"/>
      <w:r>
        <w:rPr>
          <w:rFonts w:asciiTheme="majorHAnsi" w:hAnsiTheme="majorHAnsi" w:cstheme="majorHAnsi"/>
          <w:b/>
          <w:sz w:val="24"/>
          <w:szCs w:val="24"/>
          <w:lang w:val="ro-RO"/>
        </w:rPr>
        <w:t>IANUARIE 2026</w:t>
      </w:r>
    </w:p>
    <w:p w14:paraId="0A0E4EE2">
      <w:pPr>
        <w:spacing w:after="0" w:line="240" w:lineRule="auto"/>
        <w:jc w:val="center"/>
        <w:rPr>
          <w:rFonts w:asciiTheme="majorHAnsi" w:hAnsiTheme="majorHAnsi" w:cstheme="majorHAnsi"/>
          <w:b/>
          <w:sz w:val="24"/>
          <w:szCs w:val="24"/>
          <w:lang w:val="ro-RO"/>
        </w:rPr>
      </w:pPr>
    </w:p>
    <w:p w14:paraId="61F4E33B">
      <w:pPr>
        <w:pStyle w:val="216"/>
        <w:spacing w:before="0" w:after="0"/>
        <w:rPr>
          <w:rFonts w:asciiTheme="majorHAnsi" w:hAnsiTheme="majorHAnsi" w:cstheme="majorHAnsi"/>
          <w:color w:val="auto"/>
          <w:sz w:val="24"/>
          <w:szCs w:val="24"/>
        </w:rPr>
      </w:pPr>
    </w:p>
    <w:p w14:paraId="0ABE31F1">
      <w:pPr>
        <w:widowControl w:val="0"/>
        <w:autoSpaceDE w:val="0"/>
        <w:autoSpaceDN w:val="0"/>
        <w:adjustRightInd w:val="0"/>
        <w:spacing w:after="0" w:line="240" w:lineRule="auto"/>
        <w:jc w:val="center"/>
        <w:rPr>
          <w:rFonts w:asciiTheme="majorHAnsi" w:hAnsiTheme="majorHAnsi" w:cstheme="majorHAnsi"/>
          <w:b/>
          <w:bCs/>
          <w:sz w:val="24"/>
          <w:szCs w:val="24"/>
          <w:lang w:val="ro-RO"/>
        </w:rPr>
      </w:pPr>
      <w:r>
        <w:rPr>
          <w:rFonts w:asciiTheme="majorHAnsi" w:hAnsiTheme="majorHAnsi" w:cstheme="majorHAnsi"/>
          <w:b/>
          <w:bCs/>
          <w:sz w:val="24"/>
          <w:szCs w:val="24"/>
          <w:lang w:val="ro-RO"/>
        </w:rPr>
        <w:t>DOCUMENTAŢIA DE ATRIBUIRE</w:t>
      </w:r>
    </w:p>
    <w:p w14:paraId="3D8EA66B">
      <w:pPr>
        <w:spacing w:after="0" w:line="240" w:lineRule="auto"/>
        <w:jc w:val="center"/>
        <w:rPr>
          <w:rFonts w:asciiTheme="majorHAnsi" w:hAnsiTheme="majorHAnsi" w:cstheme="majorHAnsi"/>
          <w:b/>
          <w:sz w:val="24"/>
          <w:szCs w:val="24"/>
          <w:lang w:val="ro-RO"/>
        </w:rPr>
      </w:pPr>
      <w:r>
        <w:rPr>
          <w:rFonts w:asciiTheme="majorHAnsi" w:hAnsiTheme="majorHAnsi" w:cstheme="majorHAnsi"/>
          <w:b/>
          <w:sz w:val="24"/>
          <w:szCs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169545</wp:posOffset>
                </wp:positionV>
                <wp:extent cx="6086475" cy="772160"/>
                <wp:effectExtent l="0" t="0" r="9525" b="8890"/>
                <wp:wrapNone/>
                <wp:docPr id="34" name="Rectangle 5"/>
                <wp:cNvGraphicFramePr/>
                <a:graphic xmlns:a="http://schemas.openxmlformats.org/drawingml/2006/main">
                  <a:graphicData uri="http://schemas.microsoft.com/office/word/2010/wordprocessingShape">
                    <wps:wsp>
                      <wps:cNvSpPr>
                        <a:spLocks noChangeArrowheads="1"/>
                      </wps:cNvSpPr>
                      <wps:spPr bwMode="auto">
                        <a:xfrm>
                          <a:off x="0" y="0"/>
                          <a:ext cx="6086475" cy="772160"/>
                        </a:xfrm>
                        <a:prstGeom prst="rect">
                          <a:avLst/>
                        </a:prstGeom>
                        <a:solidFill>
                          <a:schemeClr val="accent5">
                            <a:lumMod val="40000"/>
                            <a:lumOff val="60000"/>
                          </a:schemeClr>
                        </a:solidFill>
                        <a:ln>
                          <a:noFill/>
                        </a:ln>
                      </wps:spPr>
                      <wps:txbx>
                        <w:txbxContent>
                          <w:p w14:paraId="6B79524B">
                            <w:pPr>
                              <w:jc w:val="center"/>
                              <w:rPr>
                                <w:rFonts w:asciiTheme="majorHAnsi" w:hAnsiTheme="majorHAnsi" w:cstheme="majorHAnsi"/>
                                <w:b/>
                                <w:color w:val="FFFFFF"/>
                                <w:sz w:val="60"/>
                              </w:rPr>
                            </w:pPr>
                            <w:r>
                              <w:rPr>
                                <w:rFonts w:asciiTheme="majorHAnsi" w:hAnsiTheme="majorHAnsi" w:cstheme="majorHAnsi"/>
                                <w:b/>
                                <w:color w:val="FFFFFF"/>
                                <w:sz w:val="60"/>
                              </w:rPr>
                              <w:t>Caietul de sarcini</w:t>
                            </w:r>
                          </w:p>
                          <w:p w14:paraId="20AAEE82">
                            <w:pPr>
                              <w:jc w:val="center"/>
                              <w:rPr>
                                <w:rFonts w:asciiTheme="majorHAnsi" w:hAnsiTheme="majorHAnsi" w:cstheme="majorHAnsi"/>
                                <w:b/>
                                <w:color w:val="FFFFFF"/>
                                <w:sz w:val="60"/>
                              </w:rPr>
                            </w:pPr>
                          </w:p>
                          <w:p w14:paraId="588CB795">
                            <w:pPr>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05pt;margin-top:13.35pt;height:60.8pt;width:479.25pt;z-index:251659264;mso-width-relative:page;mso-height-relative:page;" fillcolor="#B7DEE8 [1304]" filled="t" stroked="f" coordsize="21600,21600" o:gfxdata="UEsDBAoAAAAAAIdO4kAAAAAAAAAAAAAAAAAEAAAAZHJzL1BLAwQUAAAACACHTuJA0+TT7NcAAAAI&#10;AQAADwAAAGRycy9kb3ducmV2LnhtbE2PwU7DMBBE70j8g7VI3KiTgkwa4lQIiUvVA7QRZydekoh4&#10;HcVum/D1LCc4ruZp5m2xnd0gzjiF3pOGdJWAQGq87anVUB1f7zIQIRqyZvCEGhYMsC2vrwqTW3+h&#10;dzwfYiu4hEJuNHQxjrmUoenQmbDyIxJnn35yJvI5tdJO5sLlbpDrJFHSmZ54oTMjvnTYfB1OTsPb&#10;cV6+FVXdsm829cfyvK92u0zr25s0eQIRcY5/MPzqszqU7FT7E9kgBg1ZyqCGtXoEwfFGKQWiZu4h&#10;uwdZFvL/A+UPUEsDBBQAAAAIAIdO4kAfW80wNQIAAG4EAAAOAAAAZHJzL2Uyb0RvYy54bWytVNtu&#10;EzEQfUfiHyy/k01CLmWVTVWSFiEVqCh8gOP1Zi28HjN2sglfz9hOSigvfSAPK8/FZ86cGWdxfegM&#10;2yv0GmzFR4MhZ8pKqLXdVvz7t7s3V5z5IGwtDFhV8aPy/Hr5+tWid6UaQwumVsgIxPqydxVvQ3Bl&#10;UXjZqk74AThlKdgAdiKQiduiRtETemeK8XA4K3rA2iFI5T151znIT4j4EkBoGi3VGuSuUzZkVFRG&#10;BGrJt9p5vkxsm0bJ8KVpvArMVJw6DelLRei8id9iuRDlFoVrtTxREC+h8KynTmhLRZ+g1iIItkP9&#10;D1SnJYKHJgwkdEVuJClCXYyGz7R5bIVTqReS2rsn0f3/g5Wf9w/IdF3xtxPOrOho4l9JNWG3RrFp&#10;1Kd3vqS0R/eAsUPv7kH+8MzCqqUsdYMIfatETaxGMb/460I0PF1lm/4T1IQudgGSVIcGuwhIIrBD&#10;msjxaSLqEJgk52x4NZvMp5xJis3n49EsjawQ5fm2Qx8+KOhYPFQciXtCF/t7HyIbUZ5TEnswur7T&#10;xiQDt5uVQbYXtB3v5+vb26t01+w64prdkyH98pqQm5Ypu2dnN+H7DJNq+Ut8Y2MVC7FephI9SZ8o&#10;SZY2HDaHk8obqI+kFEJeU3qkdGgBf3HW04pW3P/cCVScmY+W1H43mkziTidjMp2PycDLyOYyIqwk&#10;qIoHzvJxFfI72DnU25YqjVLzFm5oQo1O4sXpZVYn3rSGqc/Tk4l7fmmnrD9/E8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0+TT7NcAAAAIAQAADwAAAAAAAAABACAAAAAiAAAAZHJzL2Rvd25yZXYu&#10;eG1sUEsBAhQAFAAAAAgAh07iQB9bzTA1AgAAbgQAAA4AAAAAAAAAAQAgAAAAJgEAAGRycy9lMm9E&#10;b2MueG1sUEsFBgAAAAAGAAYAWQEAAM0FAAAAAA==&#10;">
                <v:fill on="t" focussize="0,0"/>
                <v:stroke on="f"/>
                <v:imagedata o:title=""/>
                <o:lock v:ext="edit" aspectratio="f"/>
                <v:textbox>
                  <w:txbxContent>
                    <w:p w14:paraId="6B79524B">
                      <w:pPr>
                        <w:jc w:val="center"/>
                        <w:rPr>
                          <w:rFonts w:asciiTheme="majorHAnsi" w:hAnsiTheme="majorHAnsi" w:cstheme="majorHAnsi"/>
                          <w:b/>
                          <w:color w:val="FFFFFF"/>
                          <w:sz w:val="60"/>
                        </w:rPr>
                      </w:pPr>
                      <w:r>
                        <w:rPr>
                          <w:rFonts w:asciiTheme="majorHAnsi" w:hAnsiTheme="majorHAnsi" w:cstheme="majorHAnsi"/>
                          <w:b/>
                          <w:color w:val="FFFFFF"/>
                          <w:sz w:val="60"/>
                        </w:rPr>
                        <w:t>Caietul de sarcini</w:t>
                      </w:r>
                    </w:p>
                    <w:p w14:paraId="20AAEE82">
                      <w:pPr>
                        <w:jc w:val="center"/>
                        <w:rPr>
                          <w:rFonts w:asciiTheme="majorHAnsi" w:hAnsiTheme="majorHAnsi" w:cstheme="majorHAnsi"/>
                          <w:b/>
                          <w:color w:val="FFFFFF"/>
                          <w:sz w:val="60"/>
                        </w:rPr>
                      </w:pPr>
                    </w:p>
                    <w:p w14:paraId="588CB795">
                      <w:pPr>
                        <w:jc w:val="center"/>
                        <w:rPr>
                          <w:rFonts w:asciiTheme="majorHAnsi" w:hAnsiTheme="majorHAnsi" w:cstheme="majorHAnsi"/>
                          <w:b/>
                        </w:rPr>
                      </w:pPr>
                    </w:p>
                  </w:txbxContent>
                </v:textbox>
              </v:rect>
            </w:pict>
          </mc:Fallback>
        </mc:AlternateContent>
      </w:r>
    </w:p>
    <w:p w14:paraId="249335BB">
      <w:pPr>
        <w:spacing w:after="0" w:line="240" w:lineRule="auto"/>
        <w:jc w:val="center"/>
        <w:rPr>
          <w:rFonts w:asciiTheme="majorHAnsi" w:hAnsiTheme="majorHAnsi" w:cstheme="majorHAnsi"/>
          <w:b/>
          <w:sz w:val="24"/>
          <w:szCs w:val="24"/>
          <w:lang w:val="ro-RO"/>
        </w:rPr>
      </w:pPr>
    </w:p>
    <w:p w14:paraId="3E811F20">
      <w:pPr>
        <w:spacing w:after="0" w:line="240" w:lineRule="auto"/>
        <w:jc w:val="both"/>
        <w:rPr>
          <w:rFonts w:asciiTheme="majorHAnsi" w:hAnsiTheme="majorHAnsi" w:cstheme="majorHAnsi"/>
          <w:sz w:val="24"/>
          <w:szCs w:val="24"/>
          <w:lang w:val="ro-RO"/>
        </w:rPr>
      </w:pPr>
    </w:p>
    <w:p w14:paraId="7A93E072">
      <w:pPr>
        <w:spacing w:after="0" w:line="240" w:lineRule="auto"/>
        <w:jc w:val="both"/>
        <w:rPr>
          <w:rFonts w:asciiTheme="majorHAnsi" w:hAnsiTheme="majorHAnsi" w:cstheme="majorHAnsi"/>
          <w:sz w:val="24"/>
          <w:szCs w:val="24"/>
          <w:lang w:val="ro-RO"/>
        </w:rPr>
      </w:pPr>
    </w:p>
    <w:p w14:paraId="16165CBE">
      <w:pPr>
        <w:spacing w:after="0" w:line="240" w:lineRule="auto"/>
        <w:jc w:val="both"/>
        <w:rPr>
          <w:rFonts w:asciiTheme="majorHAnsi" w:hAnsiTheme="majorHAnsi" w:cstheme="majorHAnsi"/>
          <w:sz w:val="24"/>
          <w:szCs w:val="24"/>
          <w:lang w:val="ro-RO"/>
        </w:rPr>
      </w:pPr>
      <w:r>
        <w:rPr>
          <w:rFonts w:asciiTheme="majorHAnsi" w:hAnsiTheme="majorHAnsi" w:cstheme="majorHAnsi"/>
          <w:b/>
          <w:sz w:val="24"/>
          <w:szCs w:val="24"/>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6350</wp:posOffset>
                </wp:positionV>
                <wp:extent cx="6086475" cy="1295400"/>
                <wp:effectExtent l="0" t="0" r="9525" b="0"/>
                <wp:wrapNone/>
                <wp:docPr id="33" name="Rectangle 6"/>
                <wp:cNvGraphicFramePr/>
                <a:graphic xmlns:a="http://schemas.openxmlformats.org/drawingml/2006/main">
                  <a:graphicData uri="http://schemas.microsoft.com/office/word/2010/wordprocessingShape">
                    <wps:wsp>
                      <wps:cNvSpPr>
                        <a:spLocks noChangeArrowheads="1"/>
                      </wps:cNvSpPr>
                      <wps:spPr bwMode="auto">
                        <a:xfrm>
                          <a:off x="0" y="0"/>
                          <a:ext cx="6086475" cy="1295400"/>
                        </a:xfrm>
                        <a:prstGeom prst="rect">
                          <a:avLst/>
                        </a:prstGeom>
                        <a:solidFill>
                          <a:schemeClr val="tx2">
                            <a:lumMod val="20000"/>
                            <a:lumOff val="80000"/>
                          </a:schemeClr>
                        </a:solidFill>
                        <a:ln>
                          <a:noFill/>
                        </a:ln>
                      </wps:spPr>
                      <wps:txbx>
                        <w:txbxContent>
                          <w:p w14:paraId="53151B92">
                            <w:pPr>
                              <w:spacing w:after="0" w:line="240" w:lineRule="auto"/>
                              <w:jc w:val="center"/>
                              <w:rPr>
                                <w:rFonts w:asciiTheme="majorHAnsi" w:hAnsiTheme="majorHAnsi" w:cstheme="majorHAnsi"/>
                                <w:spacing w:val="-3"/>
                                <w:sz w:val="28"/>
                                <w:szCs w:val="28"/>
                              </w:rPr>
                            </w:pPr>
                            <w:r>
                              <w:rPr>
                                <w:rFonts w:asciiTheme="majorHAnsi" w:hAnsiTheme="majorHAnsi" w:cstheme="majorHAnsi"/>
                                <w:spacing w:val="-3"/>
                                <w:sz w:val="28"/>
                                <w:szCs w:val="28"/>
                              </w:rPr>
                              <w:t>Contract de delegare prin negociere fara publicare a unui anunt prealabil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Calarasi, Zona 2 Oltenita</w:t>
                            </w:r>
                          </w:p>
                          <w:p w14:paraId="6BCFA0E1">
                            <w:pPr>
                              <w:spacing w:after="0" w:line="240" w:lineRule="auto"/>
                              <w:rPr>
                                <w:rFonts w:asciiTheme="majorHAnsi" w:hAnsiTheme="majorHAnsi" w:cstheme="majorHAnsi"/>
                                <w:sz w:val="28"/>
                                <w:szCs w:val="28"/>
                              </w:rPr>
                            </w:pPr>
                          </w:p>
                          <w:p w14:paraId="3C045DF1">
                            <w:pPr>
                              <w:pStyle w:val="185"/>
                              <w:spacing w:line="276" w:lineRule="auto"/>
                              <w:jc w:val="center"/>
                              <w:rPr>
                                <w:rFonts w:asciiTheme="majorHAnsi" w:hAnsiTheme="majorHAnsi" w:cstheme="majorHAnsi"/>
                                <w:szCs w:val="28"/>
                                <w:lang w:val="ro-RO"/>
                              </w:rPr>
                            </w:pPr>
                          </w:p>
                        </w:txbxContent>
                      </wps:txbx>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4.05pt;margin-top:0.5pt;height:102pt;width:479.25pt;z-index:251660288;mso-width-relative:page;mso-height-relative:page;" fillcolor="#C6D9F1 [671]" filled="t" stroked="f" coordsize="21600,21600" o:gfxdata="UEsDBAoAAAAAAIdO4kAAAAAAAAAAAAAAAAAEAAAAZHJzL1BLAwQUAAAACACHTuJAkQPxDNcAAAAH&#10;AQAADwAAAGRycy9kb3ducmV2LnhtbE2PwU7DMBBE70j8g7VI3KidSo1KGqcHJAQUOLRUQtyceBtH&#10;xOsodtP271lOcJyd0czbcn32vZhwjF0gDdlMgUBqgu2o1bD/eLxbgojJkDV9INRwwQjr6vqqNIUN&#10;J9ritEut4BKKhdHgUhoKKWPj0Js4CwMSe4cwepNYjq20ozlxue/lXKlcetMRLzgz4IPD5nt39Bo+&#10;n14nWb9vnM/k2+Ll67J53pPR+vYmUysQCc/pLwy/+IwOFTPV4Ug2il7DMuMgn/khdu/zPAdRa5ir&#10;hQJZlfI/f/UDUEsDBBQAAAAIAIdO4kA7nMtuNQIAAG8EAAAOAAAAZHJzL2Uyb0RvYy54bWytVE1v&#10;2zAMvQ/YfxB0X+ykSZoadYoiQYcB3Vqs2w9QZDkWJosapcTpfv0oKc2y7tLDLob4ocfHR8rXN4fe&#10;sL1Cr8HWfDwqOVNWQqPttubfv919WHDmg7CNMGBVzZ+V5zfL9++uB1epCXRgGoWMQKyvBlfzLgRX&#10;FYWXneqFH4FTloItYC8CmbgtGhQDofemmJTlvBgAG4cglffkXecgPyLiWwChbbVUa5C7XtmQUVEZ&#10;Eagl32nn+TKxbVslw0PbehWYqTl1GtKXitB5E7/F8lpUWxSu0/JIQbyFwqueeqEtFT1BrUUQbIf6&#10;H6heSwQPbRhJ6IvcSFKEuhiXr7R56oRTqReS2ruT6P7/wcov+0dkuqn5xQVnVvQ08a+kmrBbo9g8&#10;6jM4X1Hak3vE2KF39yB/eGZh1VGWukWEoVOiIVbjmF/8dSEanq6yzfAZGkIXuwBJqkOLfQQkEdgh&#10;TeT5NBF1CEySc14u5tPLGWeSYuPJ1WxappkVonq57tCHjwp6Fg81RyKf4MX+3odIR1QvKYk+GN3c&#10;aWOSgdvNyiDbC1qP1Xx9dTdOd82uJ7LZTTuba4qK3LRN2b14cRO+zzCplj/HNzZWsRDrZSrRkwSK&#10;mmRtw2FzOMq8geaZpELIe0qvlA4d4C/OBtrRmvufO4GKM/PJktxX4+k0LnUyprPLCRl4HtmcR4SV&#10;BFXzwFk+rkJ+CDuHettRpdy8hVsaUauTeHF8mdWRN+1h6vP4ZuKin9sp689/Yvk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kQPxDNcAAAAHAQAADwAAAAAAAAABACAAAAAiAAAAZHJzL2Rvd25yZXYu&#10;eG1sUEsBAhQAFAAAAAgAh07iQDucy241AgAAbwQAAA4AAAAAAAAAAQAgAAAAJgEAAGRycy9lMm9E&#10;b2MueG1sUEsFBgAAAAAGAAYAWQEAAM0FAAAAAA==&#10;">
                <v:fill on="t" focussize="0,0"/>
                <v:stroke on="f"/>
                <v:imagedata o:title=""/>
                <o:lock v:ext="edit" aspectratio="f"/>
                <v:textbox>
                  <w:txbxContent>
                    <w:p w14:paraId="53151B92">
                      <w:pPr>
                        <w:spacing w:after="0" w:line="240" w:lineRule="auto"/>
                        <w:jc w:val="center"/>
                        <w:rPr>
                          <w:rFonts w:asciiTheme="majorHAnsi" w:hAnsiTheme="majorHAnsi" w:cstheme="majorHAnsi"/>
                          <w:spacing w:val="-3"/>
                          <w:sz w:val="28"/>
                          <w:szCs w:val="28"/>
                        </w:rPr>
                      </w:pPr>
                      <w:r>
                        <w:rPr>
                          <w:rFonts w:asciiTheme="majorHAnsi" w:hAnsiTheme="majorHAnsi" w:cstheme="majorHAnsi"/>
                          <w:spacing w:val="-3"/>
                          <w:sz w:val="28"/>
                          <w:szCs w:val="28"/>
                        </w:rPr>
                        <w:t>Contract de delegare prin negociere fara publicare a unui anunt prealabil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Calarasi, Zona 2 Oltenita</w:t>
                      </w:r>
                    </w:p>
                    <w:p w14:paraId="6BCFA0E1">
                      <w:pPr>
                        <w:spacing w:after="0" w:line="240" w:lineRule="auto"/>
                        <w:rPr>
                          <w:rFonts w:asciiTheme="majorHAnsi" w:hAnsiTheme="majorHAnsi" w:cstheme="majorHAnsi"/>
                          <w:sz w:val="28"/>
                          <w:szCs w:val="28"/>
                        </w:rPr>
                      </w:pPr>
                    </w:p>
                    <w:p w14:paraId="3C045DF1">
                      <w:pPr>
                        <w:pStyle w:val="185"/>
                        <w:spacing w:line="276" w:lineRule="auto"/>
                        <w:jc w:val="center"/>
                        <w:rPr>
                          <w:rFonts w:asciiTheme="majorHAnsi" w:hAnsiTheme="majorHAnsi" w:cstheme="majorHAnsi"/>
                          <w:szCs w:val="28"/>
                          <w:lang w:val="ro-RO"/>
                        </w:rPr>
                      </w:pPr>
                    </w:p>
                  </w:txbxContent>
                </v:textbox>
              </v:rect>
            </w:pict>
          </mc:Fallback>
        </mc:AlternateContent>
      </w:r>
    </w:p>
    <w:p w14:paraId="72F0AB14">
      <w:pPr>
        <w:spacing w:after="0" w:line="240" w:lineRule="auto"/>
        <w:jc w:val="both"/>
        <w:rPr>
          <w:rFonts w:asciiTheme="majorHAnsi" w:hAnsiTheme="majorHAnsi" w:cstheme="majorHAnsi"/>
          <w:sz w:val="24"/>
          <w:szCs w:val="24"/>
          <w:lang w:val="ro-RO"/>
        </w:rPr>
      </w:pPr>
    </w:p>
    <w:p w14:paraId="15E0181A">
      <w:pPr>
        <w:spacing w:after="0" w:line="240" w:lineRule="auto"/>
        <w:jc w:val="both"/>
        <w:rPr>
          <w:rFonts w:asciiTheme="majorHAnsi" w:hAnsiTheme="majorHAnsi" w:cstheme="majorHAnsi"/>
          <w:sz w:val="24"/>
          <w:szCs w:val="24"/>
          <w:lang w:val="ro-RO"/>
        </w:rPr>
      </w:pPr>
    </w:p>
    <w:p w14:paraId="51095E68">
      <w:pPr>
        <w:spacing w:after="0" w:line="240" w:lineRule="auto"/>
        <w:jc w:val="both"/>
        <w:rPr>
          <w:rFonts w:asciiTheme="majorHAnsi" w:hAnsiTheme="majorHAnsi" w:cstheme="majorHAnsi"/>
          <w:sz w:val="24"/>
          <w:szCs w:val="24"/>
          <w:lang w:val="ro-RO"/>
        </w:rPr>
      </w:pPr>
    </w:p>
    <w:p w14:paraId="6F77A820">
      <w:pPr>
        <w:spacing w:after="0" w:line="240" w:lineRule="auto"/>
        <w:jc w:val="both"/>
        <w:rPr>
          <w:rFonts w:asciiTheme="majorHAnsi" w:hAnsiTheme="majorHAnsi" w:cstheme="majorHAnsi"/>
          <w:sz w:val="24"/>
          <w:szCs w:val="24"/>
          <w:lang w:val="ro-RO"/>
        </w:rPr>
      </w:pPr>
    </w:p>
    <w:p w14:paraId="5C79C67D">
      <w:pPr>
        <w:spacing w:after="0" w:line="240" w:lineRule="auto"/>
        <w:jc w:val="center"/>
        <w:rPr>
          <w:rFonts w:asciiTheme="majorHAnsi" w:hAnsiTheme="majorHAnsi" w:cstheme="majorHAnsi"/>
          <w:sz w:val="24"/>
          <w:szCs w:val="24"/>
          <w:lang w:val="ro-RO"/>
        </w:rPr>
      </w:pPr>
    </w:p>
    <w:p w14:paraId="28D43D6A">
      <w:pPr>
        <w:spacing w:after="0" w:line="240" w:lineRule="auto"/>
        <w:jc w:val="center"/>
        <w:rPr>
          <w:rFonts w:asciiTheme="majorHAnsi" w:hAnsiTheme="majorHAnsi" w:cstheme="majorHAnsi"/>
          <w:sz w:val="24"/>
          <w:szCs w:val="24"/>
          <w:lang w:val="ro-RO"/>
        </w:rPr>
      </w:pPr>
    </w:p>
    <w:p w14:paraId="7144CE1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Documentație de atribuire:</w:t>
      </w:r>
    </w:p>
    <w:p w14:paraId="77A44118">
      <w:pPr>
        <w:pStyle w:val="164"/>
        <w:numPr>
          <w:ilvl w:val="0"/>
          <w:numId w:val="9"/>
        </w:num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Fișa de date a achiziției</w:t>
      </w:r>
    </w:p>
    <w:p w14:paraId="73621AA5">
      <w:pPr>
        <w:pStyle w:val="164"/>
        <w:numPr>
          <w:ilvl w:val="0"/>
          <w:numId w:val="9"/>
        </w:numPr>
        <w:spacing w:after="0" w:line="240" w:lineRule="auto"/>
        <w:rPr>
          <w:rFonts w:asciiTheme="majorHAnsi" w:hAnsiTheme="majorHAnsi" w:cstheme="majorHAnsi"/>
          <w:b/>
          <w:bCs/>
          <w:sz w:val="24"/>
          <w:szCs w:val="24"/>
          <w:lang w:val="ro-RO"/>
        </w:rPr>
      </w:pPr>
      <w:r>
        <w:rPr>
          <w:rFonts w:asciiTheme="majorHAnsi" w:hAnsiTheme="majorHAnsi" w:cstheme="majorHAnsi"/>
          <w:b/>
          <w:bCs/>
          <w:sz w:val="24"/>
          <w:szCs w:val="24"/>
          <w:lang w:val="ro-RO"/>
        </w:rPr>
        <w:t>Caiet de sarcini</w:t>
      </w:r>
    </w:p>
    <w:p w14:paraId="15A51F8F">
      <w:pPr>
        <w:pStyle w:val="164"/>
        <w:numPr>
          <w:ilvl w:val="0"/>
          <w:numId w:val="9"/>
        </w:num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Formulare</w:t>
      </w:r>
    </w:p>
    <w:p w14:paraId="7AB86EE9">
      <w:pPr>
        <w:pStyle w:val="164"/>
        <w:numPr>
          <w:ilvl w:val="0"/>
          <w:numId w:val="9"/>
        </w:num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Condiții contractuale</w:t>
      </w:r>
    </w:p>
    <w:p w14:paraId="1083E92B">
      <w:pPr>
        <w:pStyle w:val="164"/>
        <w:numPr>
          <w:ilvl w:val="0"/>
          <w:numId w:val="9"/>
        </w:num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Regulamentul serviciului public de salubrizare a localităților din județul Calarasi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3"/>
        <w:gridCol w:w="3304"/>
        <w:gridCol w:w="3304"/>
      </w:tblGrid>
      <w:tr w14:paraId="5EAC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3" w:type="dxa"/>
            <w:shd w:val="clear" w:color="auto" w:fill="DAEEF3" w:themeFill="accent5" w:themeFillTint="33"/>
          </w:tcPr>
          <w:p w14:paraId="79D4F5D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Procedura achiziție</w:t>
            </w:r>
          </w:p>
        </w:tc>
        <w:tc>
          <w:tcPr>
            <w:tcW w:w="3304" w:type="dxa"/>
            <w:shd w:val="clear" w:color="auto" w:fill="DAEEF3" w:themeFill="accent5" w:themeFillTint="33"/>
          </w:tcPr>
          <w:p w14:paraId="79E8C220">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Obiect servicii</w:t>
            </w:r>
          </w:p>
        </w:tc>
        <w:tc>
          <w:tcPr>
            <w:tcW w:w="3304" w:type="dxa"/>
            <w:shd w:val="clear" w:color="auto" w:fill="DAEEF3" w:themeFill="accent5" w:themeFillTint="33"/>
          </w:tcPr>
          <w:p w14:paraId="716C314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Cod CPV</w:t>
            </w:r>
          </w:p>
        </w:tc>
      </w:tr>
      <w:tr w14:paraId="0217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3" w:type="dxa"/>
            <w:vMerge w:val="restart"/>
          </w:tcPr>
          <w:p w14:paraId="09366E3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Licitație deschisa</w:t>
            </w:r>
          </w:p>
        </w:tc>
        <w:tc>
          <w:tcPr>
            <w:tcW w:w="3304" w:type="dxa"/>
            <w:vMerge w:val="restart"/>
          </w:tcPr>
          <w:p w14:paraId="27BDD3C4">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Calarasi, Zona 2 </w:t>
            </w:r>
          </w:p>
        </w:tc>
        <w:tc>
          <w:tcPr>
            <w:tcW w:w="3304" w:type="dxa"/>
          </w:tcPr>
          <w:p w14:paraId="3871D57A">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90500000-2 Servicii privind deșeurile menajere si deșeurile (Rev.2)</w:t>
            </w:r>
          </w:p>
        </w:tc>
      </w:tr>
      <w:tr w14:paraId="74EA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3" w:type="dxa"/>
            <w:vMerge w:val="continue"/>
          </w:tcPr>
          <w:p w14:paraId="5C1241ED">
            <w:pPr>
              <w:spacing w:after="0" w:line="240" w:lineRule="auto"/>
              <w:rPr>
                <w:rFonts w:asciiTheme="majorHAnsi" w:hAnsiTheme="majorHAnsi" w:cstheme="majorHAnsi"/>
                <w:sz w:val="24"/>
                <w:szCs w:val="24"/>
                <w:lang w:val="ro-RO"/>
              </w:rPr>
            </w:pPr>
          </w:p>
        </w:tc>
        <w:tc>
          <w:tcPr>
            <w:tcW w:w="3304" w:type="dxa"/>
            <w:vMerge w:val="continue"/>
          </w:tcPr>
          <w:p w14:paraId="4378073A">
            <w:pPr>
              <w:spacing w:after="0" w:line="240" w:lineRule="auto"/>
              <w:rPr>
                <w:rFonts w:asciiTheme="majorHAnsi" w:hAnsiTheme="majorHAnsi" w:cstheme="majorHAnsi"/>
                <w:sz w:val="24"/>
                <w:szCs w:val="24"/>
                <w:lang w:val="ro-RO"/>
              </w:rPr>
            </w:pPr>
          </w:p>
        </w:tc>
        <w:tc>
          <w:tcPr>
            <w:tcW w:w="3304" w:type="dxa"/>
          </w:tcPr>
          <w:p w14:paraId="6EBA1CA6">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90511100-3 Servicii de colectare a deșeurilor urbane solide (Rev.2)</w:t>
            </w:r>
          </w:p>
        </w:tc>
      </w:tr>
      <w:tr w14:paraId="7751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3" w:type="dxa"/>
            <w:vMerge w:val="continue"/>
          </w:tcPr>
          <w:p w14:paraId="52B4FFF9">
            <w:pPr>
              <w:spacing w:after="0" w:line="240" w:lineRule="auto"/>
              <w:rPr>
                <w:rFonts w:asciiTheme="majorHAnsi" w:hAnsiTheme="majorHAnsi" w:cstheme="majorHAnsi"/>
                <w:sz w:val="24"/>
                <w:szCs w:val="24"/>
                <w:lang w:val="ro-RO"/>
              </w:rPr>
            </w:pPr>
          </w:p>
        </w:tc>
        <w:tc>
          <w:tcPr>
            <w:tcW w:w="3304" w:type="dxa"/>
            <w:vMerge w:val="continue"/>
          </w:tcPr>
          <w:p w14:paraId="04CCE37B">
            <w:pPr>
              <w:spacing w:after="0" w:line="240" w:lineRule="auto"/>
              <w:rPr>
                <w:rFonts w:asciiTheme="majorHAnsi" w:hAnsiTheme="majorHAnsi" w:cstheme="majorHAnsi"/>
                <w:sz w:val="24"/>
                <w:szCs w:val="24"/>
                <w:lang w:val="ro-RO"/>
              </w:rPr>
            </w:pPr>
          </w:p>
        </w:tc>
        <w:tc>
          <w:tcPr>
            <w:tcW w:w="3304" w:type="dxa"/>
          </w:tcPr>
          <w:p w14:paraId="433F8800">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90511300-5 Servicii de colectare a deșeurilor dispersate (Rev.2)</w:t>
            </w:r>
          </w:p>
        </w:tc>
      </w:tr>
      <w:tr w14:paraId="131B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3" w:type="dxa"/>
            <w:vMerge w:val="continue"/>
          </w:tcPr>
          <w:p w14:paraId="04715A1B">
            <w:pPr>
              <w:spacing w:after="0" w:line="240" w:lineRule="auto"/>
              <w:rPr>
                <w:rFonts w:asciiTheme="majorHAnsi" w:hAnsiTheme="majorHAnsi" w:cstheme="majorHAnsi"/>
                <w:sz w:val="24"/>
                <w:szCs w:val="24"/>
                <w:lang w:val="ro-RO"/>
              </w:rPr>
            </w:pPr>
          </w:p>
        </w:tc>
        <w:tc>
          <w:tcPr>
            <w:tcW w:w="3304" w:type="dxa"/>
            <w:vMerge w:val="continue"/>
          </w:tcPr>
          <w:p w14:paraId="0B9A82F9">
            <w:pPr>
              <w:spacing w:after="0" w:line="240" w:lineRule="auto"/>
              <w:rPr>
                <w:rFonts w:asciiTheme="majorHAnsi" w:hAnsiTheme="majorHAnsi" w:cstheme="majorHAnsi"/>
                <w:sz w:val="24"/>
                <w:szCs w:val="24"/>
                <w:lang w:val="ro-RO"/>
              </w:rPr>
            </w:pPr>
          </w:p>
        </w:tc>
        <w:tc>
          <w:tcPr>
            <w:tcW w:w="3304" w:type="dxa"/>
          </w:tcPr>
          <w:p w14:paraId="419F30A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90512000-9 Servicii de transport de deșeuri menajere (Rev.2)</w:t>
            </w:r>
          </w:p>
        </w:tc>
      </w:tr>
      <w:tr w14:paraId="4801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3" w:type="dxa"/>
            <w:vMerge w:val="continue"/>
          </w:tcPr>
          <w:p w14:paraId="0E3769E2">
            <w:pPr>
              <w:spacing w:after="0" w:line="240" w:lineRule="auto"/>
              <w:rPr>
                <w:rFonts w:asciiTheme="majorHAnsi" w:hAnsiTheme="majorHAnsi" w:cstheme="majorHAnsi"/>
                <w:sz w:val="24"/>
                <w:szCs w:val="24"/>
                <w:lang w:val="ro-RO"/>
              </w:rPr>
            </w:pPr>
          </w:p>
        </w:tc>
        <w:tc>
          <w:tcPr>
            <w:tcW w:w="3304" w:type="dxa"/>
            <w:vMerge w:val="continue"/>
          </w:tcPr>
          <w:p w14:paraId="7EE5B560">
            <w:pPr>
              <w:spacing w:after="0" w:line="240" w:lineRule="auto"/>
              <w:rPr>
                <w:rFonts w:asciiTheme="majorHAnsi" w:hAnsiTheme="majorHAnsi" w:cstheme="majorHAnsi"/>
                <w:sz w:val="24"/>
                <w:szCs w:val="24"/>
                <w:lang w:val="ro-RO"/>
              </w:rPr>
            </w:pPr>
          </w:p>
        </w:tc>
        <w:tc>
          <w:tcPr>
            <w:tcW w:w="3304" w:type="dxa"/>
          </w:tcPr>
          <w:p w14:paraId="4D6C1F82">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90511400-6 Servicii de colectare a hârtiei (Rev.2)</w:t>
            </w:r>
          </w:p>
        </w:tc>
      </w:tr>
      <w:tr w14:paraId="7237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3" w:type="dxa"/>
            <w:vMerge w:val="continue"/>
          </w:tcPr>
          <w:p w14:paraId="7E8A28FC">
            <w:pPr>
              <w:spacing w:after="0" w:line="240" w:lineRule="auto"/>
              <w:rPr>
                <w:rFonts w:asciiTheme="majorHAnsi" w:hAnsiTheme="majorHAnsi" w:cstheme="majorHAnsi"/>
                <w:sz w:val="24"/>
                <w:szCs w:val="24"/>
                <w:lang w:val="ro-RO"/>
              </w:rPr>
            </w:pPr>
          </w:p>
        </w:tc>
        <w:tc>
          <w:tcPr>
            <w:tcW w:w="3304" w:type="dxa"/>
            <w:vMerge w:val="continue"/>
          </w:tcPr>
          <w:p w14:paraId="15534768">
            <w:pPr>
              <w:spacing w:after="0" w:line="240" w:lineRule="auto"/>
              <w:rPr>
                <w:rFonts w:asciiTheme="majorHAnsi" w:hAnsiTheme="majorHAnsi" w:cstheme="majorHAnsi"/>
                <w:sz w:val="24"/>
                <w:szCs w:val="24"/>
                <w:lang w:val="ro-RO"/>
              </w:rPr>
            </w:pPr>
          </w:p>
        </w:tc>
        <w:tc>
          <w:tcPr>
            <w:tcW w:w="3304" w:type="dxa"/>
          </w:tcPr>
          <w:p w14:paraId="5B76A8D6">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90511200-4 Servicii de colectare a gunoiului menajer (Rev.2)</w:t>
            </w:r>
          </w:p>
        </w:tc>
      </w:tr>
    </w:tbl>
    <w:p w14:paraId="6518A1A8">
      <w:pPr>
        <w:pStyle w:val="186"/>
        <w:spacing w:before="0" w:after="0" w:line="240" w:lineRule="auto"/>
        <w:rPr>
          <w:rFonts w:asciiTheme="majorHAnsi" w:hAnsiTheme="majorHAnsi" w:cstheme="majorHAnsi"/>
          <w:sz w:val="24"/>
          <w:szCs w:val="24"/>
          <w:lang w:val="ro-RO"/>
        </w:rPr>
      </w:pPr>
    </w:p>
    <w:p w14:paraId="6332B499">
      <w:pPr>
        <w:rPr>
          <w:rFonts w:asciiTheme="majorHAnsi" w:hAnsiTheme="majorHAnsi" w:cstheme="majorHAnsi"/>
          <w:sz w:val="24"/>
          <w:szCs w:val="24"/>
          <w:lang w:val="ro-RO" w:eastAsia="en-GB"/>
        </w:rPr>
      </w:pPr>
      <w:r>
        <w:rPr>
          <w:rFonts w:asciiTheme="majorHAnsi" w:hAnsiTheme="majorHAnsi" w:cstheme="majorHAnsi"/>
          <w:sz w:val="24"/>
          <w:szCs w:val="24"/>
          <w:lang w:val="ro-RO"/>
        </w:rPr>
        <w:br w:type="page"/>
      </w:r>
    </w:p>
    <w:p w14:paraId="2221A0F8">
      <w:pPr>
        <w:pStyle w:val="186"/>
        <w:spacing w:before="0" w:after="0" w:line="240" w:lineRule="auto"/>
        <w:rPr>
          <w:rFonts w:asciiTheme="majorHAnsi" w:hAnsiTheme="majorHAnsi" w:cstheme="majorHAnsi"/>
          <w:sz w:val="24"/>
          <w:szCs w:val="24"/>
          <w:lang w:val="ro-RO"/>
        </w:rPr>
      </w:pPr>
    </w:p>
    <w:p w14:paraId="7CFEA489">
      <w:pPr>
        <w:pStyle w:val="186"/>
        <w:spacing w:before="0"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ABREVIERI</w:t>
      </w:r>
    </w:p>
    <w:tbl>
      <w:tblPr>
        <w:tblStyle w:val="12"/>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7760"/>
      </w:tblGrid>
      <w:tr w14:paraId="4767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3F7CBC90">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ADI</w:t>
            </w:r>
          </w:p>
        </w:tc>
        <w:tc>
          <w:tcPr>
            <w:tcW w:w="7760" w:type="dxa"/>
            <w:noWrap/>
            <w:vAlign w:val="center"/>
          </w:tcPr>
          <w:p w14:paraId="2F5ABF3F">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 xml:space="preserve">Asociația de Dezvoltare Intercomunitară </w:t>
            </w:r>
          </w:p>
        </w:tc>
      </w:tr>
      <w:tr w14:paraId="0D65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704CA10F">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SIGD</w:t>
            </w:r>
          </w:p>
        </w:tc>
        <w:tc>
          <w:tcPr>
            <w:tcW w:w="7760" w:type="dxa"/>
            <w:noWrap/>
            <w:vAlign w:val="center"/>
          </w:tcPr>
          <w:p w14:paraId="46CBA426">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Sistem Integrat de Gestiune a Deșeurilor Calarasi</w:t>
            </w:r>
          </w:p>
        </w:tc>
      </w:tr>
      <w:tr w14:paraId="7E7D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7DBAB4BF">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AFM</w:t>
            </w:r>
          </w:p>
        </w:tc>
        <w:tc>
          <w:tcPr>
            <w:tcW w:w="7760" w:type="dxa"/>
            <w:noWrap/>
            <w:vAlign w:val="center"/>
          </w:tcPr>
          <w:p w14:paraId="7EB4F08E">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Administrația Fondului pentru Mediu</w:t>
            </w:r>
          </w:p>
        </w:tc>
      </w:tr>
      <w:tr w14:paraId="2AED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2C69A927">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ANPC</w:t>
            </w:r>
          </w:p>
        </w:tc>
        <w:tc>
          <w:tcPr>
            <w:tcW w:w="7760" w:type="dxa"/>
            <w:noWrap/>
            <w:vAlign w:val="center"/>
          </w:tcPr>
          <w:p w14:paraId="6C8AFBE1">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Autoritatea Națională pentru Protecția Consumatorilor</w:t>
            </w:r>
          </w:p>
        </w:tc>
      </w:tr>
      <w:tr w14:paraId="65F3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03F25B07">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ANPM</w:t>
            </w:r>
          </w:p>
        </w:tc>
        <w:tc>
          <w:tcPr>
            <w:tcW w:w="7760" w:type="dxa"/>
            <w:noWrap/>
            <w:vAlign w:val="center"/>
          </w:tcPr>
          <w:p w14:paraId="039AD53E">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Agenția Națională pentru Protecția Mediului</w:t>
            </w:r>
          </w:p>
        </w:tc>
      </w:tr>
      <w:tr w14:paraId="5C48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43C71DBA">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ANRSC</w:t>
            </w:r>
          </w:p>
        </w:tc>
        <w:tc>
          <w:tcPr>
            <w:tcW w:w="7760" w:type="dxa"/>
            <w:noWrap/>
            <w:vAlign w:val="center"/>
          </w:tcPr>
          <w:p w14:paraId="48CC2F87">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Autoritatea Națională de Reglementare pentru Serviciile Comunitare de Utilități Publice</w:t>
            </w:r>
          </w:p>
        </w:tc>
      </w:tr>
      <w:tr w14:paraId="111A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5742F9DE">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APL</w:t>
            </w:r>
          </w:p>
        </w:tc>
        <w:tc>
          <w:tcPr>
            <w:tcW w:w="7760" w:type="dxa"/>
            <w:noWrap/>
            <w:vAlign w:val="center"/>
          </w:tcPr>
          <w:p w14:paraId="3F789C8E">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Autorități Publice Locale</w:t>
            </w:r>
          </w:p>
        </w:tc>
      </w:tr>
      <w:tr w14:paraId="7D41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4AEEAFCA">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APM</w:t>
            </w:r>
          </w:p>
        </w:tc>
        <w:tc>
          <w:tcPr>
            <w:tcW w:w="7760" w:type="dxa"/>
            <w:noWrap/>
            <w:vAlign w:val="center"/>
          </w:tcPr>
          <w:p w14:paraId="41DAAD94">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Agenții județene pentru Protecția Mediului</w:t>
            </w:r>
          </w:p>
        </w:tc>
      </w:tr>
      <w:tr w14:paraId="0243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6097EB68">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CAEN</w:t>
            </w:r>
          </w:p>
        </w:tc>
        <w:tc>
          <w:tcPr>
            <w:tcW w:w="7760" w:type="dxa"/>
            <w:noWrap/>
            <w:vAlign w:val="center"/>
          </w:tcPr>
          <w:p w14:paraId="3F2ED238">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Clasificarea activităților din Economia Națională</w:t>
            </w:r>
          </w:p>
        </w:tc>
      </w:tr>
      <w:tr w14:paraId="5435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70F50576">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CE</w:t>
            </w:r>
          </w:p>
        </w:tc>
        <w:tc>
          <w:tcPr>
            <w:tcW w:w="7760" w:type="dxa"/>
            <w:noWrap/>
            <w:vAlign w:val="center"/>
          </w:tcPr>
          <w:p w14:paraId="02DF867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Comisia Europeană</w:t>
            </w:r>
          </w:p>
        </w:tc>
      </w:tr>
      <w:tr w14:paraId="4F3D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2121E5E3">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 xml:space="preserve">CJ Calarasi </w:t>
            </w:r>
          </w:p>
        </w:tc>
        <w:tc>
          <w:tcPr>
            <w:tcW w:w="7760" w:type="dxa"/>
            <w:noWrap/>
            <w:vAlign w:val="center"/>
          </w:tcPr>
          <w:p w14:paraId="2C7CEA84">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Consiliul Județean Calarasi</w:t>
            </w:r>
          </w:p>
        </w:tc>
      </w:tr>
      <w:tr w14:paraId="6DD9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08770ECE">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DCD</w:t>
            </w:r>
          </w:p>
        </w:tc>
        <w:tc>
          <w:tcPr>
            <w:tcW w:w="7760" w:type="dxa"/>
            <w:noWrap/>
            <w:vAlign w:val="center"/>
          </w:tcPr>
          <w:p w14:paraId="5A7FA490">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Deșeuri din construcții și desființări</w:t>
            </w:r>
          </w:p>
        </w:tc>
      </w:tr>
      <w:tr w14:paraId="45DD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3D421527">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DEEE</w:t>
            </w:r>
          </w:p>
        </w:tc>
        <w:tc>
          <w:tcPr>
            <w:tcW w:w="7760" w:type="dxa"/>
            <w:noWrap/>
            <w:vAlign w:val="center"/>
          </w:tcPr>
          <w:p w14:paraId="2B325B1A">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Deșeuri de Echipamente Electrice și Electronice</w:t>
            </w:r>
          </w:p>
        </w:tc>
      </w:tr>
      <w:tr w14:paraId="00EA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65D2DFA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FADI</w:t>
            </w:r>
          </w:p>
        </w:tc>
        <w:tc>
          <w:tcPr>
            <w:tcW w:w="7760" w:type="dxa"/>
            <w:noWrap/>
            <w:vAlign w:val="center"/>
          </w:tcPr>
          <w:p w14:paraId="65DA4089">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Federația Asociațiilor de Dezvoltare Intercomunitară din România</w:t>
            </w:r>
          </w:p>
        </w:tc>
      </w:tr>
      <w:tr w14:paraId="6A4B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48687FC0">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HG</w:t>
            </w:r>
          </w:p>
        </w:tc>
        <w:tc>
          <w:tcPr>
            <w:tcW w:w="7760" w:type="dxa"/>
            <w:noWrap/>
            <w:vAlign w:val="center"/>
          </w:tcPr>
          <w:p w14:paraId="6BF9D41F">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Hotărâre a Guvernului</w:t>
            </w:r>
          </w:p>
        </w:tc>
      </w:tr>
      <w:tr w14:paraId="00CE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7155672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INS</w:t>
            </w:r>
          </w:p>
        </w:tc>
        <w:tc>
          <w:tcPr>
            <w:tcW w:w="7760" w:type="dxa"/>
            <w:noWrap/>
            <w:vAlign w:val="center"/>
          </w:tcPr>
          <w:p w14:paraId="74627923">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Institutul Național de Statistică</w:t>
            </w:r>
          </w:p>
        </w:tc>
      </w:tr>
      <w:tr w14:paraId="2561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7F042EA3">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MM</w:t>
            </w:r>
          </w:p>
        </w:tc>
        <w:tc>
          <w:tcPr>
            <w:tcW w:w="7760" w:type="dxa"/>
            <w:noWrap/>
            <w:vAlign w:val="center"/>
          </w:tcPr>
          <w:p w14:paraId="5E7E110F">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Ministerul Mediului</w:t>
            </w:r>
          </w:p>
        </w:tc>
      </w:tr>
      <w:tr w14:paraId="5469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2330AFC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MADR</w:t>
            </w:r>
          </w:p>
        </w:tc>
        <w:tc>
          <w:tcPr>
            <w:tcW w:w="7760" w:type="dxa"/>
            <w:noWrap/>
            <w:vAlign w:val="center"/>
          </w:tcPr>
          <w:p w14:paraId="1DD3762D">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Ministerului Agriculturii și Dezvoltării Rurale</w:t>
            </w:r>
          </w:p>
        </w:tc>
      </w:tr>
      <w:tr w14:paraId="1432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6AC2D9CF">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MDRAPFE</w:t>
            </w:r>
          </w:p>
        </w:tc>
        <w:tc>
          <w:tcPr>
            <w:tcW w:w="7760" w:type="dxa"/>
            <w:noWrap/>
            <w:vAlign w:val="center"/>
          </w:tcPr>
          <w:p w14:paraId="502AC77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Ministerul Dezvoltării Regionale, Administrației Publice și Fondurilor Europene</w:t>
            </w:r>
          </w:p>
        </w:tc>
      </w:tr>
      <w:tr w14:paraId="6C9B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64FA6C68">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ME</w:t>
            </w:r>
          </w:p>
        </w:tc>
        <w:tc>
          <w:tcPr>
            <w:tcW w:w="7760" w:type="dxa"/>
            <w:noWrap/>
            <w:vAlign w:val="center"/>
          </w:tcPr>
          <w:p w14:paraId="761DB44F">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Ministerul Economiei</w:t>
            </w:r>
          </w:p>
        </w:tc>
      </w:tr>
      <w:tr w14:paraId="076B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195DAB2F">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MFP</w:t>
            </w:r>
          </w:p>
        </w:tc>
        <w:tc>
          <w:tcPr>
            <w:tcW w:w="7760" w:type="dxa"/>
            <w:noWrap/>
            <w:vAlign w:val="center"/>
          </w:tcPr>
          <w:p w14:paraId="397CE50B">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Ministerul Finanțelor Publice</w:t>
            </w:r>
          </w:p>
        </w:tc>
      </w:tr>
      <w:tr w14:paraId="135D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4923F6A6">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MS</w:t>
            </w:r>
          </w:p>
        </w:tc>
        <w:tc>
          <w:tcPr>
            <w:tcW w:w="7760" w:type="dxa"/>
            <w:noWrap/>
            <w:vAlign w:val="center"/>
          </w:tcPr>
          <w:p w14:paraId="03BA0BA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Ministerul Sănătății</w:t>
            </w:r>
          </w:p>
        </w:tc>
      </w:tr>
      <w:tr w14:paraId="472C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7370BF2E">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OG</w:t>
            </w:r>
          </w:p>
        </w:tc>
        <w:tc>
          <w:tcPr>
            <w:tcW w:w="7760" w:type="dxa"/>
            <w:noWrap/>
            <w:vAlign w:val="center"/>
          </w:tcPr>
          <w:p w14:paraId="47634A76">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Ordonanța Guvernului</w:t>
            </w:r>
          </w:p>
        </w:tc>
      </w:tr>
      <w:tr w14:paraId="213A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0DD2B5C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OM</w:t>
            </w:r>
          </w:p>
        </w:tc>
        <w:tc>
          <w:tcPr>
            <w:tcW w:w="7760" w:type="dxa"/>
            <w:noWrap/>
            <w:vAlign w:val="center"/>
          </w:tcPr>
          <w:p w14:paraId="679383F4">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Ordinul Ministrului</w:t>
            </w:r>
          </w:p>
        </w:tc>
      </w:tr>
      <w:tr w14:paraId="3A70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4C571AD3">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OIREP</w:t>
            </w:r>
          </w:p>
        </w:tc>
        <w:tc>
          <w:tcPr>
            <w:tcW w:w="7760" w:type="dxa"/>
            <w:noWrap/>
            <w:vAlign w:val="center"/>
          </w:tcPr>
          <w:p w14:paraId="44ACF641">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Organizații ce Implementează Obligațiile privind Răspunderea Extinsă a Producătorilor</w:t>
            </w:r>
          </w:p>
        </w:tc>
      </w:tr>
      <w:tr w14:paraId="333C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75E8A0A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OUG</w:t>
            </w:r>
          </w:p>
        </w:tc>
        <w:tc>
          <w:tcPr>
            <w:tcW w:w="7760" w:type="dxa"/>
            <w:noWrap/>
            <w:vAlign w:val="center"/>
          </w:tcPr>
          <w:p w14:paraId="78676FE4">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Ordonanță de Urgență a Guvernului</w:t>
            </w:r>
          </w:p>
        </w:tc>
      </w:tr>
      <w:tr w14:paraId="3FAC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34037BE9">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PAYT</w:t>
            </w:r>
          </w:p>
        </w:tc>
        <w:tc>
          <w:tcPr>
            <w:tcW w:w="7760" w:type="dxa"/>
            <w:noWrap/>
            <w:vAlign w:val="center"/>
          </w:tcPr>
          <w:p w14:paraId="04B57091">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Instrument economic: pay as you throw - plătești pentru cât arunci</w:t>
            </w:r>
          </w:p>
        </w:tc>
      </w:tr>
      <w:tr w14:paraId="44ED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4758A37F">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PJGD</w:t>
            </w:r>
          </w:p>
        </w:tc>
        <w:tc>
          <w:tcPr>
            <w:tcW w:w="7760" w:type="dxa"/>
            <w:noWrap/>
            <w:vAlign w:val="center"/>
          </w:tcPr>
          <w:p w14:paraId="2E85251E">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Planul Județean de Gestionare a Deșeurilor</w:t>
            </w:r>
          </w:p>
        </w:tc>
      </w:tr>
      <w:tr w14:paraId="6612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6CDABD73">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PNGD</w:t>
            </w:r>
          </w:p>
        </w:tc>
        <w:tc>
          <w:tcPr>
            <w:tcW w:w="7760" w:type="dxa"/>
            <w:noWrap/>
            <w:vAlign w:val="center"/>
          </w:tcPr>
          <w:p w14:paraId="1EA2C955">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Planul Național de Gestionare a Deșeurilor</w:t>
            </w:r>
          </w:p>
        </w:tc>
      </w:tr>
      <w:tr w14:paraId="4B14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7193C308">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PNPGD</w:t>
            </w:r>
          </w:p>
        </w:tc>
        <w:tc>
          <w:tcPr>
            <w:tcW w:w="7760" w:type="dxa"/>
            <w:noWrap/>
            <w:vAlign w:val="center"/>
          </w:tcPr>
          <w:p w14:paraId="4CAE0576">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Planul Național de Prevenire a Generării Deșeurilor</w:t>
            </w:r>
          </w:p>
        </w:tc>
      </w:tr>
      <w:tr w14:paraId="1A53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69CA6381">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POIM</w:t>
            </w:r>
          </w:p>
        </w:tc>
        <w:tc>
          <w:tcPr>
            <w:tcW w:w="7760" w:type="dxa"/>
            <w:noWrap/>
            <w:vAlign w:val="center"/>
          </w:tcPr>
          <w:p w14:paraId="14584B78">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Program Operațional Infrastructură Mare</w:t>
            </w:r>
          </w:p>
        </w:tc>
      </w:tr>
      <w:tr w14:paraId="309E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22CC8419">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POS Mediu</w:t>
            </w:r>
          </w:p>
        </w:tc>
        <w:tc>
          <w:tcPr>
            <w:tcW w:w="7760" w:type="dxa"/>
            <w:noWrap/>
            <w:vAlign w:val="center"/>
          </w:tcPr>
          <w:p w14:paraId="1AF47E50">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Programul Operațional Sectorial de Mediu</w:t>
            </w:r>
          </w:p>
        </w:tc>
      </w:tr>
      <w:tr w14:paraId="2DAA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4C52C57E">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REP</w:t>
            </w:r>
          </w:p>
        </w:tc>
        <w:tc>
          <w:tcPr>
            <w:tcW w:w="7760" w:type="dxa"/>
            <w:noWrap/>
            <w:vAlign w:val="center"/>
          </w:tcPr>
          <w:p w14:paraId="1E6F44AC">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Răspunderea Extinsă a Producătorului</w:t>
            </w:r>
          </w:p>
        </w:tc>
      </w:tr>
      <w:tr w14:paraId="1C8B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77C2C4BB">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SMID</w:t>
            </w:r>
          </w:p>
        </w:tc>
        <w:tc>
          <w:tcPr>
            <w:tcW w:w="7760" w:type="dxa"/>
            <w:noWrap/>
            <w:vAlign w:val="center"/>
          </w:tcPr>
          <w:p w14:paraId="06022D2D">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Sistemul de Management Integrat al Deșeurilor</w:t>
            </w:r>
          </w:p>
        </w:tc>
      </w:tr>
      <w:tr w14:paraId="1750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3C0D3A03">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TVA</w:t>
            </w:r>
          </w:p>
        </w:tc>
        <w:tc>
          <w:tcPr>
            <w:tcW w:w="7760" w:type="dxa"/>
            <w:noWrap/>
            <w:vAlign w:val="center"/>
          </w:tcPr>
          <w:p w14:paraId="627756FC">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Taxa pe valoarea adăugată</w:t>
            </w:r>
          </w:p>
        </w:tc>
      </w:tr>
      <w:tr w14:paraId="7121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170DF355">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UAT</w:t>
            </w:r>
          </w:p>
        </w:tc>
        <w:tc>
          <w:tcPr>
            <w:tcW w:w="7760" w:type="dxa"/>
            <w:noWrap/>
            <w:vAlign w:val="center"/>
          </w:tcPr>
          <w:p w14:paraId="0D3CD0C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Unitate administrativ-teritorială</w:t>
            </w:r>
          </w:p>
        </w:tc>
      </w:tr>
      <w:tr w14:paraId="4488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7" w:type="dxa"/>
            <w:noWrap/>
            <w:vAlign w:val="center"/>
          </w:tcPr>
          <w:p w14:paraId="2901EB42">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NFP</w:t>
            </w:r>
          </w:p>
        </w:tc>
        <w:tc>
          <w:tcPr>
            <w:tcW w:w="7760" w:type="dxa"/>
            <w:noWrap/>
            <w:vAlign w:val="center"/>
          </w:tcPr>
          <w:p w14:paraId="49AB1D1D">
            <w:pPr>
              <w:spacing w:after="0" w:line="240" w:lineRule="auto"/>
              <w:rPr>
                <w:rFonts w:eastAsia="Times New Roman" w:asciiTheme="majorHAnsi" w:hAnsiTheme="majorHAnsi" w:cstheme="majorHAnsi"/>
                <w:sz w:val="24"/>
                <w:szCs w:val="24"/>
                <w:lang w:val="ro-RO"/>
              </w:rPr>
            </w:pPr>
            <w:r>
              <w:rPr>
                <w:rFonts w:eastAsia="Times New Roman" w:asciiTheme="majorHAnsi" w:hAnsiTheme="majorHAnsi" w:cstheme="majorHAnsi"/>
                <w:sz w:val="24"/>
                <w:szCs w:val="24"/>
                <w:lang w:val="ro-RO"/>
              </w:rPr>
              <w:t>procedura de negociere fără publicarea prealabilă a unui anunț de participare pentru atribuirea contractelor de achiziții publice/acordurilor-cadru de lucrări, de produse sau de servicii Conform Art.104 din legea 98/2016</w:t>
            </w:r>
          </w:p>
        </w:tc>
      </w:tr>
    </w:tbl>
    <w:p w14:paraId="33BE3BE2">
      <w:pPr>
        <w:widowControl w:val="0"/>
        <w:autoSpaceDE w:val="0"/>
        <w:autoSpaceDN w:val="0"/>
        <w:adjustRightInd w:val="0"/>
        <w:spacing w:after="0" w:line="240" w:lineRule="auto"/>
        <w:ind w:left="142"/>
        <w:rPr>
          <w:rFonts w:asciiTheme="majorHAnsi" w:hAnsiTheme="majorHAnsi" w:cstheme="majorHAnsi"/>
          <w:spacing w:val="-3"/>
          <w:sz w:val="24"/>
          <w:szCs w:val="24"/>
          <w:lang w:val="ro-RO"/>
        </w:rPr>
      </w:pPr>
      <w:r>
        <w:rPr>
          <w:rFonts w:asciiTheme="majorHAnsi" w:hAnsiTheme="majorHAnsi" w:cstheme="majorHAnsi"/>
          <w:sz w:val="24"/>
          <w:szCs w:val="24"/>
          <w:lang w:val="ro-RO"/>
        </w:rPr>
        <w:br w:type="page"/>
      </w:r>
      <w:r>
        <w:rPr>
          <w:rFonts w:asciiTheme="majorHAnsi" w:hAnsiTheme="majorHAnsi" w:cstheme="majorHAnsi"/>
          <w:spacing w:val="-3"/>
          <w:sz w:val="24"/>
          <w:szCs w:val="24"/>
          <w:lang w:val="ro-RO"/>
        </w:rPr>
        <w:t xml:space="preserve">PREAMBUL </w:t>
      </w:r>
    </w:p>
    <w:p w14:paraId="68B585C3">
      <w:pPr>
        <w:widowControl w:val="0"/>
        <w:autoSpaceDE w:val="0"/>
        <w:autoSpaceDN w:val="0"/>
        <w:adjustRightInd w:val="0"/>
        <w:spacing w:after="0" w:line="240" w:lineRule="auto"/>
        <w:ind w:left="142"/>
        <w:rPr>
          <w:rFonts w:asciiTheme="majorHAnsi" w:hAnsiTheme="majorHAnsi" w:cstheme="majorHAnsi"/>
          <w:spacing w:val="-3"/>
          <w:sz w:val="24"/>
          <w:szCs w:val="24"/>
          <w:lang w:val="ro-RO"/>
        </w:rPr>
      </w:pPr>
    </w:p>
    <w:p w14:paraId="240C18B5">
      <w:pPr>
        <w:widowControl w:val="0"/>
        <w:autoSpaceDE w:val="0"/>
        <w:autoSpaceDN w:val="0"/>
        <w:adjustRightInd w:val="0"/>
        <w:spacing w:after="0" w:line="240" w:lineRule="auto"/>
        <w:ind w:left="142" w:right="-1"/>
        <w:jc w:val="both"/>
        <w:rPr>
          <w:rFonts w:asciiTheme="majorHAnsi" w:hAnsiTheme="majorHAnsi" w:cstheme="majorHAnsi"/>
          <w:w w:val="102"/>
          <w:sz w:val="24"/>
          <w:szCs w:val="24"/>
          <w:lang w:val="ro-RO"/>
        </w:rPr>
      </w:pPr>
      <w:r>
        <w:rPr>
          <w:rFonts w:asciiTheme="majorHAnsi" w:hAnsiTheme="majorHAnsi" w:cstheme="majorHAnsi"/>
          <w:sz w:val="24"/>
          <w:szCs w:val="24"/>
          <w:lang w:val="ro-RO"/>
        </w:rPr>
        <w:t xml:space="preserve">Prin  depunerea  unei  oferte,  ofertantul  accepta  în  prealabil  condițiile  cuprinse  în  prezenta </w:t>
      </w:r>
      <w:r>
        <w:rPr>
          <w:rFonts w:asciiTheme="majorHAnsi" w:hAnsiTheme="majorHAnsi" w:cstheme="majorHAnsi"/>
          <w:spacing w:val="-3"/>
          <w:sz w:val="24"/>
          <w:szCs w:val="24"/>
          <w:lang w:val="ro-RO"/>
        </w:rPr>
        <w:t xml:space="preserve">documentație ca singura bază a acestei proceduri de atribuire, indiferent care sunt condițiile proprii de operare ale ofertantului. Ofertanții au obligația de a analiza cu atenție Documentația de Atribuire </w:t>
      </w:r>
      <w:r>
        <w:rPr>
          <w:rFonts w:asciiTheme="majorHAnsi" w:hAnsiTheme="majorHAnsi" w:cstheme="majorHAnsi"/>
          <w:sz w:val="24"/>
          <w:szCs w:val="24"/>
          <w:lang w:val="ro-RO"/>
        </w:rPr>
        <w:t xml:space="preserve">și să pregătească oferta conform tuturor instrucțiunilor, formularelor, prevederilor contractuale și </w:t>
      </w:r>
      <w:r>
        <w:rPr>
          <w:rFonts w:asciiTheme="majorHAnsi" w:hAnsiTheme="majorHAnsi" w:cstheme="majorHAnsi"/>
          <w:spacing w:val="-3"/>
          <w:sz w:val="24"/>
          <w:szCs w:val="24"/>
          <w:lang w:val="ro-RO"/>
        </w:rPr>
        <w:t xml:space="preserve">specificațiilor tehnice conținute în această Documentație. Depunerea unei oferte care să NU conțină </w:t>
      </w:r>
      <w:r>
        <w:rPr>
          <w:rFonts w:asciiTheme="majorHAnsi" w:hAnsiTheme="majorHAnsi" w:cstheme="majorHAnsi"/>
          <w:sz w:val="24"/>
          <w:szCs w:val="24"/>
          <w:lang w:val="ro-RO"/>
        </w:rPr>
        <w:t xml:space="preserve">toate informațiile cerute în termenul prevăzut va duce la respingerea ofertei. Nu se va tine cont de nici o exprimare a unei rezerve în oferta cu privire la Documentația de Atribuire. Niciun </w:t>
      </w:r>
      <w:r>
        <w:rPr>
          <w:rFonts w:asciiTheme="majorHAnsi" w:hAnsiTheme="majorHAnsi" w:cstheme="majorHAnsi"/>
          <w:w w:val="102"/>
          <w:sz w:val="24"/>
          <w:szCs w:val="24"/>
          <w:lang w:val="ro-RO"/>
        </w:rPr>
        <w:t xml:space="preserve">cost suportat de ofertant pentru pregătirea și depunerea ofertei nu va fi rambursat. Toate aceste costuri vor fi suportate de către ofertant, indiferent de rezultatul procedurii. </w:t>
      </w:r>
    </w:p>
    <w:p w14:paraId="4C55C3A1">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32D8E0C0">
      <w:pPr>
        <w:spacing w:after="0" w:line="240" w:lineRule="auto"/>
        <w:jc w:val="both"/>
        <w:rPr>
          <w:rFonts w:asciiTheme="majorHAnsi" w:hAnsiTheme="majorHAnsi" w:cstheme="majorHAnsi"/>
          <w:sz w:val="24"/>
          <w:szCs w:val="24"/>
          <w:lang w:val="ro-RO"/>
        </w:rPr>
      </w:pPr>
    </w:p>
    <w:p w14:paraId="325FD619">
      <w:pPr>
        <w:pStyle w:val="2"/>
        <w:spacing w:before="0" w:line="240" w:lineRule="auto"/>
        <w:rPr>
          <w:rFonts w:cstheme="majorHAnsi"/>
          <w:color w:val="auto"/>
          <w:sz w:val="24"/>
          <w:szCs w:val="24"/>
          <w:lang w:val="ro-RO"/>
        </w:rPr>
      </w:pPr>
      <w:r>
        <w:rPr>
          <w:rFonts w:cstheme="majorHAnsi"/>
          <w:color w:val="auto"/>
          <w:sz w:val="24"/>
          <w:szCs w:val="24"/>
          <w:lang w:val="ro-RO"/>
        </w:rPr>
        <w:t>Secțiunea A Date generale</w:t>
      </w:r>
    </w:p>
    <w:p w14:paraId="389BF536">
      <w:pPr>
        <w:spacing w:after="0" w:line="240" w:lineRule="auto"/>
        <w:jc w:val="both"/>
        <w:rPr>
          <w:rFonts w:asciiTheme="majorHAnsi" w:hAnsiTheme="majorHAnsi" w:cstheme="majorHAnsi"/>
          <w:sz w:val="24"/>
          <w:szCs w:val="24"/>
          <w:lang w:val="ro-RO"/>
        </w:rPr>
      </w:pPr>
    </w:p>
    <w:p w14:paraId="0EB66E53">
      <w:pPr>
        <w:pStyle w:val="164"/>
        <w:numPr>
          <w:ilvl w:val="0"/>
          <w:numId w:val="10"/>
        </w:numPr>
        <w:spacing w:after="0" w:line="240" w:lineRule="auto"/>
        <w:jc w:val="both"/>
        <w:outlineLvl w:val="1"/>
        <w:rPr>
          <w:rFonts w:asciiTheme="majorHAnsi" w:hAnsiTheme="majorHAnsi" w:cstheme="majorHAnsi"/>
          <w:sz w:val="24"/>
          <w:szCs w:val="24"/>
          <w:lang w:val="ro-RO"/>
        </w:rPr>
      </w:pPr>
      <w:r>
        <w:rPr>
          <w:rFonts w:asciiTheme="majorHAnsi" w:hAnsiTheme="majorHAnsi" w:cstheme="majorHAnsi"/>
          <w:sz w:val="24"/>
          <w:szCs w:val="24"/>
          <w:lang w:val="ro-RO"/>
        </w:rPr>
        <w:t>Autoritate contractanta</w:t>
      </w:r>
    </w:p>
    <w:p w14:paraId="17A7C622">
      <w:pPr>
        <w:widowControl w:val="0"/>
        <w:autoSpaceDE w:val="0"/>
        <w:autoSpaceDN w:val="0"/>
        <w:adjustRightInd w:val="0"/>
        <w:spacing w:after="0" w:line="240" w:lineRule="auto"/>
        <w:jc w:val="both"/>
        <w:rPr>
          <w:rFonts w:asciiTheme="majorHAnsi" w:hAnsiTheme="majorHAnsi" w:cstheme="majorHAnsi"/>
          <w:sz w:val="24"/>
          <w:szCs w:val="24"/>
          <w:lang w:eastAsia="en-GB"/>
        </w:rPr>
      </w:pPr>
      <w:r>
        <w:rPr>
          <w:rFonts w:asciiTheme="majorHAnsi" w:hAnsiTheme="majorHAnsi" w:cstheme="majorHAnsi"/>
          <w:sz w:val="24"/>
          <w:szCs w:val="24"/>
          <w:lang w:eastAsia="en-GB"/>
        </w:rPr>
        <w:t xml:space="preserve">Autoritatea contractantă pentru delegarea gestiunii serviciului de Colectare si transport a “Contract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Calarasi, Zona 2” este: </w:t>
      </w:r>
      <w:bookmarkStart w:id="0" w:name="_Hlk170136082"/>
      <w:r>
        <w:rPr>
          <w:rFonts w:asciiTheme="majorHAnsi" w:hAnsiTheme="majorHAnsi" w:cstheme="majorHAnsi"/>
          <w:sz w:val="24"/>
          <w:szCs w:val="24"/>
          <w:lang w:eastAsia="en-GB"/>
        </w:rPr>
        <w:t xml:space="preserve"> ADI Ecomanagement Salubris Calarasi.</w:t>
      </w:r>
    </w:p>
    <w:p w14:paraId="2B533041">
      <w:pPr>
        <w:autoSpaceDE w:val="0"/>
        <w:autoSpaceDN w:val="0"/>
        <w:adjustRightInd w:val="0"/>
        <w:spacing w:after="0" w:line="240" w:lineRule="auto"/>
        <w:jc w:val="both"/>
        <w:rPr>
          <w:rFonts w:asciiTheme="majorHAnsi" w:hAnsiTheme="majorHAnsi" w:eastAsiaTheme="minorHAnsi" w:cstheme="majorHAnsi"/>
          <w:sz w:val="24"/>
          <w:szCs w:val="24"/>
        </w:rPr>
      </w:pPr>
      <w:bookmarkStart w:id="1" w:name="_Hlk170136480"/>
    </w:p>
    <w:p w14:paraId="1A68C1D9">
      <w:pPr>
        <w:autoSpaceDE w:val="0"/>
        <w:autoSpaceDN w:val="0"/>
        <w:adjustRightInd w:val="0"/>
        <w:spacing w:after="0" w:line="240" w:lineRule="auto"/>
        <w:jc w:val="both"/>
        <w:rPr>
          <w:rFonts w:asciiTheme="majorHAnsi" w:hAnsiTheme="majorHAnsi" w:eastAsiaTheme="minorHAnsi" w:cstheme="majorHAnsi"/>
          <w:sz w:val="24"/>
          <w:szCs w:val="24"/>
        </w:rPr>
      </w:pPr>
      <w:r>
        <w:rPr>
          <w:rFonts w:asciiTheme="majorHAnsi" w:hAnsiTheme="majorHAnsi" w:eastAsiaTheme="minorHAnsi" w:cstheme="majorHAnsi"/>
          <w:sz w:val="24"/>
          <w:szCs w:val="24"/>
        </w:rPr>
        <w:t xml:space="preserve">In conformitate cu prevederile </w:t>
      </w:r>
      <w:bookmarkStart w:id="2" w:name="_Hlk219728461"/>
      <w:r>
        <w:rPr>
          <w:rFonts w:asciiTheme="majorHAnsi" w:hAnsiTheme="majorHAnsi" w:eastAsiaTheme="minorHAnsi" w:cstheme="majorHAnsi"/>
          <w:sz w:val="24"/>
          <w:szCs w:val="24"/>
        </w:rPr>
        <w:t xml:space="preserve">Art 15 din Legea 101/2006  </w:t>
      </w:r>
      <w:bookmarkEnd w:id="2"/>
      <w:r>
        <w:rPr>
          <w:rFonts w:asciiTheme="majorHAnsi" w:hAnsiTheme="majorHAnsi" w:eastAsiaTheme="minorHAnsi" w:cstheme="majorHAnsi"/>
          <w:sz w:val="24"/>
          <w:szCs w:val="24"/>
        </w:rPr>
        <w:t>În</w:t>
      </w:r>
      <w:r>
        <w:rPr>
          <w:rFonts w:asciiTheme="majorHAnsi" w:hAnsiTheme="majorHAnsi" w:eastAsiaTheme="minorHAnsi" w:cstheme="majorHAnsi"/>
          <w:i/>
          <w:iCs/>
          <w:sz w:val="24"/>
          <w:szCs w:val="24"/>
        </w:rPr>
        <w:t xml:space="preserve"> cazul proiectelor de investiţii în sistemele judeţene de management integrat al deşeurilor finanţate din fonduri europene nerambursabile, delegarea activităţilor de salubrizare prevăzute la art. 2 alin. (3) lit. a) şi c) -i) se realizează numai de către asociaţiile de dezvoltare intercomunitară, inclusiv pentru activităţile de salubrizare care se prestează prin intermediul staţiilor şi instalaţiilor de tratare a deşeurilor înregistrate în domeniul public al judeţului, dacă judeţul este membru în asociaţia de dezvoltare intercomunitară</w:t>
      </w:r>
      <w:r>
        <w:rPr>
          <w:rFonts w:asciiTheme="majorHAnsi" w:hAnsiTheme="majorHAnsi" w:eastAsiaTheme="minorHAnsi" w:cstheme="majorHAnsi"/>
          <w:sz w:val="24"/>
          <w:szCs w:val="24"/>
        </w:rPr>
        <w:t>.</w:t>
      </w:r>
    </w:p>
    <w:bookmarkEnd w:id="0"/>
    <w:bookmarkEnd w:id="1"/>
    <w:p w14:paraId="0FCDFAE5">
      <w:pPr>
        <w:spacing w:after="0" w:line="240" w:lineRule="auto"/>
        <w:jc w:val="both"/>
        <w:rPr>
          <w:rFonts w:asciiTheme="majorHAnsi" w:hAnsiTheme="majorHAnsi" w:cstheme="majorHAnsi"/>
          <w:sz w:val="24"/>
          <w:szCs w:val="24"/>
          <w:lang w:val="ro-RO"/>
        </w:rPr>
      </w:pPr>
    </w:p>
    <w:p w14:paraId="6AD053C8">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br w:type="page"/>
      </w:r>
    </w:p>
    <w:p w14:paraId="61117EF9">
      <w:pPr>
        <w:pStyle w:val="2"/>
        <w:spacing w:before="0" w:line="240" w:lineRule="auto"/>
        <w:rPr>
          <w:rFonts w:cstheme="majorHAnsi"/>
          <w:color w:val="auto"/>
          <w:sz w:val="24"/>
          <w:szCs w:val="24"/>
          <w:lang w:val="ro-RO"/>
        </w:rPr>
      </w:pPr>
      <w:r>
        <w:rPr>
          <w:rFonts w:cstheme="majorHAnsi"/>
          <w:color w:val="auto"/>
          <w:sz w:val="24"/>
          <w:szCs w:val="24"/>
          <w:lang w:val="ro-RO"/>
        </w:rPr>
        <w:t>Secțiunea B Caietul de sarcini</w:t>
      </w:r>
    </w:p>
    <w:p w14:paraId="6C1EE6B3">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I</w:t>
      </w:r>
      <w:r>
        <w:rPr>
          <w:rFonts w:cstheme="majorHAnsi"/>
          <w:color w:val="auto"/>
          <w:sz w:val="24"/>
          <w:szCs w:val="24"/>
          <w:lang w:val="ro-RO"/>
        </w:rPr>
        <w:br w:type="textWrapping"/>
      </w:r>
      <w:r>
        <w:rPr>
          <w:rFonts w:cstheme="majorHAnsi"/>
          <w:color w:val="auto"/>
          <w:sz w:val="24"/>
          <w:szCs w:val="24"/>
          <w:lang w:val="ro-RO"/>
        </w:rPr>
        <w:t>Dispoziţii generale</w:t>
      </w:r>
    </w:p>
    <w:p w14:paraId="6D3C2619">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w:t>
      </w:r>
    </w:p>
    <w:p w14:paraId="7885541D">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Prezentul caiet de sarcini stabileşte conţinutul şi modul de întocmire de către Ofertanți a Ofertelor tehnice pentru activităţile specifice serviciului de salubrizare reglementate de Legea serviciului de salubrizare a localităţilor, republicată, cu modificările şi completările ulterioare.</w:t>
      </w:r>
    </w:p>
    <w:p w14:paraId="2DF8DCBD">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Ofertele tehnice se întocmesc în concordanţă cu cerinţele şi obiectivele prevăzute în planurile de gestionare a deşeurilor la nivel naţional, judeţean, cu respectarea în totalitate a regulilor prevăzute în prezentul caiet de sarcini şi în regulamentul serviciului de salubrizare, elaborat şi aprobat de Autoritatea Naţională de Reglementare pentru Serviciile Comunitare de Utilităţi Publice, A.N.R.S.C.</w:t>
      </w:r>
    </w:p>
    <w:p w14:paraId="6A7B1E86">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w:t>
      </w:r>
    </w:p>
    <w:p w14:paraId="3F391068">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La întocmirea caietelor de sarcini, asociaţia de dezvoltare intercomunitară ADI ECOMANAGEMENT SALUBRIS Calarasi a utilizat documentaţia prevăzută în caietul de sarcini – cadru prevăzut in Ordinul 98/2025, după cum urmează:</w:t>
      </w:r>
    </w:p>
    <w:p w14:paraId="0B374625">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 conţinutul documentaţiei caietului de sarcini au fost preluate din caietul de sarcini - cadru activităţile şi toate condiţiile tehnice specifice fiecărei activităţi desfăşurate;</w:t>
      </w:r>
    </w:p>
    <w:p w14:paraId="628A9D2E">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conţinutul caietului de sarcini cuprinde setul de formulare precizate ca fiind obligatorii în caietul de sarcini - cadru.</w:t>
      </w:r>
    </w:p>
    <w:p w14:paraId="7ABCE033">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Pentru contractul de delegare care vizează activităţi ale serviciului de salubrizare a fost intocmit prezentul caiet de sarcini, care preia din caietul de sarcini-cadru secţiunile aferente activităţilor componente ale serviciului de salubrizare care fac obiectul contractului de delegare.</w:t>
      </w:r>
    </w:p>
    <w:p w14:paraId="4D549F60">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Pentru utilizarea uniforma a numerotării articolelor sunt pastrate toate activitatile contractului cadru, fiind precizate in mod expres secțiunile care nu sunt aplicabile prezentului contract conform tabelului următor.</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9"/>
        <w:gridCol w:w="4373"/>
      </w:tblGrid>
      <w:tr w14:paraId="33ED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39" w:type="dxa"/>
            <w:shd w:val="clear" w:color="auto" w:fill="C6D9F0" w:themeFill="text2" w:themeFillTint="33"/>
          </w:tcPr>
          <w:p w14:paraId="6A39513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w:t>
            </w:r>
          </w:p>
        </w:tc>
        <w:tc>
          <w:tcPr>
            <w:tcW w:w="4373" w:type="dxa"/>
            <w:shd w:val="clear" w:color="auto" w:fill="C6D9F0" w:themeFill="text2" w:themeFillTint="33"/>
          </w:tcPr>
          <w:p w14:paraId="40AF0903">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Aplicabil</w:t>
            </w:r>
          </w:p>
        </w:tc>
      </w:tr>
      <w:tr w14:paraId="7332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3261F64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Dispoziţii generale</w:t>
            </w:r>
          </w:p>
        </w:tc>
        <w:tc>
          <w:tcPr>
            <w:tcW w:w="4373" w:type="dxa"/>
          </w:tcPr>
          <w:p w14:paraId="20DC1A98">
            <w:pPr>
              <w:spacing w:after="0" w:line="240" w:lineRule="auto"/>
              <w:rPr>
                <w:rFonts w:asciiTheme="majorHAnsi" w:hAnsiTheme="majorHAnsi" w:cstheme="majorHAnsi"/>
                <w:sz w:val="24"/>
                <w:szCs w:val="24"/>
                <w:lang w:val="ro-RO"/>
              </w:rPr>
            </w:pPr>
          </w:p>
        </w:tc>
      </w:tr>
      <w:tr w14:paraId="19CF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6E10E936">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II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Obiectul caietului de sarcini</w:t>
            </w:r>
          </w:p>
        </w:tc>
        <w:tc>
          <w:tcPr>
            <w:tcW w:w="4373" w:type="dxa"/>
          </w:tcPr>
          <w:p w14:paraId="6FFAB9DF">
            <w:pPr>
              <w:spacing w:after="0" w:line="240" w:lineRule="auto"/>
              <w:rPr>
                <w:rFonts w:asciiTheme="majorHAnsi" w:hAnsiTheme="majorHAnsi" w:cstheme="majorHAnsi"/>
                <w:sz w:val="24"/>
                <w:szCs w:val="24"/>
                <w:lang w:val="ro-RO"/>
              </w:rPr>
            </w:pPr>
          </w:p>
        </w:tc>
      </w:tr>
      <w:tr w14:paraId="20F6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4DB48244">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III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Cerinţe organizatorice minimale</w:t>
            </w:r>
          </w:p>
        </w:tc>
        <w:tc>
          <w:tcPr>
            <w:tcW w:w="4373" w:type="dxa"/>
          </w:tcPr>
          <w:p w14:paraId="6C698DF8">
            <w:pPr>
              <w:spacing w:after="0" w:line="240" w:lineRule="auto"/>
              <w:rPr>
                <w:rFonts w:asciiTheme="majorHAnsi" w:hAnsiTheme="majorHAnsi" w:cstheme="majorHAnsi"/>
                <w:sz w:val="24"/>
                <w:szCs w:val="24"/>
                <w:lang w:val="ro-RO"/>
              </w:rPr>
            </w:pPr>
          </w:p>
        </w:tc>
      </w:tr>
      <w:tr w14:paraId="3931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3AADD0D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IV</w:t>
            </w:r>
            <w:r>
              <w:rPr>
                <w:rFonts w:asciiTheme="majorHAnsi" w:hAnsiTheme="majorHAnsi" w:cstheme="majorHAnsi"/>
                <w:sz w:val="24"/>
                <w:szCs w:val="24"/>
                <w:lang w:val="ro-RO"/>
              </w:rPr>
              <w:br w:type="textWrapping"/>
            </w:r>
            <w:r>
              <w:rPr>
                <w:rFonts w:asciiTheme="majorHAnsi" w:hAnsiTheme="majorHAnsi" w:cstheme="majorHAnsi"/>
                <w:sz w:val="24"/>
                <w:szCs w:val="24"/>
                <w:lang w:val="ro-RO"/>
              </w:rPr>
              <w:t>Colectarea separată şi transportul separat al deşeurilor municipale şi al deşeurilor generate ocazional</w:t>
            </w:r>
          </w:p>
        </w:tc>
        <w:tc>
          <w:tcPr>
            <w:tcW w:w="4373" w:type="dxa"/>
          </w:tcPr>
          <w:p w14:paraId="6AAF7498">
            <w:pPr>
              <w:spacing w:after="0" w:line="240" w:lineRule="auto"/>
              <w:rPr>
                <w:rFonts w:asciiTheme="majorHAnsi" w:hAnsiTheme="majorHAnsi" w:cstheme="majorHAnsi"/>
                <w:sz w:val="24"/>
                <w:szCs w:val="24"/>
                <w:lang w:val="ro-RO"/>
              </w:rPr>
            </w:pPr>
          </w:p>
        </w:tc>
      </w:tr>
      <w:tr w14:paraId="08EE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03630621">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V</w:t>
            </w:r>
            <w:r>
              <w:rPr>
                <w:rFonts w:asciiTheme="majorHAnsi" w:hAnsiTheme="majorHAnsi" w:cstheme="majorHAnsi"/>
                <w:sz w:val="24"/>
                <w:szCs w:val="24"/>
                <w:lang w:val="ro-RO"/>
              </w:rPr>
              <w:br w:type="textWrapping"/>
            </w:r>
            <w:r>
              <w:rPr>
                <w:rFonts w:asciiTheme="majorHAnsi" w:hAnsiTheme="majorHAnsi" w:cstheme="majorHAnsi"/>
                <w:sz w:val="24"/>
                <w:szCs w:val="24"/>
                <w:lang w:val="ro-RO"/>
              </w:rPr>
              <w:t>Operarea centrelor de colectare prin aport voluntar a deşeurilor de la persoanele fizice</w:t>
            </w:r>
          </w:p>
        </w:tc>
        <w:tc>
          <w:tcPr>
            <w:tcW w:w="4373" w:type="dxa"/>
          </w:tcPr>
          <w:p w14:paraId="2428982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2AEB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4B98406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VI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tc>
        <w:tc>
          <w:tcPr>
            <w:tcW w:w="4373" w:type="dxa"/>
          </w:tcPr>
          <w:p w14:paraId="20DBF074">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20EB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1F8087E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VII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Sortarea deşeurilor de hârtie, metal, plastic şi sticlă colectate separat din deşeurile municipale în staţii de sortare, inclusiv transportul reziduurilor rezultate din sortare la depozitele de deşeuri şi/sau la instalaţiile de valorificare energetică</w:t>
            </w:r>
          </w:p>
        </w:tc>
        <w:tc>
          <w:tcPr>
            <w:tcW w:w="4373" w:type="dxa"/>
          </w:tcPr>
          <w:p w14:paraId="2A34C2E1">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0732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0683BE8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VIII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Tratarea aerobă a biodeşeurilor colectate separat în instalaţii de compostare, inclusiv transportul reziduurilor la depozitele de deşeuri şi/sau la instalaţiile de valorificare energetică</w:t>
            </w:r>
          </w:p>
        </w:tc>
        <w:tc>
          <w:tcPr>
            <w:tcW w:w="4373" w:type="dxa"/>
          </w:tcPr>
          <w:p w14:paraId="3967FC5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6024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2587A72A">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IX</w:t>
            </w:r>
            <w:r>
              <w:rPr>
                <w:rFonts w:asciiTheme="majorHAnsi" w:hAnsiTheme="majorHAnsi" w:cstheme="majorHAnsi"/>
                <w:sz w:val="24"/>
                <w:szCs w:val="24"/>
                <w:lang w:val="ro-RO"/>
              </w:rPr>
              <w:br w:type="textWrapping"/>
            </w:r>
            <w:r>
              <w:rPr>
                <w:rFonts w:asciiTheme="majorHAnsi" w:hAnsiTheme="majorHAnsi" w:cstheme="majorHAnsi"/>
                <w:sz w:val="24"/>
                <w:szCs w:val="24"/>
                <w:lang w:val="ro-RO"/>
              </w:rPr>
              <w:t>Tratarea anaerobă a biodeşeurilor colectate separat în instalaţii de digestie anaerobă, inclusiv transportul materialului semisolid igienizat şi stabilizat la depozitele de deşeuri şi/sau la instalaţiile de valorificare energetică</w:t>
            </w:r>
          </w:p>
        </w:tc>
        <w:tc>
          <w:tcPr>
            <w:tcW w:w="4373" w:type="dxa"/>
          </w:tcPr>
          <w:p w14:paraId="50B318B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734B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7EE005C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X</w:t>
            </w:r>
            <w:r>
              <w:rPr>
                <w:rFonts w:asciiTheme="majorHAnsi" w:hAnsiTheme="majorHAnsi" w:cstheme="majorHAnsi"/>
                <w:sz w:val="24"/>
                <w:szCs w:val="24"/>
                <w:lang w:val="ro-RO"/>
              </w:rPr>
              <w:br w:type="textWrapping"/>
            </w:r>
            <w:r>
              <w:rPr>
                <w:rFonts w:asciiTheme="majorHAnsi" w:hAnsiTheme="majorHAnsi" w:cstheme="majorHAnsi"/>
                <w:sz w:val="24"/>
                <w:szCs w:val="24"/>
                <w:lang w:val="ro-RO"/>
              </w:rP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tc>
        <w:tc>
          <w:tcPr>
            <w:tcW w:w="4373" w:type="dxa"/>
          </w:tcPr>
          <w:p w14:paraId="0E248B87">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35BE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47D79D6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XI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tc>
        <w:tc>
          <w:tcPr>
            <w:tcW w:w="4373" w:type="dxa"/>
          </w:tcPr>
          <w:p w14:paraId="329B971A">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437D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588D658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XII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Tratarea deşeurilor municipale cu potenţial energetic în instalaţii de incinerare cu eficienţă energetică ridicată, inclusiv transportul reziduurilor rezultate din incinerare la depozitele de deşeuri</w:t>
            </w:r>
          </w:p>
        </w:tc>
        <w:tc>
          <w:tcPr>
            <w:tcW w:w="4373" w:type="dxa"/>
          </w:tcPr>
          <w:p w14:paraId="2CCD5AF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45F7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50A7871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XIII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tc>
        <w:tc>
          <w:tcPr>
            <w:tcW w:w="4373" w:type="dxa"/>
          </w:tcPr>
          <w:p w14:paraId="75764A31">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06A9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330CA1D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XIV</w:t>
            </w:r>
            <w:r>
              <w:rPr>
                <w:rFonts w:asciiTheme="majorHAnsi" w:hAnsiTheme="majorHAnsi" w:cstheme="majorHAnsi"/>
                <w:sz w:val="24"/>
                <w:szCs w:val="24"/>
                <w:lang w:val="ro-RO"/>
              </w:rPr>
              <w:br w:type="textWrapping"/>
            </w:r>
            <w:r>
              <w:rPr>
                <w:rFonts w:asciiTheme="majorHAnsi" w:hAnsiTheme="majorHAnsi" w:cstheme="majorHAnsi"/>
                <w:sz w:val="24"/>
                <w:szCs w:val="24"/>
                <w:lang w:val="ro-RO"/>
              </w:rPr>
              <w:t>Curăţarea şi transportul zăpezii de pe căile publice din localitate şi menţinerea în funcţiune a acestora pe timp de polei sau de îngheţ</w:t>
            </w:r>
          </w:p>
        </w:tc>
        <w:tc>
          <w:tcPr>
            <w:tcW w:w="4373" w:type="dxa"/>
          </w:tcPr>
          <w:p w14:paraId="3BFFFEB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6922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24AF036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XV</w:t>
            </w:r>
            <w:r>
              <w:rPr>
                <w:rFonts w:asciiTheme="majorHAnsi" w:hAnsiTheme="majorHAnsi" w:cstheme="majorHAnsi"/>
                <w:sz w:val="24"/>
                <w:szCs w:val="24"/>
                <w:lang w:val="ro-RO"/>
              </w:rPr>
              <w:br w:type="textWrapping"/>
            </w:r>
            <w:r>
              <w:rPr>
                <w:rFonts w:asciiTheme="majorHAnsi" w:hAnsiTheme="majorHAnsi" w:cstheme="majorHAnsi"/>
                <w:sz w:val="24"/>
                <w:szCs w:val="24"/>
                <w:lang w:val="ro-RO"/>
              </w:rPr>
              <w:t>Dezinsecţia, dezinfecţia şi deratizarea, la obiectivele din domeniul public şi domeniul privat al unităţii administrativ-teritoriale</w:t>
            </w:r>
          </w:p>
        </w:tc>
        <w:tc>
          <w:tcPr>
            <w:tcW w:w="4373" w:type="dxa"/>
          </w:tcPr>
          <w:p w14:paraId="2501215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Nu se aplica</w:t>
            </w:r>
          </w:p>
        </w:tc>
      </w:tr>
      <w:tr w14:paraId="6AE9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9" w:type="dxa"/>
          </w:tcPr>
          <w:p w14:paraId="78A84847">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CAPITOLUL XVI</w:t>
            </w:r>
            <w:r>
              <w:rPr>
                <w:rFonts w:asciiTheme="majorHAnsi" w:hAnsiTheme="majorHAnsi" w:cstheme="majorHAnsi"/>
                <w:sz w:val="24"/>
                <w:szCs w:val="24"/>
                <w:lang w:val="ro-RO"/>
              </w:rPr>
              <w:br w:type="textWrapping"/>
            </w:r>
            <w:r>
              <w:rPr>
                <w:rFonts w:asciiTheme="majorHAnsi" w:hAnsiTheme="majorHAnsi" w:cstheme="majorHAnsi"/>
                <w:sz w:val="24"/>
                <w:szCs w:val="24"/>
                <w:lang w:val="ro-RO"/>
              </w:rPr>
              <w:t>Dispoziţii tranzitorii şi finale</w:t>
            </w:r>
          </w:p>
        </w:tc>
        <w:tc>
          <w:tcPr>
            <w:tcW w:w="4373" w:type="dxa"/>
          </w:tcPr>
          <w:p w14:paraId="61F53B10">
            <w:pPr>
              <w:spacing w:after="0" w:line="240" w:lineRule="auto"/>
              <w:rPr>
                <w:rFonts w:asciiTheme="majorHAnsi" w:hAnsiTheme="majorHAnsi" w:cstheme="majorHAnsi"/>
                <w:sz w:val="24"/>
                <w:szCs w:val="24"/>
                <w:lang w:val="ro-RO"/>
              </w:rPr>
            </w:pPr>
          </w:p>
        </w:tc>
      </w:tr>
    </w:tbl>
    <w:p w14:paraId="5BF1E70A">
      <w:pPr>
        <w:spacing w:after="0" w:line="240" w:lineRule="auto"/>
        <w:jc w:val="both"/>
        <w:rPr>
          <w:rFonts w:asciiTheme="majorHAnsi" w:hAnsiTheme="majorHAnsi" w:cstheme="majorHAnsi"/>
          <w:sz w:val="24"/>
          <w:szCs w:val="24"/>
          <w:lang w:val="ro-RO"/>
        </w:rPr>
      </w:pPr>
    </w:p>
    <w:p w14:paraId="3AF1F359">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 Caietul de sarcini se supune aprobării autorităţilor deliberative ale unităţilor administrativ-teritoriale sau, după caz, adunării generale a asociaţiei de dezvoltare intercomunitară.</w:t>
      </w:r>
    </w:p>
    <w:p w14:paraId="6F1169AE">
      <w:pPr>
        <w:spacing w:after="0" w:line="240" w:lineRule="auto"/>
        <w:jc w:val="both"/>
        <w:rPr>
          <w:rFonts w:asciiTheme="majorHAnsi" w:hAnsiTheme="majorHAnsi" w:cstheme="majorHAnsi"/>
          <w:sz w:val="24"/>
          <w:szCs w:val="24"/>
          <w:lang w:val="ro-RO"/>
        </w:rPr>
      </w:pPr>
    </w:p>
    <w:p w14:paraId="0A103BF0">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II</w:t>
      </w:r>
      <w:r>
        <w:rPr>
          <w:rFonts w:cstheme="majorHAnsi"/>
          <w:color w:val="auto"/>
          <w:sz w:val="24"/>
          <w:szCs w:val="24"/>
          <w:lang w:val="ro-RO"/>
        </w:rPr>
        <w:br w:type="textWrapping"/>
      </w:r>
      <w:r>
        <w:rPr>
          <w:rFonts w:cstheme="majorHAnsi"/>
          <w:color w:val="auto"/>
          <w:sz w:val="24"/>
          <w:szCs w:val="24"/>
          <w:lang w:val="ro-RO"/>
        </w:rPr>
        <w:t>Obiectul caietului de sarcini</w:t>
      </w:r>
    </w:p>
    <w:p w14:paraId="2BD82641">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 Prezentul caiet de sarcini stabileşte condiţiile de desfăşurare a activităţilor specifice serviciului de salubrizare, stabilind cerinţele tehnice şi organizatorice minimale necesare funcţionării acestui serviciu în condiţii de eficienţă şi siguranţă.</w:t>
      </w:r>
    </w:p>
    <w:p w14:paraId="087FCF37">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w:t>
      </w:r>
    </w:p>
    <w:p w14:paraId="1E404AB5">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sensul prezentului caiet de sarcini, asociația de dezvoltare intercomunitară ADI ECOMANAGEMENT SALUBRIS Calarasi, în numele şi pe seama tututor unităţilor administrativ-teritoriale membre din Zona  2 a Județului Calarasi are calitatea de delegatar.</w:t>
      </w:r>
    </w:p>
    <w:p w14:paraId="237EB2FC">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Prezentul caiet de sarcini a fost elaborat spre a servi drept documentaţie tehnică şi de referinţă în vederea stabilirii condiţiilor specifice de desfăşurare a activităţii/activităţilor componente ale serviciului de salubrizare indiferent de modul de gestiune adoptat.</w:t>
      </w:r>
    </w:p>
    <w:p w14:paraId="4EA52DFC">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Caietul de sarcini face parte integrantă din documentaţia necesară desfăşurării activităţii/lor urmatoare şi constituie ansamblul cerinţelor tehnice de bază.</w:t>
      </w:r>
    </w:p>
    <w:p w14:paraId="1889F364">
      <w:pPr>
        <w:widowControl w:val="0"/>
        <w:numPr>
          <w:ilvl w:val="1"/>
          <w:numId w:val="11"/>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 colectarea separată şi transportul separat al deşeurilor menajere şi al deşeurilor similare provenind din activităţi comerciale din industrie şi instituţii, inclusiv fracţii colectate separat; </w:t>
      </w:r>
    </w:p>
    <w:p w14:paraId="7F4B02DD">
      <w:pPr>
        <w:widowControl w:val="0"/>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b) colectarea şi transportul deșeurilor provenite din locuințe, generate de activități de reamenajare și reabilitare interioară şi/sau exterioară a acestora;</w:t>
      </w:r>
    </w:p>
    <w:p w14:paraId="64B60BCA">
      <w:pPr>
        <w:widowControl w:val="0"/>
        <w:numPr>
          <w:ilvl w:val="1"/>
          <w:numId w:val="11"/>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Serviciile care fac obiectul prezentului Caiet de sarcini, respectiv a procedurii de atribuire așa cum  sunt  ele  menționate in Ordonanța 92/2021 și legea 181/2020</w:t>
      </w:r>
    </w:p>
    <w:p w14:paraId="36EF24AB">
      <w:pPr>
        <w:widowControl w:val="0"/>
        <w:numPr>
          <w:ilvl w:val="2"/>
          <w:numId w:val="12"/>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separată cel puțin pentru deșeurile de hârtie, metal, plastic și sticlă din deșeurile municipale prevazuta la Art 17 lit a)</w:t>
      </w:r>
    </w:p>
    <w:p w14:paraId="0F5E7743">
      <w:pPr>
        <w:widowControl w:val="0"/>
        <w:numPr>
          <w:ilvl w:val="2"/>
          <w:numId w:val="12"/>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separată a deșeurilor biodegradabile prevăzute la Art. 33 si Art.1 alin 3 din Legea 181/2020</w:t>
      </w:r>
    </w:p>
    <w:p w14:paraId="69134C26">
      <w:pPr>
        <w:widowControl w:val="0"/>
        <w:numPr>
          <w:ilvl w:val="2"/>
          <w:numId w:val="12"/>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deșeurilor, altele decât cele prevăzute la lit. a); (deșeuri reziduale)</w:t>
      </w:r>
    </w:p>
    <w:p w14:paraId="245D43F8">
      <w:pPr>
        <w:widowControl w:val="0"/>
        <w:numPr>
          <w:ilvl w:val="2"/>
          <w:numId w:val="12"/>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deșeurilor periculoase provenite din gospodării prevăzute la Art. 30</w:t>
      </w:r>
    </w:p>
    <w:p w14:paraId="290545BB">
      <w:pPr>
        <w:widowControl w:val="0"/>
        <w:numPr>
          <w:ilvl w:val="2"/>
          <w:numId w:val="12"/>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deșeurilor voluminoase inclusiv mobilă și saltele</w:t>
      </w:r>
    </w:p>
    <w:p w14:paraId="4A50D918">
      <w:pPr>
        <w:widowControl w:val="0"/>
        <w:numPr>
          <w:ilvl w:val="2"/>
          <w:numId w:val="12"/>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deșeurilor textile, colectarea deșeurilor 20.01.10 – îmbracăminte, 20 01 11 - textile</w:t>
      </w:r>
    </w:p>
    <w:p w14:paraId="1AA55679">
      <w:pPr>
        <w:widowControl w:val="0"/>
        <w:numPr>
          <w:ilvl w:val="2"/>
          <w:numId w:val="12"/>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deșeurilor abandonate pe teritorul administrativ al UAT urilor din aria de delegare Art. 4 alin 5 din Legea 101/2006</w:t>
      </w:r>
    </w:p>
    <w:p w14:paraId="1DE98D18">
      <w:pPr>
        <w:pStyle w:val="164"/>
        <w:spacing w:after="0" w:line="240" w:lineRule="auto"/>
        <w:jc w:val="both"/>
        <w:rPr>
          <w:rFonts w:asciiTheme="majorHAnsi" w:hAnsiTheme="majorHAnsi" w:cstheme="majorHAnsi"/>
          <w:sz w:val="24"/>
          <w:szCs w:val="24"/>
          <w:lang w:val="ro-RO"/>
        </w:rPr>
      </w:pPr>
    </w:p>
    <w:p w14:paraId="31E1FE7B">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14:paraId="45EC77AB">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Termenii, expresiile şi abrevierile utilizate sunt cele din regulamentul serviciului de salubrizare.</w:t>
      </w:r>
    </w:p>
    <w:p w14:paraId="73DF396E">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III</w:t>
      </w:r>
      <w:r>
        <w:rPr>
          <w:rFonts w:cstheme="majorHAnsi"/>
          <w:color w:val="auto"/>
          <w:sz w:val="24"/>
          <w:szCs w:val="24"/>
          <w:lang w:val="ro-RO"/>
        </w:rPr>
        <w:br w:type="textWrapping"/>
      </w:r>
      <w:r>
        <w:rPr>
          <w:rFonts w:cstheme="majorHAnsi"/>
          <w:color w:val="auto"/>
          <w:sz w:val="24"/>
          <w:szCs w:val="24"/>
          <w:lang w:val="ro-RO"/>
        </w:rPr>
        <w:t>Cerinţe organizatorice minimale</w:t>
      </w:r>
    </w:p>
    <w:p w14:paraId="55AB265F">
      <w:pPr>
        <w:spacing w:after="0" w:line="240" w:lineRule="auto"/>
        <w:jc w:val="both"/>
        <w:rPr>
          <w:rFonts w:asciiTheme="majorHAnsi" w:hAnsiTheme="majorHAnsi" w:cstheme="majorHAnsi"/>
          <w:sz w:val="24"/>
          <w:szCs w:val="24"/>
          <w:lang w:val="ro-RO"/>
        </w:rPr>
      </w:pPr>
    </w:p>
    <w:p w14:paraId="21EBFCA1">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1</w:t>
      </w:r>
      <w:r>
        <w:rPr>
          <w:rFonts w:cstheme="majorHAnsi"/>
          <w:color w:val="auto"/>
          <w:sz w:val="24"/>
          <w:szCs w:val="24"/>
          <w:lang w:val="ro-RO"/>
        </w:rPr>
        <w:br w:type="textWrapping"/>
      </w:r>
      <w:r>
        <w:rPr>
          <w:rFonts w:cstheme="majorHAnsi"/>
          <w:color w:val="auto"/>
          <w:sz w:val="24"/>
          <w:szCs w:val="24"/>
          <w:lang w:val="ro-RO"/>
        </w:rPr>
        <w:t>Obligaţii de serviciu public în prestarea serviciului şi operarea infrastructurii aferente acestuia</w:t>
      </w:r>
    </w:p>
    <w:p w14:paraId="75477876">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următoarele obligaţii de serviciu public:</w:t>
      </w:r>
    </w:p>
    <w:p w14:paraId="51E54E1D">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prestarea activităţii/activităţilor de salubrizare cu respectarea legislaţiei, normelor, prescripţiilor şi regulamentelor privind securitatea şi sănătatea în muncă, situaţiile de urgenţă, gospodărirea apelor, protecţia mediului, urmărirea comportării construcţiilor în timpul exploatării, precum şi cu respectarea tuturor obligaţiilor sale care îi revin conform legii şi/sau pe care şi le-a asumat prin hotărârea de dare în administrare sau, după caz, prin contractul de delegare a gestiunii;</w:t>
      </w:r>
    </w:p>
    <w:p w14:paraId="5B2B205A">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exploatarea, întreţinerea şi reparaţia instalaţiilor şi utilajelor cu personal propriu şi/sau autorizat, în funcţie de complexitatea instalaţiei şi de specificul locului de muncă; </w:t>
      </w:r>
    </w:p>
    <w:p w14:paraId="0471046D">
      <w:pPr>
        <w:pStyle w:val="164"/>
        <w:numPr>
          <w:ilvl w:val="4"/>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intretinerea si reparatia bunurilor de retur va fi efectuata in unitati autorizate- daca este cazul;</w:t>
      </w:r>
    </w:p>
    <w:p w14:paraId="469D6599">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elaborarea planurilor anuale de revizii şi reparaţii executate cu forţe proprii şi cu terţi;</w:t>
      </w:r>
    </w:p>
    <w:p w14:paraId="1F4F8BE8">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ţinerea evidenţei orelor de funcţionare a autospecialelor, instalaţiilor şi utilajelor;</w:t>
      </w:r>
    </w:p>
    <w:p w14:paraId="49B6F748">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asigurarea personalului necesar pentru prestarea activităţilor asumate prin contractul de delegare sau prin hotărârea de dare în administrare;</w:t>
      </w:r>
    </w:p>
    <w:p w14:paraId="0B39613F">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asigurarea conducerii operative prin dispecerat, la solicitarea scrisă a delegatarului şi cu recunoaşterea costurilor aferente în tarif;</w:t>
      </w:r>
    </w:p>
    <w:p w14:paraId="33546A6E">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deţinerea unei dotări proprii cu instalaţii şi echipamente specifice necesare pentru prestarea activităţilor, în condiţiile stabilite prin contract sau prin hotărârea de dare în administrare;</w:t>
      </w:r>
    </w:p>
    <w:p w14:paraId="4883CECF">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aplicarea metodelor performante de management, care să conducă la reducerea costurilor de operare, inclusiv prin aplicarea procedurilor concurenţiale prevăzute de normele legale în vigoare privind achiziţiile publice, şi să asigure totodată respectarea cerinţelor specifice din legislaţia privind protecţia mediului;</w:t>
      </w:r>
    </w:p>
    <w:p w14:paraId="03A1B4AB">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alte condiţii specifice stabilite de asociaţia de dezvoltare intercomunitară/condiții stabilite prin aplicatia de finantare a proiectului SMID.</w:t>
      </w:r>
    </w:p>
    <w:p w14:paraId="6D9CB2F3">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Prestarea activităţii de salubrizare se va realiza astfel încât să se asigure:</w:t>
      </w:r>
    </w:p>
    <w:p w14:paraId="2F8A0246">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continuitatea activităţii, indiferent de anotimp, cu respectarea prevederilor contractuale;</w:t>
      </w:r>
    </w:p>
    <w:p w14:paraId="5C8603C8">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adaptarea regimului de prestare a activităţii la cerinţele utilizatorului;</w:t>
      </w:r>
    </w:p>
    <w:p w14:paraId="1C4BED05">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verificarea calităţii activităţii prestate;</w:t>
      </w:r>
    </w:p>
    <w:p w14:paraId="27D098BB">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respectarea instrucţiunilor/procedurilor interne de prestare a activităţii;</w:t>
      </w:r>
    </w:p>
    <w:p w14:paraId="08801574">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ţinerea la zi a documentelor cu privire la prestarea activităţii;</w:t>
      </w:r>
    </w:p>
    <w:p w14:paraId="34C3BC9D">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respectarea regulamentului serviciului de salubrizare aprobat de delegatar;</w:t>
      </w:r>
    </w:p>
    <w:p w14:paraId="542792B9">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prestarea activităţii pe baza principiilor de eficienţă economică;</w:t>
      </w:r>
    </w:p>
    <w:p w14:paraId="0D34AC2F">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reînnoirea parcului auto, în condiţiile prevăzute în contractul de delegare;</w:t>
      </w:r>
    </w:p>
    <w:p w14:paraId="38BE4CE8">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îndeplinirea indicatorilor de performanţă corelaţi cu ţintele/obiectivele asumate la nivel naţional, precum şi a indicatorilor de performanţă privind calitatea serviciului, aprobaţi de delegatar;</w:t>
      </w:r>
    </w:p>
    <w:p w14:paraId="77994535">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asigurarea, pe toată durata de executare a activităţii, de personal calificat şi în număr suficient.</w:t>
      </w:r>
    </w:p>
    <w:p w14:paraId="4E00F5CB">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Obligaţiile şi răspunderile personalului operativ al operatorului sunt cuprinse în regulamentul serviciului.</w:t>
      </w:r>
    </w:p>
    <w:p w14:paraId="15E24A2F">
      <w:pPr>
        <w:spacing w:after="0" w:line="240" w:lineRule="auto"/>
        <w:jc w:val="both"/>
        <w:rPr>
          <w:rFonts w:asciiTheme="majorHAnsi" w:hAnsiTheme="majorHAnsi" w:cstheme="majorHAnsi"/>
          <w:sz w:val="24"/>
          <w:szCs w:val="24"/>
          <w:lang w:val="ro-RO"/>
        </w:rPr>
      </w:pPr>
    </w:p>
    <w:p w14:paraId="2544B3F5">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2-a</w:t>
      </w:r>
      <w:r>
        <w:rPr>
          <w:rFonts w:cstheme="majorHAnsi"/>
          <w:color w:val="auto"/>
          <w:sz w:val="24"/>
          <w:szCs w:val="24"/>
          <w:lang w:val="ro-RO"/>
        </w:rPr>
        <w:br w:type="textWrapping"/>
      </w:r>
      <w:r>
        <w:rPr>
          <w:rFonts w:cstheme="majorHAnsi"/>
          <w:color w:val="auto"/>
          <w:sz w:val="24"/>
          <w:szCs w:val="24"/>
          <w:lang w:val="ro-RO"/>
        </w:rPr>
        <w:t>Cerinţe generale privind operarea şi întreţinerea staţiilor/instalaţiilor de tratare a deşeurilor</w:t>
      </w:r>
    </w:p>
    <w:p w14:paraId="57B89166">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Toate bunurile concesionate/puse la dispoziţie de delegatar trebuie exploatate în condiţii de siguranţă în funcţionare, cu respectarea prevederilor din Manualele/Instrucţiunile de operare şi întreţinere, din prescripţiile/specificaţiile tehnice aferente instalaţiilor, echipamentelor şi utilajelor utilizate, precum şi a legislaţiei privind protecţia mediului, securitatea şi sănătatea în muncă.</w:t>
      </w:r>
    </w:p>
    <w:p w14:paraId="5EAED643">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monitoriza factorii de mediu şi va îndeplini cerinţele privind respectarea condiţiilor de protecţie a mediului stabilite prin autorizaţii şi orice altă cerinţă suplimentară impusă de o autoritate competentă privind exploatarea în regim normal a obiectivelor.</w:t>
      </w:r>
    </w:p>
    <w:p w14:paraId="745EAADE">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constitui un stoc suficient de piese de rezervă şi consumabile pentru a asigura funcţionarea neîntreruptă şi continuă a activităţii. Operatorul va completa toate piesele de rezervă şi consumabilele imediat după ce acestea au fost date în folosinţă.</w:t>
      </w:r>
    </w:p>
    <w:p w14:paraId="6ECE0161">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asigura inspecţii regulate ale obiectivelor/instalaţiilor şi va acţiona imediat pentru reparare în caz că se identifică deteriorări sau riscul de producere a unor incidente/avarii. Operatorul va reabilita imediat instalaţiile sau va înlocui orice echipament sau componentă sau orice vehicul necesar pentru operare, pe propria cheltuială, în baza unei notificări transmise delegatarului şi al acceptului acestuia cu privire la costurile aferente, urmând ca respectivele costuri să fie recunoscute în tarif la solicitarea de modificare a tarifului.</w:t>
      </w:r>
    </w:p>
    <w:p w14:paraId="7017D475">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Întreţinerea va fi executată numai în conformitate cu Manualele/Instrucţiunile de operare şi întreţinere puse la dispoziţie de către delegatar sau producător. Întreţinerea trebuie să fie asigurată într- o manieră pro-activă, astfel încât să se întreprindă acţiuni preventive înainte sa fie necesare reparaţii majore.</w:t>
      </w:r>
    </w:p>
    <w:p w14:paraId="5D3E6DD6">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Întreţinerea curentă a echipamentelor şi instalaţiilor va fi asigurată de personalul de exploatare. Reparaţiile majore şi reparaţiile generale pot fi efectuate şi de către companii specializate.</w:t>
      </w:r>
    </w:p>
    <w:p w14:paraId="3F0882C9">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fi responsabil de întreţinerea şi curăţarea drumurilor din incintă</w:t>
      </w:r>
      <w:r>
        <w:rPr>
          <w:rFonts w:asciiTheme="majorHAnsi" w:hAnsiTheme="majorHAnsi" w:cstheme="majorHAnsi"/>
          <w:i/>
          <w:iCs/>
          <w:sz w:val="24"/>
          <w:szCs w:val="24"/>
          <w:lang w:val="ro-RO"/>
        </w:rPr>
        <w:t>.- daca este cazul</w:t>
      </w:r>
    </w:p>
    <w:p w14:paraId="448E1CE8">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răspunde de plata tuturor cheltuielilor şi costurilor asociate întreţinerii şi utilizării clădirilor, a instalaţiilor şi a utilităţilor concesionate/date în administrare.</w:t>
      </w:r>
    </w:p>
    <w:p w14:paraId="1AF7B97D">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Toate lucrările de întreţinere şi reparaţii vor avea în vedere protecţia mediului. Se va acorda o atenţie deosebita manipulării combustibililor, lubrifianţilor şi a solvenţilor pentru a preveni vărsarea acestora şi infiltrarea lor în sol.</w:t>
      </w:r>
    </w:p>
    <w:p w14:paraId="2C93B5A5">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Levigatul, precum şi apa provenită din spălarea autospecialelor şi recipientelor de colectare a deşeurilor, vor fi direcţionate prin sistemul de canalizare către staţia de epurare sau, după caz, către sistemul de colectare a levigatului în vederea tratării, conform Manualului/Instrucţiunilor de operare al instalaţiei.</w:t>
      </w:r>
    </w:p>
    <w:p w14:paraId="39AC4E7D">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 trebuie să reducă la minimum posibilitatea antrenării de către vânt a deşeurilor din incinta obiectivelor şi va lua toate măsurile necesare pentru a evita împrăştierea acestor deşeuri în exteriorul incintei şi/sau pe traseele de transport a deşeurilor.</w:t>
      </w:r>
    </w:p>
    <w:p w14:paraId="224BD932">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opera obiectivele/instalaţiile în aşa fel încât să minimizeze mirosurile generate de gestionarea deşeurilor.</w:t>
      </w:r>
    </w:p>
    <w:p w14:paraId="52D80717">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asigura realizarea tratamentelor de dezinsecţie, dezinfecţie şi deratizare la obiectivele concesionate/date în administrare- Unde este cazul.</w:t>
      </w:r>
    </w:p>
    <w:p w14:paraId="4494D279">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încheia, în nume propriu, contracte cu furnizorii de utilităţi, după cum este necesar pentru buna funcţionare a activităţii.</w:t>
      </w:r>
    </w:p>
    <w:p w14:paraId="1C5B52FC">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Asigurarea unei noi utilităţi, precum şi renunţarea la o utilitate existentă care deserveşte obiectivul/instalaţia, faţă de momentul semnării contractului va putea fi realizată de către operator numai cu acordul prealabil al delegatarului.</w:t>
      </w:r>
    </w:p>
    <w:p w14:paraId="768B5E04">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asigura personalul necesar desfăşurării activităţii.</w:t>
      </w:r>
    </w:p>
    <w:p w14:paraId="5BA2C2CD">
      <w:pPr>
        <w:spacing w:after="0" w:line="240" w:lineRule="auto"/>
        <w:jc w:val="both"/>
        <w:rPr>
          <w:rFonts w:asciiTheme="majorHAnsi" w:hAnsiTheme="majorHAnsi" w:cstheme="majorHAnsi"/>
          <w:sz w:val="24"/>
          <w:szCs w:val="24"/>
          <w:lang w:val="ro-RO"/>
        </w:rPr>
      </w:pPr>
    </w:p>
    <w:p w14:paraId="0E181C5A">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3-a</w:t>
      </w:r>
      <w:r>
        <w:rPr>
          <w:rFonts w:cstheme="majorHAnsi"/>
          <w:color w:val="auto"/>
          <w:sz w:val="24"/>
          <w:szCs w:val="24"/>
          <w:lang w:val="ro-RO"/>
        </w:rPr>
        <w:br w:type="textWrapping"/>
      </w:r>
      <w:r>
        <w:rPr>
          <w:rFonts w:cstheme="majorHAnsi"/>
          <w:color w:val="auto"/>
          <w:sz w:val="24"/>
          <w:szCs w:val="24"/>
          <w:lang w:val="ro-RO"/>
        </w:rPr>
        <w:t>Autorizaţii şi licenţe</w:t>
      </w:r>
    </w:p>
    <w:p w14:paraId="4E044F0F">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obţine şi menţine valabile pe toată perioada prestării activităţii:</w:t>
      </w:r>
    </w:p>
    <w:p w14:paraId="1659CC4B">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licenţele necesare pentru prestarea activităţii/activităţilor specifice serviciului de salubrizare eliberate de A.N.R.S.C., în conformitate cu prevederile legale în vigoare;</w:t>
      </w:r>
    </w:p>
    <w:p w14:paraId="0DFF048F">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orice alte permise, aprobări sau autorizaţii, inclusiv autorizaţia de mediu sau autorizaţia integrată de mediu, după caz.</w:t>
      </w:r>
    </w:p>
    <w:p w14:paraId="0B5E94FB">
      <w:pPr>
        <w:spacing w:after="0" w:line="240" w:lineRule="auto"/>
        <w:jc w:val="both"/>
        <w:rPr>
          <w:rFonts w:asciiTheme="majorHAnsi" w:hAnsiTheme="majorHAnsi" w:cstheme="majorHAnsi"/>
          <w:sz w:val="24"/>
          <w:szCs w:val="24"/>
          <w:lang w:val="ro-RO"/>
        </w:rPr>
      </w:pPr>
    </w:p>
    <w:p w14:paraId="4686090C">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4-a</w:t>
      </w:r>
      <w:r>
        <w:rPr>
          <w:rFonts w:cstheme="majorHAnsi"/>
          <w:color w:val="auto"/>
          <w:sz w:val="24"/>
          <w:szCs w:val="24"/>
          <w:lang w:val="ro-RO"/>
        </w:rPr>
        <w:br w:type="textWrapping"/>
      </w:r>
      <w:r>
        <w:rPr>
          <w:rFonts w:cstheme="majorHAnsi"/>
          <w:color w:val="auto"/>
          <w:sz w:val="24"/>
          <w:szCs w:val="24"/>
          <w:lang w:val="ro-RO"/>
        </w:rPr>
        <w:t>Personal şi instructaj</w:t>
      </w:r>
    </w:p>
    <w:p w14:paraId="1F15DD1D">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îşi va angaja propriul personal şi va fi responsabil de comportamentul acestuia pe timpul desfăşurării activităţii. Toţi conducătorii auto şi ceilalţi angajaţi trebuie să deţină calificări relevante. Angajaţii vor fi instruiţi în mod corespunzător şi calificaţi pentru sarcinile lor, astfel încât echipamentele, instalaţiile, maşinile şi vehiculele utilizate să fie exploatate şi întreţinute în conformitate cu cerinţele contractuale.</w:t>
      </w:r>
    </w:p>
    <w:p w14:paraId="0DE93757">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Personalul cheie obligatoriu a face parte din echipa operatorului este </w:t>
      </w:r>
    </w:p>
    <w:p w14:paraId="76EDB42E">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b/>
          <w:bCs/>
          <w:sz w:val="24"/>
          <w:szCs w:val="24"/>
          <w:lang w:val="ro-RO"/>
        </w:rPr>
        <w:t>Manager de contract</w:t>
      </w:r>
      <w:r>
        <w:rPr>
          <w:rFonts w:asciiTheme="majorHAnsi" w:hAnsiTheme="majorHAnsi" w:cstheme="majorHAnsi"/>
          <w:sz w:val="24"/>
          <w:szCs w:val="24"/>
          <w:lang w:val="ro-RO"/>
        </w:rPr>
        <w:t xml:space="preserve"> / </w:t>
      </w:r>
      <w:r>
        <w:rPr>
          <w:rFonts w:asciiTheme="majorHAnsi" w:hAnsiTheme="majorHAnsi" w:cstheme="majorHAnsi"/>
          <w:b/>
          <w:bCs/>
          <w:sz w:val="24"/>
          <w:szCs w:val="24"/>
          <w:lang w:val="ro-RO"/>
        </w:rPr>
        <w:t>Manager de colectare</w:t>
      </w:r>
    </w:p>
    <w:p w14:paraId="24D06D84">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b/>
          <w:bCs/>
          <w:sz w:val="24"/>
          <w:szCs w:val="24"/>
          <w:lang w:val="ro-RO"/>
        </w:rPr>
        <w:t>Responsabil tehnic.</w:t>
      </w:r>
    </w:p>
    <w:p w14:paraId="6B061B78">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Pe toată durata derulării contractului de delegare, operatorul are obligaţia să prezinte, la solicitarea delegatarului, lista nominală cu personalul angajat pentru prestarea activităţii/activităţilor de salubrizare, pe categorii de personal, cu specificarea specializărilor/calificărilor profesionale ale personalului de conducere şi ale personalului de execuţie şi cu indicarea numărului de salariaţi angajaţi cu salariul minim brut pe ţară garantat la plată.</w:t>
      </w:r>
    </w:p>
    <w:p w14:paraId="6458C579">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trebuie să poată, în orice moment, înlocui angajaţii în caz de concediu, boală sau alte indisponibilităţi.</w:t>
      </w:r>
    </w:p>
    <w:p w14:paraId="3C9CAEF7">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face cunoscut delegatarului persoana/persoanele din conducere desemnate să gestioneze şi supravegheze prestarea activităţii în numele său. În absenţa, din orice motiv, a persoanei/persoanelor din conducere, trebuie nominalizaţi înlocuitorul/înlocuitorii. Personalul de conducere şi înlocuitorii acestuia trebuie să aibă cunoştinţe temeinice tehnice şi trebuie să fie capabili să înţeleagă, să vorbească, să scrie şi să citească în limba română.</w:t>
      </w:r>
    </w:p>
    <w:p w14:paraId="61F104CF">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Persoana cu responsabilităţi de conducere trebuie să fie autorizată/împuternicită să negocieze şi să încheie acorduri cu delegatarul cu privire la executarea de lucrări şi/sau servicii în legătură cu activitatea atribuită. Persoana cu responsabilităţi de conducere sau un reprezentant al operatorului împuternicit de aceasta trebuie să poată fi contactată şi disponibilă să se prezente la locul convenit într- un termen rezonabil, în funcţie de amploarea problemei, atunci când delegatarul solicită.</w:t>
      </w:r>
    </w:p>
    <w:p w14:paraId="7652532F">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Periodic, operatorul va efectua, conform prevederilor legale în vigoare, instructaje pentru ca personalul să fie permanent la curent cu aspecte operaţionale, situaţii de urgenţă, de protecţie a mediului, de securitate şi sănătate în muncă.</w:t>
      </w:r>
    </w:p>
    <w:p w14:paraId="4F4E380C">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Operatorului nu i se permite să schimbe fluxul deşeurilor, fără permisiunea delegatarului.</w:t>
      </w:r>
    </w:p>
    <w:p w14:paraId="06C8F583">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timpul executării serviciilor, personalului operatorului nu îi este permis să ceară sau să primească vreo formă de compensaţie sau gratificaţii din partea cetăţenilor sau a altor producători de deşeuri în scopul extinderii sau îmbunătăţirii calităţii serviciului.</w:t>
      </w:r>
    </w:p>
    <w:p w14:paraId="667F4B33">
      <w:pPr>
        <w:spacing w:after="0" w:line="240" w:lineRule="auto"/>
        <w:jc w:val="both"/>
        <w:rPr>
          <w:rFonts w:asciiTheme="majorHAnsi" w:hAnsiTheme="majorHAnsi" w:cstheme="majorHAnsi"/>
          <w:sz w:val="24"/>
          <w:szCs w:val="24"/>
          <w:lang w:val="ro-RO"/>
        </w:rPr>
      </w:pPr>
    </w:p>
    <w:p w14:paraId="3C74CE9A">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5-a</w:t>
      </w:r>
      <w:r>
        <w:rPr>
          <w:rFonts w:cstheme="majorHAnsi"/>
          <w:color w:val="auto"/>
          <w:sz w:val="24"/>
          <w:szCs w:val="24"/>
          <w:lang w:val="ro-RO"/>
        </w:rPr>
        <w:br w:type="textWrapping"/>
      </w:r>
      <w:r>
        <w:rPr>
          <w:rFonts w:cstheme="majorHAnsi"/>
          <w:color w:val="auto"/>
          <w:sz w:val="24"/>
          <w:szCs w:val="24"/>
          <w:lang w:val="ro-RO"/>
        </w:rPr>
        <w:t>Echipament de protecţie</w:t>
      </w:r>
    </w:p>
    <w:p w14:paraId="6826B313">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este responsabil de asigurarea echipamentului de protecţie şi de desfăşurarea tuturor operaţiunilor şi activităţilor în conformitate cu prevederile legale şi normele privind sănătatea şi securitatea în muncă.</w:t>
      </w:r>
    </w:p>
    <w:p w14:paraId="0F550FEE">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 va funcționa sub numele propriei firme sau a liderului asocierii, după caz, marcând tot echipamentul, vehiculele, publicațiile cu același logo sau slogan. Personalul operațional va purta îmbrăcămintea operatorului economic în timpul orelor de program</w:t>
      </w:r>
    </w:p>
    <w:p w14:paraId="4B4433D4">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 va furniza personalului carduri de identificare, conținând numele, fotografia, și numărul de identificare și le va cere să poarte aceste carduri de identificare pe toată perioada lucrului, în scopuri de monitorizare</w:t>
      </w:r>
    </w:p>
    <w:p w14:paraId="2FB0C488">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Prevenirea situaţiilor de urgenţă şi măsurile de protecţie vor fi asigurate şi menţinute conform prevederilor legale în vigoare.</w:t>
      </w:r>
    </w:p>
    <w:p w14:paraId="2B706D13">
      <w:pPr>
        <w:spacing w:after="0" w:line="240" w:lineRule="auto"/>
        <w:jc w:val="both"/>
        <w:rPr>
          <w:rFonts w:asciiTheme="majorHAnsi" w:hAnsiTheme="majorHAnsi" w:cstheme="majorHAnsi"/>
          <w:sz w:val="24"/>
          <w:szCs w:val="24"/>
          <w:lang w:val="ro-RO"/>
        </w:rPr>
      </w:pPr>
    </w:p>
    <w:p w14:paraId="13153950">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6-a</w:t>
      </w:r>
      <w:r>
        <w:rPr>
          <w:rFonts w:cstheme="majorHAnsi"/>
          <w:color w:val="auto"/>
          <w:sz w:val="24"/>
          <w:szCs w:val="24"/>
          <w:lang w:val="ro-RO"/>
        </w:rPr>
        <w:br w:type="textWrapping"/>
      </w:r>
      <w:r>
        <w:rPr>
          <w:rFonts w:cstheme="majorHAnsi"/>
          <w:color w:val="auto"/>
          <w:sz w:val="24"/>
          <w:szCs w:val="24"/>
          <w:lang w:val="ro-RO"/>
        </w:rPr>
        <w:t>Sistemul de management integrat</w:t>
      </w:r>
    </w:p>
    <w:p w14:paraId="30446983">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implementa un sistem de management calitate - mediu, conform cerinţelor standardelor ISO 9001:2015 sau echivalent şi ISO 14001:2015 sau echivalent.</w:t>
      </w:r>
    </w:p>
    <w:p w14:paraId="4B9089F3">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Fiecare sistem de management va acoperi în mod obligatoriu toate activităţile de salubrizare prestate de operator.</w:t>
      </w:r>
    </w:p>
    <w:p w14:paraId="0309146F">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trebuie să pună la dispoziţia delegatarului, la cerere, toate procedurile, instrucţiunile de lucru, auditurile şi rapoartele de evaluare, certificările şi auditurile de supraveghere şi recertificare aferente sistemului.</w:t>
      </w:r>
    </w:p>
    <w:p w14:paraId="0E61A20C">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avea în vedere la proiectarea sistemelor de management cerinţele delegatarului privind raportarea datelor şi informaţiilor solicitate.</w:t>
      </w:r>
    </w:p>
    <w:p w14:paraId="529250EC">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trebuie să se asigure că desfăşoară toate activităţile în condiţiile respectării standardelor de management al calităţii şi de mediu şi să ia măsuri pentru înlăturarea neconformităţilor.</w:t>
      </w:r>
    </w:p>
    <w:p w14:paraId="52373ECE">
      <w:pPr>
        <w:spacing w:after="0" w:line="240" w:lineRule="auto"/>
        <w:jc w:val="both"/>
        <w:rPr>
          <w:rFonts w:asciiTheme="majorHAnsi" w:hAnsiTheme="majorHAnsi" w:cstheme="majorHAnsi"/>
          <w:sz w:val="24"/>
          <w:szCs w:val="24"/>
          <w:lang w:val="ro-RO"/>
        </w:rPr>
      </w:pPr>
    </w:p>
    <w:p w14:paraId="506466BE">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7-a</w:t>
      </w:r>
      <w:r>
        <w:rPr>
          <w:rFonts w:cstheme="majorHAnsi"/>
          <w:color w:val="auto"/>
          <w:sz w:val="24"/>
          <w:szCs w:val="24"/>
          <w:lang w:val="ro-RO"/>
        </w:rPr>
        <w:br w:type="textWrapping"/>
      </w:r>
      <w:r>
        <w:rPr>
          <w:rFonts w:cstheme="majorHAnsi"/>
          <w:color w:val="auto"/>
          <w:sz w:val="24"/>
          <w:szCs w:val="24"/>
          <w:lang w:val="ro-RO"/>
        </w:rPr>
        <w:t>Comunicarea (în cazul atribuirii activităţii de colectare separată şi transport separat al deşeurilor municipale)</w:t>
      </w:r>
    </w:p>
    <w:p w14:paraId="1291E116">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deruleze campanii de informare, conştientizare şi educare a utilizatorilor cu privire la desfăşurarea activităţilor de salubrizare, inclusiv cu privire la regulile de utilizare a recipientelor de colectare separată şi sancţiunile aplicabile în cazul nerespectării acestora, conform regulamentului serviciului de salubrizare aprobat de către delegatar.</w:t>
      </w:r>
    </w:p>
    <w:p w14:paraId="522F1D00">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0174D1C0">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informa operativ delegatarul cu privire la orice problemă ce afectează prestarea serviciului. Asemenea probleme vor fi prezentate în scris, împreună cu propunerile de rezolvare a situaţiei.</w:t>
      </w:r>
    </w:p>
    <w:p w14:paraId="799F7489">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Dispoziţiile scrise date de către delegatar operatorului, în condiţiile legii şi a prevederilor contractuale, sunt obligatorii. În situaţia în care dispoziţiile date de către delegatar implică costuri suplimentare în sarcina operatorului, acesta poate solicita modificarea tarifului.</w:t>
      </w:r>
    </w:p>
    <w:p w14:paraId="52A5D37E">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7546980A">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Operatorii au obligaţia să facă publice propriile date de contact la care utilizatorii pot depune sesizări/petiţii cu privire la activităţile de salubrizare prestate, inclusiv să înfiinţeze, la solicitarea delegatarului, un serviciu de dispecerat.</w:t>
      </w:r>
    </w:p>
    <w:p w14:paraId="7FACD8F8">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 acest scop, Operatorul va înființa un serviciu telefonic funcțional non-stop. Numerele de telefon folosite în acest scop trebuie trimise Delegatarului precum si in mod obligatoriu aduse in cunostinta utilizatorilor in mod direct/nemijlocit</w:t>
      </w:r>
    </w:p>
    <w:p w14:paraId="55DF7A51">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 are obligația să informeze utilizatorii asupra regulilor de utilizare a serviciilor, respectiv să îi înștiințeze pentru a indica un eventual comportament indezirabil (probleme legate de colectarea separată greșită a deșeurilor, umplerea până la refuz a containerelor sau alte nerespectări ale regulilor)</w:t>
      </w:r>
    </w:p>
    <w:p w14:paraId="3D7CEC3F">
      <w:pPr>
        <w:pStyle w:val="164"/>
        <w:numPr>
          <w:ilvl w:val="2"/>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Înștiințarea, în original, trebuie să fie lăsată în cutia poștală a proprietarului sau trimisă persoanei responsabile (administratorul clădirii). O copie a înștiințării trebuie păstrată de Operator și folosită pentru raportul transmis Delegatarului. Aceasta poate solicita copii ale înștiințărilor pentru documentare</w:t>
      </w:r>
    </w:p>
    <w:p w14:paraId="3043AF25">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nu va condiţiona prestarea serviciului de existenţa unei reclamaţii de la utilizator.</w:t>
      </w:r>
    </w:p>
    <w:p w14:paraId="2FA2ED7E">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La sfârşitul fiecărei perioade de raportare prevăzută în actul de atribuire a activităţii, operatorul are obligaţia să informeze delegatarul cu privire la numărul cererilor sau reclamaţiilor privind prestarea serviciului şi asupra modului de rezolvare a acestora.</w:t>
      </w:r>
    </w:p>
    <w:p w14:paraId="187DC674">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rezolva problemele privind colectarea deşeurilor separate incorect ce pot apărea în relaţia cu utilizatorii, în conformitate cu Procedura de colectare a deşeurilor separate incorect, convenită împreună cu delegatarul şi aprobată de acesta în perioada de mobilizare, până la data începerii prestării activităţii.</w:t>
      </w:r>
    </w:p>
    <w:p w14:paraId="2C331527">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rezolva problemele privind acceptarea deşeurilor la staţiile/instalaţiile de tratare a deşeurilor ce pot apărea în relaţia cu alţi operatori care desfăşoară activităţi pe fluxul deşeurilor, în conformitate cu Procedura de acceptare a deşeurilor, convenită de către delegatar împreună cu operatorul staţiei/instalaţiei de tratare a deşeurilor şi aprobată de delegatar.</w:t>
      </w:r>
    </w:p>
    <w:p w14:paraId="3EBF37CF">
      <w:pPr>
        <w:spacing w:after="0" w:line="240" w:lineRule="auto"/>
        <w:jc w:val="both"/>
        <w:rPr>
          <w:rFonts w:asciiTheme="majorHAnsi" w:hAnsiTheme="majorHAnsi" w:cstheme="majorHAnsi"/>
          <w:sz w:val="24"/>
          <w:szCs w:val="24"/>
          <w:lang w:val="ro-RO"/>
        </w:rPr>
      </w:pPr>
    </w:p>
    <w:p w14:paraId="48CCD458">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8-a</w:t>
      </w:r>
      <w:r>
        <w:rPr>
          <w:rFonts w:cstheme="majorHAnsi"/>
          <w:color w:val="auto"/>
          <w:sz w:val="24"/>
          <w:szCs w:val="24"/>
          <w:lang w:val="ro-RO"/>
        </w:rPr>
        <w:br w:type="textWrapping"/>
      </w:r>
      <w:r>
        <w:rPr>
          <w:rFonts w:cstheme="majorHAnsi"/>
          <w:color w:val="auto"/>
          <w:sz w:val="24"/>
          <w:szCs w:val="24"/>
          <w:lang w:val="ro-RO"/>
        </w:rPr>
        <w:t>Monitorizarea activităţii</w:t>
      </w:r>
    </w:p>
    <w:p w14:paraId="74FB0D21">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Delegatarul are dreptul să monitorizeze continuitatea şi calitatea activităţii prestate de operator, în condiţiile prevăzute în contractul de delegare sau în hotărârea de dare în administrare, după caz.</w:t>
      </w:r>
    </w:p>
    <w:p w14:paraId="35E5CD06">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Delegatarul va monitoriza activitatea Operatorului in conformitate cu prevederile legale si după cum este descris în Condițiile Contractuale</w:t>
      </w:r>
    </w:p>
    <w:p w14:paraId="6947D464">
      <w:pPr>
        <w:pStyle w:val="164"/>
        <w:numPr>
          <w:ilvl w:val="0"/>
          <w:numId w:val="11"/>
        </w:numPr>
        <w:spacing w:after="0" w:line="240" w:lineRule="auto"/>
        <w:jc w:val="both"/>
        <w:rPr>
          <w:rFonts w:asciiTheme="majorHAnsi" w:hAnsiTheme="majorHAnsi" w:cstheme="majorHAnsi"/>
          <w:sz w:val="24"/>
          <w:szCs w:val="24"/>
          <w:lang w:val="ro-RO"/>
        </w:rPr>
      </w:pPr>
    </w:p>
    <w:p w14:paraId="5E33B109">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coopereze pe deplin cu delegatarul în scopul monitorizării şi controlului activităţilor prestate şi să permită delegatarului să inspecteze toate înregistrările şi documentele, inclusiv cele contabile, în legătură cu activitatea/activităţile de salubrizare atribuită/e.</w:t>
      </w:r>
    </w:p>
    <w:p w14:paraId="001B7E77">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permită delegatarului să inspecteze toate instalaţiile, echipamentele şi vehiculele utilizate la prestarea activităţii/activităţilor de salubrizare atribuită/e.</w:t>
      </w:r>
    </w:p>
    <w:p w14:paraId="39CF46B1">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Pentru activităţile de salubrizare desfăşurate pe căile publice, delegatarul va desemna persoane pentru recepţia serviciilor executate. Recepţia se va face zilnic, la sfârşitul programului de lucru, în prezenţa unui reprezentant al operatorului, încheindu-se proces verbal de recepţie semnat de ambele părţi. Reprezentantul delegatarului va nota observaţiile sale în procesul verbal de recepţie. În situaţia în care nu se realizează recepţia serviciilor până la sfârşitul programului, se consideră că respectivele servicii au fost executate în condiţii optime. Litigiile legate de recepţia serviciilor se soluţionează pe cale amiabilă în termen de 15 zile de la data apariţiei lor sau, în caz contrar, de către instanţa de judecată competentă.- </w:t>
      </w:r>
      <w:r>
        <w:rPr>
          <w:rFonts w:asciiTheme="majorHAnsi" w:hAnsiTheme="majorHAnsi" w:cstheme="majorHAnsi"/>
          <w:sz w:val="24"/>
          <w:szCs w:val="24"/>
          <w:shd w:val="clear" w:color="auto" w:fill="C6D9F0" w:themeFill="text2" w:themeFillTint="33"/>
          <w:lang w:val="ro-RO"/>
        </w:rPr>
        <w:t>NU SE APLICA</w:t>
      </w:r>
    </w:p>
    <w:p w14:paraId="5F44BBD3">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5FD7B543">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Delegatarul va fi informat de către operator despre orice inspecţie/control programată/programat de alte autorităţi şi va putea participa la acestea.</w:t>
      </w:r>
    </w:p>
    <w:p w14:paraId="7151C612">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Delegatarul are dreptul să organizeze şedinţele de management al serviciilor cu participarea operatorului şi, dacă este cazul, a altor operatori care prestează activităţi pe fluxul deşeurilor.</w:t>
      </w:r>
    </w:p>
    <w:p w14:paraId="69288E9B">
      <w:pPr>
        <w:spacing w:after="0" w:line="240" w:lineRule="auto"/>
        <w:jc w:val="both"/>
        <w:rPr>
          <w:rFonts w:asciiTheme="majorHAnsi" w:hAnsiTheme="majorHAnsi" w:cstheme="majorHAnsi"/>
          <w:sz w:val="24"/>
          <w:szCs w:val="24"/>
          <w:lang w:val="ro-RO"/>
        </w:rPr>
      </w:pPr>
    </w:p>
    <w:p w14:paraId="53F3CA11">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9-a</w:t>
      </w:r>
      <w:r>
        <w:rPr>
          <w:rFonts w:cstheme="majorHAnsi"/>
          <w:color w:val="auto"/>
          <w:sz w:val="24"/>
          <w:szCs w:val="24"/>
          <w:lang w:val="ro-RO"/>
        </w:rPr>
        <w:br w:type="textWrapping"/>
      </w:r>
      <w:r>
        <w:rPr>
          <w:rFonts w:cstheme="majorHAnsi"/>
          <w:color w:val="auto"/>
          <w:sz w:val="24"/>
          <w:szCs w:val="24"/>
          <w:lang w:val="ro-RO"/>
        </w:rPr>
        <w:t>Securitatea obiectivelor şi instalaţiilor</w:t>
      </w:r>
    </w:p>
    <w:p w14:paraId="49002265">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4A9BCE62">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Intrarea în obiectivele administrate de operator este controlată şi limitată de către acesta la persoanele autorizate să intre în incintă pentru motive asociate cu operarea, întreţinerea, controlul şi monitorizarea activităţilor. Alte persoane, cum ar fi vizitatori sau grupuri organizate în scopuri educative, vor fi admise doar cu acceptul operatorului şi informarea delegatarului.</w:t>
      </w:r>
    </w:p>
    <w:p w14:paraId="56496822">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Regulile privind accesul la obiective se stabilesc de către operator şi se comunică delegatarului.</w:t>
      </w:r>
    </w:p>
    <w:p w14:paraId="592CB4B8">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este pe deplin responsabil cu asigurarea pazei şi a integrităţii protecţiei perimetrale pentru toate obiectivele.</w:t>
      </w:r>
    </w:p>
    <w:p w14:paraId="231DE4EA">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Orice incident neobişnuit privind securitatea este notificat autorităţilor competente de ordine publică şi înregistrat în baza de date a operatorului. Operatorul raportează delegatarului orice incident semnificativ legat de pătrunderi, stricăciuni sau pierderi. Operatorul şi delegatarul analizează orice astfel de incident şi evaluează caracterul adecvat al măsurilor de securitate ce trebuie luate pentru evitarea apariţiei unor evenimente asemănătoare pe viitor.</w:t>
      </w:r>
    </w:p>
    <w:p w14:paraId="4CE3B854">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implementeze un plan de intervenţii în caz de evenimente neprevăzute şi să instruiască personalul pentru a fi pregătit să intervină în cazul situaţiilor de urgenţă, cum ar fi incendii, fum şi scurgeri de materiale periculoase.</w:t>
      </w:r>
    </w:p>
    <w:p w14:paraId="572347C1">
      <w:pPr>
        <w:spacing w:after="0" w:line="240" w:lineRule="auto"/>
        <w:jc w:val="both"/>
        <w:rPr>
          <w:rFonts w:asciiTheme="majorHAnsi" w:hAnsiTheme="majorHAnsi" w:cstheme="majorHAnsi"/>
          <w:sz w:val="24"/>
          <w:szCs w:val="24"/>
          <w:lang w:val="ro-RO"/>
        </w:rPr>
      </w:pPr>
    </w:p>
    <w:p w14:paraId="7F849DC3">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10-a</w:t>
      </w:r>
      <w:r>
        <w:rPr>
          <w:rFonts w:cstheme="majorHAnsi"/>
          <w:color w:val="auto"/>
          <w:sz w:val="24"/>
          <w:szCs w:val="24"/>
          <w:lang w:val="ro-RO"/>
        </w:rPr>
        <w:br w:type="textWrapping"/>
      </w:r>
      <w:r>
        <w:rPr>
          <w:rFonts w:cstheme="majorHAnsi"/>
          <w:color w:val="auto"/>
          <w:sz w:val="24"/>
          <w:szCs w:val="24"/>
          <w:lang w:val="ro-RO"/>
        </w:rPr>
        <w:t>Amenajarea bazei de lucru (în cazul atribuirii activităţii de colectare separată şi transport separat al deşeurilor municipale şi/sau a activităţilor de salubrizare desfăşurate pe căile publice)</w:t>
      </w:r>
    </w:p>
    <w:p w14:paraId="62AE1886">
      <w:pPr>
        <w:spacing w:after="0" w:line="240" w:lineRule="auto"/>
        <w:rPr>
          <w:rFonts w:asciiTheme="majorHAnsi" w:hAnsiTheme="majorHAnsi" w:cstheme="majorHAnsi"/>
          <w:sz w:val="24"/>
          <w:szCs w:val="24"/>
          <w:lang w:val="ro-RO"/>
        </w:rPr>
      </w:pPr>
    </w:p>
    <w:p w14:paraId="1DA53C33">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de a amenaja şi autoriza cel puţin o bază de lucru operaţională aferenta fiecarei zone de colectare, al cărei amplasament să fie situat în zona delegată sau în proximitatea acesteia.</w:t>
      </w:r>
    </w:p>
    <w:p w14:paraId="67033BD4">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Baza de lucru operaţională trebuie să fie organizată încât să asigure:</w:t>
      </w:r>
    </w:p>
    <w:p w14:paraId="021B22EA">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stocarea temporară a deşeurilor colectate aferente unor fracţii/ categorii speciale de deşeuri, precum deşeuri textile, deşeuri periculoase menajere, deşeuri voluminoase şi deşeuri din construcţii rezultate din activităţi de reamenajare şi reabilitare interioară şi/sau exterioară a locuinţelor, după caz;</w:t>
      </w:r>
    </w:p>
    <w:p w14:paraId="661717E3">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gararea în condiţii optime a maşinilor/echipamentelor cu care operatorul prestează activităţile ce i-au fost delegate conform contractului semnat între părţi, în vederea asigurării disponibilităţii imediate a acestora;</w:t>
      </w:r>
    </w:p>
    <w:p w14:paraId="1EFC581B">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desfăşurarea în bune condiţii a operaţiilor de întreţinere a maşinilor şi echipamentelor, astfel încât acestea să fie disponibile şi utilizabile la întreaga capacitate pe toată durata derulării contractului.</w:t>
      </w:r>
    </w:p>
    <w:p w14:paraId="51CCB8DB">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Baza de lucru concesionată sau dată în administrare de către delegatar nu poate fi sub nicio formă utilizată pentru desfăşurarea de activităţi care nu fac obiectul contractului de delegare încheiat cu acesta sau, după caz, hotărârii de dare în administrare – </w:t>
      </w:r>
      <w:r>
        <w:rPr>
          <w:rFonts w:asciiTheme="majorHAnsi" w:hAnsiTheme="majorHAnsi" w:cstheme="majorHAnsi"/>
          <w:b/>
          <w:bCs/>
          <w:sz w:val="24"/>
          <w:szCs w:val="24"/>
          <w:lang w:val="ro-RO"/>
        </w:rPr>
        <w:t>NU se aplica</w:t>
      </w:r>
      <w:r>
        <w:rPr>
          <w:rFonts w:asciiTheme="majorHAnsi" w:hAnsiTheme="majorHAnsi" w:cstheme="majorHAnsi"/>
          <w:sz w:val="24"/>
          <w:szCs w:val="24"/>
          <w:lang w:val="ro-RO"/>
        </w:rPr>
        <w:t>.</w:t>
      </w:r>
    </w:p>
    <w:p w14:paraId="02FCC968">
      <w:pPr>
        <w:spacing w:after="0" w:line="240" w:lineRule="auto"/>
        <w:jc w:val="both"/>
        <w:rPr>
          <w:rFonts w:asciiTheme="majorHAnsi" w:hAnsiTheme="majorHAnsi" w:cstheme="majorHAnsi"/>
          <w:sz w:val="24"/>
          <w:szCs w:val="24"/>
          <w:lang w:val="ro-RO"/>
        </w:rPr>
      </w:pPr>
    </w:p>
    <w:p w14:paraId="4B7B9116">
      <w:pPr>
        <w:spacing w:after="0" w:line="240" w:lineRule="auto"/>
        <w:jc w:val="both"/>
        <w:rPr>
          <w:rFonts w:asciiTheme="majorHAnsi" w:hAnsiTheme="majorHAnsi" w:cstheme="majorHAnsi"/>
          <w:sz w:val="24"/>
          <w:szCs w:val="24"/>
          <w:lang w:val="ro-RO"/>
        </w:rPr>
      </w:pPr>
    </w:p>
    <w:p w14:paraId="35DC9A7A">
      <w:pPr>
        <w:spacing w:after="0" w:line="240" w:lineRule="auto"/>
        <w:jc w:val="both"/>
        <w:rPr>
          <w:rFonts w:asciiTheme="majorHAnsi" w:hAnsiTheme="majorHAnsi" w:cstheme="majorHAnsi"/>
          <w:sz w:val="24"/>
          <w:szCs w:val="24"/>
          <w:lang w:val="ro-RO"/>
        </w:rPr>
      </w:pPr>
    </w:p>
    <w:p w14:paraId="6B1F09E4">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11-a</w:t>
      </w:r>
      <w:r>
        <w:rPr>
          <w:rFonts w:cstheme="majorHAnsi"/>
          <w:color w:val="auto"/>
          <w:sz w:val="24"/>
          <w:szCs w:val="24"/>
          <w:lang w:val="ro-RO"/>
        </w:rPr>
        <w:br w:type="textWrapping"/>
      </w:r>
      <w:r>
        <w:rPr>
          <w:rFonts w:cstheme="majorHAnsi"/>
          <w:color w:val="auto"/>
          <w:sz w:val="24"/>
          <w:szCs w:val="24"/>
          <w:lang w:val="ro-RO"/>
        </w:rPr>
        <w:t>Sistemul informatic şi baza de date a operaţiunilor</w:t>
      </w:r>
    </w:p>
    <w:p w14:paraId="5A9B902D">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20CB6C49">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implementeze un sistem informatic şi o bază electronică de date a operaţiunilor desfăşurate, unde vor fi înregistrate, stocate şi procesate toate datele legate de activitatea acestuia.</w:t>
      </w:r>
    </w:p>
    <w:p w14:paraId="3705FB1F">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Sistemul informatic trebuie să poată genera rapoarte zilnice, lunare, trimestriale şi anuale prin agregarea şi procesarea numărului mare de înregistrări primite zilnic pentru fiecare activitate a serviciului/obiectiv în parte şi per total.</w:t>
      </w:r>
    </w:p>
    <w:p w14:paraId="7B7F9C7D">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Sistemul informatic şi baza de date a operaţiunilor vor fi implementate in cel mai scurt timp posibil si trebuie să fie utilizabile la data începerii prestării activităţii/activităţilor.</w:t>
      </w:r>
    </w:p>
    <w:p w14:paraId="69A36B82">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este liber să aleagă soluţiile hardware şi software de realizare a sistemului informatic, ţinând seama de cerinţele minime privind raportarea.</w:t>
      </w:r>
    </w:p>
    <w:p w14:paraId="3D603D0F">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actualizează zilnic baza de date cu cantităţile de deşeuri aferente activităţilor/operaţiunilor desfăşurate, defalcat pe fiecare unitate/subdiviziune administrativ-teritorială din care au fost colectate.</w:t>
      </w:r>
    </w:p>
    <w:p w14:paraId="7FB6093F">
      <w:pPr>
        <w:pStyle w:val="164"/>
        <w:numPr>
          <w:ilvl w:val="0"/>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30133254">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La cererea delegatarului, operatorul va prezenta un raport privind serviciile similare prestate pe baza contractelor de delegare încheiate cu alţi delegatari, precum şi pentru serviciile similare prestate către alţi operatori cu care se află în raporturi contractuale.</w:t>
      </w:r>
    </w:p>
    <w:p w14:paraId="6B7E9E19">
      <w:pPr>
        <w:pStyle w:val="164"/>
        <w:numPr>
          <w:ilvl w:val="1"/>
          <w:numId w:val="1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Raportul va cuprinde pentru fiecare contract în parte cantitatea de deşeuri colectată/acceptată şi contravaloarea serviciilor prestate.</w:t>
      </w:r>
    </w:p>
    <w:p w14:paraId="73842043">
      <w:pPr>
        <w:spacing w:after="0" w:line="240" w:lineRule="auto"/>
        <w:jc w:val="both"/>
        <w:rPr>
          <w:rFonts w:asciiTheme="majorHAnsi" w:hAnsiTheme="majorHAnsi" w:cstheme="majorHAnsi"/>
          <w:sz w:val="24"/>
          <w:szCs w:val="24"/>
          <w:lang w:val="ro-RO"/>
        </w:rPr>
      </w:pPr>
    </w:p>
    <w:p w14:paraId="2ED69BDC">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IV</w:t>
      </w:r>
      <w:r>
        <w:rPr>
          <w:rFonts w:cstheme="majorHAnsi"/>
          <w:color w:val="auto"/>
          <w:sz w:val="24"/>
          <w:szCs w:val="24"/>
          <w:lang w:val="ro-RO"/>
        </w:rPr>
        <w:br w:type="textWrapping"/>
      </w:r>
      <w:r>
        <w:rPr>
          <w:rFonts w:cstheme="majorHAnsi"/>
          <w:color w:val="auto"/>
          <w:sz w:val="24"/>
          <w:szCs w:val="24"/>
          <w:lang w:val="ro-RO"/>
        </w:rPr>
        <w:t>Colectarea separată şi transportul separat al deşeurilor municipale şi al deşeurilor generate ocazional</w:t>
      </w:r>
    </w:p>
    <w:p w14:paraId="7A260196">
      <w:pPr>
        <w:spacing w:after="0" w:line="240" w:lineRule="auto"/>
        <w:jc w:val="both"/>
        <w:rPr>
          <w:rFonts w:asciiTheme="majorHAnsi" w:hAnsiTheme="majorHAnsi" w:cstheme="majorHAnsi"/>
          <w:sz w:val="24"/>
          <w:szCs w:val="24"/>
          <w:lang w:val="ro-RO"/>
        </w:rPr>
      </w:pPr>
    </w:p>
    <w:p w14:paraId="1F17E050">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1</w:t>
      </w:r>
      <w:r>
        <w:rPr>
          <w:rFonts w:cstheme="majorHAnsi"/>
          <w:color w:val="auto"/>
          <w:sz w:val="24"/>
          <w:szCs w:val="24"/>
          <w:lang w:val="ro-RO"/>
        </w:rPr>
        <w:br w:type="textWrapping"/>
      </w:r>
      <w:r>
        <w:rPr>
          <w:rFonts w:cstheme="majorHAnsi"/>
          <w:color w:val="auto"/>
          <w:sz w:val="24"/>
          <w:szCs w:val="24"/>
          <w:lang w:val="ro-RO"/>
        </w:rPr>
        <w:t>Colectarea separată şi transportul separat al deşeurilor menajere şi al deşeurilor similare provenind din activităţi comerciale din industrie şi instituţii, inclusiv fracţii colectate separat</w:t>
      </w:r>
    </w:p>
    <w:p w14:paraId="02383868">
      <w:pPr>
        <w:spacing w:after="0" w:line="240" w:lineRule="auto"/>
        <w:rPr>
          <w:rFonts w:asciiTheme="majorHAnsi" w:hAnsiTheme="majorHAnsi" w:cstheme="majorHAnsi"/>
          <w:sz w:val="24"/>
          <w:szCs w:val="24"/>
          <w:lang w:val="ro-RO"/>
        </w:rPr>
      </w:pPr>
    </w:p>
    <w:p w14:paraId="4B40A2CD">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Operatorul are obligaţia de a presta activitatea de colectarea separată şi transportul separat al deşeurilor menajere şi al deşeurilor similare provenind din activităţi comerciale din industrie şi instituţii, inclusiv fracţii colectate separat, în condiţiile legii, pentru toţi utilizatorii casnici şi utilizatorii non-casnici din următoarele unităţi administrativ-teritoriale din zona urbană a Zonei 2 din Judetul Calarasi şi/sau următoarele unităţi administrativ-teritoriale din zona rurală a Zonei 2 a judetului Calarasi astfel:</w:t>
      </w:r>
    </w:p>
    <w:p w14:paraId="7BFA08CF">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tbl>
      <w:tblPr>
        <w:tblStyle w:val="12"/>
        <w:tblW w:w="5000" w:type="pct"/>
        <w:tblInd w:w="0" w:type="dxa"/>
        <w:tblLayout w:type="autofit"/>
        <w:tblCellMar>
          <w:top w:w="0" w:type="dxa"/>
          <w:left w:w="108" w:type="dxa"/>
          <w:bottom w:w="0" w:type="dxa"/>
          <w:right w:w="108" w:type="dxa"/>
        </w:tblCellMar>
      </w:tblPr>
      <w:tblGrid>
        <w:gridCol w:w="4020"/>
        <w:gridCol w:w="6117"/>
      </w:tblGrid>
      <w:tr w14:paraId="7A3D8879">
        <w:tblPrEx>
          <w:tblCellMar>
            <w:top w:w="0" w:type="dxa"/>
            <w:left w:w="108" w:type="dxa"/>
            <w:bottom w:w="0" w:type="dxa"/>
            <w:right w:w="108" w:type="dxa"/>
          </w:tblCellMar>
        </w:tblPrEx>
        <w:trPr>
          <w:trHeight w:val="300" w:hRule="atLeast"/>
        </w:trPr>
        <w:tc>
          <w:tcPr>
            <w:tcW w:w="1983" w:type="pct"/>
            <w:tcBorders>
              <w:top w:val="single" w:color="auto" w:sz="4" w:space="0"/>
              <w:left w:val="single" w:color="auto" w:sz="4" w:space="0"/>
              <w:bottom w:val="single" w:color="auto" w:sz="4" w:space="0"/>
              <w:right w:val="single" w:color="auto" w:sz="4" w:space="0"/>
            </w:tcBorders>
            <w:shd w:val="clear" w:color="000000" w:fill="DDEBF7"/>
            <w:noWrap/>
            <w:vAlign w:val="bottom"/>
          </w:tcPr>
          <w:p w14:paraId="76CCC04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Tip</w:t>
            </w:r>
          </w:p>
        </w:tc>
        <w:tc>
          <w:tcPr>
            <w:tcW w:w="3017" w:type="pct"/>
            <w:tcBorders>
              <w:top w:val="single" w:color="auto" w:sz="4" w:space="0"/>
              <w:left w:val="nil"/>
              <w:bottom w:val="single" w:color="auto" w:sz="4" w:space="0"/>
              <w:right w:val="single" w:color="auto" w:sz="4" w:space="0"/>
            </w:tcBorders>
            <w:shd w:val="clear" w:color="000000" w:fill="DDEBF7"/>
            <w:noWrap/>
            <w:vAlign w:val="bottom"/>
          </w:tcPr>
          <w:p w14:paraId="27F8436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UAT</w:t>
            </w:r>
          </w:p>
        </w:tc>
      </w:tr>
      <w:tr w14:paraId="39E617C3">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25A9788E">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Urban</w:t>
            </w:r>
          </w:p>
        </w:tc>
        <w:tc>
          <w:tcPr>
            <w:tcW w:w="3017" w:type="pct"/>
            <w:tcBorders>
              <w:top w:val="nil"/>
              <w:left w:val="nil"/>
              <w:bottom w:val="single" w:color="auto" w:sz="4" w:space="0"/>
              <w:right w:val="single" w:color="auto" w:sz="4" w:space="0"/>
            </w:tcBorders>
            <w:noWrap/>
            <w:vAlign w:val="bottom"/>
          </w:tcPr>
          <w:p w14:paraId="718296F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OLTENIŢA </w:t>
            </w:r>
          </w:p>
        </w:tc>
      </w:tr>
      <w:tr w14:paraId="745261BA">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4B2A56E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Urban</w:t>
            </w:r>
          </w:p>
        </w:tc>
        <w:tc>
          <w:tcPr>
            <w:tcW w:w="3017" w:type="pct"/>
            <w:tcBorders>
              <w:top w:val="nil"/>
              <w:left w:val="nil"/>
              <w:bottom w:val="single" w:color="auto" w:sz="4" w:space="0"/>
              <w:right w:val="single" w:color="auto" w:sz="4" w:space="0"/>
            </w:tcBorders>
            <w:noWrap/>
            <w:vAlign w:val="bottom"/>
          </w:tcPr>
          <w:p w14:paraId="3254A53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BUDEȘTI</w:t>
            </w:r>
          </w:p>
        </w:tc>
      </w:tr>
      <w:tr w14:paraId="4571AC50">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76D6EF48">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2EA6860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CASCIOARELE</w:t>
            </w:r>
          </w:p>
        </w:tc>
      </w:tr>
      <w:tr w14:paraId="2BC5270D">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34EC621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6B7CBF5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CHIRNOGI</w:t>
            </w:r>
          </w:p>
        </w:tc>
      </w:tr>
      <w:tr w14:paraId="521F66DE">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4577EB4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2489B63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CHISELET</w:t>
            </w:r>
          </w:p>
        </w:tc>
      </w:tr>
      <w:tr w14:paraId="399708A9">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19BA302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16D662B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CRIVAȚ</w:t>
            </w:r>
          </w:p>
        </w:tc>
      </w:tr>
      <w:tr w14:paraId="3CEBBF25">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72341BF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542224D4">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CURCANI</w:t>
            </w:r>
          </w:p>
        </w:tc>
      </w:tr>
      <w:tr w14:paraId="75E73321">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3B10B80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0B707FE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FRUMUȘANI</w:t>
            </w:r>
          </w:p>
        </w:tc>
      </w:tr>
      <w:tr w14:paraId="693E68D5">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41A1690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68463A7B">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FUNDENI</w:t>
            </w:r>
          </w:p>
        </w:tc>
      </w:tr>
      <w:tr w14:paraId="757F86F1">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1A489FA7">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6F218F3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GALBINAȘI</w:t>
            </w:r>
          </w:p>
        </w:tc>
      </w:tr>
      <w:tr w14:paraId="2ED96698">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3868CFA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27F2F62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LUICA</w:t>
            </w:r>
          </w:p>
        </w:tc>
      </w:tr>
      <w:tr w14:paraId="4596C12F">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6541B2C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24755DA8">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MITRENI</w:t>
            </w:r>
          </w:p>
        </w:tc>
      </w:tr>
      <w:tr w14:paraId="46E51B37">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437E0908">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552D536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NANA</w:t>
            </w:r>
          </w:p>
        </w:tc>
      </w:tr>
      <w:tr w14:paraId="776A66BF">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5E51D86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04E8F0CC">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PLATAREȘTI</w:t>
            </w:r>
          </w:p>
        </w:tc>
      </w:tr>
      <w:tr w14:paraId="3CBAAF62">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47F4A6C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0FAEB74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RADOVANU</w:t>
            </w:r>
          </w:p>
        </w:tc>
      </w:tr>
      <w:tr w14:paraId="41A3C550">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60E7151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1C21396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ȘOLDANU</w:t>
            </w:r>
          </w:p>
        </w:tc>
      </w:tr>
      <w:tr w14:paraId="1ADCA8CA">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42D55DF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0E818BCB">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SPANȚOV</w:t>
            </w:r>
          </w:p>
        </w:tc>
      </w:tr>
      <w:tr w14:paraId="1E1C074E">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1E44102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342C2F3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ULMENI</w:t>
            </w:r>
          </w:p>
        </w:tc>
      </w:tr>
      <w:tr w14:paraId="75F7A196">
        <w:tblPrEx>
          <w:tblCellMar>
            <w:top w:w="0" w:type="dxa"/>
            <w:left w:w="108" w:type="dxa"/>
            <w:bottom w:w="0" w:type="dxa"/>
            <w:right w:w="108" w:type="dxa"/>
          </w:tblCellMar>
        </w:tblPrEx>
        <w:trPr>
          <w:trHeight w:val="300" w:hRule="atLeast"/>
        </w:trPr>
        <w:tc>
          <w:tcPr>
            <w:tcW w:w="1983" w:type="pct"/>
            <w:tcBorders>
              <w:top w:val="nil"/>
              <w:left w:val="single" w:color="auto" w:sz="4" w:space="0"/>
              <w:bottom w:val="single" w:color="auto" w:sz="4" w:space="0"/>
              <w:right w:val="single" w:color="auto" w:sz="4" w:space="0"/>
            </w:tcBorders>
            <w:noWrap/>
            <w:vAlign w:val="bottom"/>
          </w:tcPr>
          <w:p w14:paraId="3451094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3017" w:type="pct"/>
            <w:tcBorders>
              <w:top w:val="nil"/>
              <w:left w:val="nil"/>
              <w:bottom w:val="single" w:color="auto" w:sz="4" w:space="0"/>
              <w:right w:val="single" w:color="auto" w:sz="4" w:space="0"/>
            </w:tcBorders>
            <w:noWrap/>
            <w:vAlign w:val="bottom"/>
          </w:tcPr>
          <w:p w14:paraId="23DD259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VASILAȚI</w:t>
            </w:r>
          </w:p>
        </w:tc>
      </w:tr>
    </w:tbl>
    <w:p w14:paraId="63DB27CA">
      <w:pPr>
        <w:spacing w:after="0" w:line="240" w:lineRule="auto"/>
        <w:jc w:val="both"/>
        <w:rPr>
          <w:rFonts w:asciiTheme="majorHAnsi" w:hAnsiTheme="majorHAnsi" w:cstheme="majorHAnsi"/>
          <w:sz w:val="24"/>
          <w:szCs w:val="24"/>
          <w:lang w:val="ro-RO"/>
        </w:rPr>
      </w:pPr>
    </w:p>
    <w:p w14:paraId="0997B7A6">
      <w:pPr>
        <w:pStyle w:val="18"/>
        <w:spacing w:after="0"/>
        <w:rPr>
          <w:rFonts w:asciiTheme="majorHAnsi" w:hAnsiTheme="majorHAnsi" w:cstheme="majorHAnsi"/>
          <w:color w:val="auto"/>
          <w:sz w:val="24"/>
          <w:szCs w:val="24"/>
        </w:rPr>
      </w:pPr>
      <w:r>
        <w:rPr>
          <w:rFonts w:asciiTheme="majorHAnsi" w:hAnsiTheme="majorHAnsi" w:cstheme="majorHAnsi"/>
          <w:color w:val="auto"/>
          <w:sz w:val="24"/>
          <w:szCs w:val="24"/>
        </w:rPr>
        <w:t xml:space="preserve">Tabel  </w:t>
      </w:r>
      <w:r>
        <w:rPr>
          <w:rFonts w:asciiTheme="majorHAnsi" w:hAnsiTheme="majorHAnsi" w:cstheme="majorHAnsi"/>
          <w:color w:val="auto"/>
          <w:sz w:val="24"/>
          <w:szCs w:val="24"/>
        </w:rPr>
        <w:fldChar w:fldCharType="begin"/>
      </w:r>
      <w:r>
        <w:rPr>
          <w:rFonts w:asciiTheme="majorHAnsi" w:hAnsiTheme="majorHAnsi" w:cstheme="majorHAnsi"/>
          <w:color w:val="auto"/>
          <w:sz w:val="24"/>
          <w:szCs w:val="24"/>
        </w:rPr>
        <w:instrText xml:space="preserve"> SEQ Tabel_ \* ARABIC </w:instrText>
      </w:r>
      <w:r>
        <w:rPr>
          <w:rFonts w:asciiTheme="majorHAnsi" w:hAnsiTheme="majorHAnsi" w:cstheme="majorHAnsi"/>
          <w:color w:val="auto"/>
          <w:sz w:val="24"/>
          <w:szCs w:val="24"/>
        </w:rPr>
        <w:fldChar w:fldCharType="separate"/>
      </w:r>
      <w:r>
        <w:rPr>
          <w:rFonts w:asciiTheme="majorHAnsi" w:hAnsiTheme="majorHAnsi" w:cstheme="majorHAnsi"/>
          <w:color w:val="auto"/>
          <w:sz w:val="24"/>
          <w:szCs w:val="24"/>
        </w:rPr>
        <w:t>1</w:t>
      </w:r>
      <w:r>
        <w:rPr>
          <w:rFonts w:asciiTheme="majorHAnsi" w:hAnsiTheme="majorHAnsi" w:cstheme="majorHAnsi"/>
          <w:color w:val="auto"/>
          <w:sz w:val="24"/>
          <w:szCs w:val="24"/>
        </w:rPr>
        <w:fldChar w:fldCharType="end"/>
      </w:r>
      <w:r>
        <w:rPr>
          <w:rFonts w:asciiTheme="majorHAnsi" w:hAnsiTheme="majorHAnsi" w:cstheme="majorHAnsi"/>
          <w:color w:val="auto"/>
          <w:sz w:val="24"/>
          <w:szCs w:val="24"/>
          <w:lang w:val="ro-RO"/>
        </w:rPr>
        <w:t xml:space="preserve"> Zona 2 de</w:t>
      </w:r>
      <w:r>
        <w:rPr>
          <w:rFonts w:asciiTheme="majorHAnsi" w:hAnsiTheme="majorHAnsi" w:cstheme="majorHAnsi"/>
          <w:color w:val="auto"/>
          <w:spacing w:val="-1"/>
          <w:sz w:val="24"/>
          <w:szCs w:val="24"/>
          <w:lang w:val="ro-RO"/>
        </w:rPr>
        <w:t xml:space="preserve"> </w:t>
      </w:r>
      <w:r>
        <w:rPr>
          <w:rFonts w:asciiTheme="majorHAnsi" w:hAnsiTheme="majorHAnsi" w:cstheme="majorHAnsi"/>
          <w:color w:val="auto"/>
          <w:sz w:val="24"/>
          <w:szCs w:val="24"/>
          <w:lang w:val="ro-RO"/>
        </w:rPr>
        <w:t>delegare</w:t>
      </w:r>
    </w:p>
    <w:p w14:paraId="337CB637">
      <w:pPr>
        <w:spacing w:after="0" w:line="240" w:lineRule="auto"/>
        <w:ind w:right="28"/>
        <w:jc w:val="center"/>
        <w:rPr>
          <w:rFonts w:asciiTheme="majorHAnsi" w:hAnsiTheme="majorHAnsi" w:cstheme="majorHAnsi"/>
          <w:sz w:val="24"/>
          <w:szCs w:val="24"/>
          <w:lang w:val="ro-RO"/>
        </w:rPr>
      </w:pPr>
    </w:p>
    <w:p w14:paraId="09B25D54">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 va asigura continuitatea colectării deşeurilor municipale, inclusiv în zilele de sâmbătă, duminică şi sărbători legale, cu frecvenţa stabilită de către delegatar, prin prezentul caiet de sarcini.</w:t>
      </w:r>
    </w:p>
    <w:p w14:paraId="0082A57F">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23612625">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Deşeurile menajere colectate de la utilizatorii casnici, persoane fizice şi asociaţii de proprietari/locatari, sunt deşeuri generate de către populaţie în urma activităţilor casnice desfăşurate în gospodăriile/locuinţele proprii.</w:t>
      </w:r>
    </w:p>
    <w:p w14:paraId="0424FE16">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bCs/>
          <w:sz w:val="24"/>
          <w:szCs w:val="24"/>
        </w:rPr>
        <w:t>Operatorul are obligația de a asigura colectarea separată atât a deșeurilor menajere cât și a deșeurilor reciclabile provenite de la utilizatorii casnici, separat de colectarea deșeurilor menajere și reciclabile generate de utilizatorii noncasnici, precum și de a realiza colectarea diferențiată pentru fiecare unitate administrativ-teritorială (UAT) din aria de delegare.</w:t>
      </w:r>
    </w:p>
    <w:p w14:paraId="658FED8D">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colecteze deşeurile menajere de la toţi utilizatorii casnici din aria de delegare.</w:t>
      </w:r>
    </w:p>
    <w:p w14:paraId="5D99309C">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Pentru cantităţile de deşeuri menajere colectate de la utilizatorii autoritatea administraţiei publice locale va plăti operatorului contravaloarea serviciului de salubrizare, pe baza taxei de salubrizare aprobată de către consiliul local în perioada de mobilizare, până la începerea prestării activităţii. Ajustarea ori modificarea ulterioară a taxei de salubrizare se face cu respectarea normelor metodologice elaborate şi aprobate de A.N.R.S.C.</w:t>
      </w:r>
    </w:p>
    <w:p w14:paraId="58EAAA36">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Numărul de locuitori din aria de operare se stabileşte pe baza datelor de la ultimul recensământ al populaţiei, publicat pe site-ul Institutului Naţional de Statistică (rezultate definitive: caracteristici demografice - Tabel 1.03.2. POPULAŢIA REZIDENTĂ DUPĂ GRUPA DE VÂRSTĂ, PE JUDEŢE ŞI MUNICIPII, ORAŞE, COMUNE, LA 1 DECEMBRIE 2021), ajustat, pentru anii următori, cu un factor de ajustare, care reprezintă raportul dintre populaţia rezidentă la nivel de judeţ la data de 1 ianuarie a anului în curs/celui mai recent an şi populaţia rezidentă la data de 1 ianuarie la nivel de judeţ a anului următor recensământului (1 ianuarie 2022), calculat pentru mediul urban sau, după caz, rural, conform datelor publicate de Institutul Naţional de Statistică, în baza de date statistice TEMPO - A.1.1. POPULAŢIA REZIDENTĂ, macheta POP105A - Populaţia rezidentă la 1 ianuarie pe grupe de vârstă şi vârste, sexe şi medii de rezidenţă, macroregiuni, regiuni de dezvoltare şi judeţe.</w:t>
      </w:r>
    </w:p>
    <w:p w14:paraId="7E732337">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3D90B5C8">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Deşeurile similare colectate de la persoanele juridice care din punct de vedere al naturii şi compoziţiei sunt asimilabile cu deşeurile menajere. Sunt excluse deşeurile provenite din producţie, din agricultură şi din activităţi forestiere.</w:t>
      </w:r>
    </w:p>
    <w:p w14:paraId="739A7D2A">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colecteze deşeurile similare de la toate persoanele juridice din aria de delegare, inclusiv de la toate filialele, sucursalele şi punctele de lucru ale operatorilor economici, precum şi de la toate sediile secundare ale instituţiilor publice, care îşi desfăşoară activitatea în aria de delegare, pe baza contractelor încheiate cu acestea.</w:t>
      </w:r>
    </w:p>
    <w:p w14:paraId="08C0A75A">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Datele de identificare ale firmelor active din aria de delegare, precum denumire şi adresă, vor fi preluate de pe site-urile dedicate acestui gen de informaţii sau solicitate autorităţilor publice care gestionează registre naţionale cu astfel de baze de date, precum Oficiul Naţional al Registrului Comerţului, Ministerul Justiţiei şi alte autorităţi competente.</w:t>
      </w:r>
    </w:p>
    <w:p w14:paraId="0A44F8A9">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La data întocmirii caietului de sarcini, numărul total de locuitori din aria de delegare este de  </w:t>
      </w:r>
      <w:r>
        <w:rPr>
          <w:rFonts w:asciiTheme="majorHAnsi" w:hAnsiTheme="majorHAnsi" w:cstheme="majorHAnsi"/>
          <w:b/>
          <w:bCs/>
          <w:sz w:val="24"/>
          <w:szCs w:val="24"/>
          <w:lang w:val="ro-RO"/>
        </w:rPr>
        <w:t>93820</w:t>
      </w:r>
      <w:r>
        <w:rPr>
          <w:rFonts w:asciiTheme="majorHAnsi" w:hAnsiTheme="majorHAnsi" w:cstheme="majorHAnsi"/>
          <w:sz w:val="24"/>
          <w:szCs w:val="24"/>
          <w:lang w:val="ro-RO"/>
        </w:rPr>
        <w:t xml:space="preserve">, din care </w:t>
      </w:r>
      <w:r>
        <w:rPr>
          <w:rFonts w:asciiTheme="majorHAnsi" w:hAnsiTheme="majorHAnsi" w:cstheme="majorHAnsi"/>
          <w:b/>
          <w:bCs/>
          <w:sz w:val="24"/>
          <w:szCs w:val="24"/>
          <w:lang w:val="ro-RO"/>
        </w:rPr>
        <w:t>28669</w:t>
      </w:r>
      <w:r>
        <w:rPr>
          <w:rFonts w:asciiTheme="majorHAnsi" w:hAnsiTheme="majorHAnsi" w:cstheme="majorHAnsi"/>
          <w:sz w:val="24"/>
          <w:szCs w:val="24"/>
          <w:lang w:val="ro-RO"/>
        </w:rPr>
        <w:t xml:space="preserve"> locuitori în zona urbană şi </w:t>
      </w:r>
      <w:r>
        <w:rPr>
          <w:rFonts w:asciiTheme="majorHAnsi" w:hAnsiTheme="majorHAnsi" w:cstheme="majorHAnsi"/>
          <w:b/>
          <w:bCs/>
          <w:sz w:val="24"/>
          <w:szCs w:val="24"/>
          <w:lang w:val="ro-RO"/>
        </w:rPr>
        <w:t>65151</w:t>
      </w:r>
      <w:r>
        <w:rPr>
          <w:rFonts w:asciiTheme="majorHAnsi" w:hAnsiTheme="majorHAnsi" w:cstheme="majorHAnsi"/>
          <w:sz w:val="24"/>
          <w:szCs w:val="24"/>
          <w:lang w:val="ro-RO"/>
        </w:rPr>
        <w:t xml:space="preserve"> locuitori în zona rurală.</w:t>
      </w:r>
    </w:p>
    <w:p w14:paraId="13041E6C">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Lista cu numărul de utilizatori şi numărul de gospodării individuale/locuinţe în blocuri din aria de delegare este prezentată în anexa nr. 1</w:t>
      </w:r>
    </w:p>
    <w:p w14:paraId="5FAA8C3D">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200FE376">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anuală de deşeuri menajere estimată a fi colectată în primul an de operare a fost  determinata de către delegatar pe baza datelor istorice raportate de operatori privind cantităţile de deşeuri menajere colectate în ultimele 12 luni anterioare datei întocmirii documentaţiei de atribuire, ţinând cont şi de cantităţile de ambalaje de tip metal, plastic şi sticlă colectate de pe raza unităţii/subdiviziunii administrativ-teritoriale prin sistemul de garanţie-returnare SGR, conform raportărilor administratorului SGR.</w:t>
      </w:r>
    </w:p>
    <w:p w14:paraId="1C95F19F">
      <w:pPr>
        <w:pStyle w:val="164"/>
        <w:spacing w:after="0" w:line="240" w:lineRule="auto"/>
        <w:jc w:val="both"/>
        <w:rPr>
          <w:rFonts w:asciiTheme="majorHAnsi" w:hAnsiTheme="majorHAnsi" w:cstheme="majorHAnsi"/>
          <w:sz w:val="24"/>
          <w:szCs w:val="24"/>
          <w:lang w:val="ro-RO"/>
        </w:rPr>
      </w:pPr>
    </w:p>
    <w:p w14:paraId="52D089B1">
      <w:pPr>
        <w:pStyle w:val="164"/>
        <w:numPr>
          <w:ilvl w:val="0"/>
          <w:numId w:val="13"/>
        </w:numPr>
        <w:spacing w:after="0" w:line="240" w:lineRule="auto"/>
        <w:jc w:val="both"/>
        <w:rPr>
          <w:rFonts w:asciiTheme="majorHAnsi" w:hAnsiTheme="majorHAnsi" w:cstheme="majorHAnsi"/>
          <w:sz w:val="24"/>
          <w:szCs w:val="24"/>
          <w:lang w:val="ro-RO"/>
        </w:rPr>
      </w:pPr>
    </w:p>
    <w:p w14:paraId="3F632CBD">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anuală de deşeuri similare estimată a fi colectată în primul an de operare a fost determinata de către delegatar pe baza datelor istorice raportate de operatori privind cantităţile de deşeuri similare colectate în ultimele 12 luni anterioare datei întocmirii documentaţiei de atribuire.</w:t>
      </w:r>
    </w:p>
    <w:p w14:paraId="5AB82F8B">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cazul în care datele istorice raportate de operatori reprezintă volume de deşeuri similare colectate, cantităţile anuale de deşeuri similare estimate a fi colectate separat sunt determinate pe baza densităţii medii aferentă fiecărei fracţii de deşeuri, care va fi utilizată şi la calcul nivelului tarifului în lei/mc, după cum urmează:</w:t>
      </w:r>
    </w:p>
    <w:p w14:paraId="6704BC03">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100 kg/mc, pentru fracţia de deşeuri reciclabile de hârtie, metal, plastic şi sticlă;</w:t>
      </w:r>
    </w:p>
    <w:p w14:paraId="3BADBB19">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350 kg/mc, pentru fracţia de deşeuri reziduale ;</w:t>
      </w:r>
    </w:p>
    <w:p w14:paraId="12EF792A">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350 kg/mc, pentru fracţia de biodeşeuri;</w:t>
      </w:r>
    </w:p>
    <w:p w14:paraId="0807F3E3">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300 kg/mc, pentru fracţia de deşeuri voluminoase;</w:t>
      </w:r>
    </w:p>
    <w:p w14:paraId="342404B6">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1500 kg/mc, pentru fracţia de deşeuri din construcţii.</w:t>
      </w:r>
    </w:p>
    <w:p w14:paraId="64D58B43">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mod convenţional, dacă la nivelul ariei de operare nu s-au realizat determinări ale densităţii fracţiilor/tipurilor de deşeuri similare, la calculul cantităţilor anuale de deşeuri similare estimate a fi colectate se poate utiliza densitatea/greutatea specifică (kg/mc) pentru componenta uscată aferentă tipurilor de deşeuri prevăzute în tabelul nr. 1 din  Normativul tehnic privind incinerarea deşeurilor aprobat prin Ordinul ministrului mediului şi gospodăririi apelor  sau alte densităţi recomandate în ghidurile/metodologiile aplicabile gestionării deşeurilor. </w:t>
      </w:r>
      <w:bookmarkStart w:id="3" w:name="_Hlk219729612"/>
      <w:r>
        <w:rPr>
          <w:rFonts w:asciiTheme="majorHAnsi" w:hAnsiTheme="majorHAnsi" w:cstheme="majorHAnsi"/>
          <w:b/>
          <w:bCs/>
          <w:sz w:val="24"/>
          <w:szCs w:val="24"/>
          <w:lang w:val="ro-RO"/>
        </w:rPr>
        <w:t>Nu au efectuate determinari ale densitatii fractiilor la nivelul zonei de delegare.</w:t>
      </w:r>
      <w:bookmarkEnd w:id="3"/>
    </w:p>
    <w:p w14:paraId="64A49DEB">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1A4B2FF1">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anuală de deşeuri municipale estimată a fi generată, în primul an de operare, din unităţile administrativ-teritoriale cuprinse în aria de delegare, este de </w:t>
      </w:r>
      <w:r>
        <w:rPr>
          <w:rFonts w:asciiTheme="majorHAnsi" w:hAnsiTheme="majorHAnsi" w:cstheme="majorHAnsi"/>
          <w:b/>
          <w:bCs/>
          <w:sz w:val="24"/>
          <w:szCs w:val="24"/>
          <w:lang w:val="ro-RO"/>
        </w:rPr>
        <w:t>27327</w:t>
      </w:r>
      <w:r>
        <w:rPr>
          <w:rFonts w:asciiTheme="majorHAnsi" w:hAnsiTheme="majorHAnsi" w:cstheme="majorHAnsi"/>
          <w:sz w:val="24"/>
          <w:szCs w:val="24"/>
          <w:lang w:val="ro-RO"/>
        </w:rPr>
        <w:t xml:space="preserve">  tone/an, din care:</w:t>
      </w:r>
    </w:p>
    <w:p w14:paraId="517AF5C9">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 </w:t>
      </w:r>
      <w:r>
        <w:rPr>
          <w:rFonts w:asciiTheme="majorHAnsi" w:hAnsiTheme="majorHAnsi" w:cstheme="majorHAnsi"/>
          <w:b/>
          <w:bCs/>
          <w:sz w:val="24"/>
          <w:szCs w:val="24"/>
          <w:lang w:val="ro-RO"/>
        </w:rPr>
        <w:t>10374</w:t>
      </w:r>
      <w:r>
        <w:rPr>
          <w:rFonts w:asciiTheme="majorHAnsi" w:hAnsiTheme="majorHAnsi" w:cstheme="majorHAnsi"/>
          <w:sz w:val="24"/>
          <w:szCs w:val="24"/>
          <w:lang w:val="ro-RO"/>
        </w:rPr>
        <w:t xml:space="preserve">. tone/an deşeuri municipale colectate din zona urbană, din care </w:t>
      </w:r>
      <w:r>
        <w:rPr>
          <w:rFonts w:asciiTheme="majorHAnsi" w:hAnsiTheme="majorHAnsi" w:cstheme="majorHAnsi"/>
          <w:b/>
          <w:bCs/>
          <w:sz w:val="24"/>
          <w:szCs w:val="24"/>
          <w:lang w:val="ro-RO"/>
        </w:rPr>
        <w:t>8691</w:t>
      </w:r>
      <w:r>
        <w:rPr>
          <w:rFonts w:asciiTheme="majorHAnsi" w:hAnsiTheme="majorHAnsi" w:cstheme="majorHAnsi"/>
          <w:sz w:val="24"/>
          <w:szCs w:val="24"/>
          <w:lang w:val="ro-RO"/>
        </w:rPr>
        <w:t xml:space="preserve"> tone/an deşeuri menajere şi </w:t>
      </w:r>
      <w:r>
        <w:rPr>
          <w:rFonts w:asciiTheme="majorHAnsi" w:hAnsiTheme="majorHAnsi" w:cstheme="majorHAnsi"/>
          <w:b/>
          <w:bCs/>
          <w:sz w:val="24"/>
          <w:szCs w:val="24"/>
          <w:lang w:val="ro-RO"/>
        </w:rPr>
        <w:t>1683</w:t>
      </w:r>
      <w:r>
        <w:rPr>
          <w:rFonts w:asciiTheme="majorHAnsi" w:hAnsiTheme="majorHAnsi" w:cstheme="majorHAnsi"/>
          <w:sz w:val="24"/>
          <w:szCs w:val="24"/>
          <w:lang w:val="ro-RO"/>
        </w:rPr>
        <w:t xml:space="preserve"> tone/an deşeuri similare.</w:t>
      </w:r>
    </w:p>
    <w:p w14:paraId="7533F390">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b) </w:t>
      </w:r>
      <w:r>
        <w:rPr>
          <w:rFonts w:asciiTheme="majorHAnsi" w:hAnsiTheme="majorHAnsi" w:cstheme="majorHAnsi"/>
          <w:b/>
          <w:bCs/>
          <w:sz w:val="24"/>
          <w:szCs w:val="24"/>
          <w:lang w:val="ro-RO"/>
        </w:rPr>
        <w:t>16953</w:t>
      </w:r>
      <w:r>
        <w:rPr>
          <w:rFonts w:asciiTheme="majorHAnsi" w:hAnsiTheme="majorHAnsi" w:cstheme="majorHAnsi"/>
          <w:sz w:val="24"/>
          <w:szCs w:val="24"/>
          <w:lang w:val="ro-RO"/>
        </w:rPr>
        <w:t xml:space="preserve"> tone/an deşeuri municipale colectate din zona rurală, din care </w:t>
      </w:r>
      <w:r>
        <w:rPr>
          <w:rFonts w:asciiTheme="majorHAnsi" w:hAnsiTheme="majorHAnsi" w:cstheme="majorHAnsi"/>
          <w:b/>
          <w:bCs/>
          <w:sz w:val="24"/>
          <w:szCs w:val="24"/>
          <w:lang w:val="ro-RO"/>
        </w:rPr>
        <w:t>15896</w:t>
      </w:r>
      <w:r>
        <w:rPr>
          <w:rFonts w:asciiTheme="majorHAnsi" w:hAnsiTheme="majorHAnsi" w:cstheme="majorHAnsi"/>
          <w:sz w:val="24"/>
          <w:szCs w:val="24"/>
          <w:lang w:val="ro-RO"/>
        </w:rPr>
        <w:t xml:space="preserve"> tone/an deşeuri menajere şi </w:t>
      </w:r>
      <w:r>
        <w:rPr>
          <w:rFonts w:asciiTheme="majorHAnsi" w:hAnsiTheme="majorHAnsi" w:cstheme="majorHAnsi"/>
          <w:b/>
          <w:bCs/>
          <w:sz w:val="24"/>
          <w:szCs w:val="24"/>
          <w:lang w:val="ro-RO"/>
        </w:rPr>
        <w:t>1057</w:t>
      </w:r>
      <w:r>
        <w:rPr>
          <w:rFonts w:asciiTheme="majorHAnsi" w:hAnsiTheme="majorHAnsi" w:cstheme="majorHAnsi"/>
          <w:sz w:val="24"/>
          <w:szCs w:val="24"/>
          <w:lang w:val="ro-RO"/>
        </w:rPr>
        <w:t xml:space="preserve"> tone/an deşeuri similare.</w:t>
      </w:r>
    </w:p>
    <w:p w14:paraId="6513C975">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Cantităţile anuale de deşeuri menajere şi similare estimate a fi colectate, în primul an de operare, din fiecare unitate administrativ-teritorială sunt prezentate în anexa nr. 2</w:t>
      </w:r>
    </w:p>
    <w:p w14:paraId="65F5129B">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432467F1">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Indicatorul de performanţă pentru colectarea separată a deşeurilor reciclabile de hârtie, metal, plastic şi sticlă în întreaga arie de delegare este de 70 % din cantitatea totală generată de deşeuri de hârtie, metal, plastic şi sticlă din deşeurile municipale, în conformitate cu valoarea minimă a indicatorului prevăzută în anexa  la O.U.G. nr. 92/2021 privind regimul deşeurilor, cu modificările şi completările ulterioare.</w:t>
      </w:r>
    </w:p>
    <w:p w14:paraId="11CF7DB9">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Pentru primul an de operare, cantitatea totală generată de deşeuri de hârtie, metal, plastic şi sticlă este calulata pe baza determinărilor de compoziţie a deşeurilor municipale.</w:t>
      </w:r>
    </w:p>
    <w:p w14:paraId="3290F818">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Ponderea cantităţii de deşeuri reciclabile de hârtie, metal, plastic şi sticlă în cantitatea totală generată de deşeuri municipale se actualizează numai pe baza determinărilor de compoziţie a deşeurilor municipale realizate de operator, în conformitate cu prevederile prezentului caiet de sarcini.</w:t>
      </w:r>
    </w:p>
    <w:p w14:paraId="017E74FA">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1AF658CD">
      <w:pPr>
        <w:spacing w:after="0" w:line="240" w:lineRule="auto"/>
        <w:jc w:val="both"/>
        <w:rPr>
          <w:rFonts w:asciiTheme="majorHAnsi" w:hAnsiTheme="majorHAnsi" w:cstheme="majorHAnsi"/>
          <w:sz w:val="24"/>
          <w:szCs w:val="24"/>
          <w:lang w:val="ro-RO"/>
        </w:rPr>
      </w:pPr>
    </w:p>
    <w:p w14:paraId="1B09ED58">
      <w:pPr>
        <w:pStyle w:val="164"/>
        <w:numPr>
          <w:ilvl w:val="2"/>
          <w:numId w:val="13"/>
        </w:numPr>
        <w:spacing w:after="0" w:line="240" w:lineRule="auto"/>
        <w:ind w:left="720"/>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Cantitatea de deşeuri reciclabile de hârtie, metal, plastic şi sticlă din deşeurile municipale estimată a fi colectată separat, în primul an de operare, din unităţile administrativ-teritoriale cuprinse în aria de delegare, calculată pe baza indicatorului de performanţă al activităţii, este de </w:t>
      </w:r>
      <w:r>
        <w:rPr>
          <w:rFonts w:asciiTheme="majorHAnsi" w:hAnsiTheme="majorHAnsi" w:cstheme="majorHAnsi"/>
          <w:b/>
          <w:bCs/>
          <w:sz w:val="24"/>
          <w:szCs w:val="24"/>
          <w:lang w:val="ro-RO"/>
        </w:rPr>
        <w:t>998</w:t>
      </w:r>
      <w:r>
        <w:rPr>
          <w:rFonts w:asciiTheme="majorHAnsi" w:hAnsiTheme="majorHAnsi" w:cstheme="majorHAnsi"/>
          <w:sz w:val="24"/>
          <w:szCs w:val="24"/>
          <w:lang w:val="ro-RO"/>
        </w:rPr>
        <w:t xml:space="preserve"> tone/an, din care:</w:t>
      </w:r>
    </w:p>
    <w:p w14:paraId="66E30386">
      <w:pPr>
        <w:spacing w:after="0" w:line="240" w:lineRule="auto"/>
        <w:ind w:left="720"/>
        <w:jc w:val="both"/>
        <w:rPr>
          <w:rFonts w:asciiTheme="majorHAnsi" w:hAnsiTheme="majorHAnsi" w:cstheme="majorHAnsi"/>
          <w:sz w:val="24"/>
          <w:szCs w:val="24"/>
          <w:lang w:val="ro-RO"/>
        </w:rPr>
      </w:pPr>
      <w:r>
        <w:rPr>
          <w:rFonts w:asciiTheme="majorHAnsi" w:hAnsiTheme="majorHAnsi" w:cstheme="majorHAnsi"/>
          <w:b/>
          <w:bCs/>
          <w:sz w:val="24"/>
          <w:szCs w:val="24"/>
          <w:lang w:val="ro-RO"/>
        </w:rPr>
        <w:t>348</w:t>
      </w:r>
      <w:r>
        <w:rPr>
          <w:rFonts w:asciiTheme="majorHAnsi" w:hAnsiTheme="majorHAnsi" w:cstheme="majorHAnsi"/>
          <w:sz w:val="24"/>
          <w:szCs w:val="24"/>
          <w:lang w:val="ro-RO"/>
        </w:rPr>
        <w:t xml:space="preserve"> tone/an deşeuri reciclabile de hârtie, metal, plastic şi sticlă colectate din zona urbană;</w:t>
      </w:r>
    </w:p>
    <w:p w14:paraId="2E0B16DE">
      <w:pPr>
        <w:spacing w:after="0" w:line="240" w:lineRule="auto"/>
        <w:ind w:left="720"/>
        <w:jc w:val="both"/>
        <w:rPr>
          <w:rFonts w:asciiTheme="majorHAnsi" w:hAnsiTheme="majorHAnsi" w:cstheme="majorHAnsi"/>
          <w:sz w:val="24"/>
          <w:szCs w:val="24"/>
          <w:lang w:val="ro-RO"/>
        </w:rPr>
      </w:pPr>
      <w:r>
        <w:rPr>
          <w:rFonts w:asciiTheme="majorHAnsi" w:hAnsiTheme="majorHAnsi" w:cstheme="majorHAnsi"/>
          <w:b/>
          <w:bCs/>
          <w:sz w:val="24"/>
          <w:szCs w:val="24"/>
          <w:lang w:val="ro-RO"/>
        </w:rPr>
        <w:t>650</w:t>
      </w:r>
      <w:r>
        <w:rPr>
          <w:rFonts w:asciiTheme="majorHAnsi" w:hAnsiTheme="majorHAnsi" w:cstheme="majorHAnsi"/>
          <w:sz w:val="24"/>
          <w:szCs w:val="24"/>
          <w:lang w:val="ro-RO"/>
        </w:rPr>
        <w:t xml:space="preserve"> tone/an deşeuri reciclabile de hârtie, metal, plastic şi sticlă colectate din zona rurală.</w:t>
      </w:r>
    </w:p>
    <w:p w14:paraId="7A790315">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Restul din cantitatea totală de deşeuri municipale generată în aria de delegare reprezintă deşeuri reziduale şi biodeşeuri, din care:</w:t>
      </w:r>
    </w:p>
    <w:p w14:paraId="0F7844ED">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b/>
          <w:bCs/>
          <w:sz w:val="24"/>
          <w:szCs w:val="24"/>
          <w:lang w:val="ro-RO"/>
        </w:rPr>
        <w:t>9527</w:t>
      </w:r>
      <w:r>
        <w:rPr>
          <w:rFonts w:asciiTheme="majorHAnsi" w:hAnsiTheme="majorHAnsi" w:cstheme="majorHAnsi"/>
          <w:sz w:val="24"/>
          <w:szCs w:val="24"/>
          <w:lang w:val="ro-RO"/>
        </w:rPr>
        <w:t xml:space="preserve"> tone/an deşeuri reziduale şi biodeşeuri colectate din zona urbană, din care</w:t>
      </w:r>
    </w:p>
    <w:p w14:paraId="13F8FB29">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b/>
          <w:bCs/>
          <w:sz w:val="24"/>
          <w:szCs w:val="24"/>
          <w:lang w:val="ro-RO"/>
        </w:rPr>
        <w:t>6325</w:t>
      </w:r>
      <w:r>
        <w:rPr>
          <w:rFonts w:asciiTheme="majorHAnsi" w:hAnsiTheme="majorHAnsi" w:cstheme="majorHAnsi"/>
          <w:sz w:val="24"/>
          <w:szCs w:val="24"/>
          <w:lang w:val="ro-RO"/>
        </w:rPr>
        <w:t xml:space="preserve"> tone/an deşeuri reziduale şi </w:t>
      </w:r>
    </w:p>
    <w:p w14:paraId="51C81D2C">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b/>
          <w:bCs/>
          <w:sz w:val="24"/>
          <w:szCs w:val="24"/>
          <w:lang w:val="ro-RO"/>
        </w:rPr>
        <w:t>3201</w:t>
      </w:r>
      <w:r>
        <w:rPr>
          <w:rFonts w:asciiTheme="majorHAnsi" w:hAnsiTheme="majorHAnsi" w:cstheme="majorHAnsi"/>
          <w:sz w:val="24"/>
          <w:szCs w:val="24"/>
          <w:lang w:val="ro-RO"/>
        </w:rPr>
        <w:t xml:space="preserve">  tone/an biodeşeuri.</w:t>
      </w:r>
    </w:p>
    <w:p w14:paraId="0514138E">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b/>
          <w:bCs/>
          <w:sz w:val="24"/>
          <w:szCs w:val="24"/>
          <w:lang w:val="ro-RO"/>
        </w:rPr>
        <w:t>15835</w:t>
      </w:r>
      <w:r>
        <w:rPr>
          <w:rFonts w:asciiTheme="majorHAnsi" w:hAnsiTheme="majorHAnsi" w:cstheme="majorHAnsi"/>
          <w:sz w:val="24"/>
          <w:szCs w:val="24"/>
          <w:lang w:val="ro-RO"/>
        </w:rPr>
        <w:t xml:space="preserve"> tone/an deşeuri reziduale şi biodeşeuri colectate din zona rurală, din care </w:t>
      </w:r>
    </w:p>
    <w:p w14:paraId="6E3ED7A5">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b/>
          <w:bCs/>
          <w:sz w:val="24"/>
          <w:szCs w:val="24"/>
          <w:lang w:val="ro-RO"/>
        </w:rPr>
        <w:t>15835</w:t>
      </w:r>
      <w:r>
        <w:rPr>
          <w:rFonts w:asciiTheme="majorHAnsi" w:hAnsiTheme="majorHAnsi" w:cstheme="majorHAnsi"/>
          <w:sz w:val="24"/>
          <w:szCs w:val="24"/>
          <w:lang w:val="ro-RO"/>
        </w:rPr>
        <w:t xml:space="preserve"> tone/an deşeuri reziduale şi</w:t>
      </w:r>
    </w:p>
    <w:p w14:paraId="7BE3C375">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tone/an biodeşeuri.</w:t>
      </w:r>
    </w:p>
    <w:p w14:paraId="6BCE5CB5">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Valorile detaliate pentru fiecare UAT sunt prezentate in </w:t>
      </w:r>
      <w:r>
        <w:fldChar w:fldCharType="begin"/>
      </w:r>
      <w:r>
        <w:instrText xml:space="preserve"> HYPERLINK \l "_ANEXA_Nr._2" </w:instrText>
      </w:r>
      <w:r>
        <w:fldChar w:fldCharType="separate"/>
      </w:r>
      <w:r>
        <w:rPr>
          <w:rStyle w:val="27"/>
          <w:rFonts w:asciiTheme="majorHAnsi" w:hAnsiTheme="majorHAnsi" w:cstheme="majorHAnsi"/>
          <w:sz w:val="24"/>
          <w:szCs w:val="24"/>
          <w:lang w:val="ro-RO"/>
        </w:rPr>
        <w:t>Anexa 2</w:t>
      </w:r>
      <w:r>
        <w:rPr>
          <w:rStyle w:val="27"/>
          <w:rFonts w:asciiTheme="majorHAnsi" w:hAnsiTheme="majorHAnsi" w:cstheme="majorHAnsi"/>
          <w:sz w:val="24"/>
          <w:szCs w:val="24"/>
          <w:lang w:val="ro-RO"/>
        </w:rPr>
        <w:fldChar w:fldCharType="end"/>
      </w:r>
      <w:r>
        <w:t>.</w:t>
      </w:r>
    </w:p>
    <w:p w14:paraId="22A53DCE">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In prezent nu este implementat sistemul de colectare separata a biodeșeurilor in mediul urban din Zona 2, este estimat ca acest sistem sa se implementeze in cca 6 luni de la data de incepere a contractului.</w:t>
      </w:r>
    </w:p>
    <w:p w14:paraId="1A130800">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07960991">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Colectarea separată a deşeurilor menajere nepericuloase de la zonele cu blocuri se va realiza din punctele de colectare, iar colectarea separată a deşeurilor menajere nepericuloase de la case/gospodării individuale se va realiza din "poartă în poartă".</w:t>
      </w:r>
    </w:p>
    <w:p w14:paraId="21F9AC09">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zona cu blocuri, colectarea deşeurilor menajere nepericuloase se va realiza, pe 6 fracţii/tipuri de deşeuri, din:</w:t>
      </w:r>
    </w:p>
    <w:p w14:paraId="02499D21">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punctele de colectare de tip exterior cu pubele sau alte asemenea astfel:</w:t>
      </w:r>
    </w:p>
    <w:p w14:paraId="3BA2C21F">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de hârtie şi carton, în Container de 1.1 mc (de culoare albastra);</w:t>
      </w:r>
    </w:p>
    <w:p w14:paraId="6DFDE086">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de plastic şi metal, în Container de 1,1 mc (de culoare galbena);</w:t>
      </w:r>
    </w:p>
    <w:p w14:paraId="3F9B5689">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de sticlă, în Container de 1,1 mc (de culoare verde)</w:t>
      </w:r>
    </w:p>
    <w:p w14:paraId="4242F13B">
      <w:pPr>
        <w:pStyle w:val="164"/>
        <w:numPr>
          <w:ilvl w:val="5"/>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Frecventa de colectare poate fi micșorata/mărita de delegat în funcție de gradul de umplere a recipientelor corelat cu implementarea SGR</w:t>
      </w:r>
    </w:p>
    <w:p w14:paraId="4553A84D">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reziduale, în containere metalice  de 1.100 l</w:t>
      </w:r>
    </w:p>
    <w:p w14:paraId="356C6658">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biodeşeurile, în Containere de 1.1mc;</w:t>
      </w:r>
    </w:p>
    <w:p w14:paraId="41C24239">
      <w:pPr>
        <w:pStyle w:val="164"/>
        <w:numPr>
          <w:ilvl w:val="2"/>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alte tipuri de puncte de colectare, dacă este cazul; </w:t>
      </w:r>
    </w:p>
    <w:p w14:paraId="54736A89">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 zona de case/gospodării individuale, colectarea deşeurilor menajere nepericuloase se va realiza, pe 6 fracţii/tipuri de deşeuri, din "poartă în poartă", astfel:</w:t>
      </w:r>
    </w:p>
    <w:p w14:paraId="6ACADDD6">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de hârtie şi carton, în saci asiguraţi şi distribuiţi de operator şi/sau în pachete pliate şi legate cu sfoară de către utilizatori; în saci personalizaţi asiguraţi şi distribuiţi de operator şi/sau în pachete pliate şi legate cu sfoară de către utilizatori;</w:t>
      </w:r>
    </w:p>
    <w:p w14:paraId="03AD534E">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de plastic şi metal, în saci asiguraţi şi distribuiţi de operator; în saci personalizaţi asiguraţi şi distribuiţi de operator – 120 litri;</w:t>
      </w:r>
    </w:p>
    <w:p w14:paraId="2B6194DB">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de sticlă; la platformele special amenajate dotate cu containere de 1.1 mc</w:t>
      </w:r>
    </w:p>
    <w:p w14:paraId="2E24AC5A">
      <w:pPr>
        <w:pStyle w:val="164"/>
        <w:numPr>
          <w:ilvl w:val="5"/>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Frecventa de colectare poate fi micșorata/mărita de delegat în funcție de gradul de umplere a recipientelor corelat cu implementarea SGR</w:t>
      </w:r>
    </w:p>
    <w:p w14:paraId="59984DE7">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reziduale, în pubele de 80/120 litri;</w:t>
      </w:r>
    </w:p>
    <w:p w14:paraId="42F18789">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biodeşeurile, în pubele de 80/120 litri;</w:t>
      </w:r>
    </w:p>
    <w:p w14:paraId="1CDB8389">
      <w:pPr>
        <w:pStyle w:val="164"/>
        <w:numPr>
          <w:ilvl w:val="4"/>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separată a deşeurilor textile nu este realizată în alte locaţii//spaţii special amenajate pe domeniul public, deşeurile textile, (vor fi colectate in cadrul campaniilor).</w:t>
      </w:r>
    </w:p>
    <w:p w14:paraId="04010DF6">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Numărul de fracţii prevăzut este adaptat pe mediul de rezidenţă urban, respectiv mediul rural, în funcţie de numărul de sisteme de colectare separată a fracţiilor de deşeuri municipale care se implementează în aria de delegare, stabilit de către autorităţile administraţiei publice locale, cu respectarea prevederilor art. 2  din Legea nr. 101/2006, republicată, cu modificările şi completările ulterioare.</w:t>
      </w:r>
    </w:p>
    <w:p w14:paraId="3E6191D0">
      <w:pPr>
        <w:pStyle w:val="164"/>
        <w:numPr>
          <w:ilvl w:val="0"/>
          <w:numId w:val="13"/>
        </w:numPr>
        <w:spacing w:after="0" w:line="240" w:lineRule="auto"/>
        <w:jc w:val="both"/>
        <w:rPr>
          <w:rFonts w:asciiTheme="majorHAnsi" w:hAnsiTheme="majorHAnsi" w:cstheme="majorHAnsi"/>
          <w:sz w:val="24"/>
          <w:szCs w:val="24"/>
          <w:lang w:val="ro-RO"/>
        </w:rPr>
      </w:pPr>
    </w:p>
    <w:p w14:paraId="740F2B41">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Colectarea separată a deşeurilor similare nepericuloase se realizează pe 6  fracţii, în mod similar ca la colectarea deşeurilor menajere.</w:t>
      </w:r>
    </w:p>
    <w:p w14:paraId="04FB442B">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Colectarea separată a deşeurilor reziduale şi a biodeşeurilor similare de la persoanele juridice de tip unităţi de alimentaţie publică, restaurante, hoteluri, pieţe, unităţi sanitare cu paturi, creşe şi cantine ale unităţilor de învăţământ, denumite în continuare persoane juridice cu regim special (PJ regim special), se realizează zilnic, în perioada 1 aprilie - 30 septembrie, conform programului de funcţionare, respectiv de două ori pe săptămână în perioada 1 octombrie - 31 martie.</w:t>
      </w:r>
    </w:p>
    <w:p w14:paraId="3672DA4C">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separată a deşeurilor reziduale şi a biodeşeurilor similare de la alte persoane juridice decât cele prevăzute la  se va realiza de trei ori pe săptămână, în perioada 1 aprilie - 30 septembrie şi de două ori pe săptămână în perioada 1 octombrie - 31 martie. Fracventa poate fi modificata de comun acord cu generatorii.</w:t>
      </w:r>
    </w:p>
    <w:p w14:paraId="6F2D63AF">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Colectarea separată a deşeurilor reciclabile similare de hârtie/carton, metal, plastic şi sticlă de la utilizatorii noncasnici se va realiza cu aceeaşi frecvenţă ca la colectarea din "poartă în poartă" a deşeurilor reciclabile menajere de la casele/gospodăriile individuale.</w:t>
      </w:r>
    </w:p>
    <w:p w14:paraId="3B5614C1">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Fracţiile de deşeuri similare vor fi colectate separat în recipiente puse la dispoziţie de către operator, contra cost.</w:t>
      </w:r>
    </w:p>
    <w:p w14:paraId="70670468">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Persoanele juridice pot opta pentru utilizarea recipientelor proprii numai dacă acestea sunt compatibile cu sistemul de ridicare al autospecialelor din dotarea operatorului.</w:t>
      </w:r>
    </w:p>
    <w:p w14:paraId="3B20F0E2">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Lista persoanelor juridice cu regim special pentru colectarea deșeurilor reziduale şi biodeșeurilor este prezentată în </w:t>
      </w:r>
      <w:r>
        <w:fldChar w:fldCharType="begin"/>
      </w:r>
      <w:r>
        <w:instrText xml:space="preserve"> HYPERLINK \l "_ANEXA_Nr._4" </w:instrText>
      </w:r>
      <w:r>
        <w:fldChar w:fldCharType="separate"/>
      </w:r>
      <w:r>
        <w:rPr>
          <w:rStyle w:val="27"/>
          <w:rFonts w:asciiTheme="majorHAnsi" w:hAnsiTheme="majorHAnsi" w:cstheme="majorHAnsi"/>
          <w:sz w:val="24"/>
          <w:szCs w:val="24"/>
          <w:lang w:val="ro-RO"/>
        </w:rPr>
        <w:t>anexa nr. 4</w:t>
      </w:r>
      <w:r>
        <w:rPr>
          <w:rStyle w:val="27"/>
          <w:rFonts w:asciiTheme="majorHAnsi" w:hAnsiTheme="majorHAnsi" w:cstheme="majorHAnsi"/>
          <w:sz w:val="24"/>
          <w:szCs w:val="24"/>
          <w:lang w:val="ro-RO"/>
        </w:rPr>
        <w:fldChar w:fldCharType="end"/>
      </w:r>
      <w:r>
        <w:rPr>
          <w:rFonts w:asciiTheme="majorHAnsi" w:hAnsiTheme="majorHAnsi" w:cstheme="majorHAnsi"/>
          <w:sz w:val="24"/>
          <w:szCs w:val="24"/>
          <w:lang w:val="ro-RO"/>
        </w:rPr>
        <w:t xml:space="preserve"> tabelul 4.2 din Anexa  la caietul de sarcini).</w:t>
      </w:r>
    </w:p>
    <w:p w14:paraId="79C5E58A">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 Tipul punctelor de colectare şi capacitatea/volumul recipientelor pentru colectarea fracţiilor de deşeuri municipale sunt prezentate în </w:t>
      </w:r>
      <w:r>
        <w:fldChar w:fldCharType="begin"/>
      </w:r>
      <w:r>
        <w:instrText xml:space="preserve"> HYPERLINK \l "_ANEXA_Nr._3" </w:instrText>
      </w:r>
      <w:r>
        <w:fldChar w:fldCharType="separate"/>
      </w:r>
      <w:r>
        <w:rPr>
          <w:rStyle w:val="27"/>
          <w:rFonts w:asciiTheme="majorHAnsi" w:hAnsiTheme="majorHAnsi" w:cstheme="majorHAnsi"/>
          <w:sz w:val="24"/>
          <w:szCs w:val="24"/>
          <w:lang w:val="ro-RO"/>
        </w:rPr>
        <w:t>anexa nr. 3</w:t>
      </w:r>
      <w:r>
        <w:rPr>
          <w:rStyle w:val="27"/>
          <w:rFonts w:asciiTheme="majorHAnsi" w:hAnsiTheme="majorHAnsi" w:cstheme="majorHAnsi"/>
          <w:sz w:val="24"/>
          <w:szCs w:val="24"/>
          <w:lang w:val="ro-RO"/>
        </w:rPr>
        <w:fldChar w:fldCharType="end"/>
      </w:r>
    </w:p>
    <w:p w14:paraId="3803DE5D">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 Lista punctelor de colectare a fracţiilor deşeuri municipale şi dotarea acestora cu recipiente este prezentată în </w:t>
      </w:r>
      <w:r>
        <w:fldChar w:fldCharType="begin"/>
      </w:r>
      <w:r>
        <w:instrText xml:space="preserve"> HYPERLINK \l "_ANEXA_Nr._4" </w:instrText>
      </w:r>
      <w:r>
        <w:fldChar w:fldCharType="separate"/>
      </w:r>
      <w:r>
        <w:rPr>
          <w:rStyle w:val="27"/>
          <w:rFonts w:asciiTheme="majorHAnsi" w:hAnsiTheme="majorHAnsi" w:cstheme="majorHAnsi"/>
          <w:sz w:val="24"/>
          <w:szCs w:val="24"/>
          <w:lang w:val="ro-RO"/>
        </w:rPr>
        <w:t>anexa nr. 4</w:t>
      </w:r>
      <w:r>
        <w:rPr>
          <w:rStyle w:val="27"/>
          <w:rFonts w:asciiTheme="majorHAnsi" w:hAnsiTheme="majorHAnsi" w:cstheme="majorHAnsi"/>
          <w:sz w:val="24"/>
          <w:szCs w:val="24"/>
          <w:lang w:val="ro-RO"/>
        </w:rPr>
        <w:fldChar w:fldCharType="end"/>
      </w:r>
      <w:r>
        <w:rPr>
          <w:rFonts w:asciiTheme="majorHAnsi" w:hAnsiTheme="majorHAnsi" w:cstheme="majorHAnsi"/>
          <w:sz w:val="24"/>
          <w:szCs w:val="24"/>
          <w:lang w:val="ro-RO"/>
        </w:rPr>
        <w:t>.</w:t>
      </w:r>
    </w:p>
    <w:p w14:paraId="077659C0">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 Frecvenţa de colectare al fracţiilor de deşeuri municipale în aria de delegare este prezentată în </w:t>
      </w:r>
      <w:r>
        <w:fldChar w:fldCharType="begin"/>
      </w:r>
      <w:r>
        <w:instrText xml:space="preserve"> HYPERLINK \l "_ANEXA_Nr._5" </w:instrText>
      </w:r>
      <w:r>
        <w:fldChar w:fldCharType="separate"/>
      </w:r>
      <w:r>
        <w:rPr>
          <w:rStyle w:val="27"/>
          <w:rFonts w:asciiTheme="majorHAnsi" w:hAnsiTheme="majorHAnsi" w:cstheme="majorHAnsi"/>
          <w:sz w:val="24"/>
          <w:szCs w:val="24"/>
          <w:lang w:val="ro-RO"/>
        </w:rPr>
        <w:t>anexa nr. 5</w:t>
      </w:r>
      <w:r>
        <w:rPr>
          <w:rStyle w:val="27"/>
          <w:rFonts w:asciiTheme="majorHAnsi" w:hAnsiTheme="majorHAnsi" w:cstheme="majorHAnsi"/>
          <w:sz w:val="24"/>
          <w:szCs w:val="24"/>
          <w:lang w:val="ro-RO"/>
        </w:rPr>
        <w:fldChar w:fldCharType="end"/>
      </w:r>
      <w:r>
        <w:rPr>
          <w:rFonts w:asciiTheme="majorHAnsi" w:hAnsiTheme="majorHAnsi" w:cstheme="majorHAnsi"/>
          <w:sz w:val="24"/>
          <w:szCs w:val="24"/>
          <w:lang w:val="ro-RO"/>
        </w:rPr>
        <w:t>.</w:t>
      </w:r>
    </w:p>
    <w:p w14:paraId="11621495">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 </w:t>
      </w:r>
    </w:p>
    <w:p w14:paraId="625DC48F">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Transportul deşeurilor colectate separat către staţiile de transfer, staţiile de sortare, instalaţiile de tratare şi depozitele de deşeuri, după caz, se va efectua astfel încât acestea să ajungă la locul de destinaţie în timpul programului de lucru.</w:t>
      </w:r>
    </w:p>
    <w:p w14:paraId="424A896D">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Toate transporturile de deşeuri vor fi însoţite de documentele legale de transport, completate cu toate datele necesare recepţionării deşeurilor la staţiile/instalaţiile de gestionare a deşeurilor şi/sau la depozitul de deşeuri.</w:t>
      </w:r>
    </w:p>
    <w:p w14:paraId="4086EE85">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cazul în care operatorul, din motive independente de voinţa sa, nu are acces la staţiile/instalaţiile/depozitele de deşeuri, în timpul programului normal de lucru al acestora, acesta va înştiinţa de îndată delegatarul şi va propune o alternativă de transport, pentru a fi aprobată.</w:t>
      </w:r>
    </w:p>
    <w:p w14:paraId="1DA03FA8">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 </w:t>
      </w:r>
    </w:p>
    <w:p w14:paraId="0167FC69">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Deşeurile municipale de hârtie, metal, plastic, sticlă colectate separat de pe raza teritorială a </w:t>
      </w:r>
    </w:p>
    <w:p w14:paraId="045AF7B7">
      <w:pPr>
        <w:pStyle w:val="164"/>
        <w:spacing w:after="0" w:line="240" w:lineRule="auto"/>
        <w:ind w:left="810" w:firstLine="270"/>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Zonei 2 vor fi colectate și transportate la CMID Ciocanesti.   </w:t>
      </w:r>
    </w:p>
    <w:p w14:paraId="358A0D85">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reziduale municipale colectate separat de pe raza teritorială a Zonei 2 vor fi colectate și transportate la Stația de Transfer Oltenita.</w:t>
      </w:r>
    </w:p>
    <w:p w14:paraId="3643458F">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Biodeşeurile municipale colectate separat de pe raza teritorială a Zonei 2 vor fi colectate și transportate la CMID Ciocanesti.</w:t>
      </w:r>
    </w:p>
    <w:p w14:paraId="2BE110C5">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municipale abandonate colectate de pe raza teritorială a Zonei 2 vor fi colectate și transportate la Stația de Transfer Oltenita.</w:t>
      </w:r>
    </w:p>
    <w:p w14:paraId="60D434A8">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textile municipale, deşeurile voluminoase municipale, deşeurile din construcţii provenite de la locuinţe, inclusiv deşeurile din construcţii abandonate, precum şi deşeurile periculoase menajere colectate separat de pe raza teritorială a Zonei 2 vor fi colectate și transportate la Baza de lucru  autorizata aferenta zonei, a Operatorului sau la operatori autorizati cu care acesta a incheiat contracte în acest sens.</w:t>
      </w:r>
    </w:p>
    <w:p w14:paraId="62649AFB">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Deşeurile reziduale nevalorificabile, precum şi alte tipuri/categorii de deşeuri nevalorificabile sunt transportate la Stația de Transfer Oltenita.</w:t>
      </w:r>
    </w:p>
    <w:p w14:paraId="15CC6767">
      <w:pPr>
        <w:pStyle w:val="164"/>
        <w:spacing w:after="0" w:line="240" w:lineRule="auto"/>
        <w:jc w:val="both"/>
        <w:rPr>
          <w:rFonts w:asciiTheme="majorHAnsi" w:hAnsiTheme="majorHAnsi" w:cstheme="majorHAnsi"/>
          <w:sz w:val="24"/>
          <w:szCs w:val="24"/>
          <w:lang w:val="ro-RO"/>
        </w:rPr>
      </w:pPr>
    </w:p>
    <w:p w14:paraId="081CB521">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489A6DD1">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de deşeuri textile estimată a fi colectată separat în primul an de operare este Prezentata in Anexa 2.</w:t>
      </w:r>
    </w:p>
    <w:p w14:paraId="6773D493">
      <w:pPr>
        <w:pStyle w:val="164"/>
        <w:numPr>
          <w:ilvl w:val="1"/>
          <w:numId w:val="13"/>
        </w:numPr>
        <w:spacing w:after="0" w:line="240" w:lineRule="auto"/>
        <w:jc w:val="both"/>
        <w:rPr>
          <w:rFonts w:asciiTheme="majorHAnsi" w:hAnsiTheme="majorHAnsi" w:cstheme="majorHAnsi"/>
          <w:b/>
          <w:sz w:val="24"/>
          <w:szCs w:val="24"/>
          <w:lang w:val="ro-RO"/>
        </w:rPr>
      </w:pPr>
      <w:r>
        <w:rPr>
          <w:rFonts w:asciiTheme="majorHAnsi" w:hAnsiTheme="majorHAnsi" w:cstheme="majorHAnsi"/>
          <w:sz w:val="24"/>
          <w:szCs w:val="24"/>
          <w:lang w:val="ro-RO"/>
        </w:rPr>
        <w:t xml:space="preserve">  </w:t>
      </w:r>
      <w:r>
        <w:rPr>
          <w:rFonts w:asciiTheme="majorHAnsi" w:hAnsiTheme="majorHAnsi" w:cstheme="majorHAnsi"/>
          <w:b/>
          <w:sz w:val="24"/>
          <w:szCs w:val="24"/>
          <w:lang w:val="ro-RO"/>
        </w:rPr>
        <w:t>Operatorul are sarcina de a asigura stocarea temporară a deşeurilor textile colectate la baza sa de lucru şi de a încheia contracte de prestări servicii de valorificare/reciclare deşeuri textile cu operatorii economici autorizaţi să desfăşoare activităţile respective.</w:t>
      </w:r>
    </w:p>
    <w:p w14:paraId="61AEE996">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Cheltuielile cu colectarea separată, transportul şi stocarea temporară a deşeurilor textile şi, după caz, cheltuielile cu valorificarea/reciclarea deşeurilor textile se includ în tariful de colectare separată şi transport separat al deşeurilor reziduale din deşeurile municipale.</w:t>
      </w:r>
    </w:p>
    <w:p w14:paraId="33D6B8F4">
      <w:pPr>
        <w:pStyle w:val="164"/>
        <w:numPr>
          <w:ilvl w:val="0"/>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0E4405B3">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de deşeuri periculoase menajere estimată a fi colectată în primul an de operare este Prezentata in Anexa 2.</w:t>
      </w:r>
    </w:p>
    <w:p w14:paraId="629B4E36">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Colectarea deşeurilor periculoase din deşeurile menajere se va realiza în cadrul campaniilor de colectare, cu frecvenţa de 2 ori pe/an (semestrial).</w:t>
      </w:r>
    </w:p>
    <w:p w14:paraId="7B145191">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obligația de a încheia un contract de prestări servicii cu un operator autorizat să desfăşoare activităţi de eliminare, prin depozitare, a deşeurilor periculoase menajere, în cazul în care depozitarea acestor deşeuri nu este permisă la depozitul de deşeuri nepericuloase.</w:t>
      </w:r>
    </w:p>
    <w:p w14:paraId="558A33B7">
      <w:pPr>
        <w:pStyle w:val="164"/>
        <w:numPr>
          <w:ilvl w:val="1"/>
          <w:numId w:val="13"/>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Cheltuielile cu colectarea separată, transportul şi stocarea temporară a deşeurilor periculoase menajere şi, după caz, cheltuielile cu depozitarea deşeurilor periculoase menajere se includ în tariful de colectare separată şi transport separat al deşeurilor reziduale din deşeurile municipale.</w:t>
      </w:r>
    </w:p>
    <w:p w14:paraId="31EEE00E">
      <w:pPr>
        <w:spacing w:after="0" w:line="240" w:lineRule="auto"/>
        <w:jc w:val="both"/>
        <w:rPr>
          <w:rFonts w:asciiTheme="majorHAnsi" w:hAnsiTheme="majorHAnsi" w:cstheme="majorHAnsi"/>
          <w:sz w:val="24"/>
          <w:szCs w:val="24"/>
          <w:lang w:val="ro-RO"/>
        </w:rPr>
      </w:pPr>
    </w:p>
    <w:p w14:paraId="17FCE0D9">
      <w:pPr>
        <w:spacing w:after="0" w:line="240" w:lineRule="auto"/>
        <w:jc w:val="both"/>
        <w:rPr>
          <w:rFonts w:asciiTheme="majorHAnsi" w:hAnsiTheme="majorHAnsi" w:cstheme="majorHAnsi"/>
          <w:sz w:val="24"/>
          <w:szCs w:val="24"/>
          <w:lang w:val="ro-RO"/>
        </w:rPr>
      </w:pPr>
    </w:p>
    <w:p w14:paraId="5B4A948F">
      <w:pPr>
        <w:spacing w:after="0" w:line="240" w:lineRule="auto"/>
        <w:jc w:val="both"/>
        <w:rPr>
          <w:rFonts w:asciiTheme="majorHAnsi" w:hAnsiTheme="majorHAnsi" w:cstheme="majorHAnsi"/>
          <w:sz w:val="24"/>
          <w:szCs w:val="24"/>
          <w:lang w:val="ro-RO"/>
        </w:rPr>
      </w:pPr>
    </w:p>
    <w:p w14:paraId="573226D6">
      <w:pPr>
        <w:spacing w:after="0" w:line="240" w:lineRule="auto"/>
        <w:jc w:val="both"/>
        <w:rPr>
          <w:rFonts w:asciiTheme="majorHAnsi" w:hAnsiTheme="majorHAnsi" w:cstheme="majorHAnsi"/>
          <w:sz w:val="24"/>
          <w:szCs w:val="24"/>
          <w:lang w:val="ro-RO"/>
        </w:rPr>
      </w:pPr>
    </w:p>
    <w:p w14:paraId="34163421">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2-a</w:t>
      </w:r>
      <w:r>
        <w:rPr>
          <w:rFonts w:cstheme="majorHAnsi"/>
          <w:color w:val="auto"/>
          <w:sz w:val="24"/>
          <w:szCs w:val="24"/>
          <w:lang w:val="ro-RO"/>
        </w:rPr>
        <w:br w:type="textWrapping"/>
      </w:r>
      <w:r>
        <w:rPr>
          <w:rFonts w:cstheme="majorHAnsi"/>
          <w:color w:val="auto"/>
          <w:sz w:val="24"/>
          <w:szCs w:val="24"/>
          <w:lang w:val="ro-RO"/>
        </w:rPr>
        <w:t>Colectarea separată şi transportul separat a unor categorii/tipuri de deşeuri generate ocazional</w:t>
      </w:r>
    </w:p>
    <w:p w14:paraId="73231846">
      <w:pPr>
        <w:spacing w:after="0" w:line="240" w:lineRule="auto"/>
        <w:rPr>
          <w:rFonts w:asciiTheme="majorHAnsi" w:hAnsiTheme="majorHAnsi" w:cstheme="majorHAnsi"/>
          <w:sz w:val="24"/>
          <w:szCs w:val="24"/>
          <w:lang w:val="ro-RO"/>
        </w:rPr>
      </w:pPr>
    </w:p>
    <w:p w14:paraId="69F62F3B">
      <w:pPr>
        <w:pStyle w:val="164"/>
        <w:numPr>
          <w:ilvl w:val="0"/>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52DAB4EC">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de a presta colectarea separată şi transportul separat al deşeurilor voluminoase, inclusiv saltele şi mobila, provenite de la toţi utilizatorii din aria de delegare.</w:t>
      </w:r>
    </w:p>
    <w:p w14:paraId="2B5BA0E5">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Colectarea deşeurilor voluminoase se va realiza:</w:t>
      </w:r>
    </w:p>
    <w:p w14:paraId="75383EE4">
      <w:pPr>
        <w:pStyle w:val="164"/>
        <w:numPr>
          <w:ilvl w:val="2"/>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r>
        <w:rPr>
          <w:rFonts w:asciiTheme="majorHAnsi" w:hAnsiTheme="majorHAnsi" w:cstheme="majorHAnsi"/>
          <w:sz w:val="24"/>
          <w:szCs w:val="24"/>
        </w:rPr>
        <w:t>în cadrul campaniilor de colectare, cu frecvenţa de 2 ori pe/an in mediul urban si 1 data pe an in mediul rural</w:t>
      </w:r>
    </w:p>
    <w:p w14:paraId="09D19888">
      <w:pPr>
        <w:pStyle w:val="164"/>
        <w:numPr>
          <w:ilvl w:val="2"/>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 sistem "la cerere", în urma apelurilor telefonice primite de la populaţie şi de la persoanele juridice, sau prin alte mijloace de comunicare;</w:t>
      </w:r>
    </w:p>
    <w:p w14:paraId="48D55BDE">
      <w:pPr>
        <w:pStyle w:val="164"/>
        <w:numPr>
          <w:ilvl w:val="2"/>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nu au fost amenajate locuri/spaţii speciale pentru colectarea acestor deşeuri</w:t>
      </w:r>
    </w:p>
    <w:p w14:paraId="3C3231E9">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1C8B4959">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de deşeuri voluminoase municipale estimată a fi colectată în primul an de operare este Prezentata in Anexa 2.</w:t>
      </w:r>
    </w:p>
    <w:p w14:paraId="704CF491">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 are sarcina de a asigura stocarea temporară  a deşeurilor voluminoase la baza sa de lucru.</w:t>
      </w:r>
    </w:p>
    <w:p w14:paraId="534F4301">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vederea valorificării deşeurilor voluminoase, operatorul are sarcina de a asigura separarea acestor deşeuri doar la baza de lucru și de a încheia contracte de prestări servicii cu operatorii economici autorizaţi să desfăşoare activităţi de sortare/valorificare a deşeurilor voluminoase.</w:t>
      </w:r>
    </w:p>
    <w:p w14:paraId="22CA5F99">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Deşeurile voluminoase nevalorificabile vor fi transportate la depozitul de deşeuri.</w:t>
      </w:r>
    </w:p>
    <w:p w14:paraId="48C22914">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Cheltuielile cu stocarea temporară a deşeurilor voluminoase şi, după caz, cheltuielile cu valorificarea acestor deşeuri se includ în tariful de colectare separată şi transport separat al reziduale din deşeurile municipale.</w:t>
      </w:r>
    </w:p>
    <w:p w14:paraId="7518599A">
      <w:pPr>
        <w:pStyle w:val="164"/>
        <w:numPr>
          <w:ilvl w:val="0"/>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 </w:t>
      </w:r>
    </w:p>
    <w:p w14:paraId="5BAEBC74">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de a presta serviciul de colectare separată şi transport separat al deşeurilor din construcţii provenite din locuinţe, generate de lucrări de reamenajare şi reabilitare interioară şi/sau exterioară a acestora, pentru care nu este obligatorie emiterea unei autorizaţii de construire/desfiinţare.</w:t>
      </w:r>
    </w:p>
    <w:p w14:paraId="5980A653">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Colectarea deşeurilor din construcţii provenite din locuinţe se va realiza în sistem "la cerere", în urma apelurilor telefonice sau prin alte mijloace de comunicare, primite de la populaţie;</w:t>
      </w:r>
    </w:p>
    <w:p w14:paraId="3779A57B">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pună la dispoziţia utilizatorului, la solicitarea acestuia, containere metalice standardizate, în regim de închiriere, sau, contra cost, saci din materiale rezistente (rafie).</w:t>
      </w:r>
    </w:p>
    <w:p w14:paraId="50CE25AA">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0F87DDA0">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de deşeuri din construcţii provenită din locuinţe estimată a fi colectată în primul an de operare, conform datelor istorice, este Prezentata in Anexa 2.</w:t>
      </w:r>
    </w:p>
    <w:p w14:paraId="6A4E080F">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sarcina de a asigura stocarea temporară a deşeurilor din construcţii la baza sa de lucru.</w:t>
      </w:r>
    </w:p>
    <w:p w14:paraId="4E98057C">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vederea valorificării deşeurilor din construcţii, operatorul are sarcina de a asigura separarea/concasarea acestor deşeuri la baza de lucru sau de a încheia contracte de prestări servicii cu operatorii economici autorizaţi să desfăşoare activităţi de sortare/valorificare a deşeurilor din construcţii.</w:t>
      </w:r>
    </w:p>
    <w:p w14:paraId="39173E50">
      <w:pPr>
        <w:pStyle w:val="164"/>
        <w:numPr>
          <w:ilvl w:val="1"/>
          <w:numId w:val="14"/>
        </w:numPr>
        <w:spacing w:after="0" w:line="240" w:lineRule="auto"/>
        <w:jc w:val="both"/>
        <w:rPr>
          <w:rFonts w:asciiTheme="majorHAnsi" w:hAnsiTheme="majorHAnsi" w:cstheme="majorHAnsi"/>
          <w:bCs/>
          <w:sz w:val="24"/>
          <w:szCs w:val="24"/>
          <w:lang w:val="ro-RO"/>
        </w:rPr>
      </w:pPr>
      <w:r>
        <w:rPr>
          <w:rFonts w:asciiTheme="majorHAnsi" w:hAnsiTheme="majorHAnsi" w:cstheme="majorHAnsi"/>
          <w:sz w:val="24"/>
          <w:szCs w:val="24"/>
          <w:lang w:val="ro-RO"/>
        </w:rPr>
        <w:t xml:space="preserve">  Deşeurile din construcţii nevalorificabile vor fi transportate la depozitul de deşeuri.</w:t>
      </w:r>
    </w:p>
    <w:p w14:paraId="4BBE5BDA">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Cheltuielile cu stocarea temporară a deşeurilor din construcţii şi, după caz, cheltuielile cu sortarea/valorificarea acestor deşeuri se includ în tariful de colectare separată şi transport separat al deşeurilor din construcţii provenite din locuinţe.</w:t>
      </w:r>
    </w:p>
    <w:p w14:paraId="333A20C4">
      <w:pPr>
        <w:pStyle w:val="164"/>
        <w:numPr>
          <w:ilvl w:val="0"/>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60D69D66">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presteze serviciul de colectare separată şi transport separat al deşeurilor similare provenite de la evenimente publice, la solicitarea organizatorului evenimentului.</w:t>
      </w:r>
    </w:p>
    <w:p w14:paraId="24613EC7">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Evenimentele publice depind de aranjamente speciale organizate în aria de delegare, precum festivaluri, concerte, târguri, concursuri şi alte situaţii similare, a căror frecvenţă şi regularitate nu pot fi estimate.</w:t>
      </w:r>
    </w:p>
    <w:p w14:paraId="41B22146">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Colectarea deşeurilor generate cu ocazia unor evenimente publice se va realiza pe 4 fracţii, respectiv hârtie/carton, plastic/metal, sticlă şi deşeuri reziduale.</w:t>
      </w:r>
    </w:p>
    <w:p w14:paraId="69B3511F">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Contravaloarea serviciului, inclusiv a pubelelor solicitate, se achită de către organizatorul evenimentului, pe bază de contract de prestări servicii încheiat cu operatorul.</w:t>
      </w:r>
    </w:p>
    <w:p w14:paraId="1F3BF22C">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Cheltuielile legate de gestionarea acestor deşeuri vor fi suportate de către organizatorul evenimentului.</w:t>
      </w:r>
    </w:p>
    <w:p w14:paraId="257DC2F4">
      <w:pPr>
        <w:pStyle w:val="164"/>
        <w:numPr>
          <w:ilvl w:val="0"/>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59C648A4">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presteze colectarea separată şi transportul separat al deşeurilor municipale abandonate şi al deşeurilor din construcţii abandonate, la solicitarea delegatarului şi/sau în conformitate cu Procedura de colectare a deşeurilor abandonate ocazional convenită cu acesta.</w:t>
      </w:r>
    </w:p>
    <w:p w14:paraId="26DDA06F">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Abandonarea de către utilizatori a deşeurilor pe domeniul public şi privat al unităţii administrativ-teritoriale constituie contravenţie, a căror număr, frecvenţă şi regularitate nu pot fi estimate.</w:t>
      </w:r>
    </w:p>
    <w:p w14:paraId="1F608889">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de deşeuri municipale abandonate lângă punctele/recipientele de colectare estimată a fi colectată, în primul an de operare, este Prezentata in Anexa 2.</w:t>
      </w:r>
    </w:p>
    <w:p w14:paraId="5562AAD0">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de deşeuri municipale abandonate pe căile publice estimată a fi colectată, în primul an de operare, este de . . . . . . . . . . tone (se completează, pe baza datelor istorice din anul anterior). – </w:t>
      </w:r>
      <w:r>
        <w:rPr>
          <w:rFonts w:asciiTheme="majorHAnsi" w:hAnsiTheme="majorHAnsi" w:cstheme="majorHAnsi"/>
          <w:b/>
          <w:bCs/>
          <w:sz w:val="24"/>
          <w:szCs w:val="24"/>
          <w:lang w:val="ro-RO"/>
        </w:rPr>
        <w:t>NU Se aplica</w:t>
      </w:r>
    </w:p>
    <w:p w14:paraId="453FCC7F">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de deşeuri din construcţii abandonate lângă punctele de colectare estimată a fi colectată, în primul an de operare, este de estimata la </w:t>
      </w:r>
      <w:r>
        <w:rPr>
          <w:rFonts w:asciiTheme="majorHAnsi" w:hAnsiTheme="majorHAnsi" w:cstheme="majorHAnsi"/>
          <w:b/>
          <w:bCs/>
          <w:sz w:val="24"/>
          <w:szCs w:val="24"/>
          <w:lang w:val="ro-RO"/>
        </w:rPr>
        <w:t>121</w:t>
      </w:r>
      <w:r>
        <w:rPr>
          <w:rFonts w:asciiTheme="majorHAnsi" w:hAnsiTheme="majorHAnsi" w:cstheme="majorHAnsi"/>
          <w:sz w:val="24"/>
          <w:szCs w:val="24"/>
          <w:lang w:val="ro-RO"/>
        </w:rPr>
        <w:t xml:space="preserve"> tone. </w:t>
      </w:r>
    </w:p>
    <w:p w14:paraId="3B95034C">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Cantitatea de deşeuri din construcţii abandonate pe căile publice estimată a fi colectată, în primul an de operare, este de . . . . . . . . . . tone (se completează, pe baza datelor istorice din anul anterior). </w:t>
      </w:r>
      <w:r>
        <w:rPr>
          <w:rFonts w:asciiTheme="majorHAnsi" w:hAnsiTheme="majorHAnsi" w:cstheme="majorHAnsi"/>
          <w:b/>
          <w:bCs/>
          <w:sz w:val="24"/>
          <w:szCs w:val="24"/>
          <w:lang w:val="ro-RO"/>
        </w:rPr>
        <w:t>Nu se aplica</w:t>
      </w:r>
    </w:p>
    <w:p w14:paraId="5EAC484F">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Pentru fiecare categorie de deşeuri abandonate, municipale sau din construcţii, se stabileşte/fundamentează un tarif de colectare şi transport deşeuri abandonate, în conformitate cu prevederile art. 43  din Legea serviciilor comunitare de utilităţi publice nr. 51/2006, republicată, cu modificările şi completările ulterioare. În structura tarifului se includ numai cheltuielile aferente prestaţiei.</w:t>
      </w:r>
    </w:p>
    <w:p w14:paraId="125EE667">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Contravaloarea serviciilor de colectare şi transport deşeuri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5DB9BFE1">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Contravaloarea cheltuielilor cu contribuţia pentru economia circulară nu se include în tarif şi se va evidenţia distinct, alături de tarif, pe factura emisă de operator.</w:t>
      </w:r>
    </w:p>
    <w:p w14:paraId="2F8BFDD6">
      <w:pPr>
        <w:pStyle w:val="164"/>
        <w:numPr>
          <w:ilvl w:val="0"/>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4DF69F40">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Operatorul are obligaţia să presteze activitatea cu autospecialele compactoare şi autospecialele deţinute în proprietate, leasing sau care fac obiectul unor contracte de închiriere şi/sau a unor antecontracte de vânzare-cumpărare, conform necesarului prevăzut în </w:t>
      </w:r>
      <w:r>
        <w:fldChar w:fldCharType="begin"/>
      </w:r>
      <w:r>
        <w:instrText xml:space="preserve"> HYPERLINK \l "_ANEXA_Nr._7" </w:instrText>
      </w:r>
      <w:r>
        <w:fldChar w:fldCharType="separate"/>
      </w:r>
      <w:r>
        <w:rPr>
          <w:rStyle w:val="27"/>
          <w:rFonts w:asciiTheme="majorHAnsi" w:hAnsiTheme="majorHAnsi" w:cstheme="majorHAnsi"/>
          <w:sz w:val="24"/>
          <w:szCs w:val="24"/>
          <w:lang w:val="ro-RO"/>
        </w:rPr>
        <w:t>anexa nr. 7</w:t>
      </w:r>
      <w:r>
        <w:rPr>
          <w:rStyle w:val="27"/>
          <w:rFonts w:asciiTheme="majorHAnsi" w:hAnsiTheme="majorHAnsi" w:cstheme="majorHAnsi"/>
          <w:sz w:val="24"/>
          <w:szCs w:val="24"/>
          <w:lang w:val="ro-RO"/>
        </w:rPr>
        <w:fldChar w:fldCharType="end"/>
      </w:r>
    </w:p>
    <w:p w14:paraId="3A02F900">
      <w:pPr>
        <w:pStyle w:val="164"/>
        <w:numPr>
          <w:ilvl w:val="2"/>
          <w:numId w:val="14"/>
        </w:numPr>
        <w:spacing w:after="0" w:line="240" w:lineRule="auto"/>
        <w:jc w:val="both"/>
        <w:rPr>
          <w:rFonts w:asciiTheme="majorHAnsi" w:hAnsiTheme="majorHAnsi" w:cstheme="majorHAnsi"/>
          <w:b/>
          <w:bCs/>
          <w:sz w:val="24"/>
          <w:szCs w:val="24"/>
          <w:lang w:val="ro-RO"/>
        </w:rPr>
      </w:pPr>
      <w:r>
        <w:rPr>
          <w:rFonts w:asciiTheme="majorHAnsi" w:hAnsiTheme="majorHAnsi" w:cstheme="majorHAnsi"/>
          <w:b/>
          <w:bCs/>
          <w:sz w:val="24"/>
          <w:szCs w:val="24"/>
          <w:lang w:val="ro-RO"/>
        </w:rPr>
        <w:t>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Pot fi utilizate vehicule al căror nivel de noxe minim admis să fie EURO 5, de preferinta EURO 6 sau hibrid.</w:t>
      </w:r>
    </w:p>
    <w:p w14:paraId="1F173BCF">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oferta tehnică, ofertantul va prezenta o listă detaliată cu autospecialele compactoare şi autospecialele pe care le va utiliza în desfăşurarea activităţii şi care vor rămâne în posesia/folosinţa sa după data încetării contractului de delegare, inclusiv dovezile privind modul de deţinere al acestora, în caz contrar oferta fiind considerată neconformă.</w:t>
      </w:r>
    </w:p>
    <w:p w14:paraId="4F74591C">
      <w:pPr>
        <w:pStyle w:val="164"/>
        <w:numPr>
          <w:ilvl w:val="0"/>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595E40A0">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 trebuie să asigure autospecialele compactoare şi autospecialele necesare pentru colectarea şi transportul întregii cantităţi de deşeuri municipale şi de deşeuri generate ocazional prevăzute în lista de investiţii în sarcina operatorului, conform cerinţelor din anexa nr. 7 prevăzute în Tabelul 7.1 din Anexa . Lista de investiţii în sarcina operatorului, la caietul de sarcini.</w:t>
      </w:r>
    </w:p>
    <w:p w14:paraId="0FE21E75">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Ofertantul va prezenta, în oferta tehnică, dovezile din care rezultă că autospecialele compactoare şi autospecialele ofertate sunt deţinute în proprietate, leasing financiar sau fac obiectul unor antecontracte de vânzare-cumpărare, în caz contrar oferta fiind considerată neconformă.</w:t>
      </w:r>
    </w:p>
    <w:p w14:paraId="70B72A4B">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cazul încetării înainte de termen a contractului de delegare, din motive neimputabile operatorului, delegatarul va plăti operatorului valoarea rămasă neamortizată/neachitată a investiţiilor realizate în autospecialele compactoare şi autospecialele de natura bunurilor de retur, în conformitate cu prevederile art. 37  şi  din Legea nr. 101/2006, republicată, cu modificările şi completările ulterioare. </w:t>
      </w:r>
      <w:r>
        <w:rPr>
          <w:rFonts w:asciiTheme="majorHAnsi" w:hAnsiTheme="majorHAnsi" w:cstheme="majorHAnsi"/>
          <w:i/>
          <w:iCs/>
          <w:sz w:val="24"/>
          <w:szCs w:val="24"/>
          <w:lang w:val="ro-RO"/>
        </w:rPr>
        <w:t>Nu se aplica, in cazul prezentei proceduri, avand in vedere tipul si durata contractului, autospecialele necesare pentru colectarea şi transportul întregii cantităţi de deşeuri municipale şi de deşeuri generate ocazional nu intra in categoria bunurilor de retur.</w:t>
      </w:r>
    </w:p>
    <w:p w14:paraId="10F9537D">
      <w:pPr>
        <w:pStyle w:val="164"/>
        <w:numPr>
          <w:ilvl w:val="0"/>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w:t>
      </w:r>
      <w:r>
        <w:rPr>
          <w:rFonts w:asciiTheme="majorHAnsi" w:hAnsiTheme="majorHAnsi" w:cstheme="majorHAnsi"/>
          <w:b/>
          <w:bCs/>
          <w:sz w:val="24"/>
          <w:szCs w:val="24"/>
          <w:lang w:val="ro-RO"/>
        </w:rPr>
        <w:t>Se aplica in corelare cu Art. 87 si Art. 88, alin (1) punctul a)</w:t>
      </w:r>
    </w:p>
    <w:p w14:paraId="2A2FF84A">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Pentru a demonstra că numărul de autospeciale compactoare ofertate pentru colectarea şi transportul deşeurilor reziduale şi biodeşeurilor este suficient, ofertantul va prezenta, în oferta tehnică, modul de calcul al necesarului minim de mijloace de transport, din care să rezulte că este îndeplinită următoarea relaţie:</w:t>
      </w:r>
    </w:p>
    <w:p w14:paraId="6C125400">
      <w:pPr>
        <w:pStyle w:val="164"/>
        <w:spacing w:after="0" w:line="240" w:lineRule="auto"/>
        <w:ind w:left="360"/>
        <w:jc w:val="both"/>
        <w:rPr>
          <w:rFonts w:asciiTheme="majorHAnsi" w:hAnsiTheme="majorHAnsi" w:cstheme="majorHAnsi"/>
          <w:sz w:val="24"/>
          <w:szCs w:val="24"/>
          <w:lang w:val="ro-RO"/>
        </w:rPr>
      </w:pPr>
      <w:r>
        <w:rPr>
          <w:rFonts w:asciiTheme="majorHAnsi" w:hAnsiTheme="majorHAnsi" w:cstheme="majorHAnsi"/>
          <w:sz w:val="24"/>
          <w:szCs w:val="24"/>
          <w:lang w:val="ro-RO"/>
        </w:rPr>
        <w:br w:type="textWrapping"/>
      </w:r>
      <w:r>
        <w:rPr>
          <w:rFonts w:eastAsia="Times New Roman" w:asciiTheme="majorHAnsi" w:hAnsiTheme="majorHAnsi" w:cstheme="majorHAnsi"/>
          <w:b/>
          <w:bCs/>
          <w:sz w:val="24"/>
          <w:szCs w:val="24"/>
        </w:rPr>
        <w:drawing>
          <wp:inline distT="0" distB="0" distL="0" distR="0">
            <wp:extent cx="2529205" cy="388620"/>
            <wp:effectExtent l="0" t="0" r="0" b="0"/>
            <wp:docPr id="1" name="Picture 1"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ragraf Nou"/>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a:xfrm>
                      <a:off x="0" y="0"/>
                      <a:ext cx="2529730" cy="389189"/>
                    </a:xfrm>
                    <a:prstGeom prst="rect">
                      <a:avLst/>
                    </a:prstGeom>
                    <a:noFill/>
                    <a:ln>
                      <a:noFill/>
                    </a:ln>
                  </pic:spPr>
                </pic:pic>
              </a:graphicData>
            </a:graphic>
          </wp:inline>
        </w:drawing>
      </w:r>
    </w:p>
    <w:p w14:paraId="6766D576">
      <w:pPr>
        <w:pStyle w:val="164"/>
        <w:spacing w:after="0" w:line="240" w:lineRule="auto"/>
        <w:ind w:left="360"/>
        <w:jc w:val="both"/>
        <w:rPr>
          <w:rFonts w:asciiTheme="majorHAnsi" w:hAnsiTheme="majorHAnsi" w:cstheme="majorHAnsi"/>
          <w:sz w:val="24"/>
          <w:szCs w:val="24"/>
          <w:lang w:val="ro-RO"/>
        </w:rPr>
      </w:pPr>
      <w:r>
        <w:rPr>
          <w:rFonts w:asciiTheme="majorHAnsi" w:hAnsiTheme="majorHAnsi" w:cstheme="majorHAnsi"/>
          <w:sz w:val="24"/>
          <w:szCs w:val="24"/>
          <w:lang w:val="ro-RO"/>
        </w:rPr>
        <w:t>unde:</w:t>
      </w:r>
    </w:p>
    <w:p w14:paraId="6F181131">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Qreziduale şi biodeşeuri - cantitatea anuală de deşeuri reziduale şi biodeşeuri din deşeurile municipale estimată a fi colectată din aria de delegare (tone);</w:t>
      </w:r>
    </w:p>
    <w:p w14:paraId="09587246">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365 - numărul de zile din an:</w:t>
      </w:r>
    </w:p>
    <w:p w14:paraId="2124A972">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ρ - densitatea medie a fracţiei de deşeuri reziduale şi biodeşeuri se ia egală cu 0,350 tone/mc, dacă la nivelul ariei de delegare nu a fost stabilită prin determinări o altă greutate specifică;</w:t>
      </w:r>
    </w:p>
    <w:p w14:paraId="16852EDE">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ai - numărul de utilaje de aceeaşi capacitate şi grad de compactare;</w:t>
      </w:r>
    </w:p>
    <w:p w14:paraId="0E63B3D2">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bi - capacitatea de transport a autospecialei (mc);</w:t>
      </w:r>
    </w:p>
    <w:p w14:paraId="21F64978">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ci - gradul de compactare;</w:t>
      </w:r>
    </w:p>
    <w:p w14:paraId="006D53B2">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di - numărul de curse efectuate/schimb;</w:t>
      </w:r>
    </w:p>
    <w:p w14:paraId="7D3071A2">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ei - numărul de schimburi/zi.</w:t>
      </w:r>
    </w:p>
    <w:p w14:paraId="468446DE">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La stabilirea gradului de compactare, ofertantul se va asigura că nu este depăşită masa utilă maximă autorizată de transport a autospecialelor compactoare, în caz contrar oferta fiind considerată neconformă.</w:t>
      </w:r>
    </w:p>
    <w:p w14:paraId="5B9F9122">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oferta tehnică, ofertantul va preciza pentru fiecare autospecială compactoare: viteza medie de lucru, timpul de încărcare/compactare, timpul de transport şi timpul de descărcare al deşeurilor şi va demonstra că întreaga cantitatea de deşeuri reziduale şi biodegradabile estimată a fi colectată într-o zi poate fi colectată şi transportată în timpul programului zilnic de lucru, în caz contrar oferta fiind considerată neconformă.</w:t>
      </w:r>
    </w:p>
    <w:p w14:paraId="75BFD710">
      <w:pPr>
        <w:pStyle w:val="164"/>
        <w:numPr>
          <w:ilvl w:val="0"/>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w:t>
      </w:r>
      <w:r>
        <w:rPr>
          <w:rFonts w:asciiTheme="majorHAnsi" w:hAnsiTheme="majorHAnsi" w:cstheme="majorHAnsi"/>
          <w:b/>
          <w:bCs/>
          <w:sz w:val="24"/>
          <w:szCs w:val="24"/>
          <w:lang w:val="ro-RO"/>
        </w:rPr>
        <w:t>Se aplica in corelare cu Art. 87 si Art. 88, alin (1) punctul a)</w:t>
      </w:r>
    </w:p>
    <w:p w14:paraId="138FA111">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Pentru a demonstra că numărul de autospeciale ofertate pentru colectarea şi transportul deşeurilor reciclabile este suficient, ofertantul va prezenta, în oferta tehnică, modul de calcul al necesarului minim de mijloace de transport, din care să rezulte că este îndeplinită următoarea relaţie:</w:t>
      </w:r>
    </w:p>
    <w:p w14:paraId="0822C93E">
      <w:pPr>
        <w:spacing w:after="0" w:line="240" w:lineRule="auto"/>
        <w:jc w:val="both"/>
        <w:rPr>
          <w:rFonts w:asciiTheme="majorHAnsi" w:hAnsiTheme="majorHAnsi" w:cstheme="majorHAnsi"/>
          <w:sz w:val="24"/>
          <w:szCs w:val="24"/>
          <w:lang w:val="ro-RO"/>
        </w:rPr>
      </w:pPr>
      <w:r>
        <w:rPr>
          <w:rFonts w:eastAsia="Times New Roman" w:asciiTheme="majorHAnsi" w:hAnsiTheme="majorHAnsi" w:cstheme="majorHAnsi"/>
          <w:b/>
          <w:bCs/>
          <w:sz w:val="24"/>
          <w:szCs w:val="24"/>
        </w:rPr>
        <w:drawing>
          <wp:inline distT="0" distB="0" distL="0" distR="0">
            <wp:extent cx="1702435" cy="388620"/>
            <wp:effectExtent l="0" t="0" r="0" b="0"/>
            <wp:docPr id="2" name="Picture 2"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aragraf Nou"/>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a:xfrm>
                      <a:off x="0" y="0"/>
                      <a:ext cx="1702703" cy="389189"/>
                    </a:xfrm>
                    <a:prstGeom prst="rect">
                      <a:avLst/>
                    </a:prstGeom>
                    <a:noFill/>
                    <a:ln>
                      <a:noFill/>
                    </a:ln>
                  </pic:spPr>
                </pic:pic>
              </a:graphicData>
            </a:graphic>
          </wp:inline>
        </w:drawing>
      </w:r>
    </w:p>
    <w:p w14:paraId="398F0E9D">
      <w:pPr>
        <w:spacing w:after="0" w:line="240" w:lineRule="auto"/>
        <w:jc w:val="both"/>
        <w:rPr>
          <w:rFonts w:asciiTheme="majorHAnsi" w:hAnsiTheme="majorHAnsi" w:cstheme="majorHAnsi"/>
          <w:sz w:val="24"/>
          <w:szCs w:val="24"/>
          <w:lang w:val="ro-RO"/>
        </w:rPr>
      </w:pPr>
    </w:p>
    <w:p w14:paraId="403074A0">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unde:</w:t>
      </w:r>
    </w:p>
    <w:p w14:paraId="1DF704EE">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Qreciclabile - cantitatea anuală de deşeuri reciclabile de hârtie, metal, plastic şi sticlă din deşeurile municipale estimată a fi colectată din aria de delegare (tone);</w:t>
      </w:r>
    </w:p>
    <w:p w14:paraId="2884DA08">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365 - numărul de zile din an:</w:t>
      </w:r>
    </w:p>
    <w:p w14:paraId="0BAD27E5">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ρ - densitatea medie a fracţiei de deşeuri reciclabile de hârtie, plastic, metal şi sticlă se ia egală cu 0,1 tone/mc, dacă la nivelul ariei de delegare nu a fost stabilită prin măsurători o altă greutate specifică;</w:t>
      </w:r>
    </w:p>
    <w:p w14:paraId="0CE03E82">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ai - numărul de utilaje de aceeaşi capacitate;</w:t>
      </w:r>
    </w:p>
    <w:p w14:paraId="11CAAB31">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bi - capacitatea de transport a autospecialei (mc);</w:t>
      </w:r>
    </w:p>
    <w:p w14:paraId="27161F7D">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di - numărul de curse efectuate/schimb;</w:t>
      </w:r>
    </w:p>
    <w:p w14:paraId="16C2CA17">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ei - numărul de schimburi/zi.</w:t>
      </w:r>
    </w:p>
    <w:p w14:paraId="49CF995D">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La stabilirea numărului de autospeciale şi a capacităţii de transport a acestora, ofertantul se va asigura că nu este depăşită masa utilă maximă autorizată de transport a autospecialelor, în caz contrar oferta fiind considerată neconformă.</w:t>
      </w:r>
    </w:p>
    <w:p w14:paraId="3C3B69CA">
      <w:pPr>
        <w:pStyle w:val="164"/>
        <w:numPr>
          <w:ilvl w:val="1"/>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oferta tehnică, ofertantul va preciza pentru fiecare autospecială: viteza medie de lucru, timpul de încărcare, timpul de transport şi timpul de descărcare al deşeurilor şi va demonstra că întreaga cantitate de deşeuri reciclabile estimată a fi colectată într-o zi poate fi colectată şi transportată în timpul programului zilnic de lucru, în caz contrar oferta fiind considerată neconformă.</w:t>
      </w:r>
    </w:p>
    <w:p w14:paraId="4E563E87">
      <w:pPr>
        <w:pStyle w:val="164"/>
        <w:numPr>
          <w:ilvl w:val="0"/>
          <w:numId w:val="14"/>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 - Alte cerinţe/date necesare definirii activităţii din punct de vedere al echipamentelor de colectare, tipurilor de deşeuri colectate separat şi cantităţilor colectate.</w:t>
      </w:r>
    </w:p>
    <w:p w14:paraId="5DA99A35">
      <w:pPr>
        <w:spacing w:after="0" w:line="240" w:lineRule="auto"/>
        <w:jc w:val="both"/>
        <w:rPr>
          <w:rFonts w:asciiTheme="majorHAnsi" w:hAnsiTheme="majorHAnsi" w:cstheme="majorHAnsi"/>
          <w:sz w:val="24"/>
          <w:szCs w:val="24"/>
          <w:lang w:val="ro-RO"/>
        </w:rPr>
      </w:pPr>
    </w:p>
    <w:p w14:paraId="4E8DC2F0">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3-a</w:t>
      </w:r>
      <w:r>
        <w:rPr>
          <w:rFonts w:cstheme="majorHAnsi"/>
          <w:color w:val="auto"/>
          <w:sz w:val="24"/>
          <w:szCs w:val="24"/>
          <w:lang w:val="ro-RO"/>
        </w:rPr>
        <w:br w:type="textWrapping"/>
      </w:r>
      <w:r>
        <w:rPr>
          <w:rFonts w:cstheme="majorHAnsi"/>
          <w:color w:val="auto"/>
          <w:sz w:val="24"/>
          <w:szCs w:val="24"/>
          <w:lang w:val="ro-RO"/>
        </w:rPr>
        <w:t>Cerinţe privind realizarea determinărilor de compoziţie a deşeurilor municipale</w:t>
      </w:r>
    </w:p>
    <w:p w14:paraId="244B1327">
      <w:pPr>
        <w:spacing w:after="0" w:line="240" w:lineRule="auto"/>
        <w:rPr>
          <w:rFonts w:asciiTheme="majorHAnsi" w:hAnsiTheme="majorHAnsi" w:cstheme="majorHAnsi"/>
          <w:sz w:val="24"/>
          <w:szCs w:val="24"/>
          <w:lang w:val="ro-RO"/>
        </w:rPr>
      </w:pPr>
    </w:p>
    <w:p w14:paraId="2F7C494E">
      <w:pPr>
        <w:pStyle w:val="164"/>
        <w:numPr>
          <w:ilvl w:val="0"/>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este responsabil de realizarea determinărilor de compoziţie a deşeurilor municipale în vederea stabilirii compoziţiei deşeurilor municipale colectate anual din aria de delegare, precum şi a ponderii deşeurilor de ambalaje de hârtie/carton, metal plastic şi sticlă în cantitatea totală de deşeuri generate de hârtie/carton, metal plastic şi sticlă, inclusiv pe fiecare tip de material.</w:t>
      </w:r>
    </w:p>
    <w:p w14:paraId="7D7F4B46">
      <w:pPr>
        <w:pStyle w:val="164"/>
        <w:numPr>
          <w:ilvl w:val="0"/>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4E150030">
      <w:pPr>
        <w:pStyle w:val="164"/>
        <w:numPr>
          <w:ilvl w:val="1"/>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Determinările de compoziţie a deşeurilor municipale vor fi efectuate, </w:t>
      </w:r>
      <w:r>
        <w:rPr>
          <w:rFonts w:asciiTheme="majorHAnsi" w:hAnsiTheme="majorHAnsi" w:cstheme="majorHAnsi"/>
          <w:b/>
          <w:bCs/>
          <w:sz w:val="24"/>
          <w:szCs w:val="24"/>
          <w:lang w:val="ro-RO"/>
        </w:rPr>
        <w:t>semestrial</w:t>
      </w:r>
      <w:r>
        <w:rPr>
          <w:rFonts w:asciiTheme="majorHAnsi" w:hAnsiTheme="majorHAnsi" w:cstheme="majorHAnsi"/>
          <w:sz w:val="24"/>
          <w:szCs w:val="24"/>
          <w:lang w:val="ro-RO"/>
        </w:rPr>
        <w:t>, de către operator şi/sau de un terţ cu experienţă în prestarea de servicii de consultanţă în domeniul gestionării deşeurilor municipale şi care garantează aplicarea de metode adecvate, în conformitate cu recomandările Comisiei Europene din "Metodologia pentru analiza deşeurilor solide - SWA-Tool" sau dintr-un ghid acceptat la nivel naţional şi/sau cu prevederile din standardele naţionale/europene, precum SR 13493:2004 Caracterizarea deşeurilor. Metodologie de caracterizare a deşeurilor menajere şi SR CEN/TR 15310:2009 Caracterizarea deşeurilor. Eşantionarea deşeurilor.</w:t>
      </w:r>
    </w:p>
    <w:p w14:paraId="16B51CE3">
      <w:pPr>
        <w:pStyle w:val="164"/>
        <w:numPr>
          <w:ilvl w:val="1"/>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Determinările de compoziţie a deşeurilor municipale vor fi efectuate pentru fiecare unitate administrativ-teritorială din zona urbană, iar pentru unităţile administrativ-teritoriale din zona rurală, la nivelul întregii zone rurale, pe baza unor eşantioane medii reprezentative.</w:t>
      </w:r>
    </w:p>
    <w:p w14:paraId="6D24DE2A">
      <w:pPr>
        <w:pStyle w:val="164"/>
        <w:numPr>
          <w:ilvl w:val="0"/>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3D21F613">
      <w:pPr>
        <w:pStyle w:val="164"/>
        <w:numPr>
          <w:ilvl w:val="1"/>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Procedura de eşantionare a probelor supuse analizei, cât şi sortarea în vederea determinării compoziţiei deşeurilor vor fi realizate în colaborare şi cu participarea reprezentanţilor delegatarului, pe baza unui program detaliat transmis delegatarului şi convenit cu acesta.</w:t>
      </w:r>
    </w:p>
    <w:p w14:paraId="5AEA06ED">
      <w:pPr>
        <w:pStyle w:val="164"/>
        <w:numPr>
          <w:ilvl w:val="1"/>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Raportul final privind determinarea compoziţiei deşeurilor va fi finalizat şi comunicat delegatarului până la sfârşitul lunii octombrie, a fiecărui an.</w:t>
      </w:r>
    </w:p>
    <w:p w14:paraId="5F188BA3">
      <w:pPr>
        <w:pStyle w:val="164"/>
        <w:numPr>
          <w:ilvl w:val="1"/>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Pe baza datelor privind compoziţia deşeurilor municipale din  final, delegatarul va stabili cota procentuală a cantităţii de deşeuri de hârtie, metal, plastic şi sticlă în cantitatea totală de deşeuri municipale generată în aria de delegare, care va fi luată în considerare la calculul tarifelor în anul următor.</w:t>
      </w:r>
    </w:p>
    <w:p w14:paraId="4BB1C860">
      <w:pPr>
        <w:pStyle w:val="164"/>
        <w:numPr>
          <w:ilvl w:val="1"/>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În situaţia în care determinările de compoziţie a deşeurilor municipale au fost realizate fără respectarea de către operator a programului convenit cu delegatarul, Raportul final de determinare a compoziţiei deşeurilor nu va fi luat în considerare, urmând a se aplica, la calculul cantităţii totale generată de deşeuri de hârtie, metal, plastic şi sticlă din deşeurile municipale, nivelul cotei procentuale din fundamentarea anterioară a tarifului.</w:t>
      </w:r>
    </w:p>
    <w:p w14:paraId="7E60F4BF">
      <w:pPr>
        <w:pStyle w:val="164"/>
        <w:numPr>
          <w:ilvl w:val="0"/>
          <w:numId w:val="15"/>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Alte cerinţe/date necesare definirii activităţii din punct de vedere al realizării determinărilor de compoziţie a deşeurilor municipale.</w:t>
      </w:r>
    </w:p>
    <w:p w14:paraId="689A3679">
      <w:pPr>
        <w:spacing w:after="0" w:line="240" w:lineRule="auto"/>
        <w:jc w:val="both"/>
        <w:rPr>
          <w:rFonts w:asciiTheme="majorHAnsi" w:hAnsiTheme="majorHAnsi" w:cstheme="majorHAnsi"/>
          <w:sz w:val="24"/>
          <w:szCs w:val="24"/>
          <w:lang w:val="ro-RO"/>
        </w:rPr>
      </w:pPr>
    </w:p>
    <w:p w14:paraId="7F28C028">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4-a</w:t>
      </w:r>
      <w:r>
        <w:rPr>
          <w:rFonts w:cstheme="majorHAnsi"/>
          <w:color w:val="auto"/>
          <w:sz w:val="24"/>
          <w:szCs w:val="24"/>
          <w:lang w:val="ro-RO"/>
        </w:rPr>
        <w:br w:type="textWrapping"/>
      </w:r>
      <w:r>
        <w:rPr>
          <w:rFonts w:cstheme="majorHAnsi"/>
          <w:color w:val="auto"/>
          <w:sz w:val="24"/>
          <w:szCs w:val="24"/>
          <w:lang w:val="ro-RO"/>
        </w:rPr>
        <w:t>Cerinţe privind utilizarea şi întreţinerea autospecialelor şi recipientelor de colectare</w:t>
      </w:r>
    </w:p>
    <w:p w14:paraId="013E2AC0">
      <w:pPr>
        <w:spacing w:after="0" w:line="240" w:lineRule="auto"/>
        <w:rPr>
          <w:rFonts w:asciiTheme="majorHAnsi" w:hAnsiTheme="majorHAnsi" w:cstheme="majorHAnsi"/>
          <w:sz w:val="24"/>
          <w:szCs w:val="24"/>
          <w:lang w:val="ro-RO"/>
        </w:rPr>
      </w:pPr>
    </w:p>
    <w:p w14:paraId="0AF895B2">
      <w:pPr>
        <w:pStyle w:val="164"/>
        <w:numPr>
          <w:ilvl w:val="0"/>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5960B691">
      <w:pPr>
        <w:pStyle w:val="164"/>
        <w:numPr>
          <w:ilvl w:val="1"/>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trebuie să folosească echipamentele de colectare şi transport deşeuri concesionate/predate de către delegatar, prevăzute în anexa nr. 5.1 la caietul de sarcini.</w:t>
      </w:r>
    </w:p>
    <w:p w14:paraId="6E48B236">
      <w:pPr>
        <w:pStyle w:val="164"/>
        <w:numPr>
          <w:ilvl w:val="1"/>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Echipamentele vor fi puse la dispoziţia operatorului în stare de funcţionare, pe bază de proces verbal de predare-primire, încheiat până la data începerii prestării activităţii.</w:t>
      </w:r>
    </w:p>
    <w:p w14:paraId="45C2B25F">
      <w:pPr>
        <w:pStyle w:val="164"/>
        <w:numPr>
          <w:ilvl w:val="0"/>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75E9C424">
      <w:pPr>
        <w:pStyle w:val="164"/>
        <w:numPr>
          <w:ilvl w:val="1"/>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întreţină, într-un autoservice autorizat, toate autospecialele de colectare a deşeurilor, atât pe cele puse la dispoziţie de delegatar cât şi pe cele proprii sau pe cele achiziţionate ca bunuri de retur- </w:t>
      </w:r>
      <w:r>
        <w:rPr>
          <w:rFonts w:asciiTheme="majorHAnsi" w:hAnsiTheme="majorHAnsi" w:cstheme="majorHAnsi"/>
          <w:i/>
          <w:iCs/>
          <w:sz w:val="24"/>
          <w:szCs w:val="24"/>
          <w:lang w:val="ro-RO"/>
        </w:rPr>
        <w:t>daca este cazul</w:t>
      </w:r>
      <w:r>
        <w:rPr>
          <w:rFonts w:asciiTheme="majorHAnsi" w:hAnsiTheme="majorHAnsi" w:cstheme="majorHAnsi"/>
          <w:sz w:val="24"/>
          <w:szCs w:val="24"/>
          <w:lang w:val="ro-RO"/>
        </w:rPr>
        <w:t>, în stare bună de funcţionare şi să asigure repararea acestora în timp util pentru a satisface complet toate cerinţele contractuale ale serviciului și să prezinte autorității contractante dovada efectuării.</w:t>
      </w:r>
    </w:p>
    <w:p w14:paraId="2416831B">
      <w:pPr>
        <w:pStyle w:val="164"/>
        <w:numPr>
          <w:ilvl w:val="1"/>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are obligaţia să înlocuiască autospecialele defecte şi/sau nefuncţionale, astfel încât să nu fie afectată frecvenţa de colectare a deşeurilor cerută prin caietul de sarcini.</w:t>
      </w:r>
    </w:p>
    <w:p w14:paraId="0EB05730">
      <w:pPr>
        <w:pStyle w:val="164"/>
        <w:numPr>
          <w:ilvl w:val="1"/>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Este responsabilitatea operatorului să înlocuiască, în termen de cel mult 48 ore, recipientele din punctele de colectare care nu mai pot fi reparate, cu recipiente de aceeaşi capacitate şi calitate similară.</w:t>
      </w:r>
    </w:p>
    <w:p w14:paraId="159A2059">
      <w:pPr>
        <w:pStyle w:val="164"/>
        <w:numPr>
          <w:ilvl w:val="2"/>
          <w:numId w:val="16"/>
        </w:numPr>
        <w:spacing w:after="0" w:line="240" w:lineRule="auto"/>
        <w:jc w:val="both"/>
        <w:rPr>
          <w:rFonts w:asciiTheme="majorHAnsi" w:hAnsiTheme="majorHAnsi" w:cstheme="majorHAnsi"/>
          <w:i/>
          <w:iCs/>
          <w:sz w:val="24"/>
          <w:szCs w:val="24"/>
          <w:lang w:val="ro-RO"/>
        </w:rPr>
      </w:pPr>
      <w:r>
        <w:rPr>
          <w:rFonts w:asciiTheme="majorHAnsi" w:hAnsiTheme="majorHAnsi" w:cstheme="majorHAnsi"/>
          <w:i/>
          <w:iCs/>
          <w:sz w:val="24"/>
          <w:szCs w:val="24"/>
          <w:lang w:val="ro-RO"/>
        </w:rPr>
        <w:t>Operatorul va asigura un stoc tampon de 1% din cantitatea de recipiente puse la dispoziția acestuia in vederea înlocuirii prompte a acestora.</w:t>
      </w:r>
    </w:p>
    <w:p w14:paraId="76B558BF">
      <w:pPr>
        <w:pStyle w:val="164"/>
        <w:numPr>
          <w:ilvl w:val="0"/>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1E0D7EA4">
      <w:pPr>
        <w:pStyle w:val="164"/>
        <w:numPr>
          <w:ilvl w:val="1"/>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Autospecialele folosite pentru colectarea deşeurilor reziduale şi a biodeşeurilor vor fi spălate la exterior cel puţin lunar, astfel încât să fie curate la ieşirea pe traseu. Interiorul benei va fi spălat cel puţin lunar în perioada 01 octombrie - 30 martie şi cel puţin o dată la două zile, în perioada 01 aprilie - 30 septembrie.</w:t>
      </w:r>
    </w:p>
    <w:p w14:paraId="06C027E2">
      <w:pPr>
        <w:pStyle w:val="164"/>
        <w:numPr>
          <w:ilvl w:val="1"/>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spăla şi curăţa toate recipientele din punctele de colectare utilizate pentru colectarea deşeurilor reziduale şi a biodeşeurilor, cel puţin o dată pe trimestru, în sezonul cald.</w:t>
      </w:r>
    </w:p>
    <w:p w14:paraId="14C6B576">
      <w:pPr>
        <w:pStyle w:val="164"/>
        <w:numPr>
          <w:ilvl w:val="1"/>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spăla şi curăţa toate recipientele din punctele de colectare utilizate pentru colectarea deşeurilor reciclabile, cel puţin o dată pe an.</w:t>
      </w:r>
    </w:p>
    <w:p w14:paraId="262C37BA">
      <w:pPr>
        <w:pStyle w:val="164"/>
        <w:numPr>
          <w:ilvl w:val="0"/>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Alte cerinţe/date necesare definirii activităţii din punct de vedere al utilizării şi întreţinerii autospecialelor de colectare a deşeurilor.</w:t>
      </w:r>
    </w:p>
    <w:p w14:paraId="09629578">
      <w:pPr>
        <w:spacing w:after="0" w:line="240" w:lineRule="auto"/>
        <w:jc w:val="both"/>
        <w:rPr>
          <w:rFonts w:asciiTheme="majorHAnsi" w:hAnsiTheme="majorHAnsi" w:cstheme="majorHAnsi"/>
          <w:sz w:val="24"/>
          <w:szCs w:val="24"/>
          <w:lang w:val="ro-RO"/>
        </w:rPr>
      </w:pPr>
    </w:p>
    <w:p w14:paraId="260CC73B">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5-a</w:t>
      </w:r>
      <w:r>
        <w:rPr>
          <w:rFonts w:cstheme="majorHAnsi"/>
          <w:color w:val="auto"/>
          <w:sz w:val="24"/>
          <w:szCs w:val="24"/>
          <w:lang w:val="ro-RO"/>
        </w:rPr>
        <w:br w:type="textWrapping"/>
      </w:r>
      <w:r>
        <w:rPr>
          <w:rFonts w:cstheme="majorHAnsi"/>
          <w:color w:val="auto"/>
          <w:sz w:val="24"/>
          <w:szCs w:val="24"/>
          <w:lang w:val="ro-RO"/>
        </w:rPr>
        <w:t>Cerinţe privind raportarea</w:t>
      </w:r>
    </w:p>
    <w:p w14:paraId="6440CA1B">
      <w:pPr>
        <w:spacing w:after="0" w:line="240" w:lineRule="auto"/>
        <w:rPr>
          <w:rFonts w:asciiTheme="majorHAnsi" w:hAnsiTheme="majorHAnsi" w:cstheme="majorHAnsi"/>
          <w:sz w:val="24"/>
          <w:szCs w:val="24"/>
          <w:lang w:val="ro-RO"/>
        </w:rPr>
      </w:pPr>
    </w:p>
    <w:p w14:paraId="5343E378">
      <w:pPr>
        <w:pStyle w:val="164"/>
        <w:numPr>
          <w:ilvl w:val="0"/>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 este liber să aleagă soluţiile hardware şi software de realizare a sistemului informatic, ţinând seama de cerinţele minime privind raportarea şi perioada de raportare.</w:t>
      </w:r>
    </w:p>
    <w:p w14:paraId="16BF7624">
      <w:pPr>
        <w:pStyle w:val="164"/>
        <w:numPr>
          <w:ilvl w:val="0"/>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6E7A65E8">
      <w:pPr>
        <w:pStyle w:val="164"/>
        <w:numPr>
          <w:ilvl w:val="1"/>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Pentru rapoarte/înregistrări zilnice, operatorul va ţine, în cadrul bazei de date, un jurnal zilnic al operaţiunilor prestate. Jurnalul va conţine cel puţin următoarele date:</w:t>
      </w:r>
    </w:p>
    <w:p w14:paraId="68A46406">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traseul de colectare şi codul fiecărei fracţii/categorii de deşeuri care a fost colectată;</w:t>
      </w:r>
    </w:p>
    <w:p w14:paraId="059E2601">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autospecialele cu care s-a efectuat transportul fracţiilor/categoriilor de deşeuri colectate;</w:t>
      </w:r>
    </w:p>
    <w:p w14:paraId="1F24B674">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cantităţile şi categoriile de deşeuri colectate;</w:t>
      </w:r>
    </w:p>
    <w:p w14:paraId="5E783B8F">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instalaţia la care au fost transportate;</w:t>
      </w:r>
    </w:p>
    <w:p w14:paraId="4591B85D">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incidente şi defecţiuni ale echipamentelor de colectare şi transport deşeuri;</w:t>
      </w:r>
    </w:p>
    <w:p w14:paraId="025A9258">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limitări şi întreruperi neprogramate în prestarea serviciului;</w:t>
      </w:r>
    </w:p>
    <w:p w14:paraId="67ACE32D">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registre ale lucrărilor de întreţinere şi reparaţii realizate la fiecare echipament;</w:t>
      </w:r>
    </w:p>
    <w:p w14:paraId="6E9431CE">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petiţii şi notificări primite şi răspunsurile formulate;</w:t>
      </w:r>
    </w:p>
    <w:p w14:paraId="4647915D">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problemele apărute în raporturile cu alţi operatori şi modul de soluţionare;</w:t>
      </w:r>
    </w:p>
    <w:p w14:paraId="42A07B6B">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orice alte date înregistrate solicitate de delegatar.</w:t>
      </w:r>
    </w:p>
    <w:p w14:paraId="21ABA186">
      <w:pPr>
        <w:pStyle w:val="164"/>
        <w:numPr>
          <w:ilvl w:val="1"/>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Delegatarul îşi rezervă dreptul de a solicita periodic şi furnizarea de rapoarte zilnice. Formatul standard al rapoartelor zilnice se va conveni între delegatar şi operator înainte de data de începerii prestării activităţii.</w:t>
      </w:r>
    </w:p>
    <w:p w14:paraId="50604980">
      <w:pPr>
        <w:pStyle w:val="164"/>
        <w:numPr>
          <w:ilvl w:val="1"/>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Sistemul informaţional trebuie să poată genera rapoarte lunare, trimestriale şi anuale privind orice categorie de înregistrări.</w:t>
      </w:r>
    </w:p>
    <w:p w14:paraId="18F099B4">
      <w:pPr>
        <w:pStyle w:val="164"/>
        <w:numPr>
          <w:ilvl w:val="0"/>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Operatorul va raporta lunar delegatarului următoarele:</w:t>
      </w:r>
    </w:p>
    <w:p w14:paraId="61455EF0">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cantitatea de deşeuri municipale colectate de pe raza fiecărei unităţi/subdiviziuni administrativ- teritoriale, defalcat pe surse utilizatori casnici şi utilizatori non-casnici şi pe categorii de deşeuri;</w:t>
      </w:r>
    </w:p>
    <w:p w14:paraId="3D580124">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cantitatea de deşeuri predată operatorilor care desfăşoară activităţi de sortare şi depozitare/tratare a deşeurilor, pe fiecare tip de deşeuri;</w:t>
      </w:r>
    </w:p>
    <w:p w14:paraId="7430A7C1">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situaţia tuturor utilizatorilor care au contract de prestări de servicii încheiat cu acesta, dacă este cazul;</w:t>
      </w:r>
    </w:p>
    <w:p w14:paraId="09A0839D">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înregistrări ale activităţii zilnice de prestare a serviciului pentru fiecare traseu de colectare, dacă este cazul.</w:t>
      </w:r>
    </w:p>
    <w:p w14:paraId="6DE5D21C">
      <w:pPr>
        <w:pStyle w:val="164"/>
        <w:numPr>
          <w:ilvl w:val="0"/>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transmite delegatarului un raport trimestrial, cel târziu până la sfârşitul lunii următoare închiderii trimestrului, care va cuprinde performanţa realizată în ceea ce priveşte îndeplinirea indicatorilor de performanţă.</w:t>
      </w:r>
    </w:p>
    <w:p w14:paraId="74AEC7B5">
      <w:pPr>
        <w:pStyle w:val="164"/>
        <w:numPr>
          <w:ilvl w:val="0"/>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24BA5F3B">
      <w:pPr>
        <w:pStyle w:val="164"/>
        <w:numPr>
          <w:ilvl w:val="1"/>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Operatorul va transmite delegatarului un raport anual, structurat în funcţie de cerinţele delegatarului, cel târziu până la sfârşitul lunii ianuarie a anului următor, care va cuprinde, fără a se limita la acestea, date referitoare la:</w:t>
      </w:r>
    </w:p>
    <w:p w14:paraId="1CE41302">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numărul total de personal angajat, numărul total al zilelor lucrate;</w:t>
      </w:r>
    </w:p>
    <w:p w14:paraId="74B9EC85">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informaţii privind eficienţa colectării: numărul de abateri de la frecvenţa de colectare, procentul de colectări care nu au fost realizate în termen de maximum 24 de ore de la ziua de colectare planificată</w:t>
      </w:r>
    </w:p>
    <w:p w14:paraId="1BB39E62">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performanţa realizată în ceea ce priveşte respectarea indicatorilor de performanţă stabiliţi pe o bază anuală, după caz.</w:t>
      </w:r>
    </w:p>
    <w:p w14:paraId="54CFD703">
      <w:pPr>
        <w:pStyle w:val="164"/>
        <w:numPr>
          <w:ilvl w:val="1"/>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Raportul anual va cuprinde şi următoarele dovezi privind:</w:t>
      </w:r>
    </w:p>
    <w:p w14:paraId="44787DE2">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plata a tuturor impozitelor şi a taxelor;</w:t>
      </w:r>
    </w:p>
    <w:p w14:paraId="5D82213D">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controlul tehnic al vehiculelor şi de încadrare în normele de control al emisiilor;</w:t>
      </w:r>
    </w:p>
    <w:p w14:paraId="64420EB4">
      <w:pPr>
        <w:pStyle w:val="164"/>
        <w:numPr>
          <w:ilvl w:val="2"/>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deţinerea autorizaţiilor/avizelor/asigurărilor care condiţionează desfăşurarea activităţii.</w:t>
      </w:r>
    </w:p>
    <w:p w14:paraId="553AFEA8">
      <w:pPr>
        <w:pStyle w:val="164"/>
        <w:numPr>
          <w:ilvl w:val="0"/>
          <w:numId w:val="17"/>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Alte cerinţe/date necesare definirii activităţii din punct de vedere al raportării informaţiilor către delegatar.</w:t>
      </w:r>
    </w:p>
    <w:p w14:paraId="5348691E">
      <w:pPr>
        <w:spacing w:after="0" w:line="240" w:lineRule="auto"/>
        <w:jc w:val="both"/>
        <w:rPr>
          <w:rFonts w:asciiTheme="majorHAnsi" w:hAnsiTheme="majorHAnsi" w:cstheme="majorHAnsi"/>
          <w:sz w:val="24"/>
          <w:szCs w:val="24"/>
          <w:lang w:val="ro-RO"/>
        </w:rPr>
      </w:pPr>
    </w:p>
    <w:p w14:paraId="1BF587EE">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V</w:t>
      </w:r>
      <w:r>
        <w:rPr>
          <w:rFonts w:cstheme="majorHAnsi"/>
          <w:color w:val="auto"/>
          <w:sz w:val="24"/>
          <w:szCs w:val="24"/>
          <w:lang w:val="ro-RO"/>
        </w:rPr>
        <w:br w:type="textWrapping"/>
      </w:r>
      <w:r>
        <w:rPr>
          <w:rFonts w:cstheme="majorHAnsi"/>
          <w:color w:val="auto"/>
          <w:sz w:val="24"/>
          <w:szCs w:val="24"/>
          <w:lang w:val="ro-RO"/>
        </w:rPr>
        <w:t>Operarea centrelor de colectare prin aport voluntar a deşeurilor de la persoanele fizice</w:t>
      </w:r>
    </w:p>
    <w:p w14:paraId="0A815691">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295A5BD2">
      <w:pPr>
        <w:spacing w:after="0" w:line="240" w:lineRule="auto"/>
        <w:rPr>
          <w:rFonts w:asciiTheme="majorHAnsi" w:hAnsiTheme="majorHAnsi" w:cstheme="majorHAnsi"/>
          <w:sz w:val="24"/>
          <w:szCs w:val="24"/>
          <w:lang w:val="ro-RO"/>
        </w:rPr>
      </w:pPr>
    </w:p>
    <w:p w14:paraId="356C7BB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de a presta activitatea de operare a centrelor de colectare prin aport voluntar a deşeurilor de la persoanele fizice, în condiţiile legii.</w:t>
      </w:r>
    </w:p>
    <w:p w14:paraId="4EEA3087">
      <w:pPr>
        <w:pStyle w:val="216"/>
        <w:spacing w:before="0" w:after="0"/>
        <w:rPr>
          <w:rFonts w:asciiTheme="majorHAnsi" w:hAnsiTheme="majorHAnsi" w:cstheme="majorHAnsi"/>
          <w:color w:val="auto"/>
          <w:sz w:val="24"/>
          <w:szCs w:val="24"/>
        </w:rPr>
      </w:pPr>
    </w:p>
    <w:p w14:paraId="1DD4106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se concesionează/predă un singur centru de colectare prin aport voluntar)</w:t>
      </w:r>
    </w:p>
    <w:p w14:paraId="6B85F3D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va presta activitatea la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administrativ-teritoriale arondate)</w:t>
      </w:r>
    </w:p>
    <w:p w14:paraId="0CE96B2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se concesionează/predă mai multe centre de colectare prin aport voluntar)</w:t>
      </w:r>
    </w:p>
    <w:p w14:paraId="71C1B45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va presta activitatea la următoarele centre de colectare prin aport voluntar:</w:t>
      </w:r>
    </w:p>
    <w:p w14:paraId="2F2FD49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1)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 teritoriale arondate)</w:t>
      </w:r>
    </w:p>
    <w:p w14:paraId="58FB187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2)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administrativ-teritoriale arondate)</w:t>
      </w:r>
    </w:p>
    <w:p w14:paraId="33E774B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3) ...</w:t>
      </w:r>
    </w:p>
    <w:p w14:paraId="51763DC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va detalia pentru fiecare centru de colectare prin aport voluntar) La centrul de colectare prin aport voluntar . . . . . . . . . . (se completează cu numele şi locaţia centrului de colectare prin aport voluntar) vor fi preluate de la persoanele fizice, cu titlu gratuit, următoarele tipuri/categorii de deşeuri colectate separat: . . . . . . . . . . (se completează cu toate tipurile/categoriile de deşeuri stabilite de către delegatar şi/sau cele stabilite prin proiectele finanţate din fonduri nerambursabile a fi colectate la centrul de colectare prin aport voluntar).</w:t>
      </w:r>
    </w:p>
    <w:p w14:paraId="402C708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va detalia pentru fiecare centru de colectare prin aport voluntar) Cantităţile anuale de deşeuri estimate a fi preluate de la persoanele fizice, în primul an de operare, la centrul de colectare prin aport voluntar . . . . . . . . . . (se completează cu numele şi locaţia centrului de colectare prin aport voluntar) sunt următoarele: ... (se vor enumera cantităţile anuale estimate a fi predate de persoanele fizice, în tone/an, pe fiecare tip/categorie de deşeuri)</w:t>
      </w:r>
    </w:p>
    <w:p w14:paraId="03E4D8B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va detalia pentru fiecare centru de colectare prin aport voluntar)   La centrul de colectare prin aport voluntar ... (se completează cu numele şi locaţia centrului de colectare prin aport voluntar) sunt stocate temporar următoarele tipuri/categorii de deşeuri: ... (se vor enumera tipurile/categoriile de deşeuri stocate temporar)</w:t>
      </w:r>
    </w:p>
    <w:p w14:paraId="7D5A7B6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numai dacă centrul de colectare prin aport voluntar este dotat cu instalaţii de sortare/tratare a deşeurilor şi se va detalia pentru fiecare centru de colectare) La centrul de colectare prin aport voluntar ... (se completează cu numele şi locaţia centrului de colectare prin aport voluntar) operatorul va presta următoarele activităţi de sortare/tratare a deşeurilor: ... (se vor enumera operaţiunile de tratare şi tipul/categoria de deşeuri supusă respectivului proces de tratare)</w:t>
      </w:r>
    </w:p>
    <w:p w14:paraId="3F51F84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133D34F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predarea şi comercializarea deşeurilor valorificabile către operatorii economici autorizaţi să desfăşoare activităţi de valorificare/reciclare, la preţurile de vânzare ale deşeurilor cu valoare de piaţă.</w:t>
      </w:r>
    </w:p>
    <w:p w14:paraId="2E2524F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estimate a fi obţinute de operator din vânzarea/valorificarea deşeurilor nu se includ în structura tarifului, în caz contrar oferta fiind considerată neconformă.</w:t>
      </w:r>
    </w:p>
    <w:p w14:paraId="62081E0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realizate de operator din vânzarea/valorificarea deşeurilor se vor raporta lunar delegatarului, se vor scădea din contravaloarea serviciilor prestate şi se vor evidenţia distinct pe factura emisă delegatarului.</w:t>
      </w:r>
    </w:p>
    <w:p w14:paraId="6C73D30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Deşeurile nevalorificabile şi, după caz, reziduurile rezultate din procesul de sortare/tratare vor fi transportate la depozitul de deşeuri . . . . . . . . . .(se completează cu numele şi locaţia depozitului de deşeuri)</w:t>
      </w:r>
    </w:p>
    <w:p w14:paraId="32734BA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sarcina de a încheia un contract de prestări servicii cu un operator autorizat să desfăşoare activităţi de eliminare, prin depozitare, a deşeurilor periculoase menajere, în cazul în care depozitarea acestor deşeuri nu este permisă la depozitul de deşeuri nepericuloase.</w:t>
      </w:r>
    </w:p>
    <w:p w14:paraId="5FC6310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0C2ACBD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fiecare centru de colectare prin aport voluntar se fundamentează/stabileşte un tarif de operare, prin includerea în structura tarifului a cheltuielilor aferente activităţii, precum şi a cheltuielilor cu alte activităţi de salubrizare desfăşurate de operatori pe fluxul deşeurilor. Contravaloarea contribuţiei pentru economia circulară se evidenţiază distinct, alături de tarif, pe factura emisă de operator către autoritatea administraţiei publice locale implicate.</w:t>
      </w:r>
    </w:p>
    <w:p w14:paraId="60DAE67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 care la centrul de colectare prin aport voluntar sunt arondate mai multe unităţi administrativ-teritoriale, contravaloarea serviciilor prestate ce urmează a fi facturată de către operator fiecărei autorităţi a administraţiei publice locale implicate se stabileşte prin aplicarea tarifului de operare la cantitatea totală de deşeuri preluată de la toate persoanele fizice din respectiva unitatea administrativ- teritorială, în luna anterioară emiterii facturii.</w:t>
      </w:r>
    </w:p>
    <w:p w14:paraId="48C7A07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Spaţiile în care se prestează activitatea de colectare prin aport voluntar a deşeurilor trebuie să îndeplinească următoarele cerinţe minime:</w:t>
      </w:r>
    </w:p>
    <w:p w14:paraId="2D63FB8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să dispună de o platformă betonată cu o suprafaţă suficientă pentru primirea deşeurilor şi pentru stocarea temporară, separată, a fiecărui tip de deşeu;</w:t>
      </w:r>
    </w:p>
    <w:p w14:paraId="6FB44A8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să asigure accesul auto pentru predarea deşeurilor de către persoanele fizice;</w:t>
      </w:r>
    </w:p>
    <w:p w14:paraId="729BB52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 să fie prevăzute cu cântar/cântare pentru cântărirea fiecărui tip de deşeu;</w:t>
      </w:r>
    </w:p>
    <w:p w14:paraId="5A821F5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 să fie dotate cu grupuri sanitare şi vestiare conform normativelor în vigoare;</w:t>
      </w:r>
    </w:p>
    <w:p w14:paraId="4CF93C0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e) să fie prevăzute cu sisteme de colectare a apelor uzate şi pluviale şi, dacă este cazul, a levigatului rezultat din procesul tehnologic de tratare a biodeşeurilor.</w:t>
      </w:r>
    </w:p>
    <w:p w14:paraId="10808FD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completează pentru fiecare centru de colectare concesionat/predat) Componentele, caracteristicile tehnice principale, procesele tehnologice şi parametrii de funcţionare ai centrului de colectare prin aport voluntar . . . . . . . . . . (se completează cu numele şi locaţia centrului de colectare prin aport voluntar)sunt prezentate în anexa nr. ... (se va preciza numărul anexei).</w:t>
      </w:r>
    </w:p>
    <w:p w14:paraId="2F1B06E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Manualul/Instrucţiunile de operare al/a centrului de colectare prin aport voluntar . . . . . . . . . . (se va completa cu numele şi locaţia fiecărui centru de colectare concesionat/predat) se regăseşte în anexa nr. ... (se precizează numărul anexei) la caietul de sarcini.</w:t>
      </w:r>
    </w:p>
    <w:p w14:paraId="777FA05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w:t>
      </w:r>
    </w:p>
    <w:p w14:paraId="3AE4463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(se trece, dacă se solicită operatorului să realizeze investiţii la centrul/centrele de colectare prin aport voluntar)   Operatorul trebuie să asigure echipamentele/utilajele/containerele necesare pentru prestarea activităţii prevăzute în lista de investiţii în sarcina operatorului, de natura bunurilor de retur, conform cerinţelor din anexa nr. ... . (se va preciza numărul anexei şi se va completa Tabelul 7.2 din Anexa  la caietul de sarcini-cadru).</w:t>
      </w:r>
    </w:p>
    <w:p w14:paraId="6266DA0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1EC7899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7F695D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(dacă este cazul) Alte cerinţe/date necesare definirii activităţii.</w:t>
      </w:r>
    </w:p>
    <w:p w14:paraId="79E00C9C">
      <w:pPr>
        <w:spacing w:after="0" w:line="240" w:lineRule="auto"/>
        <w:jc w:val="both"/>
        <w:rPr>
          <w:rFonts w:asciiTheme="majorHAnsi" w:hAnsiTheme="majorHAnsi" w:cstheme="majorHAnsi"/>
          <w:sz w:val="24"/>
          <w:szCs w:val="24"/>
          <w:lang w:val="ro-RO"/>
        </w:rPr>
      </w:pPr>
    </w:p>
    <w:p w14:paraId="2350A7E5">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VI</w:t>
      </w:r>
      <w:r>
        <w:rPr>
          <w:rFonts w:cstheme="majorHAnsi"/>
          <w:color w:val="auto"/>
          <w:sz w:val="24"/>
          <w:szCs w:val="24"/>
          <w:lang w:val="ro-RO"/>
        </w:rPr>
        <w:br w:type="textWrapping"/>
      </w:r>
      <w:r>
        <w:rPr>
          <w:rFonts w:cstheme="majorHAnsi"/>
          <w:color w:val="auto"/>
          <w:sz w:val="24"/>
          <w:szCs w:val="24"/>
          <w:lang w:val="ro-RO"/>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1B92605B">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0FF7C8F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303B18D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Operatorul are obligaţia de a presta activitatea de transfer a deşeurilor municipale, inclusiv transportul fracţiilor de deşeuri municipale stocate temporar către staţiile/instalaţiile de sortare/tratare a deşeurilor şi/sau depozitul de deşeuri, în condiţiile legii, la staţia/staţiile de transfer Lehliu-Gara, Oltenița, Călărași. </w:t>
      </w:r>
    </w:p>
    <w:p w14:paraId="64328CC2">
      <w:pPr>
        <w:pStyle w:val="216"/>
        <w:spacing w:before="0" w:after="0"/>
        <w:rPr>
          <w:rFonts w:asciiTheme="majorHAnsi" w:hAnsiTheme="majorHAnsi" w:cstheme="majorHAnsi"/>
          <w:color w:val="auto"/>
          <w:sz w:val="24"/>
          <w:szCs w:val="24"/>
        </w:rPr>
      </w:pPr>
    </w:p>
    <w:p w14:paraId="33D5F7C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staţia de transfer </w:t>
      </w:r>
      <w:r>
        <w:rPr>
          <w:rFonts w:asciiTheme="majorHAnsi" w:hAnsiTheme="majorHAnsi" w:cstheme="majorHAnsi"/>
          <w:b/>
          <w:color w:val="auto"/>
          <w:sz w:val="24"/>
          <w:szCs w:val="24"/>
        </w:rPr>
        <w:t>Lehliu-Gara</w:t>
      </w:r>
      <w:r>
        <w:rPr>
          <w:rFonts w:asciiTheme="majorHAnsi" w:hAnsiTheme="majorHAnsi" w:cstheme="majorHAnsi"/>
          <w:color w:val="auto"/>
          <w:sz w:val="24"/>
          <w:szCs w:val="24"/>
        </w:rPr>
        <w:t xml:space="preserve"> care deserveşte Zona 1 sunt stocate temporar şi transferate următoarele fracţii de deşeuri municipale: </w:t>
      </w:r>
    </w:p>
    <w:p w14:paraId="409D627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Deseuri reziduale  acestea se vor transfera la CMID Ciocănești</w:t>
      </w:r>
    </w:p>
    <w:p w14:paraId="6F762B5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staţia de transfer </w:t>
      </w:r>
      <w:r>
        <w:rPr>
          <w:rFonts w:asciiTheme="majorHAnsi" w:hAnsiTheme="majorHAnsi" w:cstheme="majorHAnsi"/>
          <w:b/>
          <w:color w:val="auto"/>
          <w:sz w:val="24"/>
          <w:szCs w:val="24"/>
        </w:rPr>
        <w:t>Călărași</w:t>
      </w:r>
      <w:r>
        <w:rPr>
          <w:rFonts w:asciiTheme="majorHAnsi" w:hAnsiTheme="majorHAnsi" w:cstheme="majorHAnsi"/>
          <w:color w:val="auto"/>
          <w:sz w:val="24"/>
          <w:szCs w:val="24"/>
        </w:rPr>
        <w:t xml:space="preserve"> care deserveşte Zona 3 sunt stocate temporar şi transferate următoarele fracţii de deşeuri municipale: </w:t>
      </w:r>
    </w:p>
    <w:p w14:paraId="236A333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Deseuri reziduale  acestea se vor transfera la CMID Ciocănești</w:t>
      </w:r>
    </w:p>
    <w:p w14:paraId="40E7A63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În staţia de transfer </w:t>
      </w:r>
      <w:r>
        <w:rPr>
          <w:rFonts w:asciiTheme="majorHAnsi" w:hAnsiTheme="majorHAnsi" w:cstheme="majorHAnsi"/>
          <w:b/>
          <w:color w:val="auto"/>
          <w:sz w:val="24"/>
          <w:szCs w:val="24"/>
        </w:rPr>
        <w:t>Oltenița</w:t>
      </w:r>
      <w:r>
        <w:rPr>
          <w:rFonts w:asciiTheme="majorHAnsi" w:hAnsiTheme="majorHAnsi" w:cstheme="majorHAnsi"/>
          <w:color w:val="auto"/>
          <w:sz w:val="24"/>
          <w:szCs w:val="24"/>
        </w:rPr>
        <w:t xml:space="preserve"> care deserveşte Zona 2 sunt stocate temporar şi transferate următoarele fracţii de deşeuri municipale: </w:t>
      </w:r>
    </w:p>
    <w:p w14:paraId="11DFB9F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Deseuri reziduale  acestea se vor transfera la CMID Ciocănești</w:t>
      </w:r>
    </w:p>
    <w:p w14:paraId="70D6F9F1">
      <w:pPr>
        <w:pStyle w:val="216"/>
        <w:spacing w:before="0" w:after="0"/>
        <w:rPr>
          <w:rFonts w:asciiTheme="majorHAnsi" w:hAnsiTheme="majorHAnsi" w:cstheme="majorHAnsi"/>
          <w:color w:val="auto"/>
          <w:sz w:val="24"/>
          <w:szCs w:val="24"/>
        </w:rPr>
      </w:pPr>
    </w:p>
    <w:p w14:paraId="4862325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w:t>
      </w:r>
    </w:p>
    <w:p w14:paraId="70996B87">
      <w:pPr>
        <w:pStyle w:val="216"/>
        <w:spacing w:before="0" w:after="0"/>
        <w:rPr>
          <w:rFonts w:asciiTheme="majorHAnsi" w:hAnsiTheme="majorHAnsi" w:cstheme="majorHAnsi"/>
          <w:color w:val="auto"/>
          <w:sz w:val="24"/>
          <w:szCs w:val="24"/>
        </w:rPr>
      </w:pPr>
    </w:p>
    <w:p w14:paraId="48BF201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totală anuală de deşeuri reziduale estimată a fi transferată, în primul an de operare, este de . . . . . . . . . . tone/an, din care: </w:t>
      </w:r>
    </w:p>
    <w:p w14:paraId="673EEA8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r>
        <w:rPr>
          <w:rFonts w:eastAsia="Times New Roman" w:asciiTheme="majorHAnsi" w:hAnsiTheme="majorHAnsi" w:cstheme="majorHAnsi"/>
          <w:color w:val="auto"/>
          <w:sz w:val="24"/>
          <w:szCs w:val="24"/>
        </w:rPr>
        <w:t>8,830</w:t>
      </w:r>
      <w:r>
        <w:rPr>
          <w:rFonts w:asciiTheme="majorHAnsi" w:hAnsiTheme="majorHAnsi" w:cstheme="majorHAnsi"/>
          <w:color w:val="auto"/>
          <w:sz w:val="24"/>
          <w:szCs w:val="24"/>
        </w:rPr>
        <w:t xml:space="preserve"> tone/an, în staţia de transfer </w:t>
      </w:r>
      <w:r>
        <w:rPr>
          <w:rFonts w:asciiTheme="majorHAnsi" w:hAnsiTheme="majorHAnsi" w:cstheme="majorHAnsi"/>
          <w:b/>
          <w:color w:val="auto"/>
          <w:sz w:val="24"/>
          <w:szCs w:val="24"/>
        </w:rPr>
        <w:t>Lehliu-Gara</w:t>
      </w:r>
    </w:p>
    <w:p w14:paraId="73B8CEA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r>
        <w:rPr>
          <w:rFonts w:eastAsia="Times New Roman" w:asciiTheme="majorHAnsi" w:hAnsiTheme="majorHAnsi" w:cstheme="majorHAnsi"/>
          <w:color w:val="auto"/>
          <w:sz w:val="24"/>
          <w:szCs w:val="24"/>
        </w:rPr>
        <w:t>22,760</w:t>
      </w:r>
      <w:r>
        <w:rPr>
          <w:rFonts w:asciiTheme="majorHAnsi" w:hAnsiTheme="majorHAnsi" w:cstheme="majorHAnsi"/>
          <w:color w:val="auto"/>
          <w:sz w:val="24"/>
          <w:szCs w:val="24"/>
        </w:rPr>
        <w:t xml:space="preserve"> tone/an, în staţia de transfer </w:t>
      </w:r>
      <w:r>
        <w:rPr>
          <w:rFonts w:asciiTheme="majorHAnsi" w:hAnsiTheme="majorHAnsi" w:cstheme="majorHAnsi"/>
          <w:b/>
          <w:color w:val="auto"/>
          <w:sz w:val="24"/>
          <w:szCs w:val="24"/>
        </w:rPr>
        <w:t>Călărași</w:t>
      </w:r>
    </w:p>
    <w:p w14:paraId="13DDD08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r>
        <w:rPr>
          <w:rFonts w:eastAsia="Times New Roman" w:asciiTheme="majorHAnsi" w:hAnsiTheme="majorHAnsi" w:cstheme="majorHAnsi"/>
          <w:color w:val="auto"/>
          <w:sz w:val="24"/>
          <w:szCs w:val="24"/>
        </w:rPr>
        <w:t>30,948</w:t>
      </w:r>
      <w:r>
        <w:rPr>
          <w:rFonts w:asciiTheme="majorHAnsi" w:hAnsiTheme="majorHAnsi" w:cstheme="majorHAnsi"/>
          <w:color w:val="auto"/>
          <w:sz w:val="24"/>
          <w:szCs w:val="24"/>
        </w:rPr>
        <w:t xml:space="preserve"> tone/an, în staţia de transfer </w:t>
      </w:r>
      <w:r>
        <w:rPr>
          <w:rFonts w:asciiTheme="majorHAnsi" w:hAnsiTheme="majorHAnsi" w:cstheme="majorHAnsi"/>
          <w:b/>
          <w:color w:val="auto"/>
          <w:sz w:val="24"/>
          <w:szCs w:val="24"/>
        </w:rPr>
        <w:t>Oltenița</w:t>
      </w:r>
    </w:p>
    <w:p w14:paraId="3F96043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Transferul deşeurilor trebuie realizat fără ca fracţiile de deşeuri municipale colectate separat să fie amestecate.</w:t>
      </w:r>
    </w:p>
    <w:p w14:paraId="792B9F4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Pentru fiecare fracţie de deşeuri municipale se fundamentează/stabileşte un tarif de transfer prin raportare la cantitatea totală anuală estimată a fi transferată, în primul an de operare, la toate staţiile de transfer, în conformitate cu Normele metodologice de stabilire, ajustare sau modificare a tarifelor pentru activităţile de salubrizare, precum şi de calculare a tarifelor/taxelor distincte pentru gestionarea deşeurilor şi a taxelor de salubrizare, aprobate prin Ordinul preşedintelui A.N.R.S.C. , cu modificările şi completările ulterioare</w:t>
      </w:r>
    </w:p>
    <w:p w14:paraId="198A013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Spaţiile în care se realizează transferul deşeurilor îndeplineasc următoarele cerinţe minime:</w:t>
      </w:r>
    </w:p>
    <w:p w14:paraId="5E5E860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dispună de o platformă betonată cu o suprafaţă suficientă pentru primirea deşeurilor şi pentru stocarea temporară, separată, a fiecărei fracţii de deşeuri;</w:t>
      </w:r>
    </w:p>
    <w:p w14:paraId="6B47D67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cântar pentru cântărirea la intrarea şi ieşirea din staţia de transfer a autospecialelor de transport deşeuri;</w:t>
      </w:r>
    </w:p>
    <w:p w14:paraId="3DFA6D1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să aibă instalaţie de spălare şi dezinfectare;</w:t>
      </w:r>
    </w:p>
    <w:p w14:paraId="4B38D71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sisteme de colectare a apelor uzate şi pluviale;</w:t>
      </w:r>
    </w:p>
    <w:p w14:paraId="5E9F5F5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autorităţile competente;</w:t>
      </w:r>
    </w:p>
    <w:p w14:paraId="231AA23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existe posibilitatea de acces în fiecare zonă de stocare, fără a exista posibilitatea de amestec/contaminare a diferitelor fracţii/tipuri de deşeuri;</w:t>
      </w:r>
    </w:p>
    <w:p w14:paraId="4FCD141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existe grupuri sanitare şi vestiare conform normativelor în vigoare;</w:t>
      </w:r>
    </w:p>
    <w:p w14:paraId="098935A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dotate cu instalaţie de iluminat corespunzătoare desfăşurării activităţii în orice perioadă a zilei;</w:t>
      </w:r>
    </w:p>
    <w:p w14:paraId="6FDB824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toate dotările impuse prin avizele, acordurile şi autorizaţiile necesare funcţionării emise de autorităţile competente.</w:t>
      </w:r>
    </w:p>
    <w:p w14:paraId="5321FCB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Componentele, caracteristicile tehnice principale, procesele tehnologice şi parametrii de funcţionare ai staţiilor de transfer sunt prezentate în anexa nr. ....</w:t>
      </w:r>
    </w:p>
    <w:p w14:paraId="59E8DC5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Manualul/Instrucţiunile de operare al/ale staţilor de transfer se regăseşte în anexa nr. ... la caietul de sarcini.</w:t>
      </w:r>
    </w:p>
    <w:p w14:paraId="57C9835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p>
    <w:p w14:paraId="555A942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w:t>
      </w:r>
      <w:r>
        <w:rPr>
          <w:rFonts w:asciiTheme="majorHAnsi" w:hAnsiTheme="majorHAnsi" w:cstheme="majorHAnsi"/>
          <w:b/>
          <w:color w:val="auto"/>
          <w:sz w:val="24"/>
          <w:szCs w:val="24"/>
        </w:rPr>
        <w:t>nu este cazul</w:t>
      </w:r>
    </w:p>
    <w:p w14:paraId="0EF1A69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 </w:t>
      </w:r>
      <w:r>
        <w:rPr>
          <w:rFonts w:asciiTheme="majorHAnsi" w:hAnsiTheme="majorHAnsi" w:cstheme="majorHAnsi"/>
          <w:b/>
          <w:color w:val="auto"/>
          <w:sz w:val="24"/>
          <w:szCs w:val="24"/>
        </w:rPr>
        <w:t>nu este cazul</w:t>
      </w:r>
    </w:p>
    <w:p w14:paraId="6791625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4F77BD1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Alte cerinţe/date necesare definirii activităţii.</w:t>
      </w:r>
    </w:p>
    <w:p w14:paraId="522DC2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CIMD trebuie sa utilizeze si sa demonstreze prin orice forma legala (închiriere/leasing/deținere/antecontract/etc) ca dispune de 5 mașini de transport lung curier (pereche camion-remorca), cheltuielile aferente  acestora urmând a fi recuperate din tariful Operatorului CMID. Aceasta activitate se va desfasura  prin intermediul vehiculelor cu remorcă cu 3 osii, fiecare cu două containere roll-off de 25 m³.</w:t>
      </w:r>
    </w:p>
    <w:p w14:paraId="3F9DE86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Aceste echipamente nu sunt bunuri de retur</w:t>
      </w:r>
    </w:p>
    <w:p w14:paraId="27E8C6F4">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VII</w:t>
      </w:r>
      <w:r>
        <w:rPr>
          <w:rFonts w:cstheme="majorHAnsi"/>
          <w:color w:val="auto"/>
          <w:sz w:val="24"/>
          <w:szCs w:val="24"/>
          <w:lang w:val="ro-RO"/>
        </w:rPr>
        <w:br w:type="textWrapping"/>
      </w:r>
      <w:r>
        <w:rPr>
          <w:rFonts w:cstheme="majorHAnsi"/>
          <w:color w:val="auto"/>
          <w:sz w:val="24"/>
          <w:szCs w:val="24"/>
          <w:lang w:val="ro-RO"/>
        </w:rPr>
        <w:t>Sortarea deşeurilor de hârtie, metal, plastic şi sticlă colectate separat din deşeurile municipale în staţii de sortare, inclusiv transportul reziduurilor rezultate din sortare la depozitele de deşeuri şi/sau la instalaţiile de valorificare energetică</w:t>
      </w:r>
    </w:p>
    <w:p w14:paraId="598753E8">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50108022">
      <w:pPr>
        <w:pStyle w:val="216"/>
        <w:spacing w:before="0" w:after="0"/>
        <w:rPr>
          <w:rFonts w:asciiTheme="majorHAnsi" w:hAnsiTheme="majorHAnsi" w:cstheme="majorHAnsi"/>
          <w:color w:val="auto"/>
          <w:sz w:val="24"/>
          <w:szCs w:val="24"/>
        </w:rPr>
      </w:pPr>
    </w:p>
    <w:p w14:paraId="3BD9C7B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8253FD4">
      <w:pPr>
        <w:pStyle w:val="216"/>
        <w:spacing w:before="0" w:after="0"/>
        <w:rPr>
          <w:rFonts w:asciiTheme="majorHAnsi" w:hAnsiTheme="majorHAnsi" w:cstheme="majorHAnsi"/>
          <w:color w:val="auto"/>
          <w:sz w:val="24"/>
          <w:szCs w:val="24"/>
        </w:rPr>
      </w:pPr>
    </w:p>
    <w:p w14:paraId="380E82E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are obligaţia de a presta activitatea de sortare a deşeurilor de hârtie, metal, plastic şi sticlă colectate separat din deşeurile municipale, inclusiv transportul reziduurilor rezultate din sortare la depozitele de deşeuri şi/sau la instalaţiile de valorificare energetică, în condiţiile legii, la staţia/instalaţiile de sortare din cadrul CMID Ciocanesti.</w:t>
      </w:r>
    </w:p>
    <w:p w14:paraId="2E41A882">
      <w:pPr>
        <w:pStyle w:val="216"/>
        <w:spacing w:before="0" w:after="0"/>
        <w:rPr>
          <w:rFonts w:asciiTheme="majorHAnsi" w:hAnsiTheme="majorHAnsi" w:cstheme="majorHAnsi"/>
          <w:color w:val="auto"/>
          <w:sz w:val="24"/>
          <w:szCs w:val="24"/>
        </w:rPr>
      </w:pPr>
    </w:p>
    <w:p w14:paraId="481736A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staţia/instalaţiile de sortare din cadrul CMID Ciocanesti vor fi sortate deşeurile municipale de hârtie, metal, plastic şi sticlă colectate separat de pe raza teritorială a Judetului Calarasi.</w:t>
      </w:r>
    </w:p>
    <w:p w14:paraId="1B5FBD0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p>
    <w:p w14:paraId="6BF2C85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Cantitatea totală anuală de deşeuri reciclabile de hârtie, metal, plastic şi sticlă colectate separat estimată a fi sortată, în primul an de operare, în staţiile de sortare este de </w:t>
      </w:r>
      <w:r>
        <w:rPr>
          <w:rFonts w:eastAsia="Times New Roman" w:asciiTheme="majorHAnsi" w:hAnsiTheme="majorHAnsi" w:cstheme="majorHAnsi"/>
          <w:color w:val="auto"/>
          <w:sz w:val="24"/>
          <w:szCs w:val="24"/>
        </w:rPr>
        <w:t>4,221+687</w:t>
      </w:r>
      <w:r>
        <w:rPr>
          <w:rFonts w:asciiTheme="majorHAnsi" w:hAnsiTheme="majorHAnsi" w:cstheme="majorHAnsi"/>
          <w:color w:val="auto"/>
          <w:sz w:val="24"/>
          <w:szCs w:val="24"/>
        </w:rPr>
        <w:t xml:space="preserve"> tone/an, din care:</w:t>
      </w:r>
    </w:p>
    <w:p w14:paraId="5BFBF34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r>
        <w:rPr>
          <w:rFonts w:eastAsia="Times New Roman" w:asciiTheme="majorHAnsi" w:hAnsiTheme="majorHAnsi" w:cstheme="majorHAnsi"/>
          <w:color w:val="auto"/>
          <w:sz w:val="24"/>
          <w:szCs w:val="24"/>
        </w:rPr>
        <w:t>4,221</w:t>
      </w:r>
      <w:r>
        <w:rPr>
          <w:rFonts w:asciiTheme="majorHAnsi" w:hAnsiTheme="majorHAnsi" w:cstheme="majorHAnsi"/>
          <w:color w:val="auto"/>
          <w:sz w:val="24"/>
          <w:szCs w:val="24"/>
        </w:rPr>
        <w:t xml:space="preserve"> tone/an, hartie, metal, plastic în staţia/instalaţiile de sortare CMID Ciocanesti</w:t>
      </w:r>
    </w:p>
    <w:p w14:paraId="28BD5D4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687 tone/an – sticla în staţia/instalaţiile de sortare CMID Ciocanesti</w:t>
      </w:r>
    </w:p>
    <w:p w14:paraId="2B56C07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p>
    <w:p w14:paraId="2F4CCA5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Indicatorul de performanţă pentru operarea staţiei/staţiilor de sortare este de 75 %  deşeuri predate la reciclare din cantitatea totală de deşeuri de hârtie, metal, plastic şi sticlă intrată în staţia/staţiile de sortare, în conformitate cu valoarea minimă a indicatorului prevăzută în anexa  la O.U.G. nr. 92/2021, cu modificările şi completările ulterioare.</w:t>
      </w:r>
    </w:p>
    <w:p w14:paraId="2FFB6D1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totală de reziduuri rezultată din aplicarea indicatorului de performanţă la cantitatea totală deşeuri reciclabile de hârtie, metal, plastic şi sticlă colectate separat estimată a fi sortată, în primul an de operare, la staţia/staţiile de sortare este de 1227 tone/an.</w:t>
      </w:r>
    </w:p>
    <w:p w14:paraId="08A0EF9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w:t>
      </w:r>
    </w:p>
    <w:p w14:paraId="6DF20D8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va transporta la depozitul de deşeuri CMID Ciocănești  întreaga cantitate de reziduuri rezultată din procesul de sortare.</w:t>
      </w:r>
    </w:p>
    <w:p w14:paraId="2F05E90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de tip RDF reprezentând 5 %  din cantitatea totală de deşeuri reciclabile estimată a fi sortată, respectiv ... tone/an de RDF. Restul de reziduuri de ... tone/an, vor fi transportate la depozitul de deşeuri  CMID Ciocănești  .</w:t>
      </w:r>
    </w:p>
    <w:p w14:paraId="10CA190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Cheltuielile cu valorificarea energetică, care cuprind cheltuielile cu transportul deşeurilor cu potenţial de valorificare energetică de la staţia de sortare la instalaţiile de incinerare/coincinerare şi cheltuielile cu incinerarea acestora, stabilite conform contractului încheiat între operator şi operatorul economic autorizat să desfăşoare activităţi de incinerare/coincinerare a deşeurilor, se includ în tariful de sortare.</w:t>
      </w:r>
    </w:p>
    <w:p w14:paraId="342DCBD9">
      <w:pPr>
        <w:pStyle w:val="216"/>
        <w:spacing w:before="0" w:after="0"/>
        <w:rPr>
          <w:rFonts w:asciiTheme="majorHAnsi" w:hAnsiTheme="majorHAnsi" w:cstheme="majorHAnsi"/>
          <w:color w:val="auto"/>
          <w:sz w:val="24"/>
          <w:szCs w:val="24"/>
        </w:rPr>
      </w:pPr>
    </w:p>
    <w:p w14:paraId="5BF21C2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staţiei/instalaţiilor de sortare se fundamentează/stabileşte un tarif de sortare prin raportare la cantitatea totală anuală de deşeuri reciclabile de hârtie, metal, plastic şi sticlă estimată a fi sortată, în primul an de operare, în staţia de sortare. În structura tarifului se includ numai cheltuielile aferente prestării activităţii.</w:t>
      </w:r>
    </w:p>
    <w:p w14:paraId="17F0E9B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p>
    <w:p w14:paraId="41E0C89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predarea şi comercializarea deşeurilor sortate către operatorii economici autorizaţi să desfăşoare activităţi de reciclare, inclusiv a cantităţilor şi tipurilor de materiale de ambalaje contractate de către delegatar cu organizaţiile care implementează obligaţiile privind răspunderea extinsă a producătorului, în vederea acoperirii costurilor de gestionare a deşeurilor de ambalaje din deşeurile municipale.</w:t>
      </w:r>
    </w:p>
    <w:p w14:paraId="677CED0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estimate a fi obţinute de operator din vânzarea/valorificarea deşeurilor sortate nu se includ în structura tarifului, în caz contrar oferta fiind considerată neconformă.</w:t>
      </w:r>
    </w:p>
    <w:p w14:paraId="3E9CFB2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realizate de operator din vânzarea/valorificarea deşeurilor sortate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275C056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Spaţiile în care se realizează sortarea deşeurilor de hârtie, carton, metal, plastic şi sticlă trebuie să îndeplinească următoarele cerinţe minime:</w:t>
      </w:r>
    </w:p>
    <w:p w14:paraId="1048DC8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să dispună de o platformă betonată cu o suprafaţă suficientă pentru primirea deşeurilor şi pentru stocarea temporară, separată, a fiecărui tip de deşeu reciclabil;</w:t>
      </w:r>
    </w:p>
    <w:p w14:paraId="5641B84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cântar pentru cântărirea la intrarea şi ieşirea din staţia de sortare a autospecialelor de transport deşeuri;</w:t>
      </w:r>
    </w:p>
    <w:p w14:paraId="3248732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sisteme de colectare a apelor uzate tehnologice şi apelor pluviale;</w:t>
      </w:r>
    </w:p>
    <w:p w14:paraId="2077ACA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aibă instalaţie de spălare şi dezinfectare;</w:t>
      </w:r>
    </w:p>
    <w:p w14:paraId="2A27C06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puncte de prelevare a probelor apelor uzate colectate;</w:t>
      </w:r>
    </w:p>
    <w:p w14:paraId="520C6C8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existe posibilitatea de acces a autospecialelor în fiecare zonă de stocare;</w:t>
      </w:r>
    </w:p>
    <w:p w14:paraId="41AB893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existe grupuri sanitare şi vestiare conform normativelor în vigoare;</w:t>
      </w:r>
    </w:p>
    <w:p w14:paraId="6CBB386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dotate cu instalaţie de iluminat corespunzătoare desfăşurării activităţii în orice perioadă a zilei;</w:t>
      </w:r>
    </w:p>
    <w:p w14:paraId="657091B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autorităţilor competente;</w:t>
      </w:r>
    </w:p>
    <w:p w14:paraId="2A9273A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instalaţii de presare şi balotare pentru diferite tipuri de materiale reciclabile.</w:t>
      </w:r>
    </w:p>
    <w:p w14:paraId="4F6B3ED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Caracteristicile tehnice principale, procesele tehnologice şi parametrii de funcţionare ai staţiei de sortare sunt prezentate în anexa nr.4. </w:t>
      </w:r>
    </w:p>
    <w:p w14:paraId="60564C9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Manualul/Instrucţiunile de operare al/ale staţiei de sortare . . . . . . . . . . (se va completa cu numele şi locaţia fiecărei staţii de sortare concesionată/predată) se regăseşte în anexa nr. ... (se precizează numărul anexei) la caietul de sarcini.</w:t>
      </w:r>
    </w:p>
    <w:p w14:paraId="79FB127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dacă se solicită operatorului să realizeze investiţii la staţia/staţiile de sortare) </w:t>
      </w:r>
    </w:p>
    <w:p w14:paraId="69C432A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7.4 din Anexa  la caietul de sarcini-cadru).</w:t>
      </w:r>
    </w:p>
    <w:p w14:paraId="26D965E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7D26175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395A640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(dacă este cazul) Alte cerinţe/date necesare definirii activităţii.</w:t>
      </w:r>
    </w:p>
    <w:p w14:paraId="5BBD6C3D">
      <w:pPr>
        <w:pStyle w:val="164"/>
        <w:spacing w:after="0" w:line="240" w:lineRule="auto"/>
        <w:ind w:left="360"/>
        <w:jc w:val="both"/>
        <w:rPr>
          <w:rFonts w:asciiTheme="majorHAnsi" w:hAnsiTheme="majorHAnsi" w:cstheme="majorHAnsi"/>
          <w:sz w:val="24"/>
          <w:szCs w:val="24"/>
          <w:lang w:val="ro-RO"/>
        </w:rPr>
      </w:pPr>
    </w:p>
    <w:p w14:paraId="0CEE435E">
      <w:pPr>
        <w:pStyle w:val="2"/>
        <w:spacing w:before="0" w:line="240" w:lineRule="auto"/>
        <w:jc w:val="center"/>
        <w:rPr>
          <w:rFonts w:cstheme="majorHAnsi"/>
          <w:color w:val="auto"/>
          <w:sz w:val="24"/>
          <w:szCs w:val="24"/>
          <w:lang w:val="ro-RO"/>
        </w:rPr>
      </w:pPr>
      <w:r>
        <w:rPr>
          <w:rFonts w:cstheme="majorHAnsi"/>
          <w:b w:val="0"/>
          <w:bCs w:val="0"/>
          <w:color w:val="auto"/>
          <w:sz w:val="24"/>
          <w:szCs w:val="24"/>
          <w:lang w:val="ro-RO"/>
        </w:rPr>
        <w:t>CAPITOLUL VIII</w:t>
      </w:r>
      <w:r>
        <w:rPr>
          <w:rFonts w:cstheme="majorHAnsi"/>
          <w:b w:val="0"/>
          <w:bCs w:val="0"/>
          <w:color w:val="auto"/>
          <w:sz w:val="24"/>
          <w:szCs w:val="24"/>
          <w:lang w:val="ro-RO"/>
        </w:rPr>
        <w:br w:type="textWrapping"/>
      </w:r>
      <w:r>
        <w:rPr>
          <w:rFonts w:cstheme="majorHAnsi"/>
          <w:color w:val="auto"/>
          <w:sz w:val="24"/>
          <w:szCs w:val="24"/>
          <w:lang w:val="ro-RO"/>
        </w:rPr>
        <w:t>Tratarea aerobă a biodeşeurilor colectate separat în instalaţii de compostare, inclusiv transportul reziduurilor la depozitele de deşeuri şi/sau la instalaţiile de valorificare energetică</w:t>
      </w:r>
    </w:p>
    <w:p w14:paraId="1DFB59B1">
      <w:pPr>
        <w:spacing w:after="0" w:line="240" w:lineRule="auto"/>
        <w:rPr>
          <w:rFonts w:asciiTheme="majorHAnsi" w:hAnsiTheme="majorHAnsi" w:cstheme="majorHAnsi"/>
          <w:sz w:val="24"/>
          <w:szCs w:val="24"/>
          <w:lang w:val="ro-RO"/>
        </w:rPr>
      </w:pPr>
    </w:p>
    <w:p w14:paraId="7E599C14">
      <w:pPr>
        <w:pStyle w:val="216"/>
        <w:spacing w:before="0" w:after="0"/>
        <w:rPr>
          <w:rFonts w:asciiTheme="majorHAnsi" w:hAnsiTheme="majorHAnsi" w:cstheme="majorHAnsi"/>
          <w:color w:val="auto"/>
          <w:sz w:val="24"/>
          <w:szCs w:val="24"/>
        </w:rPr>
      </w:pPr>
    </w:p>
    <w:p w14:paraId="7C13CB3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presta activitatea de tratare aerobă a biodeşeurilor colectate separat, inclusiv transportul reziduurilor la depozitele de deşeuri şi/sau la instalaţiile de valorificare energetică, în condiţiile legii, în instalaţiile de compostare CMID Ciocanesti</w:t>
      </w:r>
    </w:p>
    <w:p w14:paraId="0E71322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w:t>
      </w:r>
    </w:p>
    <w:p w14:paraId="279EEF7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În staţia/instalaţiile de compostare CMID Ciocănești  vor fi tratate biodeşeurile colectate separat de pe raza teritorială a Judetului Călărași</w:t>
      </w:r>
    </w:p>
    <w:p w14:paraId="3999C102">
      <w:pPr>
        <w:pStyle w:val="216"/>
        <w:spacing w:before="0" w:after="0"/>
        <w:rPr>
          <w:rFonts w:asciiTheme="majorHAnsi" w:hAnsiTheme="majorHAnsi" w:cstheme="majorHAnsi"/>
          <w:color w:val="auto"/>
          <w:sz w:val="24"/>
          <w:szCs w:val="24"/>
        </w:rPr>
      </w:pPr>
    </w:p>
    <w:p w14:paraId="5A8E4AC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Cantitatea totală anuală de biodeşeuri estimată a fi tratată, în primul an de operare, În instalaţiile de compostare este de 1353 tone/an, din care: </w:t>
      </w:r>
    </w:p>
    <w:p w14:paraId="1FD6D6E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1) 1353 tone/an, în staţia/instalaţiile de compostare CMID Ciocănești  </w:t>
      </w:r>
    </w:p>
    <w:p w14:paraId="63B01B0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p>
    <w:p w14:paraId="68BD601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Indicatorul de performanţă pentru operarea instalaţiilor de compostare este de 10 % reziduuri destinate a fi eliminate prin depozitare din cantitatea totală de biodeşeuri intrată în instalaţiile de compostare.</w:t>
      </w:r>
    </w:p>
    <w:p w14:paraId="441CB9C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totală de reziduuri rezultată din aplicarea indicatorului de performanţă la cantitatea totală biodeşeuri estimată a fi tratată, în primul an de operare, în instalaţiile de compostare este de 135 tone/an.</w:t>
      </w:r>
    </w:p>
    <w:p w14:paraId="042239F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1D11176A">
      <w:pPr>
        <w:pStyle w:val="216"/>
        <w:spacing w:before="0" w:after="0"/>
        <w:rPr>
          <w:rFonts w:asciiTheme="majorHAnsi" w:hAnsiTheme="majorHAnsi" w:cstheme="majorHAnsi"/>
          <w:color w:val="auto"/>
          <w:sz w:val="24"/>
          <w:szCs w:val="24"/>
        </w:rPr>
      </w:pPr>
    </w:p>
    <w:p w14:paraId="33BBEF7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va transporta la depozitul de deşeuri CMID Ciocănești întreaga cantitate de reziduuri rezultată din procesul de compostare.</w:t>
      </w:r>
    </w:p>
    <w:p w14:paraId="5ADB8C77">
      <w:pPr>
        <w:pStyle w:val="216"/>
        <w:spacing w:before="0" w:after="0"/>
        <w:rPr>
          <w:rFonts w:asciiTheme="majorHAnsi" w:hAnsiTheme="majorHAnsi" w:cstheme="majorHAnsi"/>
          <w:color w:val="auto"/>
          <w:sz w:val="24"/>
          <w:szCs w:val="24"/>
        </w:rPr>
      </w:pPr>
    </w:p>
    <w:p w14:paraId="33A89D0E">
      <w:pPr>
        <w:pStyle w:val="216"/>
        <w:spacing w:before="0" w:after="0"/>
        <w:rPr>
          <w:rFonts w:asciiTheme="majorHAnsi" w:hAnsiTheme="majorHAnsi" w:cstheme="majorHAnsi"/>
          <w:color w:val="auto"/>
          <w:sz w:val="24"/>
          <w:szCs w:val="24"/>
        </w:rPr>
      </w:pPr>
    </w:p>
    <w:p w14:paraId="669DE42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staţiei/instalaţiilor de compostare se fundamentează/stabileşte un tarif de compostare prin raportare la cantitatea totală anuală de biodeşeuri estimată a fi tratată, în primul an de operare, la staţia/instalaţiile de compostare. În structura tarifului se includ numai cheltuielile aferente prestării activităţii.</w:t>
      </w:r>
    </w:p>
    <w:p w14:paraId="7513DE28">
      <w:pPr>
        <w:pStyle w:val="216"/>
        <w:spacing w:before="0" w:after="0"/>
        <w:rPr>
          <w:rFonts w:asciiTheme="majorHAnsi" w:hAnsiTheme="majorHAnsi" w:cstheme="majorHAnsi"/>
          <w:color w:val="auto"/>
          <w:sz w:val="24"/>
          <w:szCs w:val="24"/>
        </w:rPr>
      </w:pPr>
    </w:p>
    <w:p w14:paraId="6EA0A63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comercializa/valorifica compostul rezultat în urma procesului de compostare, cu respectarea tuturor regulilor şi reglementărilor referitoare la calitatea şi conţinutul compostului.</w:t>
      </w:r>
    </w:p>
    <w:p w14:paraId="2415623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Materialul care în urma procesului de compostare nu îndeplineşte cerinţele categoriilor de folosinţă pentru a fi comercializat/valorificat va fi supus din nou compostării. Dacă după repetarea operaţiunii acesta este neconform, este eliminat la depozitul de deşeuri  CMID Ciocanesti pentru a fi utilizat ca strat de suport şi/sau strat de acoperire a depozitului.</w:t>
      </w:r>
    </w:p>
    <w:p w14:paraId="6366013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estimate a fi obţinute de operator din vânzarea/valorificarea compostului nu se includ în structura tarifului, în caz contrar oferta fiind considerată neconformă.</w:t>
      </w:r>
    </w:p>
    <w:p w14:paraId="5B4A8DE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realizate de operator din vânzarea/valorificarea compostului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5631A8D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Spaţiile în care se realizează activitatea de tratare aerobă a biodeşeurilor trebuie să îndeplinească următoarele cerinţe minime:</w:t>
      </w:r>
    </w:p>
    <w:p w14:paraId="4A27DBA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dispună de o platformă betonată cu o suprafaţă suficientă pentru primirea biodeşeurilor şi pentru stocarea temporară a acestora, în vederea tratării;</w:t>
      </w:r>
    </w:p>
    <w:p w14:paraId="7621BC4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cântar pentru cântărirea la intrarea şi ieşirea din staţia/instalaţiile de compostare a autospecialelor de transport biodeşeuri;</w:t>
      </w:r>
    </w:p>
    <w:p w14:paraId="0740D54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sisteme de colectare a apelor uzate tehnologice, a apelor pluviale şi a levigatului;</w:t>
      </w:r>
    </w:p>
    <w:p w14:paraId="5D41A9A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instalaţii de spălare şi dezinfectare;</w:t>
      </w:r>
    </w:p>
    <w:p w14:paraId="3B1553D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puncte de prelevare probe ape uzate;</w:t>
      </w:r>
    </w:p>
    <w:p w14:paraId="3C3F1EF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grupuri sanitare şi vestiare conform normativelor în vigoare;</w:t>
      </w:r>
    </w:p>
    <w:p w14:paraId="5C94208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dotate cu instalaţie de iluminat corespunzătoare desfăşurării activităţii în orice perioadă a zilei;</w:t>
      </w:r>
    </w:p>
    <w:p w14:paraId="39B1C93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autorităţile competente;</w:t>
      </w:r>
    </w:p>
    <w:p w14:paraId="748136D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să asigure, conform specificaţiilor tehnice ale instalaţiei, captarea şi dirijarea emisiilor rezultate din procesele de tratare biologică spre instalaţii adecvate de tratare şi neutralizare.</w:t>
      </w:r>
    </w:p>
    <w:p w14:paraId="1C20E91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Componentele, caracteristicile tehnice principale, procesele tehnologice şi parametrii de funcţionare ai staţiei/instalaţiilor de compostare  sunt prezentate în anexa nr. 5</w:t>
      </w:r>
    </w:p>
    <w:p w14:paraId="359ABFE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Manualul/Instrucţiunile de operare al/ale staţiei/instalaţiilor de compostare se regăseşte în anexa nr.5  la caietul de sarcini.</w:t>
      </w:r>
    </w:p>
    <w:p w14:paraId="1104AA1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w:t>
      </w:r>
    </w:p>
    <w:p w14:paraId="0CC071F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w:t>
      </w:r>
      <w:r>
        <w:rPr>
          <w:rFonts w:asciiTheme="majorHAnsi" w:hAnsiTheme="majorHAnsi" w:cstheme="majorHAnsi"/>
          <w:b/>
          <w:color w:val="auto"/>
          <w:sz w:val="24"/>
          <w:szCs w:val="24"/>
        </w:rPr>
        <w:t>NU este cazul</w:t>
      </w:r>
    </w:p>
    <w:p w14:paraId="4DDFAB1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 </w:t>
      </w:r>
      <w:r>
        <w:rPr>
          <w:rFonts w:asciiTheme="majorHAnsi" w:hAnsiTheme="majorHAnsi" w:cstheme="majorHAnsi"/>
          <w:b/>
          <w:color w:val="auto"/>
          <w:sz w:val="24"/>
          <w:szCs w:val="24"/>
        </w:rPr>
        <w:t>NU este cazul</w:t>
      </w:r>
    </w:p>
    <w:p w14:paraId="18B2DC2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20B4C5B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Alte cerinţe/date necesare definirii activităţii </w:t>
      </w:r>
      <w:r>
        <w:rPr>
          <w:rFonts w:asciiTheme="majorHAnsi" w:hAnsiTheme="majorHAnsi" w:cstheme="majorHAnsi"/>
          <w:b/>
          <w:color w:val="auto"/>
          <w:sz w:val="24"/>
          <w:szCs w:val="24"/>
        </w:rPr>
        <w:t>NU este cazul</w:t>
      </w:r>
    </w:p>
    <w:p w14:paraId="145C321D">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5211FFDB">
      <w:pPr>
        <w:pStyle w:val="164"/>
        <w:spacing w:after="0" w:line="240" w:lineRule="auto"/>
        <w:ind w:left="360"/>
        <w:jc w:val="both"/>
        <w:rPr>
          <w:rFonts w:asciiTheme="majorHAnsi" w:hAnsiTheme="majorHAnsi" w:cstheme="majorHAnsi"/>
          <w:sz w:val="24"/>
          <w:szCs w:val="24"/>
          <w:lang w:val="ro-RO"/>
        </w:rPr>
      </w:pPr>
    </w:p>
    <w:p w14:paraId="17915080">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IX</w:t>
      </w:r>
      <w:r>
        <w:rPr>
          <w:rFonts w:cstheme="majorHAnsi"/>
          <w:color w:val="auto"/>
          <w:sz w:val="24"/>
          <w:szCs w:val="24"/>
          <w:lang w:val="ro-RO"/>
        </w:rPr>
        <w:br w:type="textWrapping"/>
      </w:r>
      <w:r>
        <w:rPr>
          <w:rFonts w:cstheme="majorHAnsi"/>
          <w:color w:val="auto"/>
          <w:sz w:val="24"/>
          <w:szCs w:val="24"/>
          <w:lang w:val="ro-RO"/>
        </w:rPr>
        <w:t>Tratarea anaerobă a biodeşeurilor colectate separat în instalaţii de digestie anaerobă, inclusiv transportul materialului semisolid igienizat şi stabilizat la depozitele de deşeuri şi/sau la instalaţiile de valorificare energetică</w:t>
      </w:r>
    </w:p>
    <w:p w14:paraId="67C0BCA7">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79F5DA33">
      <w:pPr>
        <w:spacing w:after="0" w:line="240" w:lineRule="auto"/>
        <w:rPr>
          <w:rFonts w:asciiTheme="majorHAnsi" w:hAnsiTheme="majorHAnsi" w:cstheme="majorHAnsi"/>
          <w:sz w:val="24"/>
          <w:szCs w:val="24"/>
          <w:lang w:val="ro-RO"/>
        </w:rPr>
      </w:pPr>
    </w:p>
    <w:p w14:paraId="3CC9ED1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biodeşeurilor se face în staţia/instalaţiile de digestie anaerobă ale delegatarului, inclusiv din cadrul instalaţiei integrate de tratare)</w:t>
      </w:r>
    </w:p>
    <w:p w14:paraId="2999FDE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are obligaţia de a presta activitatea de tratare anaerobă a biodeşeurilor colectate separat, inclusiv transportul materialului semisolid stabilizat şi al reziduurilor la depozitele de deşeuri şi/sau la instalaţiile de valorificare energetică, în condiţiile legii, în instalaţiile de digestie anaerobă ... (se va completa şi enumera, dace este cazul, numele şi locaţia fiecărei staţii/instalaţii de digestie anaerobă concesionate/predate).</w:t>
      </w:r>
    </w:p>
    <w:p w14:paraId="13AE394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biodeşeurilor se face în staţia/instalaţiile de digestie anaerobă ale operatorului)</w:t>
      </w:r>
    </w:p>
    <w:p w14:paraId="1DD7E84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are obligaţia de a presta activitatea de tratare anaerobă a biodeşeurilor colectate separat în instalaţiile de digestie anaerobă ale acestuia, inclusiv transportul materialului semisolid stabilizat şi al reziduurilor la depozitele de deşeuri şi/sau la instalaţiile de valorificare energetică, în condiţiile legii.</w:t>
      </w:r>
    </w:p>
    <w:p w14:paraId="7EF7C2D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biodeşeurilor se face în staţiile/instalaţiile de digestie anaerobă a/ale delegatarului, inclusiv din cadrul instalaţiei integrate de tratare)</w:t>
      </w:r>
    </w:p>
    <w:p w14:paraId="01F9948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(se va detalia pentru fiecare staţie/instalaţie de digestie anaerobă concesionată/predată) La staţia/instalaţiile de digestie anaerobă . . . . . . . . . . (se completează cu numele şi locaţia staţiei/instalaţiilor de digestie anaerobă) vor fi tratate biodeşeurile colectate separat de pe raza teritorială a . . . . . . . . . . (se completează cu denumirea unităţii/subdiviziunii administrativ-teritoriale sau cu denumirea tuturor unităţilor/subdiviziunilor administrativ-teritoriale care au calitatea de delegatar).</w:t>
      </w:r>
    </w:p>
    <w:p w14:paraId="5EC3FFB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biodeşeurilor se face în instalaţiile de digestie anaerobă ale operatorului)</w:t>
      </w:r>
    </w:p>
    <w:p w14:paraId="203524C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În staţia/instalaţiile de digestie anaerobă vor fi tratate biodeşeurile colectate separat de pe raza teritorială a . . . . . . . . . . (se completează cu denumirea unităţii/subdiviziunii administrativ-teritoriale sau cu denumirea tuturor unităţilor/subdiviziunilor administrativ-teritoriale care au calitatea de delegatar).</w:t>
      </w:r>
    </w:p>
    <w:p w14:paraId="31D10AB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biodeşeurilor se face la staţiile/instalaţiile de digestie anaerobă ale delegatarului)</w:t>
      </w:r>
    </w:p>
    <w:p w14:paraId="3B93C95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Cantitatea totală anuală de biodeşeuri estimată a fi tratată, în primul an de operare, în instalaţiile de digestie anaerobă este de . . . . . . . . . . tone/an, din care: (se adaptează corespunzător, în funcţie de numărul de staţii/instalaţii de digestie anaerobă concesionate/predate )</w:t>
      </w:r>
    </w:p>
    <w:p w14:paraId="2FA012C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 tone/an, în staţia/instalaţiile de digestie anaerobă ... (se completează cu numele şi locaţia staţiei/instalaţiilor de digestie anaerobă)</w:t>
      </w:r>
    </w:p>
    <w:p w14:paraId="2AFD460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 tone/an, în staţia/instalaţiile de digestie anaerobă... (se completează cu numele şi locaţia staţiei/instalaţiilor de digestie anaerobă)</w:t>
      </w:r>
    </w:p>
    <w:p w14:paraId="5173EC9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 ...</w:t>
      </w:r>
    </w:p>
    <w:p w14:paraId="6748D86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biodeşeurilor se face în instalaţiile de digestie anaerobă ale operatorului)</w:t>
      </w:r>
    </w:p>
    <w:p w14:paraId="70A2453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Cantitatea totală anuală de biodeşeuri estimată a fi tratată, în primul an de operare, în instalaţiile de digestie anaerobă ale operatorului este de . . . . . . . . . . tone/an.</w:t>
      </w:r>
    </w:p>
    <w:p w14:paraId="7762D91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1C4788A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Indicatorul de performanţă pentru operarea instalaţiilor de digestie anaerobă este de ... % (conform specificaţiilor tehnice sau, în cazul care digestia anaerobă se face în staţia/instalaţiile operatorului, se trece procentul prevăzut în Planul naţional de gestionare a deşeurilor) reziduuri destinate a fi eliminate prin depozitare din cantitatea totală de biodeşeuri intrată în instalaţiile de digestie anaerobă.</w:t>
      </w:r>
    </w:p>
    <w:p w14:paraId="7F5372B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totală de reziduuri rezultată din aplicarea indicatorului de performanţă la cantitatea totală biodeşeuri estimată a fi tratată în instalaţiile de digestie anaerobă, în primul an de operare, este de . . . . . . . . . . tone/an (se va calcula de către delegatar cantitatea de reziduuri destinată a fi eliminată prin depozitare).</w:t>
      </w:r>
    </w:p>
    <w:p w14:paraId="3F64F22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întreaga cantitate de reziduuri este transportată la depozit)</w:t>
      </w:r>
    </w:p>
    <w:p w14:paraId="1EABB9F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va transporta la depozitul de deşeuri . . . . . . . . . . (se completează cu numele şi locaţia depozitului de deşeuri) întreaga cantitate de reziduuri rezultată din procesul de digestie anaerobă.</w:t>
      </w:r>
    </w:p>
    <w:p w14:paraId="3D08DCE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o parte dintre reziduuri este transportată la instalaţii de incinerare/coincinerare)</w:t>
      </w:r>
    </w:p>
    <w:p w14:paraId="180EF33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rezultate din procesul de digestie anaerobă, reprezentând ... % din cantitatea totală de biodeşeuri estimată a fi tratată, respectiv ... tone/an (se va calcula şi completa de către delegatar) de deşeuri cu potenţial de valorificare energetică. Restul de reziduuri de ... tone/an (se va calcula şi completa de către delegatar), vor fi transportate la depozitul de deşeuri . . . . . . . . . . (se completează cu numele şi locaţia depozitului de deşeuri).</w:t>
      </w:r>
    </w:p>
    <w:p w14:paraId="10955D6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în cazul în care sunt deşeuri la instalaţiile de incinerare/coincinerare) Cheltuielile cu valorificarea energetică, care cuprind cheltuielile cu transportul deşeurilor cu potenţial de valorificare energetică de la staţia/instalaţiile de digestie anaerobă la instalaţiile de incinerare/coincinerare şi cheltuielile cu incinerarea acestora, stabilite conform contractului încheiat între operator şi operatorul economic autorizat să desfăşoare activităţi de incinerare/coincinerare a deşeurilor, se includ în tariful de digestie anaerobă.</w:t>
      </w:r>
    </w:p>
    <w:p w14:paraId="4D2CD26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biodeşeurilor se face într-o singură staţie/instalaţie de digestie anaerobă)</w:t>
      </w:r>
    </w:p>
    <w:p w14:paraId="4B912DD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staţiei/instalaţiilor de digestie anaerobă se fundamentează/stabileşte un tarif de digestie anaerobă prin raportare la cantitatea totală anuală de biodeşeuri estimată a fi tratată, în primul an de operare, la staţia/instalaţiile de digestie anaerobă. În structura tarifului se includ numai cheltuielile aferente prestării activităţii.</w:t>
      </w:r>
    </w:p>
    <w:p w14:paraId="1B9831D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biodeşeurilor se face în mai multe staţii/instalaţii de digestie anaerobă)</w:t>
      </w:r>
    </w:p>
    <w:p w14:paraId="38BD3A2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tuturor staţiilor/instalaţiilor de digestie anaerobă se fundamentează/stabileşte un tarif de digestie anaerobă prin raportare la cantitatea totală anuală de biodeşeuri estimată a fi tratată, în primul an de operare, în toate staţiile/instalaţiile de digestie anaerobă. În structura tarifului se includ numai cheltuielile aferente prestării activităţii.</w:t>
      </w:r>
    </w:p>
    <w:p w14:paraId="4E6BFE3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4BA191F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003A7D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comercializa surplusul de energie şi/sau de biogaz produs după acoperirea consumurilor proprii.</w:t>
      </w:r>
    </w:p>
    <w:p w14:paraId="4749ED1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comercializa/valorifica digestatul/materialul semisolid stabilizat biologic rezultat în urma procesului de digestie anaerobă, cu respectarea tuturor regulilor şi reglementărilor referitoare la calitatea şi conţinutul digestatului.</w:t>
      </w:r>
    </w:p>
    <w:p w14:paraId="7A1988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Materialul care în urma procesului de digestie anaerobă nu îndeplineşte cerinţele categoriilor de folosinţă pentru a fi comercializat/valorificat va fi eliminat la depozitul de deşeuri ... (se completează cu numele şi locaţia depozitului de deşeuri).</w:t>
      </w:r>
    </w:p>
    <w:p w14:paraId="4090242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estimate a fi obţinute de operator din vânzarea/valorificarea digestatului, energiei şi biogazului, după caz, nu se includ în structura tarifului, în caz contrar oferta fiind considerată neconformă.</w:t>
      </w:r>
    </w:p>
    <w:p w14:paraId="74C8E9E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realizate de operator din vânzarea/valorificarea digestatului, energiei şi biogazului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5AC3148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Spaţiile în care se realizează activitatea de tratare anaerobă a biodeşeurilor trebuie să îndeplinească următoarele cerinţe minime:</w:t>
      </w:r>
    </w:p>
    <w:p w14:paraId="08F8049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să dispună de o platformă betonată cu o suprafaţă suficientă pentru primirea biodeşeurilor şi pentru stocarea temporară a acestora, în vederea tratării;</w:t>
      </w:r>
    </w:p>
    <w:p w14:paraId="2DD5FF5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să fie prevăzute cu cântar pentru cântărirea la intrarea şi ieşirea din staţia/instalaţiile de digestie anarebă a autospecialelor de transport biodeşeuri;</w:t>
      </w:r>
    </w:p>
    <w:p w14:paraId="05B23DB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 să fie prevăzute cu sisteme de colectare a apelor uzate tehnologice, a apelor pluviale şi a levigatului;</w:t>
      </w:r>
    </w:p>
    <w:p w14:paraId="21F698C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 să fie prevăzute cu bazine/tancuri de stocare a digestatului;</w:t>
      </w:r>
    </w:p>
    <w:p w14:paraId="0C4F06F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e) să fie prevăzute cu puncte de prelevare probe digestat;</w:t>
      </w:r>
    </w:p>
    <w:p w14:paraId="4ECA3BC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f) să fie prevăzute cu instalaţii de spălare şi dezinfectare;</w:t>
      </w:r>
    </w:p>
    <w:p w14:paraId="3F64B8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g) să fie prevăzute cu puncte de prelevare probe ape uzate;</w:t>
      </w:r>
    </w:p>
    <w:p w14:paraId="160069B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h) să fie prevăzute cu grupuri sanitare şi vestiare conform normativelor în vigoare;</w:t>
      </w:r>
    </w:p>
    <w:p w14:paraId="28E3C32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i) să fie dotate cu instalaţie de iluminat corespunzătoare desfăşurării activităţii în orice perioadă a zilei;</w:t>
      </w:r>
    </w:p>
    <w:p w14:paraId="44C39CA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j) să fie prevăzute cu mijloace tehnice de apărare împotriva incendiilor destinate prevenirii, limitării şi stingerii acestora, conform cerinţelor impuse prin avize/autorizaţii de către autorităţile competente;</w:t>
      </w:r>
    </w:p>
    <w:p w14:paraId="1F5E279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k) să asigure, conform specificaţiilor tehnice ale instalaţiei, captarea şi dirijarea emisiilor rezultate din procesele de tratare biologică spre instalaţii adecvate de tratare şi neutralizare.</w:t>
      </w:r>
    </w:p>
    <w:p w14:paraId="7A225D3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completează pentru fiecare staţie/instalaţie de digestie anaerobă concesionată/predată) Componentele, caracteristicile tehnice principale, procesele tehnologice şi parametrii de funcţionare ai staţiei/instalaţiilor de digestie anaerobă ... (se completează cu numele şi locaţia staţiei/instalaţiilor de digestie anaerobă) sunt prezentate în anexa nr. ... (se va preciza numărul anexei).</w:t>
      </w:r>
    </w:p>
    <w:p w14:paraId="135E129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Manualul/Instrucţiunile de operare al/ale staţiei/instalaţiilor de digestie anaerobă . . . . . . . . . . (se va completa cu numele şi locaţia fiecărei staţii/instalaţii de digestie anaerobă concesionată/predată) se regăseşte în anexa nr. ... (se precizează numărul anexei) la caietul de sarcini.</w:t>
      </w:r>
    </w:p>
    <w:p w14:paraId="753D1A5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dacă se solicită operatorului să realizeze investiţii la staţia/instalaţiile de digestie anaerobă) </w:t>
      </w:r>
    </w:p>
    <w:p w14:paraId="1AFD0DF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7.6 din Anexa  la caietul de sarcini-cadru).</w:t>
      </w:r>
    </w:p>
    <w:p w14:paraId="790CA88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75A9EB9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12BF70F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(dacă este cazul) Alte cerinţe/date necesare definirii activităţii.</w:t>
      </w:r>
    </w:p>
    <w:p w14:paraId="555CC835">
      <w:pPr>
        <w:spacing w:after="0" w:line="240" w:lineRule="auto"/>
        <w:jc w:val="both"/>
        <w:rPr>
          <w:rFonts w:asciiTheme="majorHAnsi" w:hAnsiTheme="majorHAnsi" w:cstheme="majorHAnsi"/>
          <w:sz w:val="24"/>
          <w:szCs w:val="24"/>
          <w:lang w:val="ro-RO"/>
        </w:rPr>
      </w:pPr>
    </w:p>
    <w:p w14:paraId="6379805A">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X</w:t>
      </w:r>
      <w:r>
        <w:rPr>
          <w:rFonts w:cstheme="majorHAnsi"/>
          <w:color w:val="auto"/>
          <w:sz w:val="24"/>
          <w:szCs w:val="24"/>
          <w:lang w:val="ro-RO"/>
        </w:rPr>
        <w:br w:type="textWrapping"/>
      </w:r>
      <w:r>
        <w:rPr>
          <w:rFonts w:cstheme="majorHAnsi"/>
          <w:color w:val="auto"/>
          <w:sz w:val="24"/>
          <w:szCs w:val="24"/>
          <w:lang w:val="ro-RO"/>
        </w:rP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p w14:paraId="473DFA80">
      <w:pPr>
        <w:spacing w:after="0" w:line="240" w:lineRule="auto"/>
        <w:jc w:val="both"/>
        <w:rPr>
          <w:rFonts w:asciiTheme="majorHAnsi" w:hAnsiTheme="majorHAnsi" w:cstheme="majorHAnsi"/>
          <w:sz w:val="24"/>
          <w:szCs w:val="24"/>
          <w:lang w:val="ro-RO"/>
        </w:rPr>
      </w:pPr>
    </w:p>
    <w:p w14:paraId="375DE895">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1F95229F">
      <w:pPr>
        <w:spacing w:after="0" w:line="240" w:lineRule="auto"/>
        <w:jc w:val="both"/>
        <w:rPr>
          <w:rFonts w:asciiTheme="majorHAnsi" w:hAnsiTheme="majorHAnsi" w:cstheme="majorHAnsi"/>
          <w:sz w:val="24"/>
          <w:szCs w:val="24"/>
          <w:lang w:val="ro-RO"/>
        </w:rPr>
      </w:pPr>
    </w:p>
    <w:p w14:paraId="2FBFD95E">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1</w:t>
      </w:r>
      <w:r>
        <w:rPr>
          <w:rFonts w:cstheme="majorHAnsi"/>
          <w:color w:val="auto"/>
          <w:sz w:val="24"/>
          <w:szCs w:val="24"/>
          <w:lang w:val="ro-RO"/>
        </w:rPr>
        <w:br w:type="textWrapping"/>
      </w:r>
      <w:r>
        <w:rPr>
          <w:rFonts w:cstheme="majorHAnsi"/>
          <w:color w:val="auto"/>
          <w:sz w:val="24"/>
          <w:szCs w:val="24"/>
          <w:lang w:val="ro-RO"/>
        </w:rPr>
        <w:t>Tratarea mecano-biologică a deşeurilor reziduale în instalaţii de tratare mecano-biologică cu biostabilizare/biouscare</w:t>
      </w:r>
    </w:p>
    <w:p w14:paraId="4FDB6D3F">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021A8E8D">
      <w:pPr>
        <w:spacing w:after="0" w:line="240" w:lineRule="auto"/>
        <w:rPr>
          <w:rFonts w:asciiTheme="majorHAnsi" w:hAnsiTheme="majorHAnsi" w:cstheme="majorHAnsi"/>
          <w:sz w:val="24"/>
          <w:szCs w:val="24"/>
          <w:lang w:val="ro-RO"/>
        </w:rPr>
      </w:pPr>
    </w:p>
    <w:p w14:paraId="6E02AEF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deşeurilor reziduale se face în staţia/instalaţiile de tratare mecano- biologică ale delegatarului, inclusiv din cadrul instalaţiei integrate de tratare)</w:t>
      </w:r>
    </w:p>
    <w:p w14:paraId="77FED59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are obligaţia de a desfăşura activitatea de tratare mecano-biologică a deşeurilor reziduale, inclusiv transportul deşeurilor tratate stabilizate biologic şi al reziduurilor la depozitele de deşeuri şi/sau al deşeurilor cu potenţial de valorificare energetică la instalaţiile de valorificare energetică, în condiţiile legii, în staţia/instalaţiile de tratare mecano-biologică ... (se va completa şi enumera, dace este cazul, cu numele şi locaţia fiecărei staţii/instalaţii de tratare mecano-biologică concesionate/predate).</w:t>
      </w:r>
    </w:p>
    <w:p w14:paraId="065564A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deşeurilor reziduale se face în staţia/instalaţiile de tratare mecano- biologică ale operatorului)</w:t>
      </w:r>
    </w:p>
    <w:p w14:paraId="1503A10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are obligaţia de a desfăşura activitatea de tratare mecano-biologică a deşeurilor reziduale în instalaţiile de tratare mecano-biologică, inclusiv transportul deşeurilor tratate stabilizate biologic şi al reziduurilor la depozitele de deşeuri şi/sau al deşeurilor cu potenţial de valorificare energetică la instalaţiile de valorificare energetică, în condiţiile legii.</w:t>
      </w:r>
    </w:p>
    <w:p w14:paraId="474475A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deşeurilor reziduale se face în staţia/instalaţiile de tratare mecano- biologică ale delegatarului, inclusiv din cadrul instalaţiei integrate de tratare)</w:t>
      </w:r>
    </w:p>
    <w:p w14:paraId="2861B2A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(se va detalia, dacă este cazul, pentru fiecare staţie/instalaţie de tratare mecano-biologică concesionată/predată) La staţia/instalaţiile de tratare mecano-biologică . . . . . . . . . . (se completează cu numele şi locaţia staţiei/instalaţiilor de tratare mecano-biologică)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470E77B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deşeurilor reziduale se face în staţia/instalaţiile de tratare mecano- biologică ale operatorului)</w:t>
      </w:r>
    </w:p>
    <w:p w14:paraId="1114A92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În staţia/instalaţiile de tratare mecano-biologică vor fi tratate deşeurile reziduale colectate separat de pe raza teritorială a . . . . . . . . . . (se completează cu denumirea unităţii/subdiviziunii administrativ- teritoriale sau cu denumirea tuturor unităţilor/subdiviziunilor administrativ-teritoriale care au calitatea de delegatar).</w:t>
      </w:r>
    </w:p>
    <w:p w14:paraId="60A979E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deşeurilor reziduale se face în staţiile/instalaţiile de tratare mecano-biologică ale delegatarului)</w:t>
      </w:r>
    </w:p>
    <w:p w14:paraId="60B5A89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Cantitatea totală anuală de deşeuri reziduale estimată a fi tratată aerob, în primul an de operare, în instalaţiile de tratare mecano-biologică este de . . . . . . . . . . tone/an, din care: (se adaptează corespunzător, în funcţie de numărul de staţii/instalaţii de digestie anaerobă concesionate/predate )</w:t>
      </w:r>
    </w:p>
    <w:p w14:paraId="3411B2B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 tone/an, în staţia/instalaţiile de tratare mecano-biologică ... (se completează cu numele şi locaţia staţiei/instalaţiilor de tratare mecano-biologică)</w:t>
      </w:r>
    </w:p>
    <w:p w14:paraId="2602457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 tone/an, în staţia/instalaţiile de tratare mecano-biologică... (se completează cu numele şi locaţia staţiei/instalaţiilor de tratare mecano-biologică)</w:t>
      </w:r>
    </w:p>
    <w:p w14:paraId="402EB88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 ...</w:t>
      </w:r>
    </w:p>
    <w:p w14:paraId="5B6AAB0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deşeurilor reziduale se face în staţiile/instalaţiile de tratare mecano-biologică ale operatorului)</w:t>
      </w:r>
    </w:p>
    <w:p w14:paraId="2630E38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Cantitatea totală anuală de deşeuri reziduale estimată a fi tratată, în primul an de operare, în instalaţiile de tratare mecano-biologică ale operatorului este de . . . . . . . . . . tone/an.</w:t>
      </w:r>
    </w:p>
    <w:p w14:paraId="7A0AC6E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3C9632D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Indicatorul de performanţă pentru operarea instalaţiilor de tratare mecano-biologică privind cantitatea de deşeuri reciclabile rezultată din procesele de tratare a deşeurilor reziduale este de... % (conform specificaţiilor tehnice sau, în cazul în care tratarea mecano-biologică se face în staţia/instalaţiile operatorului, se trece valoarea minimă legală prevăzută în anexa  la O.U.G. nr. 92/2021, cu modificările şi completările ulterioare) deşeuri reciclabile de hârtie, metal, plastic şi sticlă predate la reciclare din cantitatea totală de deşeuri reziduale intrată în instalaţiile de tratare mecano-biologică.</w:t>
      </w:r>
    </w:p>
    <w:p w14:paraId="69288EA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totală de deşeuri reciclabile de hârtie, metal, plastic şi sticlă predate la reciclare rezultată din aplicarea indicatorului de performanţă la cantitatea totală deşeuri reziduale estimată a fi tratată, în primul an de operare, în instalaţiile de tratare mecano-biologică este de . . . . . . . . . . tone/an (se va calcula de către delegatar cantitatea de deşeuri reciclabile predate la reciclare).</w:t>
      </w:r>
    </w:p>
    <w:p w14:paraId="53F4CFB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(varianta 1, în cazul în care tratarea deşeurilor reziduale se face în staţia/instalaţiile de tratare mecano-biologică a/ale delegatarului) Indicatorul de performanţă pentru operarea instalaţiilor de tratare mecano-biologică ... (se trece tipul de tratare biologică, cu biostabilizare sau cu biouscare) privind cantitatea de deşeuri tratate şi reziduuri rezultată din procesele de tratare a deşeurilor reziduale este de ... % (conform specificaţiilor tehnice) deşeuri tratate şi reziduuri destinate a fi eliminate prin depozitare din cantitatea totală de deşeuri reziduale intrată în instalaţiile de tratare mecano-biologică.</w:t>
      </w:r>
    </w:p>
    <w:p w14:paraId="71D18AC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(varianta 2, în cazul în care tratarea deşeurilor reziduale se face în staţia/instalaţiile de tratare mecano-biologică ale operatorului) Indicatorul de performanţă pentru operarea instalaţiilor de tratare mecano-biologică ... (se trece tipul de tratare biologică, cu biostabilizare sau cu biouscare) este de ... % (se trece procentul prevăzut în Planul naţional de gestionare a deşeurilor) reziduuri şi deşeuri tratate destinate a fi eliminate prin depozitare din cantitatea totală de deşeuri reziduale intrată în instalaţiile de tratare mecano-biologică.</w:t>
      </w:r>
    </w:p>
    <w:p w14:paraId="0EC5D2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totală de reziduuri şi deşeuri tratate rezultată din aplicarea indicatorului de performanţă la cantitatea totală deşeuri reziduale estimată a fi tratată, în primul an de operare, la instalaţiile de tratare mecano-biologică este de . . . . . . . . . . tone/an (se va calcula de către delegatar cantitatea de reziduuri şi deşeuri tratate destinată a fi eliminată prin depozitare).</w:t>
      </w:r>
    </w:p>
    <w:p w14:paraId="6C9F004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5622B8D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sarcina de a asigura predarea şi comercializarea deşeurilor reciclabile rezultate din procesul de tratare a deşeurilor reziduale către operatorii economici autorizaţi să desfăşoare activităţi de reciclare. Veniturile estimate a fi obţinute de operator din vânzarea/valorificarea deşeurilor reciclabile nu se includ în structura tarifului, în caz contrar oferta fiind considerată neconformă.</w:t>
      </w:r>
    </w:p>
    <w:p w14:paraId="0D1A895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(varianta 1, în cazul în care întreaga cantitate de reziduuri şi deşeuri tratate este transportată la depozit) Operatorul are sarcina de a transporta la depozitul de deşeuri . . . . . . . . . . (se completează cu numele şi locaţia depozitului de deşeuri) întreaga cantitate de reziduuri şi deşeuri tratate rezultată din procesul de tratare mecano-biologică.</w:t>
      </w:r>
    </w:p>
    <w:p w14:paraId="4E12C78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(varianta 2, în cazul în care o parte din cantitatea de reziduuri şi deşeuri tratate este transportată la instalaţii de incinerare/coincinerare)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de tip RDF/SRF, reprezentând ... % (conform specificaţiilor tehnice sau, dacă tratarea mecano-biologică se face la staţia/instalaţiile operatorului, se trece procentul prevăzut în Planul naţional de gestionare a deşeurilor) din cantitatea totală de deşeuri reziduale estimată a fi tratată, respectiv ... tone/an (se va calcula şi completa de către delegatar) de RDF/SRF. Restul de reziduuri şi deşeuri tratate de ... tone/an (se va calcula şi completa de către delegatar), vor fi transportate la depozitul de deşeuri . . . . . . . . . . (se completează cu numele şi locaţia depozitului de deşeuri).</w:t>
      </w:r>
    </w:p>
    <w:p w14:paraId="417CB35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Deşeurile maturate de tip CLO rezultate din procesul de tratare mecano-biologică vor fi transportate la depozitul de deşeuri pentru a fi utilizate ca strat de suport şi/sau strat de acoperire a depozitului sau pot fi valorificate de către operator ca material de rambleiere şi/sau de ameliorare a terenurilor degradate/contaminate, cu respectarea legislaţiei din domeniul protecţiei mediului.</w:t>
      </w:r>
    </w:p>
    <w:p w14:paraId="67F83C9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în cazul în care sunt transportate deşeuri cu potenţial de valorificare energetică la instalaţiile de incinerare/coincinerare) Cheltuielile cu valorificarea energetică, care cuprind cheltuielile cu transportul deşeurilor cu potenţial de valorificare energetică de la staţia/instalaţiile de tratare mecano-biologică la instalaţiile de incinerare/coincinerare şi cheltuielile cu incinerarea acestor deşeuri, stabilite conform contractului încheiat între operator şi operatorul economic autorizat să desfăşoare activităţi de incinerare/coincinerare a deşeurilor, se includ în tariful de tratare mecano- biologică.</w:t>
      </w:r>
    </w:p>
    <w:p w14:paraId="393A151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deşeurilor reziduale se face într-o singură staţie/instalaţie de tratare mecano-biologică)</w:t>
      </w:r>
    </w:p>
    <w:p w14:paraId="0449280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staţiei/instalaţiei de tratare mecano-biologică se fundamentează/stabileşte un tarif de tratare mecano-biologică prin raportare la cantitatea totală anuală de deşeuri reziduale estimată a fi tratată, în primul an de operare, în staţia/instalaţiile de tratare mecano-biologică. În structura tarifului se includ numai cheltuielile aferente prestării activităţii.</w:t>
      </w:r>
    </w:p>
    <w:p w14:paraId="0592096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deşeurilor reziduale se face în mai multe staţii/instalaţii de tratare mecano-biologică)</w:t>
      </w:r>
    </w:p>
    <w:p w14:paraId="4E7FCBB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tuturor staţiilor/instalaţiilor de tratare mecano-biologică se fundamentează/stabileşte un tarif de tratare mecano-biologică prin raportare la cantitatea totală anuală de deşeuri reziduale estimată a fi tratată, în primul an de operare, în toate staţiile/instalaţiile de tratare mecano-biologică. În structura tarifului se includ numai cheltuielile aferente prestării activităţii.</w:t>
      </w:r>
    </w:p>
    <w:p w14:paraId="17B6619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4ACB270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Spaţiile în care se realizează activitatea de tratare mecano-biologică a deşeurilor reziduale trebuie să îndeplinească următoarele cerinţe minime:</w:t>
      </w:r>
    </w:p>
    <w:p w14:paraId="6EA5792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să dispună de o platformă betonată cu o suprafaţă suficientă pentru primirea deşeurilor reziduale şi pentru stocarea temporară a acestora, în vederea tratării;</w:t>
      </w:r>
    </w:p>
    <w:p w14:paraId="5D25DB2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să fie prevăzute cu cântar pentru cântărirea la intrarea şi ieşirea din staţia/instalaţiile de tratare mecano-biologică a autospecialelor de transport deşeuri reziduale;</w:t>
      </w:r>
    </w:p>
    <w:p w14:paraId="10556F7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 să fie prevăzute cu sisteme de colectare a apelor uzate tehnologice, a apelor pluviale şi a levigatului;</w:t>
      </w:r>
    </w:p>
    <w:p w14:paraId="38A1EB3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 să fie prevăzute cu instalaţii de spălare şi dezinfectare;</w:t>
      </w:r>
    </w:p>
    <w:p w14:paraId="36C985A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e) să fie prevăzute cu puncte de prelevare probe ape uzate;</w:t>
      </w:r>
    </w:p>
    <w:p w14:paraId="6C194E5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f) să fie prevăzute cu grupuri sanitare şi vestiare conform normativelor în vigoare;</w:t>
      </w:r>
    </w:p>
    <w:p w14:paraId="21DFC81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g) să fie dotate cu instalaţie de iluminat corespunzătoare desfăşurării activităţii în orice perioadă a zilei;</w:t>
      </w:r>
    </w:p>
    <w:p w14:paraId="210CA5E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h) să fie prevăzute cu mijloace tehnice de apărare împotriva incendiilor destinate prevenirii, limitării şi stingerii acestora, conform cerinţelor impuse prin avize/autorizaţii de către autorităţile competente;</w:t>
      </w:r>
    </w:p>
    <w:p w14:paraId="7D46411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i) să asigure, conform specificaţiilor tehnice ale instalaţiei, captarea şi dirijarea emisiilor rezultate din procesele de tratare biologică spre instalaţii adecvate de tratare şi neutralizare.</w:t>
      </w:r>
    </w:p>
    <w:p w14:paraId="69E3FF8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numai dacă la instalaţia integrată de tratare a deşeurilor există instalaţii de tratare mecano-biologică există instalaţii pentru tratarea unor tipuri/categorii speciale de deşeuri: textile, voluminoase, etc.) </w:t>
      </w:r>
    </w:p>
    <w:p w14:paraId="0B3B56C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staţia/instalaţiile de tratare mecano-biologică ... (se completează cu numele şi locaţia staţiei/instalaţiilor de tratare mecano-biologică) vor fi tratate, în primul an de operare, următoarele tipuri de deşeuri speciale colectate separat: (se va completa şi enumera, după caz, cantităţile anuale estimate a fi tratate, pe fiecare tip de deşeu)</w:t>
      </w:r>
    </w:p>
    <w:p w14:paraId="7E7D319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 tone/an deşeuri textile</w:t>
      </w:r>
    </w:p>
    <w:p w14:paraId="23E530A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 tone/an deşeuri voluminoase c) ...</w:t>
      </w:r>
    </w:p>
    <w:p w14:paraId="2A88174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sarcina de a comercializa deşeurile valorificabile rezultate în urma procesului de tratare a tipurilor/categoriilor de deşeuri speciale. Veniturile estimate a fi obţinute de operator din vânzarea/valorificarea deşeurilor valorificabile nu se includ în structura tarifului de tratare mecano- biologică, în caz contrar oferta fiind considerată neconformă.</w:t>
      </w:r>
    </w:p>
    <w:p w14:paraId="41F13FB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Deşeurile nevalorificabile rezultate în urma procesului de tratare a tipurilor/categoriilor de deşeuri speciale vor fi transportate la depozitul de deşeuri ... (se completează cu numele şi locaţia depozitului de deşeuri).</w:t>
      </w:r>
    </w:p>
    <w:p w14:paraId="5F25B87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completează pentru fiecare staţie/instalaţie de tratare mecano-biologică concesionată/predată) Componentele, caracteristicile tehnice principale, procesele tehnologice şi parametrii de funcţionare ai staţiei/instalaţiilor de tratare mecano-biologică ... (se completează cu numele şi locaţia staţiei/instalaţiilor de tratare mecano-biologică) sunt prezentate în anexa nr. ... (se va preciza numărul anexei).</w:t>
      </w:r>
    </w:p>
    <w:p w14:paraId="4523033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Manualul/Instrucţiunile de operare al/ale staţiei/instalaţiilor tratare mecano-biologică . . . . . . . . . . (se va completa cu numele şi locaţia fiecărei staţii de tratare mecano-biologică concesionată/predată) se regăseşte în anexa nr. ... (se precizează numărul anexei) la caietul de sarcini.</w:t>
      </w:r>
    </w:p>
    <w:p w14:paraId="15C7BDE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dacă se solicită operatorului să realizeze investiţii la staţia/instalaţiile de tratare mecano-biologică) </w:t>
      </w:r>
    </w:p>
    <w:p w14:paraId="6B3F98E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7.7 din Anexa  la caietul de sarcini-cadru).</w:t>
      </w:r>
    </w:p>
    <w:p w14:paraId="01DA48D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2E290F1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7834948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(dacă este cazul) Alte cerinţe/date necesare definirii activităţii.</w:t>
      </w:r>
    </w:p>
    <w:p w14:paraId="1434336E">
      <w:pPr>
        <w:spacing w:after="0" w:line="240" w:lineRule="auto"/>
        <w:jc w:val="both"/>
        <w:rPr>
          <w:rFonts w:asciiTheme="majorHAnsi" w:hAnsiTheme="majorHAnsi" w:cstheme="majorHAnsi"/>
          <w:sz w:val="24"/>
          <w:szCs w:val="24"/>
          <w:lang w:val="ro-RO"/>
        </w:rPr>
      </w:pPr>
    </w:p>
    <w:p w14:paraId="31A5B1A4">
      <w:pPr>
        <w:pStyle w:val="3"/>
        <w:spacing w:before="0" w:line="240" w:lineRule="auto"/>
        <w:jc w:val="center"/>
        <w:rPr>
          <w:rFonts w:cstheme="majorHAnsi"/>
          <w:color w:val="auto"/>
          <w:sz w:val="24"/>
          <w:szCs w:val="24"/>
          <w:lang w:val="ro-RO"/>
        </w:rPr>
      </w:pPr>
      <w:r>
        <w:rPr>
          <w:rFonts w:cstheme="majorHAnsi"/>
          <w:color w:val="auto"/>
          <w:sz w:val="24"/>
          <w:szCs w:val="24"/>
          <w:lang w:val="ro-RO"/>
        </w:rPr>
        <w:t>SECŢIUNEA a 2-a</w:t>
      </w:r>
      <w:r>
        <w:rPr>
          <w:rFonts w:cstheme="majorHAnsi"/>
          <w:color w:val="auto"/>
          <w:sz w:val="24"/>
          <w:szCs w:val="24"/>
          <w:lang w:val="ro-RO"/>
        </w:rPr>
        <w:br w:type="textWrapping"/>
      </w:r>
      <w:r>
        <w:rPr>
          <w:rFonts w:cstheme="majorHAnsi"/>
          <w:color w:val="auto"/>
          <w:sz w:val="24"/>
          <w:szCs w:val="24"/>
          <w:lang w:val="ro-RO"/>
        </w:rPr>
        <w:t>Tratarea anaerobă a deşeurilor reziduale în instalaţii de tratare mecano-biologică cu digestie anaerobă</w:t>
      </w:r>
    </w:p>
    <w:p w14:paraId="00D24CE0">
      <w:pPr>
        <w:spacing w:after="0" w:line="240" w:lineRule="auto"/>
        <w:jc w:val="both"/>
        <w:rPr>
          <w:rFonts w:asciiTheme="majorHAnsi" w:hAnsiTheme="majorHAnsi" w:cstheme="majorHAnsi"/>
          <w:sz w:val="24"/>
          <w:szCs w:val="24"/>
          <w:lang w:val="ro-RO"/>
        </w:rPr>
      </w:pPr>
    </w:p>
    <w:p w14:paraId="27BA4D91">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78CE91BF">
      <w:pPr>
        <w:pStyle w:val="216"/>
        <w:spacing w:before="0" w:after="0"/>
        <w:rPr>
          <w:rFonts w:asciiTheme="majorHAnsi" w:hAnsiTheme="majorHAnsi" w:cstheme="majorHAnsi"/>
          <w:color w:val="auto"/>
          <w:sz w:val="24"/>
          <w:szCs w:val="24"/>
        </w:rPr>
      </w:pPr>
    </w:p>
    <w:p w14:paraId="3C9CC0A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deşeurilor reziduale se face în staţia/instalaţiile de tratare mecano- biologică a/ale delegatarului, inclusiv din cadrul instalaţiei integrate de tratare)</w:t>
      </w:r>
    </w:p>
    <w:p w14:paraId="649701C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are obligaţia de a desfăşura activitatea de tratare mecano-biologică a deşeurilor reziduale, inclusiv transportul deşeurilor tratate stabilizate biologic şi al reziduurilor la depozitele de deşeuri şi/sau al deşeurilor cu potenţial de valorificare energetică la instalaţiile de valorificare energetică, în condiţiile legii, în staţia/instalaţiile de tratare mecano-biologică ... (se va completa şi enumera, dace este cazul, cu numele şi locaţia fiecărei staţii/instalaţii de tratare mecano-biologică concesionate/predate).</w:t>
      </w:r>
    </w:p>
    <w:p w14:paraId="102D3ED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deşeurilor reziduale se face în staţia/instalaţiile de tratare mecano- biologică a/ale operatorului)</w:t>
      </w:r>
    </w:p>
    <w:p w14:paraId="32CF788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are obligaţia de a desfăşura activitatea de tratare mecano-biologică a deşeurilor reziduale în instalaţiile de tratare mecano-biologică, inclusiv transportul deşeurilor tratate stabilizate biologic şi al reziduurilor la depozitele de deşeuri şi/sau al deşeurilor cu potenţial de valorificare energetică la instalaţiile de valorificare energetică, în condiţiile legii.</w:t>
      </w:r>
    </w:p>
    <w:p w14:paraId="5C4F60A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deşeurilor reziduale se face în staţia/instalaţiile de tratare mecano-biologică ale delegatarului, inclusiv din cadrul instalaţiei integrate de tratare)</w:t>
      </w:r>
    </w:p>
    <w:p w14:paraId="6C3CCF4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(se va detalia, dacă este cazul, pentru fiecare staţie/instalaţie de tratare mecano-biologică concesionată/predată) La staţia/instalaţiile de tratare mecano-biologică cu digestie anaerobă . . . . . . . . . . (se completează cu numele şi locaţia staţiei/instalaţiilor de tratare mecano-biologică)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73E9798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deşeurilor reziduale se face în staţia/instalaţiile de tratare mecano- biologică ale operatorului)</w:t>
      </w:r>
    </w:p>
    <w:p w14:paraId="5EE78DC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În staţia/instalaţiile de tratare mecano-biologică cu digestie anaerobă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7437CB0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deşeurilor reziduale se face în staţiile/instalaţiile de tratare mecano-biologică ale delegatarului)</w:t>
      </w:r>
    </w:p>
    <w:p w14:paraId="1B740E4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Cantitatea totală anuală de deşeuri reziduale estimată a fi tratată, în primul an de operare, în instalaţiile de tratare mecano-biologică este de . . . . . . . . . . tone/an, din care: (se adaptează corespunzător, în funcţie de numărul de staţii/instalaţii de digestie anaerobă concesionate/predate )</w:t>
      </w:r>
    </w:p>
    <w:p w14:paraId="4E53974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 tone/an, în staţia/instalaţiile de tratare mecano-biologică ... (se completează cu numele şi locaţia staţiei/instalaţiilor de tratare mecano-biologică)</w:t>
      </w:r>
    </w:p>
    <w:p w14:paraId="77DF331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 tone/an, în staţia/instalaţiile de tratare mecano-biologică... (se completează cu numele şi locaţia staţiei/instalaţiilor de tratare mecano-biologică)</w:t>
      </w:r>
    </w:p>
    <w:p w14:paraId="48B7F15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 ...</w:t>
      </w:r>
    </w:p>
    <w:p w14:paraId="53B182E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deşeurilor reziduale se face la staţiile/instalaţiile de tratare mecano-biologică ale operatorului)</w:t>
      </w:r>
    </w:p>
    <w:p w14:paraId="5BF8710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Cantitatea totală anuală de deşeuri reziduale estimată a fi tratată, în primul an de operare, în instalaţiile de tratare mecano-biologică ale operatorului este de . . . . . . . . . . tone/an.</w:t>
      </w:r>
    </w:p>
    <w:p w14:paraId="183BAA2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w:t>
      </w:r>
    </w:p>
    <w:p w14:paraId="6515C6F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Indicatorul de performanţă pentru operarea instalaţiilor de tratare mecano-biologică cu digestie anaerobă privind cantitatea de deşeuri reciclabile rezultată din procesele de tratare a deşeurilor reziduale este de... % (conform specificaţiilor tehnice sau, în cazul în care tratarea mecano-biologică se face la staţia/instalaţiile operatorului, se trece valoarea minimă legală prevăzută în anexa  la O.U.G. nr. 92/2021, cu modificările şi completările ulterioare) deşeuri reciclabile de hârtie, metal, plastic şi sticlă predate la reciclare din cantitatea totală de deşeuri reziduale intrată în instalaţiile de tratare mecano-biologică.</w:t>
      </w:r>
    </w:p>
    <w:p w14:paraId="0F7F5B0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totală de deşeuri reciclabile de hârtie, metal, plastic şi sticlă predate la reciclare rezultată din aplicarea indicatorului de performanţă la cantitatea totală deşeuri reziduale estimată a fi tratată, în primul an de operare, la instalaţiile de tratare mecano-biologică este de . . . . . . . . . . tone/an (se va calcula de către delegatar cantitatea de deşeuri reciclabile predate la reciclare).</w:t>
      </w:r>
    </w:p>
    <w:p w14:paraId="23D51A0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Indicatorul de performanţă pentru operarea instalaţiilor de tratare mecano-biologică cu digestie anaerobă privind cantitatea de deşeuri tratate şi reziduuri rezultată din procesele de tratare a deşeurilor reziduale este de ... % (conform specificaţiilor tehnice) deşeuri tratate şi reziduuri destinate a fi eliminate prin depozitare din cantitatea totală de deşeuri reziduale intrată în instalaţiile de tratare mecano-biologică.</w:t>
      </w:r>
    </w:p>
    <w:p w14:paraId="4155492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totală de reziduuri şi deşeuri tratate rezultată din aplicarea indicatorului de performanţă la cantitatea totală deşeuri reziduale estimată a fi tratată, în primul an de operare, în instalaţiile de tratare mecano-biologică este de . . . . . . . . . . tone/an (se va calcula de către delegatar cantitatea de reziduuri şi deşeuri tratate destinată a fi eliminată prin depozitare).</w:t>
      </w:r>
    </w:p>
    <w:p w14:paraId="110F75F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7FE339B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sarcina de a asigura predarea şi comercializarea deşeurilor reciclabile rezultate din procesul de tratare a deşeurilor reziduale către operatorii economici autorizaţi să desfăşoare activităţi de reciclare. Veniturile estimate a fi obţinute de operator din vânzarea/valorificarea deşeurilor reciclabile nu se includ în structura tarifului, în caz contrar oferta fiind considerată neconformă.</w:t>
      </w:r>
    </w:p>
    <w:p w14:paraId="4B2B4E8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(varianta 1, în cazul în care întreaga cantitate de reziduuri şi deşeuri tratate este transportată la depozit) Operatorul are sarcina de a transporta la depozitul de deşeuri . . . . . . . . . . (se completează cu numele şi locaţia depozitului de deşeuri) întreaga cantitate de reziduuri şi deşeuri tratate rezultată din procesul de tratare mecano-biologică.</w:t>
      </w:r>
    </w:p>
    <w:p w14:paraId="5770212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(varianta 2, în cazul în care o parte din cantitatea de reziduuri şi deşeuri tratate este transportată la instalaţii de incinerare/coincinerare)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reprezentând ... % (conform specificaţiilor tehnice) din cantitatea totală de deşeuri reziduale estimată a fi tratată, respectiv ... tone/an (se va calcula şi completa de către delegatar) de deşeuri valorificate energetic. Restul de reziduuri şi deşeuri tratate de ... tone/an (se va calcula şi completa de către delegatar), vor fi transportate la depozitul de deşeuri . . . . . . . . . . (se completează cu numele şi locaţia depozitului de deşeuri).</w:t>
      </w:r>
    </w:p>
    <w:p w14:paraId="03B4B10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Deşeurile maturate de tip CLO rezultate din procesul de tratare mecano-biologică vor fi transportate la depozitul de deşeuri pentru a fi utilizate ca strat de suport şi/sau strat de acoperire a depozitului sau pot fi valorificate de către operator ca material de rambleiere şi/sau de ameliorare a terenurilor degradate/contaminate, cu respectarea legislaţiei din domeniul protecţiei mediului.</w:t>
      </w:r>
    </w:p>
    <w:p w14:paraId="45F84DE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în cazul în care sunt transportate deşeuri cu potenţial de valorificare energetică la instalaţiile de incinerare/coincinerare) Cheltuielile cu valorificarea energetică, care cuprind cheltuielile cu transportul deşeurilor cu potenţial de valorificare energetică de la staţia/instalaţiile de tratare mecano- biologică la instalaţiile de incinerare/coincinerare şi cheltuielile cu incinerarea acestor deşeuri, stabilite conform contractului încheiat între operator şi operatorul economic autorizat să desfăşoare activităţi de incinerare/coincinerare a deşeurilor, se includ în tariful de tratare mecano-biologică.</w:t>
      </w:r>
    </w:p>
    <w:p w14:paraId="61D19A7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(varianta 1, în cazul în care tratarea deşeurilor reziduale se face într-o singură staţie/instalaţie de tratare mecano-biologică)</w:t>
      </w:r>
    </w:p>
    <w:p w14:paraId="4120AC1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staţiei/instalaţiilor de tratare mecano-biologică se fundamentează/stabileşte un tarif de tratare mecano-biologică prin raportare la cantitatea totală anuală de deşeuri reziduale estimată a fi tratată, în primul an de operare, în staţia/instalaţiile de tratare mecano-biologică. În structura tarifului se includ numai cheltuielile aferente prestării activităţii.</w:t>
      </w:r>
    </w:p>
    <w:p w14:paraId="1D77B44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(varianta 2, în cazul în care tratarea deşeurilor reziduale se face în mai multe staţii/instalaţii de tratare mecano-biologică)</w:t>
      </w:r>
    </w:p>
    <w:p w14:paraId="144C80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tuturor staţiilor/instalaţiilor de tratare mecano-biologică se fundamentează/stabileşte un tarif de tratare mecano-biologică prin raportare la cantitatea totală anuală de deşeuri reziduale estimată a fi tratată, în primul an de operare, în toate staţiile/instalaţiile de tratare mecano-biologică. În structura tarifului se includ numai cheltuielile aferente prestării activităţii.</w:t>
      </w:r>
    </w:p>
    <w:p w14:paraId="55E4039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0520E2B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76B637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comercializa surplusul de energie şi/sau de biogaz produs după acoperirea consumurilor proprii.</w:t>
      </w:r>
    </w:p>
    <w:p w14:paraId="5DD4C13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comercializa/valorifica digestatul/materialul semisolid stabilizat biologic rezultat în urma procesului de digestie anaerobă, cu respectarea tuturor regulilor şi reglementărilor referitoare la calitatea şi conţinutul digestatului.</w:t>
      </w:r>
    </w:p>
    <w:p w14:paraId="4605897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Materialul care în urma procesului de digestie anaerobă nu îndeplineşte cerinţele categoriilor de folosinţă pentru a fi comercializat/valorificat va fi eliminat la depozitul de deşeuri ... (se completează cu numele şi locaţia depozitului de deşeuri).</w:t>
      </w:r>
    </w:p>
    <w:p w14:paraId="5D785BD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estimate a fi obţinute de operator din vânzarea/valorificarea digestatului, energiei şi biogazului, după caz, nu se includ în structura tarifului, în caz contrar oferta fiind considerată neconformă.</w:t>
      </w:r>
    </w:p>
    <w:p w14:paraId="6D67783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Veniturile realizate de operator din vânzarea/valorificarea digestatului, energiei şi biogazului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357B58D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numai dacă la instalaţia integrată de tratare a deşeurilor există instalaţii de tratare mecano-biologică pentru tratarea unor tipuri/categorii speciale de deşeuri: textile, voluminoase, etc.)   În staţia/instalaţiile de tratare mecano-biologică ... (se completează cu numele şi locaţia staţiei/instalaţiilor de tratare mecano-biologică) vor fi tratate, în primul an de operare, următoarele tipuri de deşeuri speciale colectate separat: (se va completa şi enumera, după caz, cantităţile anuale estimate a fi tratate, pe fiecare tip de deşeu)</w:t>
      </w:r>
    </w:p>
    <w:p w14:paraId="580B934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 tone/an deşeuri textile</w:t>
      </w:r>
    </w:p>
    <w:p w14:paraId="4F1D277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 tone/an deşeuri voluminoase</w:t>
      </w:r>
    </w:p>
    <w:p w14:paraId="2C7ED31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 ...</w:t>
      </w:r>
    </w:p>
    <w:p w14:paraId="18743C2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sarcina de a comercializa deşeurile valorificabile rezultate în urma procesului de tratare a tipurilor/categoriilor de deşeuri speciale. Veniturile estimate a fi obţinute de operator din vânzarea/valorificarea deşeurilor valorificabile nu se includ în structura tarifului de tratare mecano- biologică, în caz contrar oferta fiind considerată neconformă.</w:t>
      </w:r>
    </w:p>
    <w:p w14:paraId="3E3432C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Deşeurile nevalorificabile rezultate în urma procesului de tratare a tipurilor/categoriilor de deşeuri speciale vor fi transportate la depozitul de deşeuri ... (se completează cu numele şi locaţia depozitului de deşeuri).</w:t>
      </w:r>
    </w:p>
    <w:p w14:paraId="738CE63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Spaţiile în care se realizează activitatea de tratare mecano-biologică a deşeurilor reziduale trebuie să îndeplinească următoarele cerinţe minime:</w:t>
      </w:r>
    </w:p>
    <w:p w14:paraId="7F69AC3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să dispună de o platformă betonată cu o suprafaţă suficientă pentru primirea deşeurilor reziduale şi pentru stocarea temporară a acestora, în vederea tratării;</w:t>
      </w:r>
    </w:p>
    <w:p w14:paraId="1400B62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să fie prevăzute cu cântar pentru cântărirea la intrarea şi ieşirea din staţia/instalaţiile de tratare mecano-biologică a autospecialelor de transport deşeuri reziduale;</w:t>
      </w:r>
    </w:p>
    <w:p w14:paraId="7A5835C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 să fie prevăzute cu sisteme de colectare a apelor uzate tehnologice, a apelor pluviale şi a levigatului;</w:t>
      </w:r>
    </w:p>
    <w:p w14:paraId="2514F88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 să fie prevăzute cu bazine/tancuri de stocare a digestatului;</w:t>
      </w:r>
    </w:p>
    <w:p w14:paraId="3090157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e) să fie prevăzute cu puncte de prelevare probe digestat;</w:t>
      </w:r>
    </w:p>
    <w:p w14:paraId="22941A5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f) să fie prevăzute cu instalaţii de spălare şi dezinfectare;</w:t>
      </w:r>
    </w:p>
    <w:p w14:paraId="26C390F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g) să fie prevăzute cu puncte de prelevare probe ape uzate;</w:t>
      </w:r>
    </w:p>
    <w:p w14:paraId="379C216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h) să fie prevăzute cu grupuri sanitare şi vestiare conform normativelor în vigoare;</w:t>
      </w:r>
    </w:p>
    <w:p w14:paraId="7BBA3A9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i) să fie dotate cu instalaţie de iluminat corespunzătoare desfăşurării activităţii în orice perioadă a zilei;</w:t>
      </w:r>
    </w:p>
    <w:p w14:paraId="3265B7D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j) să fie prevăzute cu mijloace tehnice de apărare împotriva incendiilor destinate prevenirii, limitării şi stingerii acestora, conform cerinţelor impuse prin avize/autorizaţii de către autorităţile competente;</w:t>
      </w:r>
    </w:p>
    <w:p w14:paraId="0349E9E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k) să asigure, conform specificaţiilor tehnice ale instalaţiei, captarea şi dirijarea emisiilor rezultate din procesele de tratare biologică spre instalaţii adecvate de tratare şi neutralizare.</w:t>
      </w:r>
    </w:p>
    <w:p w14:paraId="459F0B0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completează pentru fiecare staţie/instalaţie de tratare mecano-biologică concesionată/predată) Componentele, caracteristicile tehnice principale, procesele tehnologice şi parametrii de funcţionare ai staţiei/instalaţiilor de tratare mecano-biologică ... (se completează cu numele şi locaţia staţiei/instalaţiilor de tratare mecano-biologică) sunt prezentate în anexa nr. ... (se va preciza numărul anexei).</w:t>
      </w:r>
    </w:p>
    <w:p w14:paraId="0175CEC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Manualul/Instrucţiunile de operare al/ale staţiei/instalaţiilor tratare mecano-biologică . . . . . . . . . . (se va completa cu numele şi locaţia fiecărei staţii de tratare mecano-biologică concesionată/predată) se regăseşte în anexa nr. ... (se precizează numărul anexei) la caietul de sarcini.</w:t>
      </w:r>
    </w:p>
    <w:p w14:paraId="664D5E6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dacă se solicită operatorului să realizeze investiţii la staţia/instalaţiile de tratare mecano-biologică) </w:t>
      </w:r>
    </w:p>
    <w:p w14:paraId="1F8B6A1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7.7 din Anexa  la caietul de sarcini-cadru).</w:t>
      </w:r>
    </w:p>
    <w:p w14:paraId="427293A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40967C9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835863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(dacă este cazul) Alte cerinţe/date necesare definirii activităţii.</w:t>
      </w:r>
    </w:p>
    <w:p w14:paraId="686AC704">
      <w:pPr>
        <w:spacing w:after="0" w:line="240" w:lineRule="auto"/>
        <w:jc w:val="both"/>
        <w:rPr>
          <w:rFonts w:asciiTheme="majorHAnsi" w:hAnsiTheme="majorHAnsi" w:cstheme="majorHAnsi"/>
          <w:sz w:val="24"/>
          <w:szCs w:val="24"/>
          <w:lang w:val="ro-RO"/>
        </w:rPr>
      </w:pPr>
    </w:p>
    <w:p w14:paraId="6361D8E4">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XI</w:t>
      </w:r>
      <w:r>
        <w:rPr>
          <w:rFonts w:cstheme="majorHAnsi"/>
          <w:color w:val="auto"/>
          <w:sz w:val="24"/>
          <w:szCs w:val="24"/>
          <w:lang w:val="ro-RO"/>
        </w:rPr>
        <w:br w:type="textWrapping"/>
      </w:r>
      <w:r>
        <w:rPr>
          <w:rFonts w:cstheme="majorHAnsi"/>
          <w:color w:val="auto"/>
          <w:sz w:val="24"/>
          <w:szCs w:val="24"/>
          <w:lang w:val="ro-RO"/>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14:paraId="06D1C486">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28D4CD39">
      <w:pPr>
        <w:spacing w:after="0" w:line="240" w:lineRule="auto"/>
        <w:rPr>
          <w:rFonts w:asciiTheme="majorHAnsi" w:hAnsiTheme="majorHAnsi" w:cstheme="majorHAnsi"/>
          <w:sz w:val="24"/>
          <w:szCs w:val="24"/>
          <w:lang w:val="ro-RO"/>
        </w:rPr>
      </w:pPr>
    </w:p>
    <w:p w14:paraId="63AA2BF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Operatorul are obligaţia de a presta activitatea de eliminare, prin depozitare, a deşeurilor reziduale şi a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în condiţiile legii, la depozitul de deşeuri CMID Ciocanesti- Celula1.</w:t>
      </w:r>
    </w:p>
    <w:p w14:paraId="19B9046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La depozitul de deşeuri CMID Ciocanesti- Celula1 vor fi eliminate, prin depozitare, deşeurile provenite de pe raza teritorială a Judetului Calarasi.</w:t>
      </w:r>
    </w:p>
    <w:p w14:paraId="5D17F5D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Cantitatea totală anuală de deşeuri estimată a fi depozitată, în primul an de operare, la depozitul de deşeuri CMID Ciocanesti- Celula1 este de 75445 tone/an.</w:t>
      </w:r>
    </w:p>
    <w:p w14:paraId="70DD6DC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w:t>
      </w:r>
    </w:p>
    <w:p w14:paraId="79C9C42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depozitului de deşeuri se fundamentează/stabileşte un tarif de depozitare prin raportare la cantitatea totală anuală de deşeuri estimată a fi depozitată, în primul an de operare. În structura tarifului se includ numai cheltuielile aferente prestării activităţii.</w:t>
      </w:r>
    </w:p>
    <w:p w14:paraId="6F80CB0F">
      <w:pPr>
        <w:pStyle w:val="216"/>
        <w:spacing w:before="0" w:after="0"/>
        <w:rPr>
          <w:rFonts w:asciiTheme="majorHAnsi" w:hAnsiTheme="majorHAnsi" w:cstheme="majorHAnsi"/>
          <w:color w:val="auto"/>
          <w:sz w:val="24"/>
          <w:szCs w:val="24"/>
        </w:rPr>
      </w:pPr>
    </w:p>
    <w:p w14:paraId="3AFAE09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Fondul pentru închiderea şi monitorizarea postînchidere a depozitului, precum şi garanţia financiară pentru mediu, constituite conform prevederilor din O.G. , se includ obligatoriu în structura tarifului de depozitare.</w:t>
      </w:r>
    </w:p>
    <w:p w14:paraId="4587725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Contravaloarea contribuţiei pentru economia circulară nu se include în tarif şi se va evidenţia distinct, alături de tarif, pe factura emisă de operator.</w:t>
      </w:r>
    </w:p>
    <w:p w14:paraId="783AAA9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Componentele, caracteristicile tehnice principale, procesele tehnologice şi parametrii de funcţionare ai depozitului de deşeuri CMID Ciocanesti- Celula1 sunt prezentate în anexa nr. 6</w:t>
      </w:r>
    </w:p>
    <w:p w14:paraId="7DAEDF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Manualul/Instrucţiunile de operare al/ale depozitului de deşeuri CMID Ciocanesti- Celula1 se regăseşte în anexa nr.6   la caietul de sarcini.</w:t>
      </w:r>
    </w:p>
    <w:p w14:paraId="0104AC9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w:t>
      </w:r>
    </w:p>
    <w:p w14:paraId="38BAAB8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w:t>
      </w:r>
      <w:r>
        <w:rPr>
          <w:rFonts w:asciiTheme="majorHAnsi" w:hAnsiTheme="majorHAnsi" w:cstheme="majorHAnsi"/>
          <w:b/>
          <w:color w:val="auto"/>
          <w:sz w:val="24"/>
          <w:szCs w:val="24"/>
        </w:rPr>
        <w:t>Nu este cazul</w:t>
      </w:r>
    </w:p>
    <w:p w14:paraId="6C541AC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 </w:t>
      </w:r>
      <w:r>
        <w:rPr>
          <w:rFonts w:asciiTheme="majorHAnsi" w:hAnsiTheme="majorHAnsi" w:cstheme="majorHAnsi"/>
          <w:b/>
          <w:color w:val="auto"/>
          <w:sz w:val="24"/>
          <w:szCs w:val="24"/>
        </w:rPr>
        <w:t>Nu este cazul</w:t>
      </w:r>
    </w:p>
    <w:p w14:paraId="7195683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0BCAF65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Alte cerinţe/date necesare definirii activităţii. </w:t>
      </w:r>
      <w:r>
        <w:rPr>
          <w:rFonts w:asciiTheme="majorHAnsi" w:hAnsiTheme="majorHAnsi" w:cstheme="majorHAnsi"/>
          <w:b/>
          <w:color w:val="auto"/>
          <w:sz w:val="24"/>
          <w:szCs w:val="24"/>
        </w:rPr>
        <w:t>Nu este cazul</w:t>
      </w:r>
    </w:p>
    <w:p w14:paraId="04596005">
      <w:pPr>
        <w:spacing w:after="0" w:line="240" w:lineRule="auto"/>
        <w:jc w:val="both"/>
        <w:rPr>
          <w:rFonts w:asciiTheme="majorHAnsi" w:hAnsiTheme="majorHAnsi" w:cstheme="majorHAnsi"/>
          <w:sz w:val="24"/>
          <w:szCs w:val="24"/>
          <w:lang w:val="ro-RO"/>
        </w:rPr>
      </w:pPr>
    </w:p>
    <w:p w14:paraId="73C54F51">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XII</w:t>
      </w:r>
      <w:r>
        <w:rPr>
          <w:rFonts w:cstheme="majorHAnsi"/>
          <w:color w:val="auto"/>
          <w:sz w:val="24"/>
          <w:szCs w:val="24"/>
          <w:lang w:val="ro-RO"/>
        </w:rPr>
        <w:br w:type="textWrapping"/>
      </w:r>
      <w:r>
        <w:rPr>
          <w:rFonts w:cstheme="majorHAnsi"/>
          <w:color w:val="auto"/>
          <w:sz w:val="24"/>
          <w:szCs w:val="24"/>
          <w:lang w:val="ro-RO"/>
        </w:rPr>
        <w:t>Tratarea deşeurilor municipale cu potenţial energetic în instalaţii de incinerare cu eficienţă energetică ridicată, inclusiv transportul reziduurilor rezultate din incinerare la depozitele de deşeuri</w:t>
      </w:r>
    </w:p>
    <w:p w14:paraId="0777FDAB">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124BF80E">
      <w:pPr>
        <w:spacing w:after="0" w:line="240" w:lineRule="auto"/>
        <w:rPr>
          <w:rFonts w:asciiTheme="majorHAnsi" w:hAnsiTheme="majorHAnsi" w:cstheme="majorHAnsi"/>
          <w:sz w:val="24"/>
          <w:szCs w:val="24"/>
          <w:lang w:val="ro-RO"/>
        </w:rPr>
      </w:pPr>
    </w:p>
    <w:p w14:paraId="7380DCC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de a presta activitatea de eliminare, prin incinerare, a deşeurilor municipale cu potenţial energetic, inclusiv transportul reziduurilor rezultate din incinerare la depozitele de deşeuri, în condiţiile legii, în instalaţiile de incinerare cu eficienţă energetică ridicată ... (se va completa cu numele şi locaţia instalaţiilor de incinerare cu eficienţă energetică ridicată).</w:t>
      </w:r>
    </w:p>
    <w:p w14:paraId="31A265A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În instalaţiile de incinerare cu eficienţă energetică ridicată vor fi eliminate, prin incinerare, deşeurile provenite de pe raza teritorială a . . . . . . . . . . (se completează cu denumirea unităţii/subdiviziunii administrativ-teritoriale sau, după caz, cu denumirea tuturor unităţilor administrativ-teritoriale care au calitatea de delegatar).</w:t>
      </w:r>
    </w:p>
    <w:p w14:paraId="3E21B94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Cantitatea totală anuală de deşeuri estimată a fi incinerată, în primul an de operare, în instalaţiile de incinerare cu eficienţă energetică ridicată ... (se completează cu numele şi locaţia instalaţiilor de incinerare cu eficienţă energetică ridicată) este de . . . . . . . . . . tone/an.</w:t>
      </w:r>
    </w:p>
    <w:p w14:paraId="0302186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ECD2F2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Indicatorul de performanţă pentru operarea instalaţiilor de incinerare cu eficienţă energetică ridicată este de ... % (conform specificaţiilor tehnice) reziduuri destinate a fi eliminate prin depozitare din cantitatea totală de deşeuri intrată în instalaţiile de incinerare cu eficienţă energetică.</w:t>
      </w:r>
    </w:p>
    <w:p w14:paraId="1096057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totală de reziduuri rezultată din aplicarea indicatorului de performanţă la cantitatea totală deşeuri estimată a fi incinerată, în primul an de operare, în instalaţiile de tratare de incinerare cu eficienţă energetică ridicată este de . . . . . . . . . . tone/an (se va calcula de către delegatar cantitatea de reziduuri/cenuşă destinată a fi eliminată prin depozitare).</w:t>
      </w:r>
    </w:p>
    <w:p w14:paraId="665D79F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să transporte la depozitul de deşeuri ... (se completează cu numele şi locaţia depozitului de deşeuri) întreaga cantitate de reziduuri rezultată din procesul de incinerare a deşeurilor.</w:t>
      </w:r>
    </w:p>
    <w:p w14:paraId="3389301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B1C74E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operarea instalaţiilor de incinerare cu eficienţă energetică ridicată se fundamentează/stabileşte un tarif de incinerare prin raportare la cantitatea totală anuală de deşeuri estimată a fi incinerată, în primul an de operare, în instalaţiile de incinerare cu eficienţă energetică ridicată. În structura tarifului se includ numai cheltuielile aferente prestării activităţii.</w:t>
      </w:r>
    </w:p>
    <w:p w14:paraId="7DBDDE5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Contravaloarea cheltuielilor cu depozitarea reziduurilor rezultate din procesul de incinerare, precum şi contravaloarea contribuţiei pentru economia circulară nu se includ în tarif şi se vor evidenţia distinct, alături de tarif, pe factura emisă de operator.</w:t>
      </w:r>
    </w:p>
    <w:p w14:paraId="7808A02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Componentele, caracteristicile tehnice principale, procesele tehnologice şi parametrii de funcţionare ai instalaţiilor de incinerare cu eficienţă energetică ridicată ... (se completează cu numele şi locaţia staţiei/instalaţiilor de incinerare) sunt prezentate în anexa nr. ... (se va preciza numărul anexei).</w:t>
      </w:r>
    </w:p>
    <w:p w14:paraId="7DF5CB1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Manualul/Instrucţiunile de operare al/ale instalaţiilor de incinerare cu eficienţă energetică ridicată . . . . . . . . . . (se va completa cu numele şi locaţia instalaţiei de incinerare concesionată/predată) se regăseşte în anexa nr. ... (se precizează numărul anexei) la caietul de sarcini.</w:t>
      </w:r>
    </w:p>
    <w:p w14:paraId="2582FC5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dacă se solicită operatorului să realizeze investiţii în instalaţiile de incinerare cu eficienţă energetică ridicată) </w:t>
      </w:r>
    </w:p>
    <w:p w14:paraId="597C3A9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7.9 din Anexa  la caietul de sarcini-cadru).</w:t>
      </w:r>
    </w:p>
    <w:p w14:paraId="0DE0B6F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00D7916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8F1B8F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(dacă este cazul) Alte cerinţe/date necesare definirii activităţii.</w:t>
      </w:r>
    </w:p>
    <w:p w14:paraId="1C51BD71">
      <w:pPr>
        <w:spacing w:after="0" w:line="240" w:lineRule="auto"/>
        <w:jc w:val="both"/>
        <w:rPr>
          <w:rFonts w:asciiTheme="majorHAnsi" w:hAnsiTheme="majorHAnsi" w:cstheme="majorHAnsi"/>
          <w:sz w:val="24"/>
          <w:szCs w:val="24"/>
          <w:lang w:val="ro-RO"/>
        </w:rPr>
      </w:pPr>
    </w:p>
    <w:p w14:paraId="06DD5199">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XIII</w:t>
      </w:r>
      <w:r>
        <w:rPr>
          <w:rFonts w:cstheme="majorHAnsi"/>
          <w:color w:val="auto"/>
          <w:sz w:val="24"/>
          <w:szCs w:val="24"/>
          <w:lang w:val="ro-RO"/>
        </w:rPr>
        <w:br w:type="textWrapping"/>
      </w:r>
      <w:r>
        <w:rPr>
          <w:rFonts w:cstheme="majorHAnsi"/>
          <w:color w:val="auto"/>
          <w:sz w:val="24"/>
          <w:szCs w:val="24"/>
          <w:lang w:val="ro-RO"/>
        </w:rP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14:paraId="19A22658">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5C49E34F">
      <w:pPr>
        <w:spacing w:after="0" w:line="240" w:lineRule="auto"/>
        <w:rPr>
          <w:rFonts w:asciiTheme="majorHAnsi" w:hAnsiTheme="majorHAnsi" w:cstheme="majorHAnsi"/>
          <w:sz w:val="24"/>
          <w:szCs w:val="24"/>
          <w:lang w:val="ro-RO"/>
        </w:rPr>
      </w:pPr>
    </w:p>
    <w:p w14:paraId="7390213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de a presta activitatea de măturat, spălat şi stropit a căilor publice rutiere şi pietonale, în aria administrativ-teritorială a … (se completează cu denumirea unităţii/subdiviziunii administrativ-teritoriale sau, după caz, cu denumirea tuturor unităţilor/ subdiviziunilor administrativ-teritoriale care au calitatea de delegatar).</w:t>
      </w:r>
    </w:p>
    <w:p w14:paraId="7841F65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7B58060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rutiere pe care se execută operaţiunea de măturat mecanizat, incluzând podurile, pasajele, parcările şi staţiile publice sunt prezentate în anexa nr. … (se va preciza numărul anexei şi se va completa tabelul din Anexa  la caietul de sarcini-cadru).</w:t>
      </w:r>
    </w:p>
    <w:p w14:paraId="7AEB8DC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maximă carosabil măturată mecanizat/zi este de ... mp/zi (se va completa cu valoarea cea mai mare a suprafeţei totale măturată mecanic/zi prevăzută în tabelul din anexa privind Căile publice rutiere pe care se execută operaţiunea de măturat mecanizat, incluzând podurile, pasajele, parcările şi staţiile publice).</w:t>
      </w:r>
    </w:p>
    <w:p w14:paraId="39AC2D9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carosabil măturată mecanizat/săptămână este de ... mp/săptămână (se va calcula şi completa cu suma suprafeţelor totale/zi, aferente zilelor din săptămână, prevăzute în tabelul din anexa privind Căile publice rutiere pe care se execută operaţiunea de măturat mecanizat, incluzând podurile, pasajele, parcările şi staţiile publice).</w:t>
      </w:r>
    </w:p>
    <w:p w14:paraId="1D5EE42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carosabil măturată mecanizat/an este de ... mp/an (se va calcula şi completa cu produsul dintre suprafaţa totală carosabil măturată mecanizat/săptămână şi numărul de săptămâni din an, respectiv 52,14 săptămâni/an).</w:t>
      </w:r>
    </w:p>
    <w:p w14:paraId="02B28B9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o dotare minimă cu autospeciale de măturat mecanizat carosabil) </w:t>
      </w:r>
    </w:p>
    <w:p w14:paraId="5C62CF1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presta operaţiunea de măturat mecanizat pe căile publice rutiere cu autospecialele, deţinute în proprietate, leasing sau care fac obiectul unor contracte de închiriere şi/sau antecontracte de vânzare-cumpărare, conform necesarului prevăzut în anexa nr. ... (se va preciza numărul anexei şi se va detalia, în anexă, necesarul de autospeciale/utilaje de măturat mecanic carosabil).</w:t>
      </w:r>
    </w:p>
    <w:p w14:paraId="55B0281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autospecialele pe care le va utiliza în operaţiunea de măturat mecanizat carosabil şi care vor rămâne în posesia/folosinţa sa după data încetării contractului de delegare, inclusiv dovezile privind modul de deţinere al acestora, în caz contrar oferta fiind considerată neconformă.</w:t>
      </w:r>
    </w:p>
    <w:p w14:paraId="04E8BE3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dacă se solicită operatorului să realizeze investiţii în autospeciale de măturat mecanizat carosabil) </w:t>
      </w:r>
    </w:p>
    <w:p w14:paraId="61FE8F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autospecialele necesare pentru executarea operaţiunii de măturat mecanizat pe căile publice rutiere, prevăzute în lista de investiţii în sarcina operatorului, conform cerinţelor din anexa nr. ... (se va preciza numărul anexei şi se va completa tabelul 17.3 din Anexa . Investiţii în autospeciale şi echipamente destinate prestării activităţii de măturat, spălat şi stropit căi publice în sarcina operatorului, la caietul de sarcini-cadru).</w:t>
      </w:r>
    </w:p>
    <w:p w14:paraId="7DCDAAA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5619F09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3C30866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a demonstra că numărul de autospeciale de măturat mecanizat ofertate este suficient, ofertantul va prezenta, în oferta tehnică, modul de calcul al necesarului minim de autospeciale/utilaje, din care să rezulte că este îndeplinită următoarea relaţie:</w:t>
      </w:r>
    </w:p>
    <w:p w14:paraId="2CA04527">
      <w:pPr>
        <w:pStyle w:val="216"/>
        <w:spacing w:before="0" w:after="0"/>
        <w:rPr>
          <w:rFonts w:asciiTheme="majorHAnsi" w:hAnsiTheme="majorHAnsi" w:cstheme="majorHAnsi"/>
          <w:color w:val="auto"/>
          <w:sz w:val="24"/>
          <w:szCs w:val="24"/>
        </w:rPr>
      </w:pPr>
    </w:p>
    <w:p w14:paraId="1B89C40F">
      <w:pPr>
        <w:pStyle w:val="216"/>
        <w:spacing w:before="0" w:after="0"/>
        <w:rPr>
          <w:rFonts w:asciiTheme="majorHAnsi" w:hAnsiTheme="majorHAnsi" w:cstheme="majorHAnsi"/>
          <w:color w:val="auto"/>
          <w:sz w:val="24"/>
          <w:szCs w:val="24"/>
        </w:rPr>
      </w:pPr>
    </w:p>
    <w:p w14:paraId="0F33339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3A4EEDE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 - suprafaţa maximă carosabil măturată mecanizat/zi (mp);</w:t>
      </w:r>
    </w:p>
    <w:p w14:paraId="0109FD7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6,5 (ore) - timpul efectiv de măturat al autospecialei în cadrul programului de lucru de 8 ore;</w:t>
      </w:r>
    </w:p>
    <w:p w14:paraId="774E187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Ni - numărul de autospeciale de măturat mecanizat cu aceleaşi caracteristici tehnice;</w:t>
      </w:r>
    </w:p>
    <w:p w14:paraId="0A0E9E8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vi - viteza de lucru a autospecialei/utilajului i (km/h);</w:t>
      </w:r>
    </w:p>
    <w:p w14:paraId="6DE5412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li - lăţimea de acţiune/măturat a utilajului i (m);</w:t>
      </w:r>
    </w:p>
    <w:p w14:paraId="0F00EB9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si - numărul de schimburi/zi în care este folosit utilajul i.</w:t>
      </w:r>
    </w:p>
    <w:p w14:paraId="35E1888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315A5D0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rutiere pe care se execută operaţiunea de măturat manual, incluzând podurile, pasajele, staţiile publice, parcările publice şi parcările de reşedinţă sunt prezentate în anexa nr. … (se va preciza numărul anexei şi se va completa tabelul din Anexa nr. 9 la caietul de sarcini-cadru).</w:t>
      </w:r>
    </w:p>
    <w:p w14:paraId="72AF2A8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maximă carosabil măturată manual/zi este de ... mp/zi (se va completa cu valoarea cea mai mare a suprafeţei totale măturată manual/zi prevăzută în tabelul din anexa privind Căile publice rutiere pe care se execută operaţiunea de măturat manual, incluzând podurile, pasajele, parcările şi staţiile publice).</w:t>
      </w:r>
    </w:p>
    <w:p w14:paraId="44FF999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carosabil măturată manual/săptămână este de ... mp/săptămână (se va calcula şi completa cu suma suprafeţelor totale/zi, aferente zilelor din săptămână, prevăzute în tabelul din anexa privind Căile publice rutiere pe care se execută operaţiunea de măturat manual, incluzând podurile, pasajele, parcările şi staţiile publice).</w:t>
      </w:r>
    </w:p>
    <w:p w14:paraId="1CB33AC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carosabil măturată manual/an este de ... mp/an (se va calcula şi completa cu produsul dintre suprafaţa totală carosabil măturată manual/săptămână şi numărul de săptămâni din an, respectiv 52,14 săptămâni/an).</w:t>
      </w:r>
    </w:p>
    <w:p w14:paraId="5819873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dacă este cazul) </w:t>
      </w:r>
    </w:p>
    <w:p w14:paraId="22E1A0E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pietonale pe care se execută operaţiunea de măturat mecanizat sunt prezentate în anexa nr. … (se va preciza numărul anexei şi se va completa tabelul din Anexa  la caietul de sarcini-cadru).</w:t>
      </w:r>
    </w:p>
    <w:p w14:paraId="44E5BC5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pietonală măturată mecanizat/săptămână este de ... mp/săptămână (se va calcula şi completa cu suma suprafeţelor totale/zi, aferente zilelor din săptămână, prevăzute în tabelul din anexa privind Căile publice pietonale pe care se execută operaţiunea de măturat mecanizat).</w:t>
      </w:r>
    </w:p>
    <w:p w14:paraId="3C7839D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pietonală măturată mecanizat/an este de ... mp/an (se va calcula şi completa cu produsul dintre suprafaţa totală pietonală măturată mecanizat/săptămână şi numărul de săptămâni din an, respectiv 52,14 săptămâni/an).</w:t>
      </w:r>
    </w:p>
    <w:p w14:paraId="74ECA5B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6B4ECE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pietonale pe care se execută operaţiunea de măturat manual sunt trotuarele şi, dacă este cazul, punctele/locurile speciale, cu trafic pietonal intens, în care sunt necesare mai multe operaţiuni de măturat manual pe zi, pentru menţinerea curăţeniei.</w:t>
      </w:r>
    </w:p>
    <w:p w14:paraId="494E70B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Trotuarele pe care se execută operaţiunea de măturat manual sunt prezentate în anexa nr. … (se va preciza numărul anexei şi se va completa tabelul 11.1 din Anexa  la caietul de sarcini- cadru).</w:t>
      </w:r>
    </w:p>
    <w:p w14:paraId="6145F9A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maximă trotuare măturată manual/zi este de ... mp/zi (se va completa cu valoarea cea mai mare a suprafeţei totale măturată manual/zi prevăzută în tabelul din anexa privind anexa privind Trotuarele pe care se execută operaţiunea de măturat manual).</w:t>
      </w:r>
    </w:p>
    <w:p w14:paraId="5487AD8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trotuare măturată manual/săptămână este de ... mp/săptămână (se va calcula şi completa cu suma suprafeţelor totale/zi, aferente zilelor din săptămână, prevăzute în tabelul din anexa privind Trotuarele pe care se execută operaţiunea de măturat manual)</w:t>
      </w:r>
    </w:p>
    <w:p w14:paraId="7419B5F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trotuare măturată manual/an este de ... mp/an (se va calcula şi completa cu produsul dintre suprafaţa totală trotuare măturată manual/săptămână şi numărul de săptămâni din an, respectiv 52,14 săptămâni/an).</w:t>
      </w:r>
    </w:p>
    <w:p w14:paraId="1965AF7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dacă este cazul) Punctele/spaţiile speciale, cu trafic pietonal intens, în care se execută mai multe treceri/zi de măturat manual, sunt prezentate în anexa nr. … (se va preciza numărul anexei şi se va completa tabelul 11.2 din Anexa  la caietul de sarcini-cadru).</w:t>
      </w:r>
    </w:p>
    <w:p w14:paraId="6D09956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dacă este cazul) Suprafaţa totală puncte/spaţii speciale măturată manual/zi este de ... mp/zi (se va completa cu suprafaţa totală puncte/locuri speciale măturată manual/zi prevăzută în tabelul din anexa privind Punctele/spaţiile speciale, cu trafic pietonal intens, în care se execută mai multe treceri/zi de măturat manual)</w:t>
      </w:r>
    </w:p>
    <w:p w14:paraId="23B4EE6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puncte/spaţii speciale măturată manual/an este de ... mp/an (se va completa cu suprafaţa totală puncte/locuri speciale măturată manual/an prevăzută în tabelul din anexa privind Punctele/spaţiile speciale, cu trafic pietonal intens, în care se execută mai multe treceri/zi de măturat manual)</w:t>
      </w:r>
    </w:p>
    <w:p w14:paraId="6F2AAD9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a căilor publice pietonale măturată manual/an, care includ trotuarele şi punctele/spaţiile speciale cu trafic pietonal intens, este ... mp/săptămână (se va completa cu suma dintre suprafaţa totală trotuare măturată manual/an şi suprafaţa totală puncte/spaţii speciale măturată manual/an).</w:t>
      </w:r>
    </w:p>
    <w:p w14:paraId="42C286C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5351B72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maximă totală a căilor publice pietonale măturată manual/zi, care includ trotuarele şi punctele/spaţiile speciale cu trafic pietonal intens, este de ... mp/zi (se va completa cu suma dintre suprafaţa maximă totală trotuare măturată manual/zi şi suprafaţa totală puncte/spaţii speciale măturată manual/zi).</w:t>
      </w:r>
    </w:p>
    <w:p w14:paraId="00ECD3A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maximă totală a căilor publice rutiere şi pietonale măturată manual/zi este de ... mp/zi (se va completa cu suma dintre suprafaţa maximă totală carosabil măturată manual/zi şi suprafaţa maximă totală a căilor publice pietonale măturată manual/zi).</w:t>
      </w:r>
    </w:p>
    <w:p w14:paraId="188057C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a căilor publice rutiere şi pietonale măturată manual/an este de ... mp/săptămână (se va calcula şi completa cu suma dintre suprafaţa totală carosabil măturată manual/an şi suprafaţa totală a căilor publice pietonale măturată manual/an).</w:t>
      </w:r>
    </w:p>
    <w:p w14:paraId="0EB44A4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în cazul gestiunii delegate) Ofertantul va detalia, în oferta tehnică, modul de calcul al personalului necesar ofertat şi se va asigura că acesta este suficient pentru a executa operaţiunea de măturat manual pe suprafaţa maximă totală/zi aferentă căilor publice rutiere şi pietonale în timpul efectiv de măturat în cadrul programului de lucru de 8 ore, inclusiv cu respectarea prevederilor privind timpul de muncă şi timpul de odihnă din  adoptat prin Legea , republicată, cu modificările şi completările ulterioare, în caz contrar oferta fiind considerată neconformă.</w:t>
      </w:r>
    </w:p>
    <w:p w14:paraId="3FC25BF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35927B1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rutiere pe care se execută operaţiunea de stropit, incluzând podurile, pasajele, parcările şi staţiile publice sunt prezentate în anexa nr. … (se va preciza numărul anexei şi se va completa tabelul din Anexa  la caietul de sarcini-cadru).</w:t>
      </w:r>
    </w:p>
    <w:p w14:paraId="4F891C2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maximă carosabil stropită/zi este de ... mp/zi (se va completa cu valoarea cea mai mare a suprafeţei totale stropită/zi prevăzută în tabelul din anexa privind Căile publice rutiere pe care se execută operaţiunea de stropit, incluzând podurile, pasajele, parcările şi staţiile publice).</w:t>
      </w:r>
    </w:p>
    <w:p w14:paraId="5A08D60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carosabil măturată mecanizat/săptămână este de ... mp/săptămână (se va calcula şi completa cu suma suprafeţelor totale/zi, aferente zilelor din săptămână, prevăzute în tabelul din anexa privind Căile publice rutiere pe care se execută operaţiunea de stropit, incluzând podurile, pasajele, parcările şi staţiile publice).</w:t>
      </w:r>
    </w:p>
    <w:p w14:paraId="2007EC0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carosabil stropită/an este de ... mp/an (se va calcula şi completa cu produsul dintre suprafaţa totală carosabil stropită/săptămână şi numărul de săptămâni din an, respectiv 52,14 săptămâni/an).</w:t>
      </w:r>
    </w:p>
    <w:p w14:paraId="1055E95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o dotare minimă cu autospeciale de stropit căi publice) </w:t>
      </w:r>
    </w:p>
    <w:p w14:paraId="6AF619A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presta operaţiunea de stropit căi publice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stropit).</w:t>
      </w:r>
    </w:p>
    <w:p w14:paraId="7E42674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autospecialele pe care le va utiliza în executarea operaţiunii de stropit căi publice şi care vor rămâne în posesia/folosinţa sa după încetarea contractului de delegare, inclusiv dovezile privind modul de deţinere al acestora, în caz contrar oferta fiind considerată neconformă.</w:t>
      </w:r>
    </w:p>
    <w:p w14:paraId="4D52253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dacă se solicită operatorului să realizeze investiţii în autospeciale de stropit căi publice) </w:t>
      </w:r>
    </w:p>
    <w:p w14:paraId="5481836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autospecialele necesare executării operaţiunii de spălat căi publice de stropit, prevăzute în lista de investiţii în sarcina operatorului, conform cerinţelor din anexa nr. ... (se va preciza numărul anexei şi se va completa tabelul 17.4 din Anexa . Investiţii în autospeciale şi echipamente destinate prestării activităţii de măturat, spălat şi stropit căi publice în sarcina operatorului, la caietul de sarcini-cadru).</w:t>
      </w:r>
    </w:p>
    <w:p w14:paraId="079C156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09EE400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141C039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a demonstra că numărul de autospeciale de stropit ofertate este suficient, ofertantul va prezenta, în oferta tehnică, modul de calcul al necesarului minim de autospeciale/utilaje, din care să rezulte că este îndeplinită următoarea relaţie:</w:t>
      </w:r>
    </w:p>
    <w:p w14:paraId="11C1D182">
      <w:pPr>
        <w:pStyle w:val="216"/>
        <w:spacing w:before="0" w:after="0"/>
        <w:rPr>
          <w:rFonts w:asciiTheme="majorHAnsi" w:hAnsiTheme="majorHAnsi" w:cstheme="majorHAnsi"/>
          <w:color w:val="auto"/>
          <w:sz w:val="24"/>
          <w:szCs w:val="24"/>
        </w:rPr>
      </w:pPr>
    </w:p>
    <w:p w14:paraId="538F170E">
      <w:pPr>
        <w:pStyle w:val="216"/>
        <w:spacing w:before="0" w:after="0"/>
        <w:rPr>
          <w:rFonts w:asciiTheme="majorHAnsi" w:hAnsiTheme="majorHAnsi" w:cstheme="majorHAnsi"/>
          <w:color w:val="auto"/>
          <w:sz w:val="24"/>
          <w:szCs w:val="24"/>
        </w:rPr>
      </w:pPr>
    </w:p>
    <w:p w14:paraId="3374621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12E38BF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 - suprafaţa maximă carosabil stropită/zi (mp);</w:t>
      </w:r>
    </w:p>
    <w:p w14:paraId="3E7DF98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5,5 (ore) - timpul efectiv de stropit al autospecialei în cadrul programului de lucru de 8 ore;</w:t>
      </w:r>
    </w:p>
    <w:p w14:paraId="01DB2FC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Ni - numărul de autospeciale/utilaje de stropit cu aceleaşi caracteristici tehnice;</w:t>
      </w:r>
    </w:p>
    <w:p w14:paraId="50C4967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vi - viteza de lucru a autospecialei/utilajului i (km/h);</w:t>
      </w:r>
    </w:p>
    <w:p w14:paraId="20CC734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li - lăţimea de acţiune/stropit a autospecialei/utilajului i (m);</w:t>
      </w:r>
    </w:p>
    <w:p w14:paraId="5E6E34F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si - numărul de schimburi/zi în care este utilizată autospeciala i.</w:t>
      </w:r>
    </w:p>
    <w:p w14:paraId="0E9A04A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44F1E17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rutiere pe care se execută operaţiunea de spălat, incluzând podurile, pasajele, parcările şi staţiile publice sunt prezentate în anexa nr. … (se va preciza numărul anexei şi se va completa tabelul din Anexa  la caietul de sarcini-cadru).</w:t>
      </w:r>
    </w:p>
    <w:p w14:paraId="0E63328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maximă carosabil spălată/zi este de ... mp/zi (se va completa cu valoarea cea mai mare a suprafeţei totale spălată/zi prevăzută în tabelul din anexa privind Căile publice rutiere pe care se execută operaţiunea de spălat, incluzând podurile, pasajele, parcările şi staţiile publice).</w:t>
      </w:r>
    </w:p>
    <w:p w14:paraId="0E96238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carosabil spălată/săptămână este de ... mp/săptămână (se va calcula şi completa cu suma suprafeţelor totale/zi, aferente zilelor din săptămână, prevăzute în tabelul din anexa privind Căile publice rutiere pe care se execută operaţiunea de spălat, incluzând podurile, pasajele, parcările şi staţiile publice).</w:t>
      </w:r>
    </w:p>
    <w:p w14:paraId="30DE04F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carosabil spălată/an este de ... mp/an (se va calcula şi completa cu produsul dintre suprafaţa totală carosabil spălată/săptămână şi numărul de săptămâni din an, respectiv 52,14 săptămâni/an)</w:t>
      </w:r>
    </w:p>
    <w:p w14:paraId="3D2AB6B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o dotare minimă cu autospeciale de spălat căi publice) </w:t>
      </w:r>
    </w:p>
    <w:p w14:paraId="5071CC3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presta operaţiunea de spălat căi publice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spălat).</w:t>
      </w:r>
    </w:p>
    <w:p w14:paraId="38B4AC0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autospecialele pe care le va utiliza în executarea operaţiunii de spălat căi publice şi care vor rămâne în posesia/folosinţa sa după data încetării contractului de delegare, inclusiv dovezile privind modul de deţinere al acestora, în caz contrar oferta fiind considerată neconformă.</w:t>
      </w:r>
    </w:p>
    <w:p w14:paraId="4A8A008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dacă se solicită operatorului să realizeze investiţii în autospeciale de spălat căi publice)</w:t>
      </w:r>
    </w:p>
    <w:p w14:paraId="0637818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1A70BF6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726AD3F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a demonstra că numărul de autospeciale de spălat ofertate este suficient, ofertantul va prezenta, în oferta tehnică, modul de calcul al necesarului minim de autospeciale/utilaje, din care să rezulte că este îndeplinită următoarea relaţie:</w:t>
      </w:r>
    </w:p>
    <w:p w14:paraId="07518704">
      <w:pPr>
        <w:pStyle w:val="216"/>
        <w:spacing w:before="0" w:after="0"/>
        <w:rPr>
          <w:rFonts w:asciiTheme="majorHAnsi" w:hAnsiTheme="majorHAnsi" w:cstheme="majorHAnsi"/>
          <w:color w:val="auto"/>
          <w:sz w:val="24"/>
          <w:szCs w:val="24"/>
        </w:rPr>
      </w:pPr>
    </w:p>
    <w:p w14:paraId="5DB55C6C">
      <w:pPr>
        <w:pStyle w:val="216"/>
        <w:spacing w:before="0" w:after="0"/>
        <w:rPr>
          <w:rFonts w:asciiTheme="majorHAnsi" w:hAnsiTheme="majorHAnsi" w:cstheme="majorHAnsi"/>
          <w:color w:val="auto"/>
          <w:sz w:val="24"/>
          <w:szCs w:val="24"/>
        </w:rPr>
      </w:pPr>
    </w:p>
    <w:p w14:paraId="11A78F6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64341E2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 - suprafaţa maximă carosabil spălată/zi (mp);</w:t>
      </w:r>
    </w:p>
    <w:p w14:paraId="3E76AF6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5,5 (ore) - timpul efectiv de spălat al autospecialei în cadrul programului de lucru de 8 ore;</w:t>
      </w:r>
    </w:p>
    <w:p w14:paraId="6A34542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Ni - numărul de autospeciale/utilaje de spălat cu aceleaşi caracteristici tehnice;</w:t>
      </w:r>
    </w:p>
    <w:p w14:paraId="748CD2B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vi - viteza de lucru a autospecialei/utilajului i (km/h);</w:t>
      </w:r>
    </w:p>
    <w:p w14:paraId="597D07C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li - lăţimea de acţiune/spălat a autospecialei/utilajului i (m);</w:t>
      </w:r>
    </w:p>
    <w:p w14:paraId="2C9F5D6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si - numărul de schimburi/zi în care este utilizată autospeciala i.</w:t>
      </w:r>
    </w:p>
    <w:p w14:paraId="487CB35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78CE9CD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pietonale pe care se execută operaţiunea de spălat sunt prezentate în anexa nr. … (se va preciza numărul anexei şi se va completa tabelul din Anexa nr. 14 la caietul de sarcini-cadru).</w:t>
      </w:r>
    </w:p>
    <w:p w14:paraId="2963EA4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trotuare spălată manual/săptămână este de ... mp/săptămână (se va calcula şi completa cu suma suprafeţelor totale/zi, aferente zilelor din săptămână, prevăzute în tabelul din anexa privind Căile publice pietonale pe care se execută operaţiunea de spălat).</w:t>
      </w:r>
    </w:p>
    <w:p w14:paraId="7920721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trotuare spălată manual/an este de ... mp/an (se va calcula şi completa cu produsul dintre suprafaţa totală trotuare spălată/săptămână şi numărul de săptămâni din an, respectiv 52,14 săptămâni/an)</w:t>
      </w:r>
    </w:p>
    <w:p w14:paraId="364E27C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6CC6190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rutiere pe care se execută operaţiunea de răzuit rigole sunt prezentate în anexa nr. … (se va preciza numărul anexei şi se va completa tabelul din Anexa nr. 15 la caietul de sarcini- cadru).</w:t>
      </w:r>
    </w:p>
    <w:p w14:paraId="06BAE36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răzuită anual este de ... mp/an (se va completa cu suprafaţa totală/an prevăzută în anexa privind Căile publice rutiere pe care se execută operaţiunea de răzuită anual).</w:t>
      </w:r>
    </w:p>
    <w:p w14:paraId="064D953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în care activitatea va fi atribuită prin contract de delegare)</w:t>
      </w:r>
    </w:p>
    <w:p w14:paraId="4AB2D9B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 durata derulării contractului de delegare, suprafeţele programate prevăzute în prezentul caiet de sarcini vor putea suferi modificări şi completări cauzate de reactualizări ale măsurătorilor şi/sau de lucrări de refacere, modernizare şi extindere a căilor publice.</w:t>
      </w:r>
    </w:p>
    <w:p w14:paraId="4A57C9A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Modificările şi completările aduse suprafeţelor programate prevăzute în prezentul caiet de sarcini vor face obiectul unor acte adiţionale încheiate la contractul de delegare.</w:t>
      </w:r>
    </w:p>
    <w:p w14:paraId="5B0FF12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în care activitatea va fi atribuită prin hotărâre de dare în administrare) </w:t>
      </w:r>
    </w:p>
    <w:p w14:paraId="24E0DD8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 durata prestării activităţii, suprafeţele programate prevăzute în prezentul caiet de sarcini vor putea suferi modificări şi completări cauzate de reactualizări ale măsurătorilor şi/sau de lucrări de refacere, modernizare şi extindere a căilor publice.</w:t>
      </w:r>
    </w:p>
    <w:p w14:paraId="619F11D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Modificările şi completările aduse suprafeţelor programate prevăzute în prezentul caiet de sarcini vor face obiectul unor hotărâri de modificare a hotărârii de dare în administrare a activităţii.</w:t>
      </w:r>
    </w:p>
    <w:p w14:paraId="69E65A2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E7BDC0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Coşurile stradale concesionate/predate şi frecvenţa de colectare sunt prezentate în anexa nr. … (se va preciza numărul anexei şi se va completa tabelul din Anexa nr. 16 la caietul de sarcini-cadru).</w:t>
      </w:r>
    </w:p>
    <w:p w14:paraId="60B5464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(varianta 1, în cazul în care delegatarul a atribuit activitatea de tratare mecano-biologică a deşeurilor reziduale) Deşeurile reziduale colectate din coşurile stradale şi de pe căile publice vor fi transportate la staţia/instalaţia de tratare mecano-biologică … (se completează cu numele şi locaţia instalaţiei de tratare).</w:t>
      </w:r>
    </w:p>
    <w:p w14:paraId="2556A33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(varianta 2, în cazul în care delegatarul nu a atribuit activitatea de tratare mecano-biologică a deşeurilor reziduale) Deşeurile reziduale colectate din coşurile stradale şi de pe căile publice vor fi transportate la depozitul de deşeuri … (se completează cu numele şi locaţia depozitului de deşeuri).</w:t>
      </w:r>
    </w:p>
    <w:p w14:paraId="07BFFAA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anuală de deşeuri reziduale estimată a fi colectată, în primul an de operare, din coşurile stradale şi de pe căile publice este de ... tone/an (se stabileşte pe baza datelor istorice sau, în lipsa acestora, în funcţie de capacitatea/volumul coşurilor stradale), respectiv de ... tone/zi (se va completa cu valoarea rezultată din împărţirea cantităţii anuale la 365 de zile).</w:t>
      </w:r>
    </w:p>
    <w:p w14:paraId="5AD0CC0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să deţină o dotare minimă cu autospeciale compactoare pentru prestarea operaţiunii de colectare şi transport al deşeurilor din coşurile stradale şi de pe căile publice) </w:t>
      </w:r>
    </w:p>
    <w:p w14:paraId="6B00913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presta transportul deşeurilor reziduale colectate din coşurile stradale şi de pe căile publice cu autospeciale compactoare, deţinute în proprietate, leasing sau care fac obiectul unor contracte de închiriere şi/sau antecontracte de vânzare-cumpărare, conform necesarului prevăzut în anexa nr. ... (se va preciza numărul anexei şi se va detalia, în anexă, necesarul de autospeciale compactoare de colectare şi transport deşeuri din coşurile stradale).</w:t>
      </w:r>
    </w:p>
    <w:p w14:paraId="0FCEF68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autospecialele compactoare pe care le va utiliza în operaţiunea de transport deşeuri reziduale colectate din coşurile stradale şi de pe căile publice şi care vor rămâne în posesia/folosinţa sa după încetarea contractului de delegare, inclusiv dovezile privind modul de deţinere al acestora, în caz contrar oferta fiind considerată neconformă.</w:t>
      </w:r>
    </w:p>
    <w:p w14:paraId="11D5022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dacă se atribuie şi activitatea de colectare şi transport deşeuri municipale) Autospecialele compactoare destinate transportului deşeurilor reziduale colectate din coşurile stradale şi de pe căile publice vor fi altele decât cele utilizate la activitatea de colectare şi transport deşeuri municipale, în caz contrar oferta fiind considerată neconformă.</w:t>
      </w:r>
    </w:p>
    <w:p w14:paraId="2229BCB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să realizeze investiţii în autospeciale compactoare/echipamente pentru colectarea şi transportul deşeurilor reziduale din coşurile stradale şi de pe căile publice) </w:t>
      </w:r>
    </w:p>
    <w:p w14:paraId="33C0228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autospecialele compactoare şi/sau coşurile stradale, prevăzute în lista de investiţii în sarcina operatorului, conform cerinţelor din anexa nr. ... (se va preciza numărul anexei şi se vor completa tabelul 17.1 din Anexa . Investiţii în autospeciale şi echipamente destinate prestării activităţii de măturat, spălat şi stropit căi publice în sarcina operatorului, la caietul de sarcini-cadru).</w:t>
      </w:r>
    </w:p>
    <w:p w14:paraId="6CF8794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va prezenta, în oferta tehnică, dovezile din care rezultă că autospecialele compactoare ofertate sunt deţinute în proprietate, leasing financiar sau fac obiectul unor antecontracte de vânzare-cumpărare, în caz contrar oferta fiind considerată neconformă.</w:t>
      </w:r>
    </w:p>
    <w:p w14:paraId="13510DB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 compactoare de natura bunurilor de retur, în conformitate cu prevederile art. 37  şi  din Legea nr. 101/2006, republicată, cu modificările şi completările ulterioare.</w:t>
      </w:r>
    </w:p>
    <w:p w14:paraId="278790B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dacă se atribuie şi activitatea de colectare şi transport deşeuri municipale) Autospecialele compactoare destinate transportului deşeurilor reziduale din coşurile stradale şi de pe căile publice vor fi altele decât cele utilizate la activitatea de colectare şi transport deşeuri municipale, în caz contrar oferta fiind considerată neconformă.</w:t>
      </w:r>
    </w:p>
    <w:p w14:paraId="16C7FD5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a demonstra că numărul de autospecialele compactoare ofertate pentru colectarea şi transportul deşeurilor reziduale din coşurile stradale şi de pe căile publice este suficient, ofertantul va prezenta, în oferta tehnică, modul de calcul al necesarului minim de autospeciale, din care să rezulte că este îndeplinită următoarea relaţie:</w:t>
      </w:r>
    </w:p>
    <w:p w14:paraId="114F07A4">
      <w:pPr>
        <w:pStyle w:val="216"/>
        <w:spacing w:before="0" w:after="0"/>
        <w:rPr>
          <w:rFonts w:asciiTheme="majorHAnsi" w:hAnsiTheme="majorHAnsi" w:cstheme="majorHAnsi"/>
          <w:color w:val="auto"/>
          <w:sz w:val="24"/>
          <w:szCs w:val="24"/>
        </w:rPr>
      </w:pPr>
    </w:p>
    <w:p w14:paraId="1FE4DCEC">
      <w:pPr>
        <w:pStyle w:val="216"/>
        <w:spacing w:before="0" w:after="0"/>
        <w:rPr>
          <w:rFonts w:asciiTheme="majorHAnsi" w:hAnsiTheme="majorHAnsi" w:cstheme="majorHAnsi"/>
          <w:color w:val="auto"/>
          <w:sz w:val="24"/>
          <w:szCs w:val="24"/>
        </w:rPr>
      </w:pPr>
    </w:p>
    <w:p w14:paraId="29FC020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43E5CA0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Qreziduale - cantitatea anuală de deşeuri reziduale estimată a fi colectată din coşurile stradale şi de pe căile publice (tone);</w:t>
      </w:r>
    </w:p>
    <w:p w14:paraId="6183B34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365 - numărul de zile din an;</w:t>
      </w:r>
    </w:p>
    <w:p w14:paraId="14816AA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ρ - densitatea medie a fracţiei de deşeuri reziduale se ia egală cu 0,350 tone/mc, dacă la nivelul ariei de delegare nu a fost stabilită prin determinări o altă greutate specifică;</w:t>
      </w:r>
    </w:p>
    <w:p w14:paraId="43E4996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ai - numărul de utilaje de aceeaşi capacitate şi grad de compactare;</w:t>
      </w:r>
    </w:p>
    <w:p w14:paraId="33DDC20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bi - capacitatea de transport a autospecialei (mc);</w:t>
      </w:r>
    </w:p>
    <w:p w14:paraId="5D68AC6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ci - gradul de compactare;</w:t>
      </w:r>
    </w:p>
    <w:p w14:paraId="13AAD7E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di - numărul de curse efectuate/schimb;</w:t>
      </w:r>
    </w:p>
    <w:p w14:paraId="1C2A067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ei - numărul de schimburi/zi.</w:t>
      </w:r>
    </w:p>
    <w:p w14:paraId="1346267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La stabilirea gradului de compactare, ofertantul se va asigura că nu este depăşită masa utilă maximă autorizată de transport a autospecialelor compactoare, în caz contrar oferta fiind considerată neconformă.</w:t>
      </w:r>
    </w:p>
    <w:p w14:paraId="053EA86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preciza pentru fiecare autospecială compactoare: viteza medie de lucru, timpul de încărcare/compactare, timpul de transport şi timpul de descărcare al deşeurilor şi va demonstra că întreaga cantitatea de deşeuri reziduale estimată a fi colectată/zi din coşurile stradale şi de pe căile publice poate fi colectată şi transportată în timpul programului zilnic de lucru, în caz contrar oferta fiind considerată neconformă.</w:t>
      </w:r>
    </w:p>
    <w:p w14:paraId="5E7AF4E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4FCE627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Deşeurile stradale de pământ şi pietre provenite din măturatul manual al căilor publice şi din răzuitul rigolelor vor fi transportate la depozitul deşeuri … (se completează cu numele depozitului de deşeuri) şi/sau vor fi valorificate material, prin operaţiuni de umplere/rambleiere a unor terenuri ce vor fi comunicate de către delegatar, pe durata derulării contractului.</w:t>
      </w:r>
    </w:p>
    <w:p w14:paraId="3BA41EC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anuală de deşeuri stradale de pământ şi pietre provenite din măturatul manual al căilor publice şi din răzuitul rigolelor estimată a fi colectată, în primul an de operare, este de ... tone/an (se stabileşte pe baza datelor istorice), respectiv de ... tone/zi (se va completa cu valoarea rezultată din împărţirea cantităţii anuale la 365 de zile) .</w:t>
      </w:r>
    </w:p>
    <w:p w14:paraId="77BC297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să deţină o dotare minimă cu autospeciale pentru prestarea operaţiunii de colectare şi transport al deşeurilor stradale de pământ şi pietre) </w:t>
      </w:r>
    </w:p>
    <w:p w14:paraId="223ED22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colecta şi transporta deşeurile stradale de pământ şi pietre provenite din măturatul manual al căilor publice şi din răzuitul rigolelor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colectare şi transport deşeuri stradale de pământ şi pietre).</w:t>
      </w:r>
    </w:p>
    <w:p w14:paraId="5F10EBA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autospecialele pe care le va utiliza pentru colectarea şi transportul deşeurilor stradale de pământ şi pietre şi care vor rămâne în posesia/folosinţa sa după data încetării contractului de delegare, inclusiv dovezile privind modul de deţinere al acestora, în caz contrar oferta fiind considerată neconformă.</w:t>
      </w:r>
    </w:p>
    <w:p w14:paraId="2A7DB1B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să realizeze investiţii în autospeciale pentru colectarea şi transportul deşeurilor stradale de pământ şi pietre) </w:t>
      </w:r>
    </w:p>
    <w:p w14:paraId="272E069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autospecialele şi/sau recipientele necesare pentru colectarea şi transportul întregii cantităţi de deşeuri stradale de pământ şi pietre provenite din măturatul manual al căilor publice şi din răzuitul rigolelor, prevăzute în lista de investiţii în sarcina operatorului, conform cerinţelor din anexa nr. ... (se va preciza numărul anexei şi se vor completa tabelul 17.2 din Anexa . Investiţii în autospeciale şi echipamente destinate prestării activităţii de măturat, spălat şi stropit căi publice în sarcina operatorului, la caietul de sarcini-cadru).</w:t>
      </w:r>
    </w:p>
    <w:p w14:paraId="2BBFB84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750D6B6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1EDF73E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7EFE975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7D6DC15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fiecare operaţiune aferentă activităţii se stabileşte/fundamentează un tarif.</w:t>
      </w:r>
    </w:p>
    <w:p w14:paraId="769E82A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Cheltuielile cu amortizarea utilajelor multifuncţionale/autospecialelor utilizate în mai multe operaţiuni specifice activităţii, inclusiv în operaţiunile de deszăpezire/combatere a poleiului de pe căile publice, se vor repartiza proporţional cu timpul de utilizare al utilajelor/autospecialelor în operaţiunile respective ori cu alte elemente relevante.</w:t>
      </w:r>
    </w:p>
    <w:p w14:paraId="3A06A03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în cazul gestiunii delegate) Ofertantul va detalia, în memoriul tehnico-economic justificativ al tarifelor ofertate, modul de repartizare al cheltuielilor cu amortizarea aferente utilajelor multifuncţionale/autospecialelor utilizate în mai multe operaţiuni specifice activităţii, inclusiv în operaţiunile de deszăpezire/combatere a poleiului de pe căile publice, în caz contrar oferta fiind considerată neconformă.</w:t>
      </w:r>
    </w:p>
    <w:p w14:paraId="2B3D920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Contravaloarea contribuţiei pentru economia circulară nu se include în tarif şi se va evidenţia distinct, alături de tarif, pe factura emisă de operator.</w:t>
      </w:r>
    </w:p>
    <w:p w14:paraId="1B01574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numai în cazul în care colectarea deşeurilor abandonate de pe căile publice nu a fost atribuită operatorului care prestează activitatea de colectare şi transport deşeuri municipale)</w:t>
      </w:r>
    </w:p>
    <w:p w14:paraId="7418294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să presteze colectarea separată şi transportul separat al deşeurilor municipale abandonate pe căile publice, precum şi al deşeurilor din construcţii abandonate pe căile publice, la solicitarea delegatarului şi/sau în conformitate cu Procedura de colectare a deşeurilor abandonate ocazional pe căile publice convenită cu acesta.</w:t>
      </w:r>
    </w:p>
    <w:p w14:paraId="5DF36F1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Abandonarea de către utilizatori a deşeurilor pe domeniul public şi privat al unităţii administrativ-teritoriale constituie contravenţie, a căror număr, frecvenţă şi regularitate nu pot fi estimate.</w:t>
      </w:r>
    </w:p>
    <w:p w14:paraId="5EFA96E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de deşeuri municipale abandonate pe căile publice estimată a fi colectată, în primul an de operare, este de . . . . . . . . . . tone (se completează, pe baza datelor istorice din anul anterior).</w:t>
      </w:r>
    </w:p>
    <w:p w14:paraId="4E7C274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Cantitatea de deşeuri din construcţii abandonate pe căile publice estimată a fi colectată, în primul an de operare, este de . . . . . . . . . . tone (se completează, pe baza datelor istorice din anul anterior).</w:t>
      </w:r>
    </w:p>
    <w:p w14:paraId="0BFBEFA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fiecare categorie de deşeuri abandonate, municipale sau din construcţii, se stabileşte/fundamentează un tarif de colectare şi transport deşeuri abandonate pe căile publice, în conformitate cu prevederile art. 43  din Legea nr. 51/2006, republicată, cu modificările şi completările ulterioare. În structura tarifului se includ numai cheltuielile aferente prestaţiei.</w:t>
      </w:r>
    </w:p>
    <w:p w14:paraId="5B2625E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Contravaloarea cheltuielilor cu gestionarea deşeurilor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6189AE6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(dacă este cazul) Alte cerinţe/date necesare definirii activităţii.</w:t>
      </w:r>
    </w:p>
    <w:p w14:paraId="79F516FC">
      <w:pPr>
        <w:spacing w:after="0" w:line="240" w:lineRule="auto"/>
        <w:jc w:val="both"/>
        <w:rPr>
          <w:rFonts w:asciiTheme="majorHAnsi" w:hAnsiTheme="majorHAnsi" w:cstheme="majorHAnsi"/>
          <w:sz w:val="24"/>
          <w:szCs w:val="24"/>
          <w:lang w:val="ro-RO"/>
        </w:rPr>
      </w:pPr>
    </w:p>
    <w:p w14:paraId="4A7FB2C3">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XIV</w:t>
      </w:r>
      <w:r>
        <w:rPr>
          <w:rFonts w:cstheme="majorHAnsi"/>
          <w:color w:val="auto"/>
          <w:sz w:val="24"/>
          <w:szCs w:val="24"/>
          <w:lang w:val="ro-RO"/>
        </w:rPr>
        <w:br w:type="textWrapping"/>
      </w:r>
      <w:r>
        <w:rPr>
          <w:rFonts w:cstheme="majorHAnsi"/>
          <w:color w:val="auto"/>
          <w:sz w:val="24"/>
          <w:szCs w:val="24"/>
          <w:lang w:val="ro-RO"/>
        </w:rPr>
        <w:t>Curăţarea şi transportul zăpezii de pe căile publice din localitate şi menţinerea în funcţiune a acestora pe timp de polei sau de îngheţ</w:t>
      </w:r>
    </w:p>
    <w:p w14:paraId="5F34CE20">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7AE5DBF9">
      <w:pPr>
        <w:spacing w:after="0" w:line="240" w:lineRule="auto"/>
        <w:rPr>
          <w:rFonts w:asciiTheme="majorHAnsi" w:hAnsiTheme="majorHAnsi" w:cstheme="majorHAnsi"/>
          <w:sz w:val="24"/>
          <w:szCs w:val="24"/>
          <w:lang w:val="ro-RO"/>
        </w:rPr>
      </w:pPr>
    </w:p>
    <w:p w14:paraId="1FF9CE5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de a presta activitatea de curăţarea şi transportul zăpezii de pe căile publice şi menţinerea în funcţiune a acestora pe timp de polei sau de îngheţ, în aria teritorială a … (se completează cu denumirea unităţii/subdiviziunii administrativ-teritoriale sau, după caz, cu denumirea tuturor unităţilor/ subdiviziunilor administrativ-teritoriale care au calitatea de delegatar).</w:t>
      </w:r>
    </w:p>
    <w:p w14:paraId="2BCC563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4D6E925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rutiere pe care se execută curăţarea mecanizată a zăpezii, incluzând podurile, pasajele, parcările şi staţiile publice, sunt prevăzute în anexa nr. . . . . . . . . . . (se va preciza numărul anexei şi se va completa tabelul din Anexa nr. 18 la caietul de sarcini-cadru).</w:t>
      </w:r>
    </w:p>
    <w:p w14:paraId="25F1C5B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deszăpezită a căilor publice rutiere/trecere este de ... mp/trecere (se va calcula şi completa cu suma dintre suprafaţa totală deszăpezită/trecere aferentă căilor publice rutiere cu grad de prioritate 1 şi suprafaţa totală deszăpezită/trecere aferentă căilor publice rutiere cu grad de prioritate 2), din care:</w:t>
      </w:r>
    </w:p>
    <w:p w14:paraId="4739CAD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 mp/trecere, suprafaţa totală a căilor publice rutiere, cu grad de prioritate 1, deszăpezită/trecere (se va completa cu suprafaţa totală deszăpezită/trecere prevăzută în  privind Căile publice rutiere, cu grad de prioritate 1, pe care se execută curăţarea mecanizată a zăpezii);</w:t>
      </w:r>
    </w:p>
    <w:p w14:paraId="0F27E5D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 mp/trecere, suprafaţa totală a căilor publice rutiere, cu grad de prioritate 2, deszăpezită//trecere (se va completa cu suprafaţa totală deszăpezită/trecere prevăzută în  privind Căile publice rutiere, cu grad de prioritate 1, pe care se execută curăţarea mecanizată a zăpezii).</w:t>
      </w:r>
    </w:p>
    <w:p w14:paraId="08A9180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rutiere cu grad de prioritate 1 cuprind toate arterele/străzile şi podurile/pasajele pe care circulă mijloacele de transport în comun, la care intervenţiile de curăţare a zăpezii trebuie să înceapă în cel mult o oră de apariţia zăpezii, iar cele cu grad de prioritate 2, restul căilor publice rutiere.</w:t>
      </w:r>
    </w:p>
    <w:p w14:paraId="5A0AF9B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Numărul total de zile/an în care se estimează că va ninge este de ... zile/an (se va calcula şi completa cu media zilelor din ultimii 3 ani în care a nins).</w:t>
      </w:r>
    </w:p>
    <w:p w14:paraId="7219C38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a căilor publice rutiere estimată a fi deszăpezită/an este de ... mp/an (se va calcula şi completa cu produsul dintre suprafaţa totală deszăpezită a căilor publice rutiere/trecere şi numărul total de zile/an în care se estimează că ninge).</w:t>
      </w:r>
    </w:p>
    <w:p w14:paraId="20D9FED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o dotare minimă cu autospeciale/utilaje de curăţat zăpada) </w:t>
      </w:r>
    </w:p>
    <w:p w14:paraId="616F162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presta operaţiunea de curăţare mecanizată a zăpezii de pe căile publice rutiere cu autospeciale/utilaje, deţinute în proprietate, leasing sau care fac obiectul unor contracte de închiriere şi/sau antecontracte de vânzare-cumpărare, conform necesarului prevăzut în anexa nr. ... (se va preciza numărul anexei şi se va detalia, în anexă, necesarul de autospeciale/utilaje de curăţat zăpada).</w:t>
      </w:r>
    </w:p>
    <w:p w14:paraId="7DB145E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curăţare mecanizată a zăpezii şi care vor rămâne în posesia/folosinţa sa după data încetării contractului de delegare, inclusiv dovezile privind modul de deţinere al acestora, în caz contrar oferta fiind considerată neconformă.</w:t>
      </w:r>
    </w:p>
    <w:p w14:paraId="6394AC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dacă se solicită operatorului să realizeze investiţii în autospeciale/utilaje de curăţat zăpada) </w:t>
      </w:r>
    </w:p>
    <w:p w14:paraId="14D3C58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autospecialele/utilajele necesare pentru executarea operaţiunii de curăţare mecanizată a zăpezii de pe căile publice rutiere, prevăzute în lista de investiţii în sarcina operatorului, conform cerinţelor din anexa nr. ... (se va preciza numărul anexei şi se va completa tabelul 23.1 din Anexa  la caietul de sarcini-cadru).</w:t>
      </w:r>
    </w:p>
    <w:p w14:paraId="1B4D836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07B75C4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205B5F9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a demonstra că numărul de autospeciale/utilaje de curăţat zăpada ofertate este suficient, ofertantul va prezenta, în oferta tehnică, modul de calcul al necesarului minim de autospeciale/utilaje, din care să rezulte că este îndeplinită următoarea relaţie:</w:t>
      </w:r>
    </w:p>
    <w:p w14:paraId="6C6FEBBD">
      <w:pPr>
        <w:pStyle w:val="216"/>
        <w:spacing w:before="0" w:after="0"/>
        <w:rPr>
          <w:rFonts w:asciiTheme="majorHAnsi" w:hAnsiTheme="majorHAnsi" w:cstheme="majorHAnsi"/>
          <w:color w:val="auto"/>
          <w:sz w:val="24"/>
          <w:szCs w:val="24"/>
        </w:rPr>
      </w:pPr>
    </w:p>
    <w:p w14:paraId="1CB3AC78">
      <w:pPr>
        <w:pStyle w:val="216"/>
        <w:spacing w:before="0" w:after="0"/>
        <w:rPr>
          <w:rFonts w:asciiTheme="majorHAnsi" w:hAnsiTheme="majorHAnsi" w:cstheme="majorHAnsi"/>
          <w:color w:val="auto"/>
          <w:sz w:val="24"/>
          <w:szCs w:val="24"/>
        </w:rPr>
      </w:pPr>
    </w:p>
    <w:p w14:paraId="33EC465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0A53742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 - suprafaţa totală deszăpezită a căilor publice rutiere, cu grad de prioritate 1/trecere (mp);</w:t>
      </w:r>
    </w:p>
    <w:p w14:paraId="3E9B383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7,5 (ore) - timpul efectiv de curăţat zăpada al autospecialei în cadrul programului de lucru de 8 ore;</w:t>
      </w:r>
    </w:p>
    <w:p w14:paraId="63C82CC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ni - numărul de autospeciale/utilaje de curăţat zăpada cu aceleaşi caracteristici tehnice;</w:t>
      </w:r>
    </w:p>
    <w:p w14:paraId="1169F0B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vi - viteza medie de lucru a utilajului i (km/h);</w:t>
      </w:r>
    </w:p>
    <w:p w14:paraId="28442E9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li - lăţimea de acţiune a utilajului i (m);</w:t>
      </w:r>
    </w:p>
    <w:p w14:paraId="5ABD153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si - numărul de schimburi/zi în care este utilizată autospeciala i.</w:t>
      </w:r>
    </w:p>
    <w:p w14:paraId="548C22A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2E423E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Staţiile mijloacelor de transport în comun şi refugiile pentru călători, inclusiv intrările la staţiile de metrou la care se asigură curăţarea manuală a zăpezii sunt prevăzute în anexa nr. . . . . . . . . . . (se va preciza numărul anexei şi se va completa tabelul din Anexa nr. 19 la caietul de sarcini-cadru).</w:t>
      </w:r>
    </w:p>
    <w:p w14:paraId="2541C92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a staţiilor mijloacelor de transport în comun, inclusiv a intrărilor la staţiile de metrou, deszăpezită manual/trecere este de ... mp/trecere (se va completa cu suprafaţa totală prevăzută în tabelul din anexa privind Staţiile mijloacelor de transport în comun şi refugiile pentru călători, inclusiv intrările la staţiile de metrou).</w:t>
      </w:r>
    </w:p>
    <w:p w14:paraId="67CEC98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a staţiilor mijloacelor de transport în comun, inclusiv a intrărilor la staţiile de metrou, estimată a fi deszăpezită manual/an este de ... mp/an (se va calcula şi completa cu produsul dintre suprafaţa totală a staţiilor mijloacelor de transport în comun, inclusiv a intrărilor la staţiile de metrou, deszăpezită manual/trecere şi numărul total de zile/an în care se estimează că ninge).</w:t>
      </w:r>
    </w:p>
    <w:p w14:paraId="46A81EF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0315997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Trotuarele adiacente trecerilor de pietoni, unităţilor sanitare, unităţilor de învăţământ şi altor instituţii publice de interes local şi/sau naţional la care se asigură curăţarea manuală a zăpezii sunt prevăzute în anexa nr. . . . . . . . . . . (se va preciza numărul anexei şi se va completa tabelul din Anexa  la caietul de sarcini-cadru).</w:t>
      </w:r>
    </w:p>
    <w:p w14:paraId="6EACE26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a trotuarelor adiacente trecerilor de pietoni, inclusiv a trotuarelor adiacente instituţiilor de interes local şi/sau naţional, deszăpezită manual/trecere este de ... mp/trecere (se va completa suprafaţa totală deszăpezită manual/trecere prevăzută în tabelul din anexa privind Trotuarele adiacente trecerilor de pietoni, unităţilor sanitare, unităţilor de învăţământ şi altor instituţii publice de interes local şi/sau naţional).</w:t>
      </w:r>
    </w:p>
    <w:p w14:paraId="7977C0B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a trotuarelor adiacente trecerilor de pietoni, inclusiv a trotuarelor adiacente instituţiilor de interes local şi/sau naţional, estimată a fi deszăpezită manual/an este de ... mp/an (se va calcula şi completa cu produsul dintre suprafaţa totală a trotuarelor adiacente trecerilor de pietoni şi instituţiilor publice deszăpezită manual/trecere şi numărul total de zile/an în care se estimează că ninge).</w:t>
      </w:r>
    </w:p>
    <w:p w14:paraId="50BD151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0229687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a căilor publice pietonale deszăpezită manual/trecere este de ... mp/trecere (se va calcula şi completa cu suma dintre suprafaţa totală a staţiilor mijloacelor de transport în comun, inclusiv a intrărilor la staţiile de metrou, deszăpezită manual/trecere şi suprafaţa totală a trotuarelor adiacente trecerilor de pietoni, inclusiv a trotuarelor adiacente instituţiilor de interes local şi/sau naţional, deszăpezită manual/trecere).</w:t>
      </w:r>
    </w:p>
    <w:p w14:paraId="0999E01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a căilor publice pietonale estimată a fi deszăpezită manual/an este de ... mp/an (se va calcula şi completa cu suma dintre suprafaţa totală a staţiilor mijloacelor de transport în comun, inclusiv a intrărilor la staţiile de metrou, estimată a fi deszăpezită manual/an şi suprafaţa totală a trotuarelor adiacente trecerilor de pietoni, inclusiv a trotuarelor adiacente instituţiilor de interes local şi/sau naţional, estimată a fi deszăpezită manual/an).</w:t>
      </w:r>
    </w:p>
    <w:p w14:paraId="3109201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6F37C9E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transporta la spaţiile de depozitare zăpada curăţată de pe căile publice.</w:t>
      </w:r>
    </w:p>
    <w:p w14:paraId="4A4955B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Amplasamentele spaţiilor de depozitare a zăpezii rezultate din operaţiunile de deszăpezire sunt prezentate în anexa nr. . . . . . . . . . . (se va preciza numărul anexei şi se va completa tabelul din Anexa  la caietul de sarcini-cadru).</w:t>
      </w:r>
    </w:p>
    <w:p w14:paraId="60E504C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7A69F7A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Volumul de zăpadă/trecere provenită de pe căile publice rutiere, cu grad de prioritate 1, deszăpezite mecanizat, calculat potrivit formulei:</w:t>
      </w:r>
    </w:p>
    <w:p w14:paraId="4E4F18B6">
      <w:pPr>
        <w:pStyle w:val="216"/>
        <w:spacing w:before="0" w:after="0"/>
        <w:rPr>
          <w:rFonts w:asciiTheme="majorHAnsi" w:hAnsiTheme="majorHAnsi" w:cstheme="majorHAnsi"/>
          <w:color w:val="auto"/>
          <w:sz w:val="24"/>
          <w:szCs w:val="24"/>
        </w:rPr>
      </w:pPr>
    </w:p>
    <w:p w14:paraId="4B73E3F2">
      <w:pPr>
        <w:pStyle w:val="216"/>
        <w:spacing w:before="0" w:after="0"/>
        <w:rPr>
          <w:rFonts w:asciiTheme="majorHAnsi" w:hAnsiTheme="majorHAnsi" w:cstheme="majorHAnsi"/>
          <w:color w:val="auto"/>
          <w:sz w:val="24"/>
          <w:szCs w:val="24"/>
        </w:rPr>
      </w:pPr>
    </w:p>
    <w:p w14:paraId="37FC8EF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6F062BB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Sdeszăpezită CR/trecere - suprafaţa totală deszăpezită a căilor publice rutiere/trecere, (mp);</w:t>
      </w:r>
    </w:p>
    <w:p w14:paraId="5AC8FBD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h - înălţimea/grosimea medie multianuală a stratului de zăpadă, din ultimii 3 ani, conform datelor preluate de la Administraţia Naţională de Meteorologie (m);</w:t>
      </w:r>
    </w:p>
    <w:p w14:paraId="6B71CBC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5 - gradul de compactare al zăpezii în cazul deszăpezirii mecanice,</w:t>
      </w:r>
    </w:p>
    <w:p w14:paraId="07A29FD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este de ... mc/trecere (se va calcula şi completa cu valoarea raportului).</w:t>
      </w:r>
    </w:p>
    <w:p w14:paraId="04DB480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Volumul de zăpadă/trecere provenită de pe căile publice pietonale deszăpezite mecanizat, calculat potrivit formulei:</w:t>
      </w:r>
    </w:p>
    <w:p w14:paraId="6B6752F0">
      <w:pPr>
        <w:pStyle w:val="216"/>
        <w:spacing w:before="0" w:after="0"/>
        <w:rPr>
          <w:rFonts w:asciiTheme="majorHAnsi" w:hAnsiTheme="majorHAnsi" w:cstheme="majorHAnsi"/>
          <w:color w:val="auto"/>
          <w:sz w:val="24"/>
          <w:szCs w:val="24"/>
        </w:rPr>
      </w:pPr>
    </w:p>
    <w:p w14:paraId="75E5C0F0">
      <w:pPr>
        <w:pStyle w:val="216"/>
        <w:spacing w:before="0" w:after="0"/>
        <w:rPr>
          <w:rFonts w:asciiTheme="majorHAnsi" w:hAnsiTheme="majorHAnsi" w:cstheme="majorHAnsi"/>
          <w:color w:val="auto"/>
          <w:sz w:val="24"/>
          <w:szCs w:val="24"/>
        </w:rPr>
      </w:pPr>
    </w:p>
    <w:p w14:paraId="0A27ABD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2EF89CF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Sdeszăpezită CR/trecere - suprafaţa totală deszăpezită a căilor publice pietonale/trecere (mp);</w:t>
      </w:r>
    </w:p>
    <w:p w14:paraId="12AB8B1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h - înălţimea/grosimea medie multianuală a stratului de zăpadă, din ultimii 3 ani, conform datelor preluate de la Administraţia Naţională de Meteorologie (m);</w:t>
      </w:r>
    </w:p>
    <w:p w14:paraId="5A041B3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4 - gradul de compactare al zăpezii în cazul deszăpezirii manuale,</w:t>
      </w:r>
    </w:p>
    <w:p w14:paraId="6A9504B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este de ... mc/trecere (se va calcula şi completa cu valoarea raportului).</w:t>
      </w:r>
    </w:p>
    <w:p w14:paraId="71E2C45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Volumul total de zăpadă/trecere transportată la spaţiile de depozitare, provenită din deszăpezirea căilor publice rutiere şi căilor publice pietonale, este de ... mc/trecere (se va calcula şi completa cu suma dintre Vzăpadă CR/trecere şi Vzăpadă CP/trecere).</w:t>
      </w:r>
    </w:p>
    <w:p w14:paraId="2393DC2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Volumul total de zăpadă estimat a fi transportat/an la spaţiile de depozitare este de . . . . . . . . . . mc/an (se va calcula şi completa cu produsul dintre volumul total de zăpadă/trecere şi numărul total de zile/an în care se estimează că ninge).</w:t>
      </w:r>
    </w:p>
    <w:p w14:paraId="5CAE5C1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o dotare minimă cu autospeciale/utilaje de transport zăpadă) </w:t>
      </w:r>
    </w:p>
    <w:p w14:paraId="7A70CE9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presta operaţiunea de transport a zăpezii cu autospeciale, deţinute în proprietate, leasing sau care fac obiectul unor contracte de închiriere şi/sau antecontracte de vânzare-cumpărare, conform necesarului prevăzut în anexa nr. ... (se va preciza numărul anexei şi se va detalia, în anexă, necesarul de autospeciale/utilaje de transport zăpadă).</w:t>
      </w:r>
    </w:p>
    <w:p w14:paraId="54B2EA5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transport zăpadă şi care vor rămâne în posesia/folosinţa sa după încetarea contractului de delegare, inclusiv dovezile privind modul de deţinere al acestora, în caz contrar oferta fiind considerată neconformă.</w:t>
      </w:r>
    </w:p>
    <w:p w14:paraId="3045660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dacă se solicită operatorului să realizeze investiţii în autospeciale/utilaje de transport zăpadă) </w:t>
      </w:r>
    </w:p>
    <w:p w14:paraId="6ED6253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autospecialele/utilajele necesare pentru executarea operaţiunii de transport a zăpezii, prevăzute în lista de investiţii în sarcina operatorului, conform cerinţelor din anexa nr. ... (se va preciza numărul anexei şi se va completa tabelul 23.3 din Anexa  la caietul de sarcini- cadru).</w:t>
      </w:r>
    </w:p>
    <w:p w14:paraId="285F702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va prezenta, în oferta tehnică, dovezile din care rezultă că autospecialele/utilajele ofertate sunt deţinute în proprietate, leasing financiar sau fac obiectul unor antecontracte de vânzare- cumpărare, în caz contrar oferta fiind considerată neconformă.</w:t>
      </w:r>
    </w:p>
    <w:p w14:paraId="705D42E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44DBA7F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a demonstra că numărul de autospecialele ofertate pentru transportul zăpezii provenite din deszăpezirea căile publice este suficient, ofertantul va prezenta, în oferta tehnică, modul de calcul al necesarului minim de autospeciale/utilaje de transport, din care să rezulte că este îndeplinită următoarea relaţie:</w:t>
      </w:r>
    </w:p>
    <w:p w14:paraId="39C7ED93">
      <w:pPr>
        <w:pStyle w:val="216"/>
        <w:spacing w:before="0" w:after="0"/>
        <w:rPr>
          <w:rFonts w:asciiTheme="majorHAnsi" w:hAnsiTheme="majorHAnsi" w:cstheme="majorHAnsi"/>
          <w:color w:val="auto"/>
          <w:sz w:val="24"/>
          <w:szCs w:val="24"/>
        </w:rPr>
      </w:pPr>
    </w:p>
    <w:p w14:paraId="45F1EC61">
      <w:pPr>
        <w:pStyle w:val="216"/>
        <w:spacing w:before="0" w:after="0"/>
        <w:rPr>
          <w:rFonts w:asciiTheme="majorHAnsi" w:hAnsiTheme="majorHAnsi" w:cstheme="majorHAnsi"/>
          <w:color w:val="auto"/>
          <w:sz w:val="24"/>
          <w:szCs w:val="24"/>
        </w:rPr>
      </w:pPr>
    </w:p>
    <w:p w14:paraId="6D06261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1FF147C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Vzăpadă CR/trecere - volumul de zăpadă/trecere provenită de pe căile publice rutiere, cu grad de prioritate 1, deszăpezite mecanizat (mc);</w:t>
      </w:r>
    </w:p>
    <w:p w14:paraId="065B994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Vzăpadă CP/trecere - volumul de zăpadă/trecere provenită de pe căile publice pietonale deszăpezite manual (mc);</w:t>
      </w:r>
    </w:p>
    <w:p w14:paraId="0314EA0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ai - numărul de utilaje de aceeaşi capacitate;</w:t>
      </w:r>
    </w:p>
    <w:p w14:paraId="5463CEB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bi - capacitatea de transport a autospecialei (mc);</w:t>
      </w:r>
    </w:p>
    <w:p w14:paraId="13FDFBB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ci - numărul de curse efectuate/schimb;</w:t>
      </w:r>
    </w:p>
    <w:p w14:paraId="11AEF6B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di - numărul de schimburi/zi;</w:t>
      </w:r>
    </w:p>
    <w:p w14:paraId="003BDD1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5 - numărul de zile alocat pentru transportul zăpezii după terminarea deszăpezirii.</w:t>
      </w:r>
    </w:p>
    <w:p w14:paraId="7EFFA11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139E8D6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Căile publice rutiere ce trebuie menţinute în funcţiune prin combaterea poleiului şi a îngheţului sunt prezentate în anexa nr. ….. (se va preciza numărul anexei şi se va completa tabelul din Anexa  la caietul de sarcini-cadru).</w:t>
      </w:r>
    </w:p>
    <w:p w14:paraId="44A4A46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combatere polei pe căile publice rutiere este de ... mp/trecere (se va completa cu suprafaţa totală combatere polei/trecere prevăzută în tabelul din anexa privind Căile publice rutiere ce trebuie menţinute în funcţiune prin combaterea poleiului şi a îngheţului).</w:t>
      </w:r>
    </w:p>
    <w:p w14:paraId="7B43094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combatere polei pe căile publice rutiere este de ... mp/an (se va calcula şi completa cu produsul dintre suprafaţa totală combatere polei/trecere şi numărul total de zile/an în care se estimează că ninge).</w:t>
      </w:r>
    </w:p>
    <w:p w14:paraId="45E4828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o dotare minimă cu autospeciale/utilaje pentru combaterea poleiului) </w:t>
      </w:r>
    </w:p>
    <w:p w14:paraId="55C7549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presta operaţiunile necesare pentru combaterea poleiului cu autospeciale/utilaje de împrăştiat material antiderapant, deţinute în proprietate, leasing sau care fac obiectul unor contracte de închiriere şi/sau antecontracte de vânzare-cumpărare, conform necesarului prevăzut în anexa nr. ... (se va preciza numărul anexei şi se va detalia, în anexă, necesarul de autospeciale/utilaje de împrăştiat material antiderapant).</w:t>
      </w:r>
    </w:p>
    <w:p w14:paraId="5B03F0A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combatere a poleiului şi a îngheţului şi care vor rămâne în posesia/folosinţa sa după încetarea contractului de delegare, inclusiv dovezile privind modul de deţinere al acestora, în caz contrar oferta fiind considerată neconformă.</w:t>
      </w:r>
    </w:p>
    <w:p w14:paraId="5146D99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dacă se solicită operatorului să realizeze investiţii în autospeciale/utilaje de împrăştiat material antiderapant)</w:t>
      </w:r>
    </w:p>
    <w:p w14:paraId="4134166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trebuie să asigure autospecialele/utilajele de împrăştiat material antiderapant necesare combaterii poleiului, prevăzute în lista de investiţii în sarcina operatorului, conform cerinţelor din anexa nr. ... (se va preciza numărul anexei şi se va completa tabelul nr. 23.3. din Anexa  la caietul de sarcini-cadru).</w:t>
      </w:r>
    </w:p>
    <w:p w14:paraId="064D32A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va prezenta, în oferta tehnică, dovezile din care rezultă că autospecialele/utilajele ofertate sunt deţinute în proprietate, leasing financiar sau fac obiectul unor antecontracte de vânzare- cumpărare, în caz contrar oferta fiind considerată neconformă.</w:t>
      </w:r>
    </w:p>
    <w:p w14:paraId="5A9E2A4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00C9DE2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a demonstra că numărul de autospeciale/utilaje de împrăştiat material antiderapant ofertate este suficient, ofertantul va prezenta, în oferta tehnică, modul de calcul al necesarului minim de autospeciale/utilaje, din care să rezulte că este îndeplinită următoarea relaţie:</w:t>
      </w:r>
    </w:p>
    <w:p w14:paraId="5B5C8CFB">
      <w:pPr>
        <w:pStyle w:val="216"/>
        <w:spacing w:before="0" w:after="0"/>
        <w:rPr>
          <w:rFonts w:asciiTheme="majorHAnsi" w:hAnsiTheme="majorHAnsi" w:cstheme="majorHAnsi"/>
          <w:color w:val="auto"/>
          <w:sz w:val="24"/>
          <w:szCs w:val="24"/>
        </w:rPr>
      </w:pPr>
    </w:p>
    <w:p w14:paraId="08995AF8">
      <w:pPr>
        <w:pStyle w:val="216"/>
        <w:spacing w:before="0" w:after="0"/>
        <w:rPr>
          <w:rFonts w:asciiTheme="majorHAnsi" w:hAnsiTheme="majorHAnsi" w:cstheme="majorHAnsi"/>
          <w:color w:val="auto"/>
          <w:sz w:val="24"/>
          <w:szCs w:val="24"/>
        </w:rPr>
      </w:pPr>
    </w:p>
    <w:p w14:paraId="7E439C9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02DBCF3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 - suprafaţa totală combatere polei/trecere (mp);</w:t>
      </w:r>
    </w:p>
    <w:p w14:paraId="45A9097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5,5 (ore) - timpul efectiv de împrăştiere material antiderapant în cadrul programului de lucru de 8 ore;</w:t>
      </w:r>
    </w:p>
    <w:p w14:paraId="00DD9CB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ni - numărul de autospeciale/utilaje pentru combaterea poleiului cu aceleaşi caracteristici tehnice;</w:t>
      </w:r>
    </w:p>
    <w:p w14:paraId="50D2BC1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vi - viteza de lucru a utilajului i (km/h);</w:t>
      </w:r>
    </w:p>
    <w:p w14:paraId="3F87093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li - lăţimea de acţiune a utilajului i (m);</w:t>
      </w:r>
    </w:p>
    <w:p w14:paraId="3A78504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si - numărul de schimburi/zi în care este folosit utilajul i.</w:t>
      </w:r>
    </w:p>
    <w:p w14:paraId="34AC857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de a asigura până la data de … (se va completa cu o dată anterioară începerii sezonului rece) a fiecărui an, stocurile tampon de materiale antiderapante, prevăzute în anexa nr. …. (se va preciza numărul anexei). Pe măsură ce stocurile de materiale scad la jumătate, acestea vor fi refăcute, în maximum 10 zile de la constatare, prin achiziţionarea cantităţilor necesare.</w:t>
      </w:r>
    </w:p>
    <w:p w14:paraId="5988FF9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77C344F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(dacă este cazul) Alte cerinţe/date necesare definirii activităţii.</w:t>
      </w:r>
    </w:p>
    <w:p w14:paraId="193A69AA">
      <w:pPr>
        <w:spacing w:after="0" w:line="240" w:lineRule="auto"/>
        <w:jc w:val="both"/>
        <w:rPr>
          <w:rFonts w:asciiTheme="majorHAnsi" w:hAnsiTheme="majorHAnsi" w:cstheme="majorHAnsi"/>
          <w:sz w:val="24"/>
          <w:szCs w:val="24"/>
          <w:lang w:val="ro-RO"/>
        </w:rPr>
      </w:pPr>
    </w:p>
    <w:p w14:paraId="70F46ACF">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XV</w:t>
      </w:r>
      <w:r>
        <w:rPr>
          <w:rFonts w:cstheme="majorHAnsi"/>
          <w:color w:val="auto"/>
          <w:sz w:val="24"/>
          <w:szCs w:val="24"/>
          <w:lang w:val="ro-RO"/>
        </w:rPr>
        <w:br w:type="textWrapping"/>
      </w:r>
      <w:r>
        <w:rPr>
          <w:rFonts w:cstheme="majorHAnsi"/>
          <w:color w:val="auto"/>
          <w:sz w:val="24"/>
          <w:szCs w:val="24"/>
          <w:lang w:val="ro-RO"/>
        </w:rPr>
        <w:t>Dezinsecţia, dezinfecţia şi deratizarea, la obiectivele din domeniul public şi domeniul privat al unităţii administrativ-teritoriale</w:t>
      </w:r>
    </w:p>
    <w:p w14:paraId="2FC1BC58">
      <w:pPr>
        <w:shd w:val="clear" w:color="auto" w:fill="C6D9F0" w:themeFill="text2" w:themeFillTint="33"/>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NU SE APLICA</w:t>
      </w:r>
    </w:p>
    <w:p w14:paraId="7F350304">
      <w:pPr>
        <w:spacing w:after="0" w:line="240" w:lineRule="auto"/>
        <w:rPr>
          <w:rFonts w:asciiTheme="majorHAnsi" w:hAnsiTheme="majorHAnsi" w:cstheme="majorHAnsi"/>
          <w:sz w:val="24"/>
          <w:szCs w:val="24"/>
          <w:lang w:val="ro-RO"/>
        </w:rPr>
      </w:pPr>
    </w:p>
    <w:p w14:paraId="6BB26F0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Operatorul are obligaţia de a presta activitatea de dezinsecţie, dezinfecţie şi deratizare, la obiectivele din domeniul public şi domeniul privat al unităţii administrativ-teritoriale, în aria administrativ-teritorială a …. …. (se va completa cu denumirea unităţii administrativ-teritoriale sau, după caz, cu denumirea tuturor unităţilor administrativ-teritoriale care au calitatea de delegatar).</w:t>
      </w:r>
    </w:p>
    <w:p w14:paraId="65B5937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w:t>
      </w:r>
    </w:p>
    <w:p w14:paraId="375B164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Obiectivele şi suprafeţele aferente spaţiilor deschise din domeniul public şi privat al unităţii administrativ-teritoriale unde se vor aplica tratamentele de dezinsecţie pentru combaterea ţânţarilor sunt specificate în anexa nr. ... (se va preciza numărul anexei şi se va completa cu datele corespondente prevăzute în tabelul din Anexa . Dezinsecţie spaţii deschise - vector ţânţari la caietul de sarcini- cadru).</w:t>
      </w:r>
    </w:p>
    <w:p w14:paraId="3C72391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Frecvenţa de execuţie a tratamentelor de dezinsecţie pe spaţiile deschise este de ... treceri/lună (se va completa cu numărul de treceri/lună, stabilit conform prevederilor din regulamentul-cadru al serviciului de salubrizare elaborat şi aprobat de A.N.R.S.C.).</w:t>
      </w:r>
    </w:p>
    <w:p w14:paraId="05053A5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Tratamentele de dezinsecţie pe spaţiile deschise se vor executa în perioada ... (se completează cu perioada corespunzătoare lunilor din sezonul cald).</w:t>
      </w:r>
    </w:p>
    <w:p w14:paraId="349CEA2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Numărul total de tratamente de dezinsecţie pe spaţiile deschise executate la nivel de an este de ... treceri/an (se va calcula şi completa cu produsul dintre numărul de treceri/lună şi numărul de luni cuprinse în perioada sezonului cald).</w:t>
      </w:r>
    </w:p>
    <w:p w14:paraId="02D001B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deschise din domeniul public şi privat al unităţii administrativ-teritoriale este de ... mp/an (se va calcula şi completa cu produsul dintre suprafaţa totală tratată/trecere spaţii deschise din domeniul public şi privat al unităţii administrativ-teritoriale prevăzută în tabelul din anexa Dezinsecţie spaţii deschise - vector ţânţari şi numărul de treceri/an).</w:t>
      </w:r>
    </w:p>
    <w:p w14:paraId="6D95F4A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00DE5C4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executa tratamentele de dezinsecţie pe spaţiile deschise ale persoanelor fizice şi juridice de pe aliniamentul stradal, cu utilaje de mare capacitate generatoare de ceaţă montate pe autovehicule.</w:t>
      </w:r>
    </w:p>
    <w:p w14:paraId="6D874D1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tratată/trecere aferentă spaţiilor deschise ale persoanelor fizice şi juridice, la care tratamentele de dezinsecţie se execută de pe aliniamentul stradal, se calculează potrivit formulei:</w:t>
      </w:r>
    </w:p>
    <w:p w14:paraId="7AA448E7">
      <w:pPr>
        <w:pStyle w:val="216"/>
        <w:spacing w:before="0" w:after="0"/>
        <w:rPr>
          <w:rFonts w:asciiTheme="majorHAnsi" w:hAnsiTheme="majorHAnsi" w:cstheme="majorHAnsi"/>
          <w:color w:val="auto"/>
          <w:sz w:val="24"/>
          <w:szCs w:val="24"/>
        </w:rPr>
      </w:pPr>
    </w:p>
    <w:p w14:paraId="0B8DBAE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S = 2 × L × 25 (mp/trecere)</w:t>
      </w:r>
    </w:p>
    <w:p w14:paraId="5747386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unde:</w:t>
      </w:r>
    </w:p>
    <w:p w14:paraId="624BD27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2 - numărul de treceri al utilajului pe aceiaşi stradă;</w:t>
      </w:r>
    </w:p>
    <w:p w14:paraId="11D6BDA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L - lungimea totală a străzilor din zona de case/proprietăţi individuale (m);</w:t>
      </w:r>
    </w:p>
    <w:p w14:paraId="7637A5D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25 - lăţimea de acţiune/pulverizare a utilajului (m).</w:t>
      </w:r>
    </w:p>
    <w:p w14:paraId="4FE2C71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tratată/trecere aferentă spaţiilor deschise ale persoanelor fizice şi juridice, la care tratamentele de dezinsecţie se execută de pe aliniamentul stradal, în lungime totală de ... m (se va completa cu lungimea totală a străzilor din zona de case/proprietăţi individuale), este de ... mp/trecere.</w:t>
      </w:r>
    </w:p>
    <w:p w14:paraId="49FD3D1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Perioada în care se execută tratamentele de dezinsecţie de pe aliniamentul stradal, numărul de treceri/lună şi numărul de treceri/an sunt acelaşi ca la tratamentele de dezinsecţie executate pe spaţiile deschise din domeniul public şi privat al unităţii administrativ-teritoriale.</w:t>
      </w:r>
    </w:p>
    <w:p w14:paraId="131D4C8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deschise ale persoanelor fizice şi juridice, la care tratamentele de dezinsecţie se execută de pe aliniamentul stradal, este de ... mp/an (se va calcula şi completa cu produsul dintre suprafaţa tratată/trecere şi numărul de treceri/an).</w:t>
      </w:r>
    </w:p>
    <w:p w14:paraId="6218CFC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660CF70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tratată/trecere aferentă tuturor spaţiilor deschise unde se execută tratamentele de dezinsecţie este de .. mp/trecere (se va completa cu suprafaţa totală tratată/trecere aferentă tuturor spaţiilor deschise din anexa Dezinsecţie spaţii deschise - vector ţânţari).</w:t>
      </w:r>
    </w:p>
    <w:p w14:paraId="1A6EE08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tuturor spaţiilor deschise unde se execută tratamentele de dezinsecţie este de .. mp/an (se va calcula şi completa cu suma dintre suprafaţa totală tratată/an aferentă spaţiilor deschise din domeniul public şi privat al unităţii administrativ-teritoriale şi suprafaţa totală tratată/an aferentă spaţiilor ale persoanelor fizice şi juridice, la care tratamentele de dezinsecţie se execută de pe aliniamentul stradal).</w:t>
      </w:r>
    </w:p>
    <w:p w14:paraId="75C05EB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AA7777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Obiectivele şi suprafeţele aferente spaţiilor comune închise ale clădirilor unităţii administrativ- teritoriale şi ale condominiilor aparţinând asociaţiilor de proprietari/locatari unde se vor aplica tratamentele de dezinsecţie pentru combaterea ţânţarilor sunt specificate în anexa nr. ... (se va preciza numărul anexei şi se va completa tabelul din Anexa nr. 25. Dezinsecţie spaţii comune închise - vector ţânţari la caietul de sarcini-cadru).</w:t>
      </w:r>
    </w:p>
    <w:p w14:paraId="759F492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Frecvenţa de execuţie/an a tratamentelor de dezinsecţie în spaţiile comune închise este de ... treceri/an (se va completa cu numărul de treceri/an, stabilit conform prevederilor din regulamentul- cadru al serviciului de salubrizare elaborat şi aprobat de A.N.R.S.C.).</w:t>
      </w:r>
    </w:p>
    <w:p w14:paraId="7AC6421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comune închise ale clădirilor unităţilor sanitare este de ... mp/an (se va calcula şi completa cu produsul dintre suprafaţa tratată/trecere aferentă obiectivului Clădiri ale unităţilor sanitare din subordinea autorităţilor administraţiei publice locale, prevăzută în tabelul din anexa Dezinsecţie spaţii comune închise - vector ţânţari şi numărul de treceri/an).</w:t>
      </w:r>
    </w:p>
    <w:p w14:paraId="22E2865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comune închise ale clădirilor unităţilor de învăţământ este de ... mp/an (se va calcula şi completa cu produsul dintre suprafaţa tratată/trecere aferentă obiectivului Clădiri ale unităţilor de învăţământ din subordinea autorităţilor administraţiei publice locale, prevăzută în tabelul Dezinsecţie spaţii comune închise - vector ţânţari şi numărul de treceri/an).</w:t>
      </w:r>
    </w:p>
    <w:p w14:paraId="67484F3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comune închise ale clădirilor instituţiilor publice din subordinea autorităţilor administraţiei publice locale, altele decât unităţile sanitare şi unităţile de învăţământ, este de ... mp/an (se va calcula şi completa cu produsul dintre suprafaţa tratată/trecere aferentă obiectivului Clădiri ale instituţiilor publice din subordinea autorităţilor administraţiei publice locale, altele decât unităţile sanitare şi unităţile de învăţământ, prevăzută în tabelul din anexa Dezinsecţie spaţii comune închise - vector ţânţari şi numărul de treceri/an).</w:t>
      </w:r>
    </w:p>
    <w:p w14:paraId="5C13866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închise ale imobilelor de tip condominiu aparţinând asociaţiilor de proprietari/locatari este de ... mp/an (se va calcula şi completa cu produsul dintre suprafaţa tratată/trecere aferentă obiectivului Imobile de tip condominiu ale asociaţiilor de proprietari/locatari, prevăzută în tabelul din anexa Dezinsecţie spaţii comune închise - vector ţânţari şi numărul de treceri/an).</w:t>
      </w:r>
    </w:p>
    <w:p w14:paraId="4FC0DC7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7418420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executa tratamentele de dezinsecţie în căminele aferente reţelelor tehnico-edilitare prevăzute în anexa nr. ... (se va preciza numărul anexei şi se va completa tabelul din Anexa . Dezinsecţie cămine reţele tehnico-edilitare - vector ţânţari la caietul de sarcini-cadru).</w:t>
      </w:r>
    </w:p>
    <w:p w14:paraId="61AA2F9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tratată/trecere aferentă căminelor reţelelor tehnico-edilitare este de ... mp/trecere (se va completa cu suprafaţa totală tratată/trecere prevăzută în tabelul din anexa privind Cămine aferente reţelelor tehnico-edilitare unde se vor aplica tratamentele de dezinfecţie).</w:t>
      </w:r>
    </w:p>
    <w:p w14:paraId="58F0389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12B74A4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căminelor reţelelor tehnico-edilitare este de ... mp/an (se va calcula şi completa cu produsul dintre suprafaţa totală tratată/trecere şi numărul de treceri/an).</w:t>
      </w:r>
    </w:p>
    <w:p w14:paraId="6BD4A01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situaţia în care este necesară executarea de tratamente de dezinsecţie pentru combaterea căpuşelor) </w:t>
      </w:r>
    </w:p>
    <w:p w14:paraId="1CA853D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executa tratamentele de dezinsecţie pentru combaterea căpuşelor în zonele cu vegetaţie aparţinând domeniului public şi privat al unităţii administrativ-teritoriale prevăzute în anexa nr. ... (se va preciza numărul anexei şi se va completa tabelul din Anexa  Dezinsecţie spaţii deschise - vector căpuşe la caietul de sarcini-cadru).</w:t>
      </w:r>
    </w:p>
    <w:p w14:paraId="00A529B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Frecvenţa de execuţie a tratamentelor de dezinsecţie pentru combaterea căpuşelor este de ... treceri/an (se va completa cu numărul de treceri/an, stabilit conform prevederilor din regulamentul- cadru al serviciului de salubrizare elaborat şi aprobat de A.N.R.S.C.).</w:t>
      </w:r>
    </w:p>
    <w:p w14:paraId="5B3EE7D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tratată/trecere aferentă zonelor de vegetaţie pe care se execută tratamentele de dezinsecţie pentru combaterea căpuşelor este de ... mp/trecere (se va completa cu suprafaţa tratată/trecere prevăzută în tabelul din anexa Dezinsecţie spaţii deschise - vector căpuşe).</w:t>
      </w:r>
    </w:p>
    <w:p w14:paraId="1750F51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zonelor de vegetaţie pe care se execută tratamentele de dezinsecţie pentru combaterea căpuşelor este de ... mp/an (se va calcula şi completa cu produsul dintre suprafaţa tratată/trecere şi numărul de treceri/an).</w:t>
      </w:r>
    </w:p>
    <w:p w14:paraId="4541387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17D6DAA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Obiectivele şi suprafeţele aferente spaţiilor deschise din domeniul public şi privat al unităţii administrativ-teritoriale unde se vor aplica tratamentele de deratizare pentru combaterea şobolanilor şi şoarecilor sunt specificate în anexa nr. ... (se va preciza numărul anexei şi se va completa tabelul din Anexa . Deratizare spaţii deschise - vector şobolani/şoareci la caietul de sarcini-cadru).</w:t>
      </w:r>
    </w:p>
    <w:p w14:paraId="288E2E9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Frecvenţa de execuţie a tratamentelor de deratizare pe spaţiile deschise este de ... treceri/an (se va completa cu numărul de treceri/an, stabilit conform prevederilor din regulamentul-cadru al serviciului de salubrizare elaborat şi aprobat de A.N.R.S.C.).</w:t>
      </w:r>
    </w:p>
    <w:p w14:paraId="719DA04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tratată/trecere aferentă spaţiilor deschise din domeniul public şi privat al unităţii administrativ-teritoriale pe care se execută tratamentele de deratizare este de ... mp/trecere (se va completa cu suprafaţa tratată/trecere prevăzută în tabelul din anexa Deratizare spaţii deschise - vector şobolani/şoareci).</w:t>
      </w:r>
    </w:p>
    <w:p w14:paraId="471BC78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deschise din domeniul public şi privat al unităţii administrativ-teritoriale pe care se execută tratamentele de deratizare este de ... mp/an (se va calcula şi completa cu produsul dintre suprafaţa totală tratată/trecere şi numărul de treceri/an).</w:t>
      </w:r>
    </w:p>
    <w:p w14:paraId="0F732BF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0FC31F6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Obiectivele şi suprafeţele aferente spaţiilor închise ale clădirilor unităţii administrativ-teritoriale şi ale condominiilor aparţinând asociaţiilor de proprietari/locatari unde se vor aplica tratamentele de deratizare pentru combaterea şobolanilor şi şoarecilor sunt specificate în anexa nr. ... (se va preciza numărul anexei şi se va completa tabelul din Anexa . Deratizare spaţii comune închise - vector şobolani/şoareci la caietul de sarcini-cadru).</w:t>
      </w:r>
    </w:p>
    <w:p w14:paraId="4B98683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Frecvenţa de execuţie a tratamentelor de deratizare aferente spaţiilor închise ale clădirilor unităţii administrativ-teritoriale şi ale condominiilor aparţinând asociaţiilor de proprietari/locatari este de ... treceri/an (se va completa cu numărul de treceri/an, stabilit conform prevederilor din regulamentul-cadru al serviciului de salubrizare elaborat şi aprobat de A.N.R.S.C.).</w:t>
      </w:r>
    </w:p>
    <w:p w14:paraId="30E2EFD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tratată/trecere aferentă spaţiilor comune închise ale clădirilor unităţii administrativ-teritoriale şi ale condominiilor aparţinând asociaţiilor de proprietari/locatari pe care se execută tratamentele de deratizare este de ... mp/trecere (se va completa cu suprafaţa totală tratată/trecere prevăzută în tabelul din anexa Deratizare spaţii comune închise - vector şobolani/şoareci).</w:t>
      </w:r>
    </w:p>
    <w:p w14:paraId="0D18714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comune închise ale clădirilor unităţii administrativ-teritoriale şi ale condominiilor aparţinând asociaţiilor de proprietari/locatari pe care se execută tratamentele de deratizare este de ... mp/an (se va calcula şi completa cu produsul dintre suprafaţa tratată/trecere şi numărul de treceri/an).</w:t>
      </w:r>
    </w:p>
    <w:p w14:paraId="0773C0F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7DBED75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executa tratamentele de deratizare în căminele aferente reţelelor tehnico-edilitare prevăzute în anexa nr. ... (se va preciza numărul anexei şi se va completa tabelul din Anexa . Deratizare cămine reţele tehnico-edilitare - vector şobolani/şoareci la caietul de sarcini- cadru).</w:t>
      </w:r>
    </w:p>
    <w:p w14:paraId="1D58B61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tratată/trecere aferentă căminelor reţelelor tehnico-edilitare este de ... mp/trecere (se va completa cu suprafaţa totală tratată/trecere prevăzută în tabelul din anexa Deratizare cămine reţele tehnico-edilitare - vector şobolani/şoareci).</w:t>
      </w:r>
    </w:p>
    <w:p w14:paraId="6F4E904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3401102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căminelor reţelelor tehnico-edilitare este de ... mp/an (se va calcula şi completa cu produsul dintre suprafaţa totală tratată/trecere şi numărul de treceri/an).</w:t>
      </w:r>
    </w:p>
    <w:p w14:paraId="5C18D0A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7D4F8B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Obiectivele şi suprafeţele aferente spaţiilor interioare ale clădirilor unităţii administrativ- teritoriale şi spaţiilor comune închise ale condominiilor aparţinând asociaţiilor de proprietari/locatari unde se vor aplica tratamentele de dezinfecţie sunt specificate în anexa nr. ... (se va preciza numărul anexei şi se va completa tabelul din Anexa . Dezinfecţie la caietul de sarcini-cadru).</w:t>
      </w:r>
    </w:p>
    <w:p w14:paraId="3057455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Frecvenţa de execuţie/an a tratamentelor de dezinsecţie este de ... treceri/an (se va completa cu numărul de treceri/an, stabilit conform prevederilor din regulamentul-cadru al serviciului de salubrizare elaborat şi aprobat de A.N.R.S.C.).</w:t>
      </w:r>
    </w:p>
    <w:p w14:paraId="1F0B52C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interioare ale clădirilor unităţilor sanitare unde se aplică tratamentele de dezinfecţie este de ... mp/an (se va calcula şi completa cu produsul dintre suprafaţa tratată/trecere aferentă obiectivului Spaţii interioare ale clădirilor unităţilor sanitare din subordinea autorităţilor administraţiei publice locale, prevăzută în tabelul din anexa Dezinfecţie şi numărul de treceri/an).</w:t>
      </w:r>
    </w:p>
    <w:p w14:paraId="1072622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interioare ale clădirilor unităţilor de învăţământ unde se aplică tratamentele de dezinfecţie este de ... mp/an (se va calcula şi completa cu produsul dintre suprafaţa tratată/trecere aferentă obiectivului Spaţii interioare ale clădirilor unităţilor de învăţământ din subordinea autorităţilor administraţiei publice locale, prevăzută în tabelul din anexa Dezinfecţie şi numărul de treceri/an).</w:t>
      </w:r>
    </w:p>
    <w:p w14:paraId="0F2D045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interioare ale clădirilor instituţiilor publice din subordinea autorităţilor administraţiei publice locale, altele decât unităţile sanitare şi unităţile de învăţământ, unde se aplică tratamentele de dezinfecţie este de ... mp/an (se va calcula şi completa cu produsul dintre suprafaţa tratată/trecere aferentă obiectivului Spaţii interioare ale clădirilor instituţiilor publice din subordinea autorităţilor administraţiei publice locale, altele decât unităţile sanitare şi unităţile de învăţământ, prevăzută în tabelul din anexa Dezinfecţie şi numărul de treceri/an).</w:t>
      </w:r>
    </w:p>
    <w:p w14:paraId="4D0BFC4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totală tratată/an aferentă spaţiilor comune închise ale imobilelor de tip condominiu aparţinând asociaţiilor de proprietari/locatari unde se aplică tratamentele de dezinfecţie este de ... mp/an (se va calcula şi completa cu produsul dintre suprafaţa tratată/trecere aferentă obiectivului Spaţii comune închise ale imobilelor de tip condominiu aparţinând asociaţiilor de proprietari/locatari, prevăzută în tabelul din anexa Dezinfecţie şi numărul de treceri/an).</w:t>
      </w:r>
    </w:p>
    <w:p w14:paraId="5AEFDAE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w:t>
      </w:r>
    </w:p>
    <w:p w14:paraId="5FD93F7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Suprafaţa aferentă fiecărui obiectiv pe care se execută tratamentele de dezinsecţie, dezinfecţie şi deratizare este stabilită la nivelul suprafeţei înregistrate în planurile/documentele cadastrale.</w:t>
      </w:r>
    </w:p>
    <w:p w14:paraId="2C64FA7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 durata derulării contractului de delegare, suprafeţele obiectivelor prevăzute în prezentul caiet de sarcini vor putea suferi modificări şi completări cauzate de reactualizări ale măsurătorilor şi/sau de lucrări de înfiinţare şi extindere a obiectivelor din domeniul public şi privat al unităţii administrativ- teritoriale.</w:t>
      </w:r>
    </w:p>
    <w:p w14:paraId="38E8BA1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Modificările şi completările aduse suprafeţelor programate prevăzute în prezentul caiet de sarcini vor face obiectul unor acte adiţionale încheiate la contractul de delegare.</w:t>
      </w:r>
    </w:p>
    <w:p w14:paraId="2131EFE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w:t>
      </w:r>
    </w:p>
    <w:p w14:paraId="5336B8B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 întreaga durată de derulare a contractului de delegare, frecvenţa de execuţie a tratamentelor de dezinsecţie, dezinfecţie şi deratizare nu va suferi modificări sub numărul de treceri/tratamente cerute prin documentaţia de atribuire.</w:t>
      </w:r>
    </w:p>
    <w:p w14:paraId="7558906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La solicitarea scrisă a delegatarului, operatorul are obligaţia să execute orice alte treceri/tratamente suplimentare de dezinsecţie, dezinfecţie şi deratizare. Contravaloarea trecerilor/tratamentelor suplimentare va fi facturată de către operator şi achitată de către autoritatea administraţiei publice locale, pe baza documentelor de lucru confirmate de către reprezentanţii acesteia.</w:t>
      </w:r>
    </w:p>
    <w:p w14:paraId="61A8B66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În vederea bugetării anuale a sumelor necesare pentru plata contravalorii tratamentelor de dezinsecţie, dezinfecţie şi deratizare ce urmează a fi executate în anul următor, operatorul are obligaţia să înainteze autorităţilor administraţiei publice locale, anual, cel târziu până la data de 1 decembrie a fiecărui an, Programul Unitar de Acţiune, întocmit pe baza datelor din prezentul caiet de sarcini şi/sau a altor factori locali care favorizează apariţia şi dezvoltarea vectorilor, conform modelului din anexa ... (se va preciza numărul anexei şi completa modelul Programului Unitar de Acţiune prevăzut în Anexa  la caietul de sarcini-cadru).</w:t>
      </w:r>
    </w:p>
    <w:p w14:paraId="3307BD7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w:t>
      </w:r>
    </w:p>
    <w:p w14:paraId="206A785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Toate produsele folosite pentru efectuarea tratamentelor de deratizare, dezinsecţie şi dezinfecţie trebuie să fie avizate de către Comisia Naţională pentru Produse Biocide.</w:t>
      </w:r>
    </w:p>
    <w:p w14:paraId="2F97832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Produsele raticide folosite la deratizare vor fi utilizate în condiţii de siguranţă, în conformitate cu normativele europene şi naţionale a produselor biocide.</w:t>
      </w:r>
    </w:p>
    <w:p w14:paraId="628FA8C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combaterea şobolanilor/şoarecilor se vor utiliza dozele de raticid respectând indicaţiile din avizele emise de Comisia Naţională pentru Produse Biocide şi specificaţiile din fişele tehnice ale producătorilor, aplicate pe unitatea de suprafaţă astfel încât să se asigure eficienţa maximă a combaterii pentru perioada garantată a produsului. Operatorul va include obligatoriu în metodologia de lucru reţetarul cu cantităţile folosite pe unitatea de suprafaţă şi va prezenta avizele şi fişele tehnice ale produselor folosite.</w:t>
      </w:r>
    </w:p>
    <w:p w14:paraId="3C4A3E1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combaterea ţânţarilor/căpuşelor se vor utiliza numai produse biocide/insecticide aplicabile vectorilor vizaţi. Operatorul va include obligatoriu în metodologia de lucru reţetarul cu dozele folosite pe unitatea de suprafaţă şi va prezenta avizele şi fişele tehnice ale produselor folosite.</w:t>
      </w:r>
    </w:p>
    <w:p w14:paraId="073DF9B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Pentru prevenirea şi combaterea bolilor infecţioase transmisibile se vor utiliza dezinfectanţi şi mijloace de dezinfecţie adecvate pentru neutralizarea agentului patogen vizat.</w:t>
      </w:r>
    </w:p>
    <w:p w14:paraId="6FA19BC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Pe toată durata de derulare a contractului de delegare, operatorul are obligaţia să înlocuiască de îndată produsele biocide pentru care Comisia Naţională pentru Produse Biocide nu mai emite avize, cu alte produse similare avizate pentru combaterea vectorilor vizaţi, convenite cu autoritatea administraţiei publice locale. Cheltuielile cu achiziţia noilor produse se vor recunoaşte şi se vor include în tariful operaţiunii respective.</w:t>
      </w:r>
    </w:p>
    <w:p w14:paraId="26137B62">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să asigure un număr de personal şi o dotare minimă cu aparate/utilaje şi autovehicule necesare prestării activităţii)</w:t>
      </w:r>
    </w:p>
    <w:p w14:paraId="25E1E0E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vederea prestării activităţii de dezinsecţie, dezinfecţie şi deratizare la standardele de calitate care să satisfacă cerinţele colectivităţii locale, operatorul trebuie să deţină o dotare minimă cu autospeciale, utilaje şi aparate, având în vedere întreaga suprafaţă/trecere aferentă tuturor obiectivelor spaţii deschise prevăzute în prezentul caiet de sarcini care trebuie tratată în timpul efectiv de acţiune/pulverizare al utilajelor/aparatelor rămas din programul de lucru de 8 ore, după scăderea timpului de dozare a insecticidului, timpului de deplasare pe distanţa, dus-întors, a utilajelor şi personalului de la punctul de lucru la sectorul de muncă şi timpului de încărcare/golire a utilajelor/aparatelor.</w:t>
      </w:r>
    </w:p>
    <w:p w14:paraId="657E065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de a presta activitatea de dezinsecţie, dezinfecţie şi deratizare cu autovehicule, utilaje şi aparate deţinute în proprietate, leasing sau care fac obiectul unor contracte de închiriere şi/sau antecontracte de vânzare-cumpărare, conform următorului necesar:</w:t>
      </w:r>
    </w:p>
    <w:p w14:paraId="2EC6EEB6">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autovehicule = ... buc, folosite pentru transportul echipelor, a echipamentului de lucru şi a produselor biocide;</w:t>
      </w:r>
    </w:p>
    <w:p w14:paraId="20C07630">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autospecială pentru transportul cadavrelor de rozătoare colectate = 1 buc, în vederea eliminării acestora la firmele autorizate să desfăşoare activităţi de incinerare;</w:t>
      </w:r>
    </w:p>
    <w:p w14:paraId="1282E083">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c) utilaje de mare capacitate generatoare de ceaţă rece tip ULV (Ultra Low Volume) = ... buc, folosite la tratamentele de dezinsecţie pe spaţiile deschise, executate de pe aliniamentul stradal;</w:t>
      </w:r>
    </w:p>
    <w:p w14:paraId="41EBC99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d) autoutilitare/platforme ULV = ... buc, pentru transportul utilajelor de mare capacitate generatoare de ceaţă</w:t>
      </w:r>
    </w:p>
    <w:p w14:paraId="0DA1BB6A">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e) aparate portabile generatoare de ceaţă caldă (termonebulizatoare) = ... buc, folosite, în principal, în zonele cu vegetaţie abundentă unde nu ajung/acţionează utilajele de mare capacitate;</w:t>
      </w:r>
    </w:p>
    <w:p w14:paraId="109F9A44">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f) aparate portabile pentru pulverizare fină (atomizoare) = ... buc, folosite, în principal, pentru dezinsecţie la nivelul solului, în parcuri şi alte spaţii verzi unde nu ajung/acţionează utilajele de mare capacitate generatoare de ceaţă;</w:t>
      </w:r>
    </w:p>
    <w:p w14:paraId="55EDE47D">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g) alte dotări (dacă este cazul).</w:t>
      </w:r>
    </w:p>
    <w:p w14:paraId="22637BA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autospecialele, utilajele şi aparatele pe care le va utiliza în executarea tratamentelor de dezinsecţie, dezinfecţie şi deratizare şi care vor rămâne în posesia/folosinţa sa după încetarea contractului de delegare, inclusiv dovezile privind modul de deţinere al acestora, în caz contrar oferta fiind considerată neconformă.</w:t>
      </w:r>
    </w:p>
    <w:p w14:paraId="5D8CAE1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vederea prestării activităţii la standardele de calitate care să satisfacă cerinţele colectivităţii locale, operatorul trebuie să asigure personalul de specialitate şi personalul de execuţie calificat, astfel încât întreaga suprafaţa/trecere aferentă tuturor obiectivelor spaţii deschise prevăzute în prezentul caiet de sarcini să poată fi tratată în timpul efectiv de executare a dezinsecţiei din cadrul programului de lucru de 8 ore, rămas după efectuarea tuturor operaţiunilor preliminare.</w:t>
      </w:r>
    </w:p>
    <w:p w14:paraId="7900313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să asigure următorul necesar de personal:</w:t>
      </w:r>
    </w:p>
    <w:p w14:paraId="176D5BB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a) personal de specialitate: (se va completa cu numărul necesar şi specializarea profesională: manager de contract, biolog, medic veterinar, inginer mecanic, inginer agronom, după caz)</w:t>
      </w:r>
    </w:p>
    <w:p w14:paraId="5964F0D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b) personalul de execuţie calificat: ... de agenţi dezinsecţie, dezinfecţie, deratizare (se va completa cu numărul necesar şi, după caz, cu alte categorii de personal calificat).</w:t>
      </w:r>
    </w:p>
    <w:p w14:paraId="10796FFC">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vederea asigurării continuităţii activităţii şi intervenţiilor operative ori de câte ori este necesar pentru stingerea unui focar, operatorul va asigura următorul personal operativ de intervenţie: (se va completa cu numărul de personal permanent necesar pentru intervenţiile operative neplanificate: dispecer, conducători auto şi agenţi dezinsecţie, dezinfecţie, deratizare)</w:t>
      </w:r>
    </w:p>
    <w:p w14:paraId="1DC9C947">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va face dovada că, la data depunerii ofertei, are angajat tot personalul de specialitate şi personalul de execuţie calificat şi va prezenta, în oferta tehnică, pentru fiecare agent dezinsecţie, dezinfecţie, deratizare, certificatul de calificare profesională în ocupaţia de agent dezinsecţie, dezinfecţie, deratizare, în caz oferta fiind considerată neconformă.</w:t>
      </w:r>
    </w:p>
    <w:p w14:paraId="15E5805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gestiunii delegate, în situaţia în care se solicită operatorului să estimeze şi să oferteze necesarul de personal şi necesarul de autovehicule, utilaje şi aparate pentru executarea tratamentelor de dezinsecţie)</w:t>
      </w:r>
    </w:p>
    <w:p w14:paraId="613B5B25">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Operatorul are obligaţia să asigure un număr suficient de personal, de autovehicule, de utilaje de mare capacitate generatoare de ceaţă şi de aparate portabile/atomizoare necesare pentru executarea tratamentelor de dezinsecţie pentru combaterea ţânţarilor, având în vedere suprafaţa totală/trecere aferentă tuturor spaţiilor deschise din domeniul public şi privat al unităţii administrativ-teritoriale şi spaţiilor deschise ale persoanelor fizice şi juridice, la care tratamentele de dezinsecţie se execută de pe aliniamentul stradal.</w:t>
      </w:r>
    </w:p>
    <w:p w14:paraId="3D2476AE">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personalul calificat ofertat pe care îl va utiliza în executarea tratamentelor de dezinsecţie şi va prezenta, pentru fiecare agent dezinsecţie, dezinfecţie şi deratizare, certificatul de calificare profesională în ocupaţia de agent dezinsecţie, dezinfecţie şi deratizare, în caz contrar oferta fiind considerată neconformă.</w:t>
      </w:r>
    </w:p>
    <w:p w14:paraId="3AE9BBB1">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(se trece, în situaţia în care se solicită operatorului să asigure un anumit număr de personal de specialitate necesar îndeplinirii contractului) Pentru buna îndeplinirea a contractului în condiţii de calitate şi performanţă, la standardele de calitate care să corespundă gradului de satisfacere al colectivităţii locale, operatorul va asigura următorul personal de specialitate: ... (se va completa cu manager de contract, biolog, medic veterinar, inginer mecanic, inginer agronom, după caz). În oferta tehnică, ofertantul va nominaliza personalul de specialitate desemnat pentru îndeplinirea contractului şi va face dovada că acesta este angajat la data depunerii ofertei, în caz contrar oferta fiind considerată neconformă.</w:t>
      </w:r>
    </w:p>
    <w:p w14:paraId="33D23DE8">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În oferta tehnică, ofertantul va prezenta o listă detaliată cu autovehiculele, utilajele de mare capacitate generatoare de ceaţă şi aparatele portabile/atomizoarele deţinute în proprietate, leasing sau care fac obiectul unor contracte de închiriere şi/sau antecontracte de vânzare-cumpărare, inclusiv dovezile privind modul de deţinere, precum şi caracteristicile tehnice principale de funcţionare ale acestora şi viteza de deplasare a fiecărui autovehicul/utilaj în timpul efectuării tratamentului de dezinsecţie prin pulverizare mecanică, în caz contrar oferta fiind considerată neconformă.</w:t>
      </w:r>
    </w:p>
    <w:p w14:paraId="239DC77F">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Ofertantul se va asigura că personalul şi aparatele/utilajele ofertate sunt suficiente pentru a executa tratamentele de dezinsecţie, prin pulverizare manuală şi mecanică, pe întreaga suprafaţa/trecere aferentă tuturor spaţiilor deschise în timpul efectiv de dezinsecţie/pulverizare din cadrul programului de lucru de 8 ore, în caz contrar oferta fiind considerată neconformă.</w:t>
      </w:r>
    </w:p>
    <w:p w14:paraId="76FB2149">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1B38D8AB">
      <w:pPr>
        <w:pStyle w:val="216"/>
        <w:spacing w:before="0" w:after="0"/>
        <w:rPr>
          <w:rFonts w:asciiTheme="majorHAnsi" w:hAnsiTheme="majorHAnsi" w:cstheme="majorHAnsi"/>
          <w:color w:val="auto"/>
          <w:sz w:val="24"/>
          <w:szCs w:val="24"/>
        </w:rPr>
      </w:pPr>
      <w:r>
        <w:rPr>
          <w:rFonts w:asciiTheme="majorHAnsi" w:hAnsiTheme="majorHAnsi" w:cstheme="majorHAnsi"/>
          <w:color w:val="auto"/>
          <w:sz w:val="24"/>
          <w:szCs w:val="24"/>
        </w:rPr>
        <w:t xml:space="preserve"> . - (dacă este cazul) Alte cerinţe/date necesare definirii activităţii.</w:t>
      </w:r>
    </w:p>
    <w:p w14:paraId="6EDCE85E">
      <w:pPr>
        <w:spacing w:after="0" w:line="240" w:lineRule="auto"/>
        <w:jc w:val="both"/>
        <w:rPr>
          <w:rFonts w:asciiTheme="majorHAnsi" w:hAnsiTheme="majorHAnsi" w:cstheme="majorHAnsi"/>
          <w:sz w:val="24"/>
          <w:szCs w:val="24"/>
          <w:lang w:val="ro-RO"/>
        </w:rPr>
      </w:pPr>
    </w:p>
    <w:p w14:paraId="2BCB4C98">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XVI</w:t>
      </w:r>
      <w:r>
        <w:rPr>
          <w:rFonts w:cstheme="majorHAnsi"/>
          <w:color w:val="auto"/>
          <w:sz w:val="24"/>
          <w:szCs w:val="24"/>
          <w:lang w:val="ro-RO"/>
        </w:rPr>
        <w:br w:type="textWrapping"/>
      </w:r>
      <w:r>
        <w:rPr>
          <w:rFonts w:cstheme="majorHAnsi"/>
          <w:color w:val="auto"/>
          <w:sz w:val="24"/>
          <w:szCs w:val="24"/>
          <w:lang w:val="ro-RO"/>
        </w:rPr>
        <w:t>Dispoziţii tranzitorii şi finale</w:t>
      </w:r>
    </w:p>
    <w:p w14:paraId="264CEFEA">
      <w:pPr>
        <w:pStyle w:val="164"/>
        <w:numPr>
          <w:ilvl w:val="0"/>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7A1380E0">
      <w:pPr>
        <w:pStyle w:val="164"/>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Ofertanții vor prezenta în mod obligatoriu, în oferta financiară, tarife de operare propuse pentru toate activitățile care fac parte din serviciul care se deleagă, respectiv:</w:t>
      </w:r>
    </w:p>
    <w:p w14:paraId="49418156">
      <w:pPr>
        <w:widowControl w:val="0"/>
        <w:numPr>
          <w:ilvl w:val="2"/>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T1- tarif pentru colectarea separată şi transportul separat al deşeurilor de hârtie, metal, plastic şi sticlă din deşeurile municipale - Tcs reciclabile;</w:t>
      </w:r>
    </w:p>
    <w:p w14:paraId="710B9F40">
      <w:pPr>
        <w:widowControl w:val="0"/>
        <w:numPr>
          <w:ilvl w:val="2"/>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T2-tarif pentru colectarea separată şi transportul separat al deşeurilor reziduale, inclusiv a reziduurilor menajere şi similare şi al altor deşeuri colectate separat decât cele de hârtie, metal, plastic şi sticlă - Tcs reziduale,</w:t>
      </w:r>
    </w:p>
    <w:p w14:paraId="65E94060">
      <w:pPr>
        <w:widowControl w:val="0"/>
        <w:numPr>
          <w:ilvl w:val="2"/>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14:paraId="405792E5">
      <w:pPr>
        <w:widowControl w:val="0"/>
        <w:numPr>
          <w:ilvl w:val="2"/>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Tarifele T1 si T2 vor fi evidentiate distinct pentru mediul Urban si Rural, cheia de repartitie in cadrul tarifului centralizator T1 si T2 fiind populatia din mediul urban si rural </w:t>
      </w:r>
    </w:p>
    <w:p w14:paraId="7AAB23DE">
      <w:pPr>
        <w:widowControl w:val="0"/>
        <w:numPr>
          <w:ilvl w:val="2"/>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T4</w:t>
      </w:r>
      <w:r>
        <w:rPr>
          <w:rStyle w:val="24"/>
          <w:rFonts w:asciiTheme="majorHAnsi" w:hAnsiTheme="majorHAnsi" w:cstheme="majorHAnsi"/>
          <w:sz w:val="24"/>
          <w:szCs w:val="24"/>
          <w:lang w:val="ro-RO"/>
        </w:rPr>
        <w:footnoteReference w:id="0"/>
      </w:r>
      <w:r>
        <w:rPr>
          <w:rFonts w:asciiTheme="majorHAnsi" w:hAnsiTheme="majorHAnsi" w:cstheme="majorHAnsi"/>
          <w:sz w:val="24"/>
          <w:szCs w:val="24"/>
          <w:lang w:val="ro-RO"/>
        </w:rPr>
        <w:t xml:space="preserve"> = tarifului pentru activitatea de colectare și transport a deșeurilor voluminoase: ______________________ lei/tonă; </w:t>
      </w:r>
    </w:p>
    <w:p w14:paraId="128C0332">
      <w:pPr>
        <w:widowControl w:val="0"/>
        <w:numPr>
          <w:ilvl w:val="2"/>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T5</w:t>
      </w:r>
      <w:r>
        <w:rPr>
          <w:rStyle w:val="24"/>
          <w:rFonts w:asciiTheme="majorHAnsi" w:hAnsiTheme="majorHAnsi" w:cstheme="majorHAnsi"/>
          <w:sz w:val="24"/>
          <w:szCs w:val="24"/>
          <w:lang w:val="ro-RO"/>
        </w:rPr>
        <w:footnoteReference w:id="1"/>
      </w:r>
      <w:r>
        <w:rPr>
          <w:rFonts w:asciiTheme="majorHAnsi" w:hAnsiTheme="majorHAnsi" w:cstheme="majorHAnsi"/>
          <w:sz w:val="24"/>
          <w:szCs w:val="24"/>
          <w:lang w:val="ro-RO"/>
        </w:rPr>
        <w:t xml:space="preserve"> = Colectarea și transportul deșeurilor din construcții și desființări: _______________ lei/tonă, în zona delegata sistem „la cerere”.</w:t>
      </w:r>
    </w:p>
    <w:p w14:paraId="20635F45">
      <w:pPr>
        <w:widowControl w:val="0"/>
        <w:numPr>
          <w:ilvl w:val="2"/>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T6</w:t>
      </w:r>
      <w:r>
        <w:rPr>
          <w:rStyle w:val="24"/>
          <w:rFonts w:asciiTheme="majorHAnsi" w:hAnsiTheme="majorHAnsi" w:cstheme="majorHAnsi"/>
          <w:sz w:val="24"/>
          <w:szCs w:val="24"/>
          <w:lang w:val="ro-RO"/>
        </w:rPr>
        <w:footnoteReference w:id="2"/>
      </w:r>
      <w:r>
        <w:rPr>
          <w:rFonts w:asciiTheme="majorHAnsi" w:hAnsiTheme="majorHAnsi" w:cstheme="majorHAnsi"/>
          <w:sz w:val="24"/>
          <w:szCs w:val="24"/>
          <w:lang w:val="ro-RO"/>
        </w:rPr>
        <w:t xml:space="preserve"> = Colectarea și transportul deșeurilor abandonate pe domeniul public : _______________ lei/tonă, în zona delegata.</w:t>
      </w:r>
    </w:p>
    <w:p w14:paraId="5B4A2636">
      <w:pPr>
        <w:widowControl w:val="0"/>
        <w:numPr>
          <w:ilvl w:val="0"/>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La estimarea tarifului pentru activitatea de colectare și transport a deșeurilor menajere și similare prevăzute la art.17 alin.(5) lit.a) din Ordonanța de urgenta nr.92/2021 privind regimul deșeurilor se vor lua  în considerare costurile aferente:</w:t>
      </w:r>
    </w:p>
    <w:p w14:paraId="46A8C48D">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colectării separate și transportului deșeurilor menajere și similare reciclabile (hârtie/carton, plastic/metal, sticlă);</w:t>
      </w:r>
    </w:p>
    <w:p w14:paraId="53893461">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colectării separate și transportul deșeurilor similare din piețe reciclabile (hârtie/carton, plastic/metal, sticlă);</w:t>
      </w:r>
    </w:p>
    <w:p w14:paraId="51AB614D">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costurile cu campaniile de constientizare si informare a utilizatorilor in cuantum de </w:t>
      </w:r>
      <w:r>
        <w:rPr>
          <w:rFonts w:asciiTheme="majorHAnsi" w:hAnsiTheme="majorHAnsi" w:cstheme="majorHAnsi"/>
          <w:b/>
          <w:bCs/>
          <w:sz w:val="24"/>
          <w:szCs w:val="24"/>
          <w:lang w:val="ro-RO"/>
        </w:rPr>
        <w:t>minim 2%</w:t>
      </w:r>
      <w:r>
        <w:rPr>
          <w:rFonts w:asciiTheme="majorHAnsi" w:hAnsiTheme="majorHAnsi" w:cstheme="majorHAnsi"/>
          <w:sz w:val="24"/>
          <w:szCs w:val="24"/>
          <w:lang w:val="ro-RO"/>
        </w:rPr>
        <w:t xml:space="preserve"> din valoarea anuala a contractului de delegare repartizat ponderat in fiecare tarif inclus in pretul contractului</w:t>
      </w:r>
    </w:p>
    <w:p w14:paraId="36C0AEAD">
      <w:pPr>
        <w:widowControl w:val="0"/>
        <w:numPr>
          <w:ilvl w:val="0"/>
          <w:numId w:val="18"/>
        </w:numPr>
        <w:tabs>
          <w:tab w:val="left" w:pos="851"/>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La estimarea tarifelor pentru activitatea de colectare și transport a biodeșeurilor menajere și similare și a deșeurilor verzi se vor lua  în considerare costurile aferente:</w:t>
      </w:r>
    </w:p>
    <w:p w14:paraId="18F9E550">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colectării separate transportului biodeșeurilor menajere si similare din mediul urban;</w:t>
      </w:r>
    </w:p>
    <w:p w14:paraId="45DEE5F5">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colectării separate transportului biodeșeurilor din piețe;</w:t>
      </w:r>
    </w:p>
    <w:p w14:paraId="1328D52D">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colectării separate și transportul biodeșeurilor menajere si similare din mediul urban de la case;</w:t>
      </w:r>
    </w:p>
    <w:p w14:paraId="2086EBC7">
      <w:pPr>
        <w:widowControl w:val="0"/>
        <w:numPr>
          <w:ilvl w:val="0"/>
          <w:numId w:val="18"/>
        </w:numPr>
        <w:tabs>
          <w:tab w:val="left" w:pos="851"/>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La estimarea tarifelor pentru activitatea de colectare și transport a deșeurilor menajere și similare altele decât cele prevăzute la art. 17 alin.(5) lit.a) din Ordonanța de urgența nr. 92/2021 privind regimul deșeurilor se vor lua în considerare costurile aferente:</w:t>
      </w:r>
    </w:p>
    <w:p w14:paraId="730FEF42">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colectării separate si transportului deșeurilor menajere și similare reziduale;</w:t>
      </w:r>
    </w:p>
    <w:p w14:paraId="455A9922">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colectării separate transportul deșeurilor similare din piețe reziduale;</w:t>
      </w:r>
    </w:p>
    <w:p w14:paraId="3FB18565">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colectării separate transportul și transferului, stocării, tratării și depozitării deșeurilor voluminoase menajere și similare colectate în cadrul campaniilor;</w:t>
      </w:r>
    </w:p>
    <w:p w14:paraId="18573794">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colectării separate, a transportului și eliminării deșeurilor periculoase menajere colectate în cadrul campaniilor. </w:t>
      </w:r>
    </w:p>
    <w:p w14:paraId="64FBF1F8">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colectării separate și transportul, stocării, tratării și depozitării deșeurilor textile (care include și costul cu depozitarea reziduurilor rezultate) colectate în cadrul campaniilor; </w:t>
      </w:r>
    </w:p>
    <w:p w14:paraId="307EA2B1">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costurile cu campaniile de constientizare si informare a utilizatorilor in cuantum de </w:t>
      </w:r>
      <w:r>
        <w:rPr>
          <w:rFonts w:asciiTheme="majorHAnsi" w:hAnsiTheme="majorHAnsi" w:cstheme="majorHAnsi"/>
          <w:b/>
          <w:bCs/>
          <w:sz w:val="24"/>
          <w:szCs w:val="24"/>
          <w:lang w:val="ro-RO"/>
        </w:rPr>
        <w:t>minim 2%</w:t>
      </w:r>
      <w:r>
        <w:rPr>
          <w:rFonts w:asciiTheme="majorHAnsi" w:hAnsiTheme="majorHAnsi" w:cstheme="majorHAnsi"/>
          <w:sz w:val="24"/>
          <w:szCs w:val="24"/>
          <w:lang w:val="ro-RO"/>
        </w:rPr>
        <w:t xml:space="preserve"> din valoarea anuala a contractului de delegare repartizat ponderat in fiecare tarif inclus in pretul contractului</w:t>
      </w:r>
    </w:p>
    <w:p w14:paraId="096C1C27">
      <w:pPr>
        <w:widowControl w:val="0"/>
        <w:numPr>
          <w:ilvl w:val="0"/>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Facturarea serviciilor prestate se va efectua in conformitate cu prevederile capitolului VI din Ordinul 640/2022 după cum urmează:</w:t>
      </w:r>
    </w:p>
    <w:p w14:paraId="1380BAA5">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pentru Colectarea separată și transportul deșeurilor menajere și similare contravaloarea prestării serviciului va fi acoperită prin facturarea </w:t>
      </w:r>
    </w:p>
    <w:p w14:paraId="4C850171">
      <w:pPr>
        <w:widowControl w:val="0"/>
        <w:numPr>
          <w:ilvl w:val="2"/>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Către fiecare </w:t>
      </w:r>
      <w:r>
        <w:rPr>
          <w:rFonts w:eastAsia="Calibri" w:asciiTheme="majorHAnsi" w:hAnsiTheme="majorHAnsi" w:cstheme="majorHAnsi"/>
          <w:bCs/>
          <w:sz w:val="24"/>
          <w:szCs w:val="24"/>
          <w:lang w:val="ro-RO"/>
        </w:rPr>
        <w:t xml:space="preserve">fiecare UAT </w:t>
      </w:r>
      <w:r>
        <w:rPr>
          <w:rFonts w:asciiTheme="majorHAnsi" w:hAnsiTheme="majorHAnsi" w:cstheme="majorHAnsi"/>
          <w:sz w:val="24"/>
          <w:szCs w:val="24"/>
          <w:lang w:val="ro-RO"/>
        </w:rPr>
        <w:t>din zona delegata in baza mecanismul de plata Taxa</w:t>
      </w:r>
      <w:r>
        <w:rPr>
          <w:rFonts w:eastAsia="Calibri" w:asciiTheme="majorHAnsi" w:hAnsiTheme="majorHAnsi" w:cstheme="majorHAnsi"/>
          <w:bCs/>
          <w:sz w:val="24"/>
          <w:szCs w:val="24"/>
          <w:lang w:val="ro-RO"/>
        </w:rPr>
        <w:t>;</w:t>
      </w:r>
    </w:p>
    <w:p w14:paraId="25951A0E">
      <w:pPr>
        <w:widowControl w:val="0"/>
        <w:numPr>
          <w:ilvl w:val="2"/>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pentru deșeurile similare facturile urmând a fi emise către fiecare utilizator în baza contractului individual;</w:t>
      </w:r>
    </w:p>
    <w:p w14:paraId="641541EE">
      <w:pPr>
        <w:widowControl w:val="0"/>
        <w:numPr>
          <w:ilvl w:val="1"/>
          <w:numId w:val="18"/>
        </w:numPr>
        <w:spacing w:after="0" w:line="240" w:lineRule="auto"/>
        <w:jc w:val="both"/>
        <w:rPr>
          <w:rFonts w:asciiTheme="majorHAnsi" w:hAnsiTheme="majorHAnsi" w:cstheme="majorHAnsi"/>
          <w:strike/>
          <w:sz w:val="24"/>
          <w:szCs w:val="24"/>
          <w:lang w:val="ro-RO"/>
        </w:rPr>
      </w:pPr>
      <w:r>
        <w:rPr>
          <w:rFonts w:asciiTheme="majorHAnsi" w:hAnsiTheme="majorHAnsi" w:cstheme="majorHAnsi"/>
          <w:sz w:val="24"/>
          <w:szCs w:val="24"/>
          <w:lang w:val="ro-RO"/>
        </w:rPr>
        <w:t>Pentru colectarea deșeurilor abandonate pe domeniul public contravaloarea prestării serviciului va fi acoperită prin facturarea către UAT ul de pe raza căruia au fost colectate deșeurile în conditiile prezentei documentatii.</w:t>
      </w:r>
    </w:p>
    <w:p w14:paraId="1E8F462B">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14:paraId="79839903">
      <w:pPr>
        <w:widowControl w:val="0"/>
        <w:numPr>
          <w:ilvl w:val="1"/>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pentru colectarea și transportul deșeurilor</w:t>
      </w:r>
      <w:r>
        <w:rPr>
          <w:rFonts w:asciiTheme="majorHAnsi" w:hAnsiTheme="majorHAnsi" w:cstheme="majorHAnsi"/>
          <w:strike/>
          <w:sz w:val="24"/>
          <w:szCs w:val="24"/>
          <w:lang w:val="ro-RO"/>
        </w:rPr>
        <w:t>,</w:t>
      </w:r>
      <w:r>
        <w:rPr>
          <w:rFonts w:asciiTheme="majorHAnsi" w:hAnsiTheme="majorHAnsi" w:cstheme="majorHAnsi"/>
          <w:sz w:val="24"/>
          <w:szCs w:val="24"/>
          <w:lang w:val="ro-RO"/>
        </w:rPr>
        <w:t xml:space="preserve"> generate de activități de reamenajare și reabilitare interioară și/sau exterioară a acestora facturile urmând a fi emise către utilizatori casnici si non casnici - „sistem la cerere”</w:t>
      </w:r>
    </w:p>
    <w:p w14:paraId="1B31F8D9">
      <w:pPr>
        <w:pStyle w:val="164"/>
        <w:spacing w:after="0" w:line="240" w:lineRule="auto"/>
        <w:ind w:left="1080"/>
        <w:jc w:val="both"/>
        <w:rPr>
          <w:rFonts w:asciiTheme="majorHAnsi" w:hAnsiTheme="majorHAnsi" w:cstheme="majorHAnsi"/>
          <w:sz w:val="24"/>
          <w:szCs w:val="24"/>
          <w:lang w:val="ro-RO"/>
        </w:rPr>
      </w:pPr>
    </w:p>
    <w:p w14:paraId="02CBBA80">
      <w:pPr>
        <w:pStyle w:val="164"/>
        <w:numPr>
          <w:ilvl w:val="0"/>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-Valoarea redevenţei este de </w:t>
      </w:r>
      <w:r>
        <w:rPr>
          <w:rFonts w:asciiTheme="majorHAnsi" w:hAnsiTheme="majorHAnsi" w:cstheme="majorHAnsi"/>
          <w:b/>
          <w:bCs/>
          <w:sz w:val="24"/>
          <w:szCs w:val="24"/>
          <w:lang w:val="ro-RO"/>
        </w:rPr>
        <w:t>215 695</w:t>
      </w:r>
      <w:r>
        <w:rPr>
          <w:rStyle w:val="24"/>
          <w:rFonts w:asciiTheme="majorHAnsi" w:hAnsiTheme="majorHAnsi" w:cstheme="majorHAnsi"/>
          <w:b/>
          <w:bCs/>
          <w:sz w:val="24"/>
          <w:szCs w:val="24"/>
          <w:lang w:val="ro-RO"/>
        </w:rPr>
        <w:footnoteReference w:id="3"/>
      </w:r>
      <w:r>
        <w:rPr>
          <w:rFonts w:asciiTheme="majorHAnsi" w:hAnsiTheme="majorHAnsi" w:cstheme="majorHAnsi"/>
          <w:b/>
          <w:bCs/>
          <w:sz w:val="24"/>
          <w:szCs w:val="24"/>
          <w:lang w:val="ro-RO"/>
        </w:rPr>
        <w:t xml:space="preserve"> +39 324</w:t>
      </w:r>
      <w:r>
        <w:rPr>
          <w:rStyle w:val="24"/>
          <w:rFonts w:asciiTheme="majorHAnsi" w:hAnsiTheme="majorHAnsi" w:cstheme="majorHAnsi"/>
          <w:b/>
          <w:bCs/>
          <w:sz w:val="24"/>
          <w:szCs w:val="24"/>
          <w:lang w:val="ro-RO"/>
        </w:rPr>
        <w:footnoteReference w:id="4"/>
      </w:r>
      <w:r>
        <w:rPr>
          <w:rFonts w:asciiTheme="majorHAnsi" w:hAnsiTheme="majorHAnsi" w:cstheme="majorHAnsi"/>
          <w:b/>
          <w:bCs/>
          <w:sz w:val="24"/>
          <w:szCs w:val="24"/>
          <w:lang w:val="ro-RO"/>
        </w:rPr>
        <w:t xml:space="preserve"> </w:t>
      </w:r>
      <w:r>
        <w:rPr>
          <w:rFonts w:asciiTheme="majorHAnsi" w:hAnsiTheme="majorHAnsi" w:cstheme="majorHAnsi"/>
          <w:sz w:val="24"/>
          <w:szCs w:val="24"/>
          <w:lang w:val="ro-RO"/>
        </w:rPr>
        <w:t xml:space="preserve">lei/ an și va fi plătită în transe trimestriale egale în contul/conturile notificate de Delegatar, până la data de 15 ale primei luni următoare trimestrului pentru care trebuie efectuată plata. Plata redevenței pentru primul trimestru va fi efectuată înainte de data de 15 a celei de-a patra luni calculate de la Data de începere a Contractului și așa mai departe. În cazul în care Delegatul nu efectuează plata redevenței datorată Delegatarului în termenul prevăzut mai sus Delegatul va plăti penalități de întârziere în cuantum de 0,01% din suma datorată pentru fiecare zi de întârziere. Cuantumul redevenței se va actualiza anual cu indicele prețurilor de consum  (”IPC”) comunicat de Institutul Naţional de Statistică și nu depinde de cantitățile colectate. </w:t>
      </w:r>
    </w:p>
    <w:p w14:paraId="4C749B4E">
      <w:pPr>
        <w:pStyle w:val="164"/>
        <w:spacing w:after="0" w:line="240" w:lineRule="auto"/>
        <w:ind w:left="360"/>
        <w:jc w:val="both"/>
        <w:rPr>
          <w:rFonts w:asciiTheme="majorHAnsi" w:hAnsiTheme="majorHAnsi" w:cstheme="majorHAnsi"/>
          <w:sz w:val="24"/>
          <w:szCs w:val="24"/>
          <w:lang w:val="ro-RO"/>
        </w:rPr>
      </w:pPr>
    </w:p>
    <w:p w14:paraId="0043CA35">
      <w:pPr>
        <w:pStyle w:val="164"/>
        <w:numPr>
          <w:ilvl w:val="0"/>
          <w:numId w:val="18"/>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Anexele 1-7  -  fac parte integrantă din prezentul Caiet de sarcini-cadru.</w:t>
      </w:r>
    </w:p>
    <w:p w14:paraId="09322FE2">
      <w:pPr>
        <w:spacing w:after="0" w:line="240" w:lineRule="auto"/>
        <w:jc w:val="both"/>
        <w:rPr>
          <w:rFonts w:asciiTheme="majorHAnsi" w:hAnsiTheme="majorHAnsi" w:cstheme="majorHAnsi"/>
          <w:sz w:val="24"/>
          <w:szCs w:val="24"/>
          <w:lang w:val="ro-RO"/>
        </w:rPr>
      </w:pPr>
    </w:p>
    <w:p w14:paraId="7E157BF9">
      <w:pPr>
        <w:spacing w:after="0" w:line="240" w:lineRule="auto"/>
        <w:jc w:val="both"/>
        <w:rPr>
          <w:rFonts w:asciiTheme="majorHAnsi" w:hAnsiTheme="majorHAnsi" w:cstheme="majorHAnsi"/>
          <w:sz w:val="24"/>
          <w:szCs w:val="24"/>
          <w:lang w:val="ro-RO"/>
        </w:rPr>
      </w:pPr>
    </w:p>
    <w:p w14:paraId="1538D9DD">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XVII Riscuri</w:t>
      </w:r>
    </w:p>
    <w:p w14:paraId="6B9020C4">
      <w:pPr>
        <w:spacing w:after="0" w:line="240" w:lineRule="auto"/>
        <w:jc w:val="both"/>
        <w:rPr>
          <w:rFonts w:asciiTheme="majorHAnsi" w:hAnsiTheme="majorHAnsi" w:cstheme="majorHAnsi"/>
          <w:sz w:val="24"/>
          <w:szCs w:val="24"/>
          <w:lang w:val="ro-RO"/>
        </w:rPr>
      </w:pPr>
    </w:p>
    <w:p w14:paraId="53FE913C">
      <w:pPr>
        <w:pStyle w:val="164"/>
        <w:spacing w:after="0" w:line="240" w:lineRule="auto"/>
        <w:ind w:left="360"/>
        <w:rPr>
          <w:rFonts w:asciiTheme="majorHAnsi" w:hAnsiTheme="majorHAnsi" w:cstheme="majorHAnsi"/>
          <w:sz w:val="24"/>
          <w:szCs w:val="24"/>
        </w:rPr>
      </w:pPr>
      <w:bookmarkStart w:id="4" w:name="_Toc163646234"/>
      <w:r>
        <w:rPr>
          <w:rFonts w:asciiTheme="majorHAnsi" w:hAnsiTheme="majorHAnsi" w:cstheme="majorHAnsi"/>
          <w:sz w:val="24"/>
          <w:szCs w:val="24"/>
        </w:rPr>
        <w:t>Riscuri ( Conform Legea 101/2006)</w:t>
      </w:r>
      <w:bookmarkEnd w:id="4"/>
    </w:p>
    <w:p w14:paraId="35DA3DFD">
      <w:pPr>
        <w:widowControl w:val="0"/>
        <w:tabs>
          <w:tab w:val="left" w:pos="3242"/>
        </w:tabs>
        <w:spacing w:after="0" w:line="240" w:lineRule="auto"/>
        <w:jc w:val="both"/>
        <w:rPr>
          <w:rFonts w:asciiTheme="majorHAnsi" w:hAnsiTheme="majorHAnsi" w:cstheme="majorHAnsi"/>
          <w:sz w:val="24"/>
          <w:szCs w:val="24"/>
          <w:lang w:val="ro-RO"/>
        </w:rPr>
      </w:pPr>
      <w:bookmarkStart w:id="5" w:name="_Toc328464714"/>
      <w:r>
        <w:rPr>
          <w:rFonts w:asciiTheme="majorHAnsi" w:hAnsiTheme="majorHAnsi" w:cstheme="majorHAnsi"/>
          <w:sz w:val="24"/>
          <w:szCs w:val="24"/>
          <w:lang w:val="ro-RO"/>
        </w:rPr>
        <w:t>La alocarea riscurilor a fost aplicată ca regulă generală aceea că riscul trebuie suportat de către partea care îl poate atenua în cea mai mare măsură și/sau care poate controla cel mai bine consecințele. Astfel, fiecare parte își va asuma riscuri pe care va fi în măsură să le gestioneze în vederea asigurării fezabilității economice a contractului.</w:t>
      </w:r>
    </w:p>
    <w:p w14:paraId="1088DBAB">
      <w:pPr>
        <w:widowControl w:val="0"/>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 tabelul de mai jos sunt prezentate riscurile identificate și modul de alocare a acestora.</w:t>
      </w:r>
    </w:p>
    <w:p w14:paraId="6D5FF0E8">
      <w:pPr>
        <w:widowControl w:val="0"/>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Trebuie precizat ca sunt excluse riscurile prevăzute în contractul dintre părți și pentru care există prevederi contractuale.</w:t>
      </w:r>
    </w:p>
    <w:p w14:paraId="14A9E08E">
      <w:pPr>
        <w:widowControl w:val="0"/>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Nu sunt considerate riscuri toate condițiile stipulate în Documentația de atribuire, condiții ce trebuie îndeplinite de către Delegat (ex. asigurarea cu personal, dotare minimală, autorizări și experiență relevantă, sisteme de management etc). În această categorie sunt cuprinse toate angajamentele asumate ca atare prin ofertă de către Delegat. Prin urmare, toate acestea sunt responsabilități exclusive ale Delegatului pe toată durata de derulare a Contractului.</w:t>
      </w:r>
    </w:p>
    <w:p w14:paraId="54186D32">
      <w:pPr>
        <w:widowControl w:val="0"/>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 tabelul de mai jos sunt prezentate riscurile asociate activității delegate.</w:t>
      </w:r>
    </w:p>
    <w:p w14:paraId="698ECAA8">
      <w:pPr>
        <w:spacing w:after="0" w:line="240" w:lineRule="auto"/>
        <w:rPr>
          <w:rFonts w:asciiTheme="majorHAnsi" w:hAnsiTheme="majorHAnsi" w:cstheme="majorHAnsi"/>
          <w:b/>
          <w:bCs/>
          <w:sz w:val="24"/>
          <w:szCs w:val="24"/>
          <w:lang w:eastAsia="en-GB"/>
        </w:rPr>
      </w:pPr>
    </w:p>
    <w:p w14:paraId="26018F89">
      <w:pPr>
        <w:spacing w:after="0" w:line="240" w:lineRule="auto"/>
        <w:rPr>
          <w:rFonts w:asciiTheme="majorHAnsi" w:hAnsiTheme="majorHAnsi" w:cstheme="majorHAnsi"/>
          <w:b/>
          <w:sz w:val="24"/>
          <w:szCs w:val="24"/>
        </w:rPr>
        <w:sectPr>
          <w:footerReference r:id="rId5" w:type="default"/>
          <w:pgSz w:w="11906" w:h="16838"/>
          <w:pgMar w:top="1134" w:right="851" w:bottom="851" w:left="1134" w:header="709" w:footer="408" w:gutter="0"/>
          <w:cols w:space="720" w:num="1"/>
          <w:docGrid w:linePitch="360" w:charSpace="0"/>
        </w:sectPr>
      </w:pPr>
    </w:p>
    <w:p w14:paraId="4472560F">
      <w:pPr>
        <w:spacing w:after="0" w:line="240" w:lineRule="auto"/>
        <w:rPr>
          <w:rFonts w:asciiTheme="majorHAnsi" w:hAnsiTheme="majorHAnsi" w:cstheme="majorHAnsi"/>
          <w:sz w:val="24"/>
          <w:szCs w:val="24"/>
          <w:lang w:eastAsia="en-GB"/>
        </w:rPr>
      </w:pPr>
    </w:p>
    <w:tbl>
      <w:tblPr>
        <w:tblStyle w:val="12"/>
        <w:tblW w:w="14787"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2592"/>
        <w:gridCol w:w="4168"/>
        <w:gridCol w:w="2045"/>
        <w:gridCol w:w="1074"/>
        <w:gridCol w:w="4284"/>
      </w:tblGrid>
      <w:tr w14:paraId="1F91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27" w:type="dxa"/>
            <w:vMerge w:val="restart"/>
            <w:shd w:val="clear" w:color="auto" w:fill="B6DDE8" w:themeFill="accent5" w:themeFillTint="66"/>
            <w:vAlign w:val="center"/>
          </w:tcPr>
          <w:p w14:paraId="715C6419">
            <w:pPr>
              <w:spacing w:after="0" w:line="240" w:lineRule="auto"/>
              <w:rPr>
                <w:rFonts w:asciiTheme="majorHAnsi" w:hAnsiTheme="majorHAnsi" w:cstheme="majorHAnsi"/>
                <w:b/>
                <w:sz w:val="24"/>
                <w:szCs w:val="24"/>
                <w:lang w:val="ro-RO"/>
              </w:rPr>
            </w:pPr>
            <w:r>
              <w:rPr>
                <w:rFonts w:asciiTheme="majorHAnsi" w:hAnsiTheme="majorHAnsi" w:cstheme="majorHAnsi"/>
                <w:b/>
                <w:sz w:val="24"/>
                <w:szCs w:val="24"/>
                <w:lang w:val="ro-RO"/>
              </w:rPr>
              <w:t>Nr.</w:t>
            </w:r>
          </w:p>
        </w:tc>
        <w:tc>
          <w:tcPr>
            <w:tcW w:w="2606" w:type="dxa"/>
            <w:vMerge w:val="restart"/>
            <w:shd w:val="clear" w:color="auto" w:fill="B6DDE8" w:themeFill="accent5" w:themeFillTint="66"/>
            <w:vAlign w:val="center"/>
          </w:tcPr>
          <w:p w14:paraId="00790D72">
            <w:pPr>
              <w:spacing w:after="0" w:line="240" w:lineRule="auto"/>
              <w:rPr>
                <w:rFonts w:asciiTheme="majorHAnsi" w:hAnsiTheme="majorHAnsi" w:cstheme="majorHAnsi"/>
                <w:b/>
                <w:sz w:val="24"/>
                <w:szCs w:val="24"/>
                <w:lang w:val="ro-RO"/>
              </w:rPr>
            </w:pPr>
            <w:r>
              <w:rPr>
                <w:rFonts w:asciiTheme="majorHAnsi" w:hAnsiTheme="majorHAnsi" w:cstheme="majorHAnsi"/>
                <w:b/>
                <w:sz w:val="24"/>
                <w:szCs w:val="24"/>
                <w:lang w:val="ro-RO"/>
              </w:rPr>
              <w:t>Denumirea riscului</w:t>
            </w:r>
          </w:p>
        </w:tc>
        <w:tc>
          <w:tcPr>
            <w:tcW w:w="4221" w:type="dxa"/>
            <w:vMerge w:val="restart"/>
            <w:shd w:val="clear" w:color="auto" w:fill="B6DDE8" w:themeFill="accent5" w:themeFillTint="66"/>
            <w:vAlign w:val="center"/>
          </w:tcPr>
          <w:p w14:paraId="3F05735B">
            <w:pPr>
              <w:spacing w:after="0" w:line="240" w:lineRule="auto"/>
              <w:rPr>
                <w:rFonts w:asciiTheme="majorHAnsi" w:hAnsiTheme="majorHAnsi" w:cstheme="majorHAnsi"/>
                <w:b/>
                <w:sz w:val="24"/>
                <w:szCs w:val="24"/>
                <w:lang w:val="ro-RO"/>
              </w:rPr>
            </w:pPr>
            <w:r>
              <w:rPr>
                <w:rFonts w:asciiTheme="majorHAnsi" w:hAnsiTheme="majorHAnsi" w:cstheme="majorHAnsi"/>
                <w:b/>
                <w:sz w:val="24"/>
                <w:szCs w:val="24"/>
                <w:lang w:val="ro-RO"/>
              </w:rPr>
              <w:t>Descrierea riscului</w:t>
            </w:r>
          </w:p>
        </w:tc>
        <w:tc>
          <w:tcPr>
            <w:tcW w:w="2994" w:type="dxa"/>
            <w:gridSpan w:val="2"/>
            <w:shd w:val="clear" w:color="auto" w:fill="B6DDE8" w:themeFill="accent5" w:themeFillTint="66"/>
            <w:vAlign w:val="center"/>
          </w:tcPr>
          <w:p w14:paraId="4F273297">
            <w:pPr>
              <w:spacing w:after="0" w:line="240" w:lineRule="auto"/>
              <w:jc w:val="center"/>
              <w:rPr>
                <w:rFonts w:asciiTheme="majorHAnsi" w:hAnsiTheme="majorHAnsi" w:cstheme="majorHAnsi"/>
                <w:sz w:val="24"/>
                <w:szCs w:val="24"/>
                <w:lang w:val="ro-RO"/>
              </w:rPr>
            </w:pPr>
            <w:r>
              <w:rPr>
                <w:rFonts w:asciiTheme="majorHAnsi" w:hAnsiTheme="majorHAnsi" w:cstheme="majorHAnsi"/>
                <w:b/>
                <w:sz w:val="24"/>
                <w:szCs w:val="24"/>
                <w:lang w:val="ro-RO"/>
              </w:rPr>
              <w:t>Alocare</w:t>
            </w:r>
          </w:p>
        </w:tc>
        <w:tc>
          <w:tcPr>
            <w:tcW w:w="4339" w:type="dxa"/>
            <w:vMerge w:val="restart"/>
            <w:shd w:val="clear" w:color="auto" w:fill="B6DDE8" w:themeFill="accent5" w:themeFillTint="66"/>
            <w:vAlign w:val="center"/>
          </w:tcPr>
          <w:p w14:paraId="2DCCA991">
            <w:pPr>
              <w:spacing w:after="0" w:line="240" w:lineRule="auto"/>
              <w:rPr>
                <w:rFonts w:asciiTheme="majorHAnsi" w:hAnsiTheme="majorHAnsi" w:cstheme="majorHAnsi"/>
                <w:b/>
                <w:sz w:val="24"/>
                <w:szCs w:val="24"/>
                <w:lang w:val="ro-RO"/>
              </w:rPr>
            </w:pPr>
            <w:r>
              <w:rPr>
                <w:rFonts w:asciiTheme="majorHAnsi" w:hAnsiTheme="majorHAnsi" w:cstheme="majorHAnsi"/>
                <w:b/>
                <w:sz w:val="24"/>
                <w:szCs w:val="24"/>
                <w:lang w:val="ro-RO"/>
              </w:rPr>
              <w:t>Managementul riscului</w:t>
            </w:r>
          </w:p>
        </w:tc>
      </w:tr>
      <w:tr w14:paraId="662C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27" w:type="dxa"/>
            <w:vMerge w:val="continue"/>
            <w:vAlign w:val="center"/>
          </w:tcPr>
          <w:p w14:paraId="3BC82986">
            <w:pPr>
              <w:spacing w:after="0" w:line="240" w:lineRule="auto"/>
              <w:rPr>
                <w:rFonts w:asciiTheme="majorHAnsi" w:hAnsiTheme="majorHAnsi" w:cstheme="majorHAnsi"/>
                <w:sz w:val="24"/>
                <w:szCs w:val="24"/>
                <w:lang w:val="ro-RO"/>
              </w:rPr>
            </w:pPr>
          </w:p>
        </w:tc>
        <w:tc>
          <w:tcPr>
            <w:tcW w:w="2606" w:type="dxa"/>
            <w:vMerge w:val="continue"/>
            <w:vAlign w:val="center"/>
          </w:tcPr>
          <w:p w14:paraId="08EDE043">
            <w:pPr>
              <w:spacing w:after="0" w:line="240" w:lineRule="auto"/>
              <w:rPr>
                <w:rFonts w:asciiTheme="majorHAnsi" w:hAnsiTheme="majorHAnsi" w:cstheme="majorHAnsi"/>
                <w:sz w:val="24"/>
                <w:szCs w:val="24"/>
                <w:lang w:val="ro-RO"/>
              </w:rPr>
            </w:pPr>
          </w:p>
        </w:tc>
        <w:tc>
          <w:tcPr>
            <w:tcW w:w="4221" w:type="dxa"/>
            <w:vMerge w:val="continue"/>
          </w:tcPr>
          <w:p w14:paraId="28C11101">
            <w:pPr>
              <w:spacing w:after="0" w:line="240" w:lineRule="auto"/>
              <w:rPr>
                <w:rFonts w:asciiTheme="majorHAnsi" w:hAnsiTheme="majorHAnsi" w:cstheme="majorHAnsi"/>
                <w:sz w:val="24"/>
                <w:szCs w:val="24"/>
                <w:lang w:val="ro-RO"/>
              </w:rPr>
            </w:pPr>
          </w:p>
        </w:tc>
        <w:tc>
          <w:tcPr>
            <w:tcW w:w="1917" w:type="dxa"/>
            <w:shd w:val="clear" w:color="auto" w:fill="B6DDE8" w:themeFill="accent5" w:themeFillTint="66"/>
            <w:vAlign w:val="center"/>
          </w:tcPr>
          <w:p w14:paraId="11B622B7">
            <w:pPr>
              <w:spacing w:after="0" w:line="240" w:lineRule="auto"/>
              <w:rPr>
                <w:rFonts w:asciiTheme="majorHAnsi" w:hAnsiTheme="majorHAnsi" w:cstheme="majorHAnsi"/>
                <w:b/>
                <w:sz w:val="24"/>
                <w:szCs w:val="24"/>
                <w:lang w:val="ro-RO"/>
              </w:rPr>
            </w:pPr>
            <w:r>
              <w:rPr>
                <w:rFonts w:asciiTheme="majorHAnsi" w:hAnsiTheme="majorHAnsi" w:cstheme="majorHAnsi"/>
                <w:b/>
                <w:sz w:val="24"/>
                <w:szCs w:val="24"/>
                <w:lang w:val="ro-RO"/>
              </w:rPr>
              <w:t>Autoritatea Contractanta/UAT</w:t>
            </w:r>
          </w:p>
        </w:tc>
        <w:tc>
          <w:tcPr>
            <w:tcW w:w="1077" w:type="dxa"/>
            <w:shd w:val="clear" w:color="auto" w:fill="B6DDE8" w:themeFill="accent5" w:themeFillTint="66"/>
            <w:vAlign w:val="center"/>
          </w:tcPr>
          <w:p w14:paraId="135E87AC">
            <w:pPr>
              <w:spacing w:after="0" w:line="240" w:lineRule="auto"/>
              <w:rPr>
                <w:rFonts w:asciiTheme="majorHAnsi" w:hAnsiTheme="majorHAnsi" w:cstheme="majorHAnsi"/>
                <w:b/>
                <w:sz w:val="24"/>
                <w:szCs w:val="24"/>
                <w:lang w:val="ro-RO"/>
              </w:rPr>
            </w:pPr>
            <w:r>
              <w:rPr>
                <w:rFonts w:asciiTheme="majorHAnsi" w:hAnsiTheme="majorHAnsi" w:cstheme="majorHAnsi"/>
                <w:b/>
                <w:sz w:val="24"/>
                <w:szCs w:val="24"/>
                <w:lang w:val="ro-RO"/>
              </w:rPr>
              <w:t>Delegat</w:t>
            </w:r>
          </w:p>
        </w:tc>
        <w:tc>
          <w:tcPr>
            <w:tcW w:w="4339" w:type="dxa"/>
            <w:vMerge w:val="continue"/>
          </w:tcPr>
          <w:p w14:paraId="2C878603">
            <w:pPr>
              <w:spacing w:after="0" w:line="240" w:lineRule="auto"/>
              <w:rPr>
                <w:rFonts w:asciiTheme="majorHAnsi" w:hAnsiTheme="majorHAnsi" w:cstheme="majorHAnsi"/>
                <w:sz w:val="24"/>
                <w:szCs w:val="24"/>
                <w:lang w:val="ro-RO"/>
              </w:rPr>
            </w:pPr>
          </w:p>
        </w:tc>
      </w:tr>
      <w:tr w14:paraId="61A1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7" w:type="dxa"/>
            <w:gridSpan w:val="6"/>
          </w:tcPr>
          <w:p w14:paraId="62C95A7D">
            <w:pPr>
              <w:spacing w:after="0" w:line="240" w:lineRule="auto"/>
              <w:rPr>
                <w:rFonts w:asciiTheme="majorHAnsi" w:hAnsiTheme="majorHAnsi" w:cstheme="majorHAnsi"/>
                <w:b/>
                <w:i/>
                <w:sz w:val="24"/>
                <w:szCs w:val="24"/>
                <w:lang w:val="ro-RO"/>
              </w:rPr>
            </w:pPr>
            <w:r>
              <w:rPr>
                <w:rFonts w:asciiTheme="majorHAnsi" w:hAnsiTheme="majorHAnsi" w:cstheme="majorHAnsi"/>
                <w:b/>
                <w:i/>
                <w:sz w:val="24"/>
                <w:szCs w:val="24"/>
                <w:lang w:val="ro-RO"/>
              </w:rPr>
              <w:t>RISCURI ASOCIATE PUNERII în EXECUTARE A CONTRACTULUI</w:t>
            </w:r>
          </w:p>
        </w:tc>
      </w:tr>
      <w:tr w14:paraId="1762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8029CB4">
            <w:pPr>
              <w:numPr>
                <w:ilvl w:val="0"/>
                <w:numId w:val="19"/>
              </w:numPr>
              <w:spacing w:after="0" w:line="240" w:lineRule="auto"/>
              <w:rPr>
                <w:rFonts w:asciiTheme="majorHAnsi" w:hAnsiTheme="majorHAnsi" w:cstheme="majorHAnsi"/>
                <w:sz w:val="24"/>
                <w:szCs w:val="24"/>
                <w:lang w:val="ro-RO"/>
              </w:rPr>
            </w:pPr>
          </w:p>
        </w:tc>
        <w:tc>
          <w:tcPr>
            <w:tcW w:w="2606" w:type="dxa"/>
          </w:tcPr>
          <w:p w14:paraId="67425D6F">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Dificultăți financiare ale Operatorului  - risc de ofertă </w:t>
            </w:r>
          </w:p>
        </w:tc>
        <w:tc>
          <w:tcPr>
            <w:tcW w:w="4221" w:type="dxa"/>
          </w:tcPr>
          <w:p w14:paraId="7807666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Operatorul nu poate efectua prestațiile conform contractului, ceea ce conduce la imposibilitatea efectuării activităților</w:t>
            </w:r>
          </w:p>
        </w:tc>
        <w:tc>
          <w:tcPr>
            <w:tcW w:w="1917" w:type="dxa"/>
            <w:vAlign w:val="center"/>
          </w:tcPr>
          <w:p w14:paraId="4EF17482">
            <w:pPr>
              <w:spacing w:after="0" w:line="240" w:lineRule="auto"/>
              <w:jc w:val="center"/>
              <w:rPr>
                <w:rFonts w:asciiTheme="majorHAnsi" w:hAnsiTheme="majorHAnsi" w:cstheme="majorHAnsi"/>
                <w:sz w:val="24"/>
                <w:szCs w:val="24"/>
                <w:lang w:val="ro-RO"/>
              </w:rPr>
            </w:pPr>
          </w:p>
        </w:tc>
        <w:tc>
          <w:tcPr>
            <w:tcW w:w="1077" w:type="dxa"/>
            <w:vAlign w:val="center"/>
          </w:tcPr>
          <w:p w14:paraId="200F8475">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0E593F32">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Autoritatea contractantă trebuie să examineze în detaliu, în faza de ofertare, capacitatea viitorului Delegat de a îndeplini cu succes contractul.</w:t>
            </w:r>
          </w:p>
          <w:p w14:paraId="10DA079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După începerea contractului, este obligația operatorului să-și asigure stabilitatea financiară</w:t>
            </w:r>
          </w:p>
        </w:tc>
      </w:tr>
      <w:tr w14:paraId="688D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8CBDCAA">
            <w:pPr>
              <w:numPr>
                <w:ilvl w:val="0"/>
                <w:numId w:val="19"/>
              </w:numPr>
              <w:spacing w:after="0" w:line="240" w:lineRule="auto"/>
              <w:rPr>
                <w:rFonts w:asciiTheme="majorHAnsi" w:hAnsiTheme="majorHAnsi" w:cstheme="majorHAnsi"/>
                <w:sz w:val="24"/>
                <w:szCs w:val="24"/>
                <w:lang w:val="ro-RO"/>
              </w:rPr>
            </w:pPr>
          </w:p>
        </w:tc>
        <w:tc>
          <w:tcPr>
            <w:tcW w:w="2606" w:type="dxa"/>
          </w:tcPr>
          <w:p w14:paraId="7FDD3F8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Întârzieri la autorizarea activității – risc de ofertă </w:t>
            </w:r>
          </w:p>
        </w:tc>
        <w:tc>
          <w:tcPr>
            <w:tcW w:w="4221" w:type="dxa"/>
          </w:tcPr>
          <w:p w14:paraId="65DAC262">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 xml:space="preserve">Activitatea de colectare deșeurilor necesită obținerea unor autorizări cel puțin din punct de vedere al protecției mediului. </w:t>
            </w:r>
          </w:p>
          <w:p w14:paraId="14600731">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În anumite situații pot exista întârzieri în autorizarea activității și apărea costuri suplimentare (impuse de autoritățile competente), care nu au fost luate în calcul la realizarea ofertei. </w:t>
            </w:r>
          </w:p>
        </w:tc>
        <w:tc>
          <w:tcPr>
            <w:tcW w:w="1917" w:type="dxa"/>
            <w:vAlign w:val="center"/>
          </w:tcPr>
          <w:p w14:paraId="43009142">
            <w:pPr>
              <w:spacing w:after="0" w:line="240" w:lineRule="auto"/>
              <w:jc w:val="center"/>
              <w:rPr>
                <w:rFonts w:asciiTheme="majorHAnsi" w:hAnsiTheme="majorHAnsi" w:cstheme="majorHAnsi"/>
                <w:sz w:val="24"/>
                <w:szCs w:val="24"/>
                <w:lang w:val="ro-RO"/>
              </w:rPr>
            </w:pPr>
          </w:p>
        </w:tc>
        <w:tc>
          <w:tcPr>
            <w:tcW w:w="1077" w:type="dxa"/>
            <w:vAlign w:val="center"/>
          </w:tcPr>
          <w:p w14:paraId="07D15C22">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05C83EF3">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 xml:space="preserve">Analizând toate posibilele implicații, reglementările la nivel local, Operatorul trebuie sa analizeze cu atenție amplasamentele zonei de operare. </w:t>
            </w:r>
          </w:p>
          <w:p w14:paraId="6E23A566">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Eventualele costuri suplimentare vor fi suportate în întregime de către Operator, fără a fi îndreptățit de a solicita o ajustare de tarif. </w:t>
            </w:r>
          </w:p>
        </w:tc>
      </w:tr>
      <w:tr w14:paraId="06AE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BC1B602">
            <w:pPr>
              <w:numPr>
                <w:ilvl w:val="0"/>
                <w:numId w:val="19"/>
              </w:numPr>
              <w:spacing w:after="0" w:line="240" w:lineRule="auto"/>
              <w:rPr>
                <w:rFonts w:asciiTheme="majorHAnsi" w:hAnsiTheme="majorHAnsi" w:cstheme="majorHAnsi"/>
                <w:sz w:val="24"/>
                <w:szCs w:val="24"/>
                <w:lang w:val="ro-RO"/>
              </w:rPr>
            </w:pPr>
          </w:p>
        </w:tc>
        <w:tc>
          <w:tcPr>
            <w:tcW w:w="2606" w:type="dxa"/>
          </w:tcPr>
          <w:p w14:paraId="21701AD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Traseele de colectare stabilite în perioada de mobilizare necesita ajustări</w:t>
            </w:r>
          </w:p>
        </w:tc>
        <w:tc>
          <w:tcPr>
            <w:tcW w:w="4221" w:type="dxa"/>
          </w:tcPr>
          <w:p w14:paraId="64C22861">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In cazul în care delegatul nu cunoaște în detaliu zona în care va presta serviciul de colectare a deșeurilor, traseele propuse de acesta pot necesita modificări în vederea unei organizări mai eficiente a serviciului</w:t>
            </w:r>
          </w:p>
        </w:tc>
        <w:tc>
          <w:tcPr>
            <w:tcW w:w="1917" w:type="dxa"/>
            <w:vAlign w:val="center"/>
          </w:tcPr>
          <w:p w14:paraId="07940AA0">
            <w:pPr>
              <w:spacing w:after="0" w:line="240" w:lineRule="auto"/>
              <w:jc w:val="center"/>
              <w:rPr>
                <w:rFonts w:asciiTheme="majorHAnsi" w:hAnsiTheme="majorHAnsi" w:cstheme="majorHAnsi"/>
                <w:sz w:val="24"/>
                <w:szCs w:val="24"/>
                <w:lang w:val="ro-RO"/>
              </w:rPr>
            </w:pPr>
          </w:p>
        </w:tc>
        <w:tc>
          <w:tcPr>
            <w:tcW w:w="1077" w:type="dxa"/>
            <w:vAlign w:val="center"/>
          </w:tcPr>
          <w:p w14:paraId="5568597E">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1F3E078C">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Documentația de atribuire va cuprinde informații detaliate privind punctele de colectare de unde Delegatul va colecta deșeurile</w:t>
            </w:r>
          </w:p>
          <w:p w14:paraId="29B4585B">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Pe parcursul întocmirii ofertei, cade în sarcina Delegatului verificarea situației din teren</w:t>
            </w:r>
          </w:p>
        </w:tc>
      </w:tr>
      <w:tr w14:paraId="0526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DB34E21">
            <w:pPr>
              <w:numPr>
                <w:ilvl w:val="0"/>
                <w:numId w:val="19"/>
              </w:numPr>
              <w:spacing w:after="0" w:line="240" w:lineRule="auto"/>
              <w:rPr>
                <w:rFonts w:asciiTheme="majorHAnsi" w:hAnsiTheme="majorHAnsi" w:cstheme="majorHAnsi"/>
                <w:sz w:val="24"/>
                <w:szCs w:val="24"/>
                <w:lang w:val="ro-RO"/>
              </w:rPr>
            </w:pPr>
          </w:p>
        </w:tc>
        <w:tc>
          <w:tcPr>
            <w:tcW w:w="2606" w:type="dxa"/>
          </w:tcPr>
          <w:p w14:paraId="12C93E3A">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Incompatibilități intre echipamentele de colectare și condițiile din teren</w:t>
            </w:r>
          </w:p>
        </w:tc>
        <w:tc>
          <w:tcPr>
            <w:tcW w:w="4221" w:type="dxa"/>
          </w:tcPr>
          <w:p w14:paraId="4D6502D3">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Datorita incompatibilității dintre vehiculele de colectare și condițiile din teren (condițiile drumurilor, dimensiunile parții carosabile) serviciul nu poate fi prestat la standardele stabilite</w:t>
            </w:r>
          </w:p>
        </w:tc>
        <w:tc>
          <w:tcPr>
            <w:tcW w:w="1917" w:type="dxa"/>
            <w:vAlign w:val="center"/>
          </w:tcPr>
          <w:p w14:paraId="372A24A1">
            <w:pPr>
              <w:spacing w:after="0" w:line="240" w:lineRule="auto"/>
              <w:jc w:val="center"/>
              <w:rPr>
                <w:rFonts w:asciiTheme="majorHAnsi" w:hAnsiTheme="majorHAnsi" w:cstheme="majorHAnsi"/>
                <w:sz w:val="24"/>
                <w:szCs w:val="24"/>
                <w:lang w:val="ro-RO"/>
              </w:rPr>
            </w:pPr>
          </w:p>
        </w:tc>
        <w:tc>
          <w:tcPr>
            <w:tcW w:w="1077" w:type="dxa"/>
            <w:vAlign w:val="center"/>
          </w:tcPr>
          <w:p w14:paraId="66CC155E">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3E5CB208">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Pe parcursul întocmirii ofertei, cade în sarcina Delegatului verificarea situației din teren</w:t>
            </w:r>
          </w:p>
        </w:tc>
      </w:tr>
      <w:tr w14:paraId="6A3E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7" w:type="dxa"/>
            <w:gridSpan w:val="6"/>
          </w:tcPr>
          <w:p w14:paraId="389C964D">
            <w:pPr>
              <w:spacing w:after="0" w:line="240" w:lineRule="auto"/>
              <w:rPr>
                <w:rFonts w:asciiTheme="majorHAnsi" w:hAnsiTheme="majorHAnsi" w:cstheme="majorHAnsi"/>
                <w:b/>
                <w:i/>
                <w:sz w:val="24"/>
                <w:szCs w:val="24"/>
                <w:lang w:val="ro-RO"/>
              </w:rPr>
            </w:pPr>
            <w:r>
              <w:rPr>
                <w:rFonts w:asciiTheme="majorHAnsi" w:hAnsiTheme="majorHAnsi" w:cstheme="majorHAnsi"/>
                <w:b/>
                <w:i/>
                <w:sz w:val="24"/>
                <w:szCs w:val="24"/>
                <w:lang w:val="ro-RO"/>
              </w:rPr>
              <w:t>RISCURI ASOCIATE PERIOADEI DE OPERARE</w:t>
            </w:r>
          </w:p>
        </w:tc>
      </w:tr>
      <w:tr w14:paraId="352D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96F79FB">
            <w:pPr>
              <w:numPr>
                <w:ilvl w:val="0"/>
                <w:numId w:val="19"/>
              </w:numPr>
              <w:spacing w:after="0" w:line="240" w:lineRule="auto"/>
              <w:rPr>
                <w:rFonts w:asciiTheme="majorHAnsi" w:hAnsiTheme="majorHAnsi" w:cstheme="majorHAnsi"/>
                <w:sz w:val="24"/>
                <w:szCs w:val="24"/>
                <w:lang w:val="ro-RO"/>
              </w:rPr>
            </w:pPr>
          </w:p>
        </w:tc>
        <w:tc>
          <w:tcPr>
            <w:tcW w:w="2606" w:type="dxa"/>
          </w:tcPr>
          <w:p w14:paraId="14A73CF8">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Resurse</w:t>
            </w:r>
          </w:p>
        </w:tc>
        <w:tc>
          <w:tcPr>
            <w:tcW w:w="4221" w:type="dxa"/>
          </w:tcPr>
          <w:p w14:paraId="6EDAC511">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Resursele necesare pentru operare costa mai mult decât estimările inițiale</w:t>
            </w:r>
          </w:p>
        </w:tc>
        <w:tc>
          <w:tcPr>
            <w:tcW w:w="1917" w:type="dxa"/>
            <w:vAlign w:val="center"/>
          </w:tcPr>
          <w:p w14:paraId="59C7083F">
            <w:pPr>
              <w:spacing w:after="0" w:line="240" w:lineRule="auto"/>
              <w:jc w:val="center"/>
              <w:rPr>
                <w:rFonts w:asciiTheme="majorHAnsi" w:hAnsiTheme="majorHAnsi" w:cstheme="majorHAnsi"/>
                <w:sz w:val="24"/>
                <w:szCs w:val="24"/>
                <w:lang w:val="ro-RO"/>
              </w:rPr>
            </w:pPr>
          </w:p>
        </w:tc>
        <w:tc>
          <w:tcPr>
            <w:tcW w:w="1077" w:type="dxa"/>
            <w:vAlign w:val="center"/>
          </w:tcPr>
          <w:p w14:paraId="43944874">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2AAC75BD">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Delegatul trebuie sa facă estimarea costurilor cu celeritate, astfel încât sa evite eventualele pierderi</w:t>
            </w:r>
          </w:p>
        </w:tc>
      </w:tr>
      <w:tr w14:paraId="5C5B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3746409">
            <w:pPr>
              <w:numPr>
                <w:ilvl w:val="0"/>
                <w:numId w:val="19"/>
              </w:numPr>
              <w:spacing w:after="0" w:line="240" w:lineRule="auto"/>
              <w:rPr>
                <w:rFonts w:asciiTheme="majorHAnsi" w:hAnsiTheme="majorHAnsi" w:cstheme="majorHAnsi"/>
                <w:sz w:val="24"/>
                <w:szCs w:val="24"/>
                <w:lang w:val="ro-RO"/>
              </w:rPr>
            </w:pPr>
          </w:p>
        </w:tc>
        <w:tc>
          <w:tcPr>
            <w:tcW w:w="2606" w:type="dxa"/>
          </w:tcPr>
          <w:p w14:paraId="132E8790">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Întreținere și reparare echipamente</w:t>
            </w:r>
          </w:p>
        </w:tc>
        <w:tc>
          <w:tcPr>
            <w:tcW w:w="4221" w:type="dxa"/>
          </w:tcPr>
          <w:p w14:paraId="7B134E11">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Calitatea echipamentelor este necorespunzătoare având ca rezultat creșterea peste estimări a costurilor de întreținere și reparații</w:t>
            </w:r>
          </w:p>
        </w:tc>
        <w:tc>
          <w:tcPr>
            <w:tcW w:w="1917" w:type="dxa"/>
            <w:vAlign w:val="center"/>
          </w:tcPr>
          <w:p w14:paraId="2EA6C934">
            <w:pPr>
              <w:spacing w:after="0" w:line="240" w:lineRule="auto"/>
              <w:jc w:val="center"/>
              <w:rPr>
                <w:rFonts w:asciiTheme="majorHAnsi" w:hAnsiTheme="majorHAnsi" w:cstheme="majorHAnsi"/>
                <w:sz w:val="24"/>
                <w:szCs w:val="24"/>
                <w:lang w:val="ro-RO"/>
              </w:rPr>
            </w:pPr>
          </w:p>
        </w:tc>
        <w:tc>
          <w:tcPr>
            <w:tcW w:w="1077" w:type="dxa"/>
            <w:vAlign w:val="center"/>
          </w:tcPr>
          <w:p w14:paraId="4F81A070">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3AF4CCA4">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Delegatul are dreptul sa încheie contracte cu terți pentru întreținerea și repararea echipamentelor utilizate pentru prestarea serviciilor</w:t>
            </w:r>
          </w:p>
        </w:tc>
      </w:tr>
      <w:tr w14:paraId="474D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4079CB1C">
            <w:pPr>
              <w:numPr>
                <w:ilvl w:val="0"/>
                <w:numId w:val="19"/>
              </w:numPr>
              <w:spacing w:after="0" w:line="240" w:lineRule="auto"/>
              <w:rPr>
                <w:rFonts w:asciiTheme="majorHAnsi" w:hAnsiTheme="majorHAnsi" w:cstheme="majorHAnsi"/>
                <w:sz w:val="24"/>
                <w:szCs w:val="24"/>
                <w:lang w:val="ro-RO"/>
              </w:rPr>
            </w:pPr>
          </w:p>
        </w:tc>
        <w:tc>
          <w:tcPr>
            <w:tcW w:w="2606" w:type="dxa"/>
          </w:tcPr>
          <w:p w14:paraId="1B71CB9D">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Distrugeri a infrastructurii de colectare a deșeurilor</w:t>
            </w:r>
          </w:p>
        </w:tc>
        <w:tc>
          <w:tcPr>
            <w:tcW w:w="4221" w:type="dxa"/>
          </w:tcPr>
          <w:p w14:paraId="779D02B9">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Populația distruge un număr semnificativ de recipiente de colectare, delegatul nemaiputând sa-si deruleze activitatea respectând indicatorii prevăzuți în contract</w:t>
            </w:r>
          </w:p>
        </w:tc>
        <w:tc>
          <w:tcPr>
            <w:tcW w:w="1917" w:type="dxa"/>
            <w:vAlign w:val="center"/>
          </w:tcPr>
          <w:p w14:paraId="5D7E785A">
            <w:pPr>
              <w:spacing w:after="0" w:line="240" w:lineRule="auto"/>
              <w:jc w:val="center"/>
              <w:rPr>
                <w:rFonts w:asciiTheme="majorHAnsi" w:hAnsiTheme="majorHAnsi" w:cstheme="majorHAnsi"/>
                <w:sz w:val="24"/>
                <w:szCs w:val="24"/>
                <w:lang w:val="ro-RO"/>
              </w:rPr>
            </w:pPr>
            <w:r>
              <w:rPr>
                <w:rFonts w:asciiTheme="majorHAnsi" w:hAnsiTheme="majorHAnsi" w:cstheme="majorHAnsi"/>
                <w:w w:val="105"/>
                <w:sz w:val="24"/>
                <w:szCs w:val="24"/>
                <w:lang w:val="ro-RO"/>
              </w:rPr>
              <w:t>100% - UAT</w:t>
            </w:r>
          </w:p>
        </w:tc>
        <w:tc>
          <w:tcPr>
            <w:tcW w:w="1077" w:type="dxa"/>
            <w:vAlign w:val="center"/>
          </w:tcPr>
          <w:p w14:paraId="57DC0C5B">
            <w:pPr>
              <w:spacing w:after="0" w:line="240" w:lineRule="auto"/>
              <w:jc w:val="center"/>
              <w:rPr>
                <w:rFonts w:asciiTheme="majorHAnsi" w:hAnsiTheme="majorHAnsi" w:cstheme="majorHAnsi"/>
                <w:sz w:val="24"/>
                <w:szCs w:val="24"/>
                <w:lang w:val="ro-RO"/>
              </w:rPr>
            </w:pPr>
          </w:p>
        </w:tc>
        <w:tc>
          <w:tcPr>
            <w:tcW w:w="4339" w:type="dxa"/>
          </w:tcPr>
          <w:p w14:paraId="2FD2DBF9">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In aceste situații delegatul asigura înlocuirea recipientelor distruse fiind îndreptățit la solicitarea recuperării costurilor suplimentare intervenite.</w:t>
            </w:r>
          </w:p>
        </w:tc>
      </w:tr>
      <w:tr w14:paraId="2B70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7639CFB">
            <w:pPr>
              <w:numPr>
                <w:ilvl w:val="0"/>
                <w:numId w:val="19"/>
              </w:numPr>
              <w:spacing w:after="0" w:line="240" w:lineRule="auto"/>
              <w:rPr>
                <w:rFonts w:asciiTheme="majorHAnsi" w:hAnsiTheme="majorHAnsi" w:cstheme="majorHAnsi"/>
                <w:sz w:val="24"/>
                <w:szCs w:val="24"/>
                <w:lang w:val="ro-RO"/>
              </w:rPr>
            </w:pPr>
          </w:p>
        </w:tc>
        <w:tc>
          <w:tcPr>
            <w:tcW w:w="2606" w:type="dxa"/>
          </w:tcPr>
          <w:p w14:paraId="138A0069">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Colectorii informali</w:t>
            </w:r>
          </w:p>
        </w:tc>
        <w:tc>
          <w:tcPr>
            <w:tcW w:w="4221" w:type="dxa"/>
          </w:tcPr>
          <w:p w14:paraId="303E6A9A">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Colectori informali care extrag deșeurile reciclabile din recipientele de colectare</w:t>
            </w:r>
          </w:p>
        </w:tc>
        <w:tc>
          <w:tcPr>
            <w:tcW w:w="1917" w:type="dxa"/>
            <w:vAlign w:val="center"/>
          </w:tcPr>
          <w:p w14:paraId="658C6119">
            <w:pPr>
              <w:spacing w:after="0" w:line="240" w:lineRule="auto"/>
              <w:jc w:val="center"/>
              <w:rPr>
                <w:rFonts w:asciiTheme="majorHAnsi" w:hAnsiTheme="majorHAnsi" w:cstheme="majorHAnsi"/>
                <w:sz w:val="24"/>
                <w:szCs w:val="24"/>
                <w:lang w:val="ro-RO"/>
              </w:rPr>
            </w:pPr>
            <w:r>
              <w:rPr>
                <w:rFonts w:asciiTheme="majorHAnsi" w:hAnsiTheme="majorHAnsi" w:cstheme="majorHAnsi"/>
                <w:w w:val="105"/>
                <w:sz w:val="24"/>
                <w:szCs w:val="24"/>
                <w:lang w:val="ro-RO"/>
              </w:rPr>
              <w:t>50% - UAT</w:t>
            </w:r>
          </w:p>
        </w:tc>
        <w:tc>
          <w:tcPr>
            <w:tcW w:w="1077" w:type="dxa"/>
            <w:vAlign w:val="center"/>
          </w:tcPr>
          <w:p w14:paraId="5575DD0A">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50%</w:t>
            </w:r>
          </w:p>
        </w:tc>
        <w:tc>
          <w:tcPr>
            <w:tcW w:w="4339" w:type="dxa"/>
          </w:tcPr>
          <w:p w14:paraId="25ADA41F">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Operațiuni cu impact semnificativ asupra sistemului de colectare și a mecanismelor financiare ale SMID;</w:t>
            </w:r>
          </w:p>
          <w:p w14:paraId="117E0AC9">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In situația în care practica se perpetuează Delegatul are obligația de a anunța în scris Delegatarul, pentru ca acesta sa transmita UAT-ului in vederea luarii masurilor necesare  stopării fenomenului</w:t>
            </w:r>
          </w:p>
        </w:tc>
      </w:tr>
      <w:tr w14:paraId="7755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7C9D46D">
            <w:pPr>
              <w:numPr>
                <w:ilvl w:val="0"/>
                <w:numId w:val="19"/>
              </w:numPr>
              <w:spacing w:after="0" w:line="240" w:lineRule="auto"/>
              <w:rPr>
                <w:rFonts w:asciiTheme="majorHAnsi" w:hAnsiTheme="majorHAnsi" w:cstheme="majorHAnsi"/>
                <w:sz w:val="24"/>
                <w:szCs w:val="24"/>
                <w:lang w:val="ro-RO"/>
              </w:rPr>
            </w:pPr>
          </w:p>
        </w:tc>
        <w:tc>
          <w:tcPr>
            <w:tcW w:w="2606" w:type="dxa"/>
          </w:tcPr>
          <w:p w14:paraId="34E7249A">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Fluctuații ale populației</w:t>
            </w:r>
          </w:p>
          <w:p w14:paraId="2273FAF8">
            <w:pPr>
              <w:spacing w:after="0" w:line="240" w:lineRule="auto"/>
              <w:rPr>
                <w:rFonts w:asciiTheme="majorHAnsi" w:hAnsiTheme="majorHAnsi" w:cstheme="majorHAnsi"/>
                <w:sz w:val="24"/>
                <w:szCs w:val="24"/>
                <w:lang w:val="ro-RO"/>
              </w:rPr>
            </w:pPr>
          </w:p>
        </w:tc>
        <w:tc>
          <w:tcPr>
            <w:tcW w:w="4221" w:type="dxa"/>
          </w:tcPr>
          <w:p w14:paraId="566FB97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Modificarea   semnificativă   a   numărului   de locuitori, cu impact asupra cantităților de deșeuri și a numărului recipientelor sau a frecvenței de colectare în conformitate cu documentatia de atribuire, față de datele    avute    în    vedere la întocmirea acesteia  </w:t>
            </w:r>
          </w:p>
        </w:tc>
        <w:tc>
          <w:tcPr>
            <w:tcW w:w="1917" w:type="dxa"/>
            <w:vAlign w:val="center"/>
          </w:tcPr>
          <w:p w14:paraId="172AB4A5">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 UAT</w:t>
            </w:r>
          </w:p>
        </w:tc>
        <w:tc>
          <w:tcPr>
            <w:tcW w:w="1077" w:type="dxa"/>
            <w:vAlign w:val="center"/>
          </w:tcPr>
          <w:p w14:paraId="5C60CA13">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0%</w:t>
            </w:r>
          </w:p>
        </w:tc>
        <w:tc>
          <w:tcPr>
            <w:tcW w:w="4339" w:type="dxa"/>
          </w:tcPr>
          <w:p w14:paraId="08351438">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Operatorul este îndreptățit sa solicite modificarea tarifului în conformitate cu prevederile legislative privind modificările de tarif – Ordinul  ANRSC 640/2022</w:t>
            </w:r>
          </w:p>
        </w:tc>
      </w:tr>
      <w:tr w14:paraId="324E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3A736D2">
            <w:pPr>
              <w:numPr>
                <w:ilvl w:val="0"/>
                <w:numId w:val="19"/>
              </w:numPr>
              <w:spacing w:after="0" w:line="240" w:lineRule="auto"/>
              <w:rPr>
                <w:rFonts w:asciiTheme="majorHAnsi" w:hAnsiTheme="majorHAnsi" w:cstheme="majorHAnsi"/>
                <w:sz w:val="24"/>
                <w:szCs w:val="24"/>
                <w:lang w:val="ro-RO"/>
              </w:rPr>
            </w:pPr>
          </w:p>
        </w:tc>
        <w:tc>
          <w:tcPr>
            <w:tcW w:w="2606" w:type="dxa"/>
          </w:tcPr>
          <w:p w14:paraId="60EEE20A">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Cantitatea de deșeuri la intrarea în sistem este mai mica decât cea planificata – Risc de cerere </w:t>
            </w:r>
          </w:p>
        </w:tc>
        <w:tc>
          <w:tcPr>
            <w:tcW w:w="4221" w:type="dxa"/>
          </w:tcPr>
          <w:p w14:paraId="47628BF9">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Cantitățile lunare cântărite la intrarea în Instalațiile de tratare sunt considerabil mai mici decât estimările pe baza cărora s-a bazat oferta de servicii și calcularea tarifului.</w:t>
            </w:r>
          </w:p>
          <w:p w14:paraId="2AA0B057">
            <w:pPr>
              <w:spacing w:after="0" w:line="240" w:lineRule="auto"/>
              <w:rPr>
                <w:rFonts w:asciiTheme="majorHAnsi" w:hAnsiTheme="majorHAnsi" w:cstheme="majorHAnsi"/>
                <w:sz w:val="24"/>
                <w:szCs w:val="24"/>
                <w:lang w:val="ro-RO"/>
              </w:rPr>
            </w:pPr>
          </w:p>
          <w:p w14:paraId="7199CE1F">
            <w:pPr>
              <w:spacing w:after="0" w:line="240" w:lineRule="auto"/>
              <w:rPr>
                <w:rFonts w:asciiTheme="majorHAnsi" w:hAnsiTheme="majorHAnsi" w:cstheme="majorHAnsi"/>
                <w:sz w:val="24"/>
                <w:szCs w:val="24"/>
                <w:lang w:val="ro-RO"/>
              </w:rPr>
            </w:pPr>
          </w:p>
        </w:tc>
        <w:tc>
          <w:tcPr>
            <w:tcW w:w="1917" w:type="dxa"/>
            <w:vAlign w:val="center"/>
          </w:tcPr>
          <w:p w14:paraId="34857745">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30%</w:t>
            </w:r>
          </w:p>
        </w:tc>
        <w:tc>
          <w:tcPr>
            <w:tcW w:w="1077" w:type="dxa"/>
            <w:vAlign w:val="center"/>
          </w:tcPr>
          <w:p w14:paraId="7F3D5D37">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70%</w:t>
            </w:r>
          </w:p>
        </w:tc>
        <w:tc>
          <w:tcPr>
            <w:tcW w:w="4339" w:type="dxa"/>
          </w:tcPr>
          <w:p w14:paraId="702E0E4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Scaderea cantitatii de deseuri menajere si similare care trebuie colectate fata de estimari duce la utilizarea partiala a echipamentelor solicitate prin documentatia de atribuire si deci la costuri mai mari pentru delegat. Daca exista situatia in care timp de 6 luni calendaristice consecutive se inregistreaza o cantitate mai mica cu cel putin 20% fata de cantitatea estimata in caietul de sarcini Delgatul este indreptatit sa solicite modificarea tarifului.</w:t>
            </w:r>
          </w:p>
          <w:p w14:paraId="31E77B9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Modificarea tarifului se va realiza obligatoriu in corelare cu actualizarea datelor privind generarea deseurilor si cu prevederile Ordinului 640/2022.</w:t>
            </w:r>
          </w:p>
          <w:p w14:paraId="187DEF3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Potentiala pierdere suportata de Delegat pe prcursul celor 6 luni calendaristice nu poate fi recuperata contractual, modificarea tarifului neavand caracter retroactiv.</w:t>
            </w:r>
          </w:p>
        </w:tc>
      </w:tr>
      <w:tr w14:paraId="002E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ABB0B6C">
            <w:pPr>
              <w:numPr>
                <w:ilvl w:val="0"/>
                <w:numId w:val="19"/>
              </w:numPr>
              <w:spacing w:after="0" w:line="240" w:lineRule="auto"/>
              <w:rPr>
                <w:rFonts w:asciiTheme="majorHAnsi" w:hAnsiTheme="majorHAnsi" w:cstheme="majorHAnsi"/>
                <w:sz w:val="24"/>
                <w:szCs w:val="24"/>
                <w:lang w:val="ro-RO"/>
              </w:rPr>
            </w:pPr>
          </w:p>
        </w:tc>
        <w:tc>
          <w:tcPr>
            <w:tcW w:w="2606" w:type="dxa"/>
          </w:tcPr>
          <w:p w14:paraId="44B1F292">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Cantitatea de deșeuri la intrarea în sistem este mai mare decât cea planificata – Risc de cerere</w:t>
            </w:r>
          </w:p>
        </w:tc>
        <w:tc>
          <w:tcPr>
            <w:tcW w:w="4221" w:type="dxa"/>
          </w:tcPr>
          <w:p w14:paraId="79B397B0">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Cantitățile lunare cântărite la intrarea în Instalațiile de tratare sunt mai mari decât estimările pe baza cărora s-a bazat oferta de servicii și calcularea tarifului.</w:t>
            </w:r>
          </w:p>
          <w:p w14:paraId="79CF342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a) cantitatea de deșeuri este mai mare dar se încadrează în limita capacitații maxime de colectare a delegatului.</w:t>
            </w:r>
          </w:p>
          <w:p w14:paraId="1D1151E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b) cantitatea de deșeuri depășește limita capacitații maxime de colectare a delegatului. (cu mai mult de 20%)</w:t>
            </w:r>
          </w:p>
          <w:p w14:paraId="3C80D820">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Creșterea cantității de deșeuri duce în mod direct la creșterea cheltuielilor de operare.</w:t>
            </w:r>
          </w:p>
        </w:tc>
        <w:tc>
          <w:tcPr>
            <w:tcW w:w="1917" w:type="dxa"/>
            <w:vAlign w:val="center"/>
          </w:tcPr>
          <w:p w14:paraId="35F01419">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50%</w:t>
            </w:r>
          </w:p>
        </w:tc>
        <w:tc>
          <w:tcPr>
            <w:tcW w:w="1077" w:type="dxa"/>
            <w:vAlign w:val="center"/>
          </w:tcPr>
          <w:p w14:paraId="563FE011">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50%</w:t>
            </w:r>
          </w:p>
        </w:tc>
        <w:tc>
          <w:tcPr>
            <w:tcW w:w="4339" w:type="dxa"/>
          </w:tcPr>
          <w:p w14:paraId="6B83D5F9">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a) Operatorul este îndreptățit sa solicite majorarea tarifului în conformitate cu prevederile legislative privind modificările de tarif existente la momentul respectiv; modificarea tarifului ( In limita planului tarifar) se va realiza obligatoriu în corelație cu actualizarea datelor privind generarea, colectarea separate, tratarea și valorificarea deșeurilor</w:t>
            </w:r>
          </w:p>
          <w:p w14:paraId="3BB49D94">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b) Autoritatea Contractanta va efectua o analiza tehnica-economica pentru fundamentarea deciziei de extindere a capacitații de colectare. Daca decizia este favorabila, investiția va fi suportata de Delegat, costurile urmând a fi recuperate.</w:t>
            </w:r>
          </w:p>
          <w:p w14:paraId="1B0E14C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Aceasta situație poate constitui un motiv de modificare a tarifului. ( In limita planului tarifar)</w:t>
            </w:r>
          </w:p>
          <w:p w14:paraId="0640D4B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Modificarea tarifului se va realiza obligatoriu în corelație cu actualizarea datelor privind generarea, colectarea separata, tratarea și valorificarea deșeurilor.</w:t>
            </w:r>
          </w:p>
        </w:tc>
      </w:tr>
      <w:tr w14:paraId="5307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6DF31FC">
            <w:pPr>
              <w:numPr>
                <w:ilvl w:val="0"/>
                <w:numId w:val="19"/>
              </w:numPr>
              <w:spacing w:after="0" w:line="240" w:lineRule="auto"/>
              <w:rPr>
                <w:rFonts w:asciiTheme="majorHAnsi" w:hAnsiTheme="majorHAnsi" w:cstheme="majorHAnsi"/>
                <w:sz w:val="24"/>
                <w:szCs w:val="24"/>
                <w:lang w:val="ro-RO"/>
              </w:rPr>
            </w:pPr>
          </w:p>
        </w:tc>
        <w:tc>
          <w:tcPr>
            <w:tcW w:w="2606" w:type="dxa"/>
          </w:tcPr>
          <w:p w14:paraId="3B8D56E8">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Gradul de impurificare ridicat al deșeurilor colectate separate</w:t>
            </w:r>
          </w:p>
        </w:tc>
        <w:tc>
          <w:tcPr>
            <w:tcW w:w="4221" w:type="dxa"/>
          </w:tcPr>
          <w:p w14:paraId="384BD9A4">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In situația în care gradul de impurificare este foarte mare, conduce la reducerea semnificativa a cantității de deșeuri valorificate</w:t>
            </w:r>
          </w:p>
        </w:tc>
        <w:tc>
          <w:tcPr>
            <w:tcW w:w="1917" w:type="dxa"/>
            <w:vAlign w:val="center"/>
          </w:tcPr>
          <w:p w14:paraId="50E92B30">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30%- UAT</w:t>
            </w:r>
          </w:p>
        </w:tc>
        <w:tc>
          <w:tcPr>
            <w:tcW w:w="1077" w:type="dxa"/>
            <w:vAlign w:val="center"/>
          </w:tcPr>
          <w:p w14:paraId="1C2ABCA3">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70%</w:t>
            </w:r>
          </w:p>
        </w:tc>
        <w:tc>
          <w:tcPr>
            <w:tcW w:w="4339" w:type="dxa"/>
          </w:tcPr>
          <w:p w14:paraId="2E9377C8">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Risc împărțit intre UAT și delegat. În vederea corectării situației în urma anunțării acesteia de către Delegat,UAT-ul </w:t>
            </w:r>
            <w:r>
              <w:rPr>
                <w:rFonts w:asciiTheme="majorHAnsi" w:hAnsiTheme="majorHAnsi" w:cstheme="majorHAnsi"/>
                <w:strike/>
                <w:sz w:val="24"/>
                <w:szCs w:val="24"/>
                <w:lang w:val="ro-RO"/>
              </w:rPr>
              <w:t>l</w:t>
            </w:r>
            <w:r>
              <w:rPr>
                <w:rFonts w:asciiTheme="majorHAnsi" w:hAnsiTheme="majorHAnsi" w:cstheme="majorHAnsi"/>
                <w:sz w:val="24"/>
                <w:szCs w:val="24"/>
                <w:lang w:val="ro-RO"/>
              </w:rPr>
              <w:t xml:space="preserve"> are obligația de aplicare a penalităților stabilite prin Regulamentul de salubrizare generatorilor de deșeuri; </w:t>
            </w:r>
          </w:p>
          <w:p w14:paraId="6A6700D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Delegatul are obligația intensificării acțiunilor de informare și conștientizare a populației (inclusive identificarea și aplicarea unor instrumente mai eficiente).</w:t>
            </w:r>
          </w:p>
          <w:p w14:paraId="0C97C8AB">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Tariful maximal a fost calculat cu includerea cheltuielilor anuale cu actiuni de informare si constientizare a generatorilor. </w:t>
            </w:r>
          </w:p>
          <w:p w14:paraId="35FA0111">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Delegatarul nu este indreptatit sa solicite modificarea tarifului.</w:t>
            </w:r>
          </w:p>
        </w:tc>
      </w:tr>
      <w:tr w14:paraId="0BF7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C163F05">
            <w:pPr>
              <w:numPr>
                <w:ilvl w:val="0"/>
                <w:numId w:val="19"/>
              </w:numPr>
              <w:spacing w:after="0" w:line="240" w:lineRule="auto"/>
              <w:rPr>
                <w:rFonts w:asciiTheme="majorHAnsi" w:hAnsiTheme="majorHAnsi" w:cstheme="majorHAnsi"/>
                <w:sz w:val="24"/>
                <w:szCs w:val="24"/>
                <w:lang w:val="ro-RO"/>
              </w:rPr>
            </w:pPr>
          </w:p>
        </w:tc>
        <w:tc>
          <w:tcPr>
            <w:tcW w:w="2606" w:type="dxa"/>
          </w:tcPr>
          <w:p w14:paraId="2C7C8C64">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Cerințe tehnice suplimentare privind reglementările de mediu, inclusive taxe.</w:t>
            </w:r>
          </w:p>
        </w:tc>
        <w:tc>
          <w:tcPr>
            <w:tcW w:w="4221" w:type="dxa"/>
          </w:tcPr>
          <w:p w14:paraId="4122AF9F">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Pe parcursul derulării contractului de operare actele de reglementare pot suporta modificări și pot fi  introduse noi cerințe tehnice aplicabile</w:t>
            </w:r>
          </w:p>
        </w:tc>
        <w:tc>
          <w:tcPr>
            <w:tcW w:w="1917" w:type="dxa"/>
            <w:vAlign w:val="center"/>
          </w:tcPr>
          <w:p w14:paraId="6AB831B0">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1077" w:type="dxa"/>
            <w:vAlign w:val="center"/>
          </w:tcPr>
          <w:p w14:paraId="37571F5B">
            <w:pPr>
              <w:spacing w:after="0" w:line="240" w:lineRule="auto"/>
              <w:rPr>
                <w:rFonts w:asciiTheme="majorHAnsi" w:hAnsiTheme="majorHAnsi" w:cstheme="majorHAnsi"/>
                <w:sz w:val="24"/>
                <w:szCs w:val="24"/>
                <w:lang w:val="ro-RO"/>
              </w:rPr>
            </w:pPr>
          </w:p>
        </w:tc>
        <w:tc>
          <w:tcPr>
            <w:tcW w:w="4339" w:type="dxa"/>
          </w:tcPr>
          <w:p w14:paraId="245AA78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Delegatul este îndreptățit la recuperarea costurilor (daca este cazul) și la modificarea tarifului in limitele noilor cerinte aplicabile ( In limita planului tarifar)</w:t>
            </w:r>
          </w:p>
          <w:p w14:paraId="44DA7642">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Cele menționate se refera exclusive la situațiile de operare conforma a serviciului. Orice situație de practica neconforma este în sarcina delegatului.</w:t>
            </w:r>
          </w:p>
        </w:tc>
      </w:tr>
      <w:tr w14:paraId="7D7A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48ED932">
            <w:pPr>
              <w:numPr>
                <w:ilvl w:val="0"/>
                <w:numId w:val="19"/>
              </w:numPr>
              <w:spacing w:after="0" w:line="240" w:lineRule="auto"/>
              <w:rPr>
                <w:rFonts w:asciiTheme="majorHAnsi" w:hAnsiTheme="majorHAnsi" w:cstheme="majorHAnsi"/>
                <w:sz w:val="24"/>
                <w:szCs w:val="24"/>
                <w:lang w:val="ro-RO"/>
              </w:rPr>
            </w:pPr>
          </w:p>
        </w:tc>
        <w:tc>
          <w:tcPr>
            <w:tcW w:w="2606" w:type="dxa"/>
          </w:tcPr>
          <w:p w14:paraId="672F188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Lipsa personalului</w:t>
            </w:r>
          </w:p>
        </w:tc>
        <w:tc>
          <w:tcPr>
            <w:tcW w:w="4221" w:type="dxa"/>
          </w:tcPr>
          <w:p w14:paraId="14CD9458">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Lipsa unui personal calificat corespunzător duce la    scăderea  performanțelor  și  disponibilității</w:t>
            </w:r>
          </w:p>
          <w:p w14:paraId="2DC0B382">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Serviciului.</w:t>
            </w:r>
          </w:p>
          <w:p w14:paraId="54B35D43">
            <w:pPr>
              <w:pStyle w:val="200"/>
              <w:spacing w:after="0" w:line="240" w:lineRule="auto"/>
              <w:rPr>
                <w:rFonts w:asciiTheme="majorHAnsi" w:hAnsiTheme="majorHAnsi" w:cstheme="majorHAnsi"/>
                <w:color w:val="auto"/>
                <w:lang w:val="ro-RO"/>
              </w:rPr>
            </w:pPr>
          </w:p>
        </w:tc>
        <w:tc>
          <w:tcPr>
            <w:tcW w:w="1917" w:type="dxa"/>
            <w:vAlign w:val="center"/>
          </w:tcPr>
          <w:p w14:paraId="000DC7C8">
            <w:pPr>
              <w:spacing w:after="0" w:line="240" w:lineRule="auto"/>
              <w:jc w:val="center"/>
              <w:rPr>
                <w:rFonts w:asciiTheme="majorHAnsi" w:hAnsiTheme="majorHAnsi" w:cstheme="majorHAnsi"/>
                <w:sz w:val="24"/>
                <w:szCs w:val="24"/>
                <w:lang w:val="ro-RO"/>
              </w:rPr>
            </w:pPr>
          </w:p>
        </w:tc>
        <w:tc>
          <w:tcPr>
            <w:tcW w:w="1077" w:type="dxa"/>
            <w:vAlign w:val="center"/>
          </w:tcPr>
          <w:p w14:paraId="2BB60179">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0063532F">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Delegatul trebuie sa facă estimarea resurselor necesare realizării serviciului astfel încât sa evite eventualele fluctuații de personal.</w:t>
            </w:r>
          </w:p>
        </w:tc>
      </w:tr>
      <w:tr w14:paraId="2455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7" w:type="dxa"/>
            <w:gridSpan w:val="6"/>
          </w:tcPr>
          <w:p w14:paraId="6C0203B5">
            <w:pPr>
              <w:spacing w:after="0" w:line="240" w:lineRule="auto"/>
              <w:ind w:left="113"/>
              <w:rPr>
                <w:rFonts w:asciiTheme="majorHAnsi" w:hAnsiTheme="majorHAnsi" w:cstheme="majorHAnsi"/>
                <w:b/>
                <w:i/>
                <w:sz w:val="24"/>
                <w:szCs w:val="24"/>
                <w:lang w:val="ro-RO"/>
              </w:rPr>
            </w:pPr>
            <w:r>
              <w:rPr>
                <w:rFonts w:asciiTheme="majorHAnsi" w:hAnsiTheme="majorHAnsi" w:cstheme="majorHAnsi"/>
                <w:b/>
                <w:i/>
                <w:sz w:val="24"/>
                <w:szCs w:val="24"/>
                <w:lang w:val="ro-RO"/>
              </w:rPr>
              <w:t>RISCURI GENERALE( atribuite tuturor instalațiilor de gestionare a deșeurilor)</w:t>
            </w:r>
          </w:p>
        </w:tc>
      </w:tr>
      <w:tr w14:paraId="41A9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72F3B4B7">
            <w:pPr>
              <w:numPr>
                <w:ilvl w:val="0"/>
                <w:numId w:val="19"/>
              </w:numPr>
              <w:spacing w:after="0" w:line="240" w:lineRule="auto"/>
              <w:rPr>
                <w:rFonts w:asciiTheme="majorHAnsi" w:hAnsiTheme="majorHAnsi" w:cstheme="majorHAnsi"/>
                <w:sz w:val="24"/>
                <w:szCs w:val="24"/>
                <w:lang w:val="ro-RO"/>
              </w:rPr>
            </w:pPr>
          </w:p>
        </w:tc>
        <w:tc>
          <w:tcPr>
            <w:tcW w:w="2606" w:type="dxa"/>
            <w:vAlign w:val="center"/>
          </w:tcPr>
          <w:p w14:paraId="0A68C7EB">
            <w:pPr>
              <w:pStyle w:val="218"/>
              <w:ind w:left="99" w:right="29"/>
              <w:jc w:val="center"/>
              <w:rPr>
                <w:rFonts w:asciiTheme="majorHAnsi" w:hAnsiTheme="majorHAnsi" w:cstheme="majorHAnsi"/>
                <w:spacing w:val="1"/>
                <w:w w:val="105"/>
                <w:sz w:val="24"/>
                <w:szCs w:val="24"/>
              </w:rPr>
            </w:pPr>
            <w:r>
              <w:rPr>
                <w:rFonts w:asciiTheme="majorHAnsi" w:hAnsiTheme="majorHAnsi" w:cstheme="majorHAnsi"/>
                <w:w w:val="105"/>
                <w:sz w:val="24"/>
                <w:szCs w:val="24"/>
              </w:rPr>
              <w:t>UAT-uri</w:t>
            </w:r>
            <w:r>
              <w:rPr>
                <w:rFonts w:asciiTheme="majorHAnsi" w:hAnsiTheme="majorHAnsi" w:cstheme="majorHAnsi"/>
                <w:spacing w:val="-6"/>
                <w:w w:val="105"/>
                <w:sz w:val="24"/>
                <w:szCs w:val="24"/>
              </w:rPr>
              <w:t xml:space="preserve"> </w:t>
            </w:r>
            <w:r>
              <w:rPr>
                <w:rFonts w:asciiTheme="majorHAnsi" w:hAnsiTheme="majorHAnsi" w:cstheme="majorHAnsi"/>
                <w:w w:val="105"/>
                <w:sz w:val="24"/>
                <w:szCs w:val="24"/>
              </w:rPr>
              <w:t>în</w:t>
            </w:r>
            <w:r>
              <w:rPr>
                <w:rFonts w:asciiTheme="majorHAnsi" w:hAnsiTheme="majorHAnsi" w:cstheme="majorHAnsi"/>
                <w:spacing w:val="-4"/>
                <w:w w:val="105"/>
                <w:sz w:val="24"/>
                <w:szCs w:val="24"/>
              </w:rPr>
              <w:t xml:space="preserve"> </w:t>
            </w:r>
            <w:r>
              <w:rPr>
                <w:rFonts w:asciiTheme="majorHAnsi" w:hAnsiTheme="majorHAnsi" w:cstheme="majorHAnsi"/>
                <w:w w:val="105"/>
                <w:sz w:val="24"/>
                <w:szCs w:val="24"/>
              </w:rPr>
              <w:t>incapacitate</w:t>
            </w:r>
            <w:r>
              <w:rPr>
                <w:rFonts w:asciiTheme="majorHAnsi" w:hAnsiTheme="majorHAnsi" w:cstheme="majorHAnsi"/>
                <w:spacing w:val="-4"/>
                <w:w w:val="105"/>
                <w:sz w:val="24"/>
                <w:szCs w:val="24"/>
              </w:rPr>
              <w:t xml:space="preserve"> </w:t>
            </w:r>
            <w:r>
              <w:rPr>
                <w:rFonts w:asciiTheme="majorHAnsi" w:hAnsiTheme="majorHAnsi" w:cstheme="majorHAnsi"/>
                <w:w w:val="105"/>
                <w:sz w:val="24"/>
                <w:szCs w:val="24"/>
              </w:rPr>
              <w:t>de</w:t>
            </w:r>
            <w:r>
              <w:rPr>
                <w:rFonts w:asciiTheme="majorHAnsi" w:hAnsiTheme="majorHAnsi" w:cstheme="majorHAnsi"/>
                <w:spacing w:val="-47"/>
                <w:w w:val="105"/>
                <w:sz w:val="24"/>
                <w:szCs w:val="24"/>
              </w:rPr>
              <w:t xml:space="preserve"> </w:t>
            </w:r>
            <w:r>
              <w:rPr>
                <w:rFonts w:asciiTheme="majorHAnsi" w:hAnsiTheme="majorHAnsi" w:cstheme="majorHAnsi"/>
                <w:w w:val="105"/>
                <w:sz w:val="24"/>
                <w:szCs w:val="24"/>
              </w:rPr>
              <w:t>a plăti la timp și integral</w:t>
            </w:r>
            <w:r>
              <w:rPr>
                <w:rFonts w:asciiTheme="majorHAnsi" w:hAnsiTheme="majorHAnsi" w:cstheme="majorHAnsi"/>
                <w:spacing w:val="1"/>
                <w:w w:val="105"/>
                <w:sz w:val="24"/>
                <w:szCs w:val="24"/>
              </w:rPr>
              <w:t xml:space="preserve"> </w:t>
            </w:r>
            <w:r>
              <w:rPr>
                <w:rFonts w:asciiTheme="majorHAnsi" w:hAnsiTheme="majorHAnsi" w:cstheme="majorHAnsi"/>
                <w:w w:val="105"/>
                <w:sz w:val="24"/>
                <w:szCs w:val="24"/>
              </w:rPr>
              <w:t>facturile operatorului</w:t>
            </w:r>
            <w:r>
              <w:rPr>
                <w:rFonts w:asciiTheme="majorHAnsi" w:hAnsiTheme="majorHAnsi" w:cstheme="majorHAnsi"/>
                <w:spacing w:val="1"/>
                <w:w w:val="105"/>
                <w:sz w:val="24"/>
                <w:szCs w:val="24"/>
              </w:rPr>
              <w:t xml:space="preserve"> </w:t>
            </w:r>
            <w:r>
              <w:rPr>
                <w:rFonts w:asciiTheme="majorHAnsi" w:hAnsiTheme="majorHAnsi" w:cstheme="majorHAnsi"/>
                <w:w w:val="105"/>
                <w:sz w:val="24"/>
                <w:szCs w:val="24"/>
              </w:rPr>
              <w:t>(plătite</w:t>
            </w:r>
            <w:r>
              <w:rPr>
                <w:rFonts w:asciiTheme="majorHAnsi" w:hAnsiTheme="majorHAnsi" w:cstheme="majorHAnsi"/>
                <w:spacing w:val="-1"/>
                <w:w w:val="105"/>
                <w:sz w:val="24"/>
                <w:szCs w:val="24"/>
              </w:rPr>
              <w:t xml:space="preserve"> </w:t>
            </w:r>
            <w:r>
              <w:rPr>
                <w:rFonts w:asciiTheme="majorHAnsi" w:hAnsiTheme="majorHAnsi" w:cstheme="majorHAnsi"/>
                <w:w w:val="105"/>
                <w:sz w:val="24"/>
                <w:szCs w:val="24"/>
              </w:rPr>
              <w:t>prin</w:t>
            </w:r>
            <w:r>
              <w:rPr>
                <w:rFonts w:asciiTheme="majorHAnsi" w:hAnsiTheme="majorHAnsi" w:cstheme="majorHAnsi"/>
                <w:spacing w:val="2"/>
                <w:w w:val="105"/>
                <w:sz w:val="24"/>
                <w:szCs w:val="24"/>
              </w:rPr>
              <w:t xml:space="preserve"> </w:t>
            </w:r>
            <w:r>
              <w:rPr>
                <w:rFonts w:asciiTheme="majorHAnsi" w:hAnsiTheme="majorHAnsi" w:cstheme="majorHAnsi"/>
                <w:w w:val="105"/>
                <w:sz w:val="24"/>
                <w:szCs w:val="24"/>
              </w:rPr>
              <w:t>taxe</w:t>
            </w:r>
            <w:r>
              <w:rPr>
                <w:rFonts w:asciiTheme="majorHAnsi" w:hAnsiTheme="majorHAnsi" w:cstheme="majorHAnsi"/>
                <w:spacing w:val="-1"/>
                <w:w w:val="105"/>
                <w:sz w:val="24"/>
                <w:szCs w:val="24"/>
              </w:rPr>
              <w:t xml:space="preserve"> </w:t>
            </w:r>
            <w:r>
              <w:rPr>
                <w:rFonts w:asciiTheme="majorHAnsi" w:hAnsiTheme="majorHAnsi" w:cstheme="majorHAnsi"/>
                <w:w w:val="105"/>
                <w:sz w:val="24"/>
                <w:szCs w:val="24"/>
              </w:rPr>
              <w:t>de</w:t>
            </w:r>
            <w:r>
              <w:rPr>
                <w:rFonts w:asciiTheme="majorHAnsi" w:hAnsiTheme="majorHAnsi" w:cstheme="majorHAnsi"/>
                <w:spacing w:val="1"/>
                <w:w w:val="105"/>
                <w:sz w:val="24"/>
                <w:szCs w:val="24"/>
              </w:rPr>
              <w:t xml:space="preserve"> </w:t>
            </w:r>
            <w:r>
              <w:rPr>
                <w:rFonts w:asciiTheme="majorHAnsi" w:hAnsiTheme="majorHAnsi" w:cstheme="majorHAnsi"/>
                <w:w w:val="105"/>
                <w:sz w:val="24"/>
                <w:szCs w:val="24"/>
              </w:rPr>
              <w:t>salubrizare), care duce la</w:t>
            </w:r>
            <w:r>
              <w:rPr>
                <w:rFonts w:asciiTheme="majorHAnsi" w:hAnsiTheme="majorHAnsi" w:cstheme="majorHAnsi"/>
                <w:spacing w:val="1"/>
                <w:w w:val="105"/>
                <w:sz w:val="24"/>
                <w:szCs w:val="24"/>
              </w:rPr>
              <w:t xml:space="preserve"> </w:t>
            </w:r>
            <w:r>
              <w:rPr>
                <w:rFonts w:asciiTheme="majorHAnsi" w:hAnsiTheme="majorHAnsi" w:cstheme="majorHAnsi"/>
                <w:w w:val="105"/>
                <w:sz w:val="24"/>
                <w:szCs w:val="24"/>
              </w:rPr>
              <w:t>încasarea</w:t>
            </w:r>
            <w:r>
              <w:rPr>
                <w:rFonts w:asciiTheme="majorHAnsi" w:hAnsiTheme="majorHAnsi" w:cstheme="majorHAnsi"/>
                <w:spacing w:val="-1"/>
                <w:w w:val="105"/>
                <w:sz w:val="24"/>
                <w:szCs w:val="24"/>
              </w:rPr>
              <w:t xml:space="preserve"> </w:t>
            </w:r>
            <w:r>
              <w:rPr>
                <w:rFonts w:asciiTheme="majorHAnsi" w:hAnsiTheme="majorHAnsi" w:cstheme="majorHAnsi"/>
                <w:w w:val="105"/>
                <w:sz w:val="24"/>
                <w:szCs w:val="24"/>
              </w:rPr>
              <w:t>parțială</w:t>
            </w:r>
            <w:r>
              <w:rPr>
                <w:rFonts w:asciiTheme="majorHAnsi" w:hAnsiTheme="majorHAnsi" w:cstheme="majorHAnsi"/>
                <w:spacing w:val="3"/>
                <w:w w:val="105"/>
                <w:sz w:val="24"/>
                <w:szCs w:val="24"/>
              </w:rPr>
              <w:t xml:space="preserve"> </w:t>
            </w:r>
            <w:r>
              <w:rPr>
                <w:rFonts w:asciiTheme="majorHAnsi" w:hAnsiTheme="majorHAnsi" w:cstheme="majorHAnsi"/>
                <w:w w:val="105"/>
                <w:sz w:val="24"/>
                <w:szCs w:val="24"/>
              </w:rPr>
              <w:t>a</w:t>
            </w:r>
            <w:r>
              <w:rPr>
                <w:rFonts w:asciiTheme="majorHAnsi" w:hAnsiTheme="majorHAnsi" w:cstheme="majorHAnsi"/>
                <w:spacing w:val="1"/>
                <w:w w:val="105"/>
                <w:sz w:val="24"/>
                <w:szCs w:val="24"/>
              </w:rPr>
              <w:t xml:space="preserve"> </w:t>
            </w:r>
            <w:r>
              <w:rPr>
                <w:rFonts w:asciiTheme="majorHAnsi" w:hAnsiTheme="majorHAnsi" w:cstheme="majorHAnsi"/>
                <w:w w:val="105"/>
                <w:sz w:val="24"/>
                <w:szCs w:val="24"/>
              </w:rPr>
              <w:t>sumelor contractate de</w:t>
            </w:r>
            <w:r>
              <w:rPr>
                <w:rFonts w:asciiTheme="majorHAnsi" w:hAnsiTheme="majorHAnsi" w:cstheme="majorHAnsi"/>
                <w:spacing w:val="1"/>
                <w:w w:val="105"/>
                <w:sz w:val="24"/>
                <w:szCs w:val="24"/>
              </w:rPr>
              <w:t xml:space="preserve"> </w:t>
            </w:r>
          </w:p>
          <w:p w14:paraId="70CA4A86">
            <w:pPr>
              <w:pStyle w:val="218"/>
              <w:ind w:left="99" w:right="29"/>
              <w:rPr>
                <w:rFonts w:asciiTheme="majorHAnsi" w:hAnsiTheme="majorHAnsi" w:cstheme="majorHAnsi"/>
                <w:spacing w:val="-3"/>
                <w:w w:val="105"/>
                <w:sz w:val="24"/>
                <w:szCs w:val="24"/>
              </w:rPr>
            </w:pPr>
            <w:r>
              <w:rPr>
                <w:rFonts w:asciiTheme="majorHAnsi" w:hAnsiTheme="majorHAnsi" w:cstheme="majorHAnsi"/>
                <w:w w:val="105"/>
                <w:sz w:val="24"/>
                <w:szCs w:val="24"/>
              </w:rPr>
              <w:t>Operator-</w:t>
            </w:r>
            <w:r>
              <w:rPr>
                <w:rFonts w:asciiTheme="majorHAnsi" w:hAnsiTheme="majorHAnsi" w:cstheme="majorHAnsi"/>
                <w:spacing w:val="-3"/>
                <w:w w:val="105"/>
                <w:sz w:val="24"/>
                <w:szCs w:val="24"/>
              </w:rPr>
              <w:t xml:space="preserve"> </w:t>
            </w:r>
          </w:p>
          <w:p w14:paraId="1B99F3D0">
            <w:pPr>
              <w:spacing w:after="0" w:line="240" w:lineRule="auto"/>
              <w:rPr>
                <w:rFonts w:asciiTheme="majorHAnsi" w:hAnsiTheme="majorHAnsi" w:cstheme="majorHAnsi"/>
                <w:spacing w:val="1"/>
                <w:w w:val="105"/>
                <w:sz w:val="24"/>
                <w:szCs w:val="24"/>
                <w:lang w:val="ro-RO"/>
              </w:rPr>
            </w:pPr>
            <w:r>
              <w:rPr>
                <w:rFonts w:asciiTheme="majorHAnsi" w:hAnsiTheme="majorHAnsi" w:cstheme="majorHAnsi"/>
                <w:spacing w:val="1"/>
                <w:w w:val="105"/>
                <w:sz w:val="24"/>
                <w:szCs w:val="24"/>
                <w:lang w:val="ro-RO"/>
              </w:rPr>
              <w:t>Pentru utilizatorii fără contract</w:t>
            </w:r>
          </w:p>
          <w:p w14:paraId="7C2B3339">
            <w:pPr>
              <w:spacing w:after="0" w:line="240" w:lineRule="auto"/>
              <w:rPr>
                <w:rFonts w:asciiTheme="majorHAnsi" w:hAnsiTheme="majorHAnsi" w:cstheme="majorHAnsi"/>
                <w:sz w:val="24"/>
                <w:szCs w:val="24"/>
                <w:lang w:val="ro-RO"/>
              </w:rPr>
            </w:pPr>
            <w:r>
              <w:rPr>
                <w:rFonts w:asciiTheme="majorHAnsi" w:hAnsiTheme="majorHAnsi" w:cstheme="majorHAnsi"/>
                <w:spacing w:val="1"/>
                <w:w w:val="105"/>
                <w:sz w:val="24"/>
                <w:szCs w:val="24"/>
                <w:lang w:val="ro-RO"/>
              </w:rPr>
              <w:t xml:space="preserve"> </w:t>
            </w:r>
            <w:r>
              <w:rPr>
                <w:rFonts w:asciiTheme="majorHAnsi" w:hAnsiTheme="majorHAnsi" w:cstheme="majorHAnsi"/>
                <w:w w:val="105"/>
                <w:sz w:val="24"/>
                <w:szCs w:val="24"/>
                <w:lang w:val="ro-RO"/>
              </w:rPr>
              <w:t>Risc</w:t>
            </w:r>
            <w:r>
              <w:rPr>
                <w:rFonts w:asciiTheme="majorHAnsi" w:hAnsiTheme="majorHAnsi" w:cstheme="majorHAnsi"/>
                <w:spacing w:val="-2"/>
                <w:w w:val="105"/>
                <w:sz w:val="24"/>
                <w:szCs w:val="24"/>
                <w:lang w:val="ro-RO"/>
              </w:rPr>
              <w:t xml:space="preserve"> </w:t>
            </w:r>
            <w:r>
              <w:rPr>
                <w:rFonts w:asciiTheme="majorHAnsi" w:hAnsiTheme="majorHAnsi" w:cstheme="majorHAnsi"/>
                <w:w w:val="105"/>
                <w:sz w:val="24"/>
                <w:szCs w:val="24"/>
                <w:lang w:val="ro-RO"/>
              </w:rPr>
              <w:t>de</w:t>
            </w:r>
            <w:r>
              <w:rPr>
                <w:rFonts w:asciiTheme="majorHAnsi" w:hAnsiTheme="majorHAnsi" w:cstheme="majorHAnsi"/>
                <w:spacing w:val="-3"/>
                <w:w w:val="105"/>
                <w:sz w:val="24"/>
                <w:szCs w:val="24"/>
                <w:lang w:val="ro-RO"/>
              </w:rPr>
              <w:t xml:space="preserve"> </w:t>
            </w:r>
            <w:r>
              <w:rPr>
                <w:rFonts w:asciiTheme="majorHAnsi" w:hAnsiTheme="majorHAnsi" w:cstheme="majorHAnsi"/>
                <w:w w:val="105"/>
                <w:sz w:val="24"/>
                <w:szCs w:val="24"/>
                <w:lang w:val="ro-RO"/>
              </w:rPr>
              <w:t>ofertă</w:t>
            </w:r>
          </w:p>
        </w:tc>
        <w:tc>
          <w:tcPr>
            <w:tcW w:w="4221" w:type="dxa"/>
          </w:tcPr>
          <w:p w14:paraId="2059088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12A999A3">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 - UAT</w:t>
            </w:r>
          </w:p>
        </w:tc>
        <w:tc>
          <w:tcPr>
            <w:tcW w:w="1077" w:type="dxa"/>
            <w:vAlign w:val="center"/>
          </w:tcPr>
          <w:p w14:paraId="0F77AD3A">
            <w:pPr>
              <w:spacing w:after="0" w:line="240" w:lineRule="auto"/>
              <w:jc w:val="center"/>
              <w:rPr>
                <w:rFonts w:asciiTheme="majorHAnsi" w:hAnsiTheme="majorHAnsi" w:cstheme="majorHAnsi"/>
                <w:sz w:val="24"/>
                <w:szCs w:val="24"/>
                <w:lang w:val="ro-RO"/>
              </w:rPr>
            </w:pPr>
          </w:p>
        </w:tc>
        <w:tc>
          <w:tcPr>
            <w:tcW w:w="4339" w:type="dxa"/>
          </w:tcPr>
          <w:p w14:paraId="7D3D4795">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Operatorul  nu poate fi făcut responsabil de încasarea taxelor de salubrizare de la populație</w:t>
            </w:r>
          </w:p>
          <w:p w14:paraId="32F02434">
            <w:pPr>
              <w:pStyle w:val="200"/>
              <w:spacing w:after="0" w:line="240" w:lineRule="auto"/>
              <w:rPr>
                <w:rFonts w:asciiTheme="majorHAnsi" w:hAnsiTheme="majorHAnsi" w:cstheme="majorHAnsi"/>
                <w:strike/>
                <w:color w:val="auto"/>
                <w:lang w:val="ro-RO"/>
              </w:rPr>
            </w:pPr>
          </w:p>
        </w:tc>
      </w:tr>
      <w:tr w14:paraId="002E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4CACA82">
            <w:pPr>
              <w:numPr>
                <w:ilvl w:val="0"/>
                <w:numId w:val="19"/>
              </w:numPr>
              <w:spacing w:after="0" w:line="240" w:lineRule="auto"/>
              <w:rPr>
                <w:rFonts w:asciiTheme="majorHAnsi" w:hAnsiTheme="majorHAnsi" w:cstheme="majorHAnsi"/>
                <w:sz w:val="24"/>
                <w:szCs w:val="24"/>
                <w:lang w:val="ro-RO"/>
              </w:rPr>
            </w:pPr>
          </w:p>
        </w:tc>
        <w:tc>
          <w:tcPr>
            <w:tcW w:w="2606" w:type="dxa"/>
          </w:tcPr>
          <w:p w14:paraId="12C79D71">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Risc de neîncasare contravaloare serviciu de la utilizatorii cu contract de prestare serviciu</w:t>
            </w:r>
          </w:p>
        </w:tc>
        <w:tc>
          <w:tcPr>
            <w:tcW w:w="4221" w:type="dxa"/>
          </w:tcPr>
          <w:p w14:paraId="0EEFC51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Neîncasarea facturilor de la utilizatorii cu contract de prestare serviciu utilizatori casnici si non casnici </w:t>
            </w:r>
          </w:p>
        </w:tc>
        <w:tc>
          <w:tcPr>
            <w:tcW w:w="1917" w:type="dxa"/>
            <w:vAlign w:val="center"/>
          </w:tcPr>
          <w:p w14:paraId="1F685F9E">
            <w:pPr>
              <w:spacing w:after="0" w:line="240" w:lineRule="auto"/>
              <w:jc w:val="center"/>
              <w:rPr>
                <w:rFonts w:asciiTheme="majorHAnsi" w:hAnsiTheme="majorHAnsi" w:cstheme="majorHAnsi"/>
                <w:sz w:val="24"/>
                <w:szCs w:val="24"/>
                <w:lang w:val="ro-RO"/>
              </w:rPr>
            </w:pPr>
          </w:p>
        </w:tc>
        <w:tc>
          <w:tcPr>
            <w:tcW w:w="1077" w:type="dxa"/>
            <w:vAlign w:val="center"/>
          </w:tcPr>
          <w:p w14:paraId="0228F197">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77C8E261">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Operatorul trebuie sa implementeze politici adecvate pentru încasarea facturilor/recuperarea creanțelor.</w:t>
            </w:r>
          </w:p>
          <w:p w14:paraId="70A189BD">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Operatorul devine astfel pe deplin responsabil pentru colectarea acestor tarife</w:t>
            </w:r>
          </w:p>
        </w:tc>
      </w:tr>
      <w:tr w14:paraId="02AD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3D4C558">
            <w:pPr>
              <w:numPr>
                <w:ilvl w:val="0"/>
                <w:numId w:val="19"/>
              </w:numPr>
              <w:spacing w:after="0" w:line="240" w:lineRule="auto"/>
              <w:rPr>
                <w:rFonts w:asciiTheme="majorHAnsi" w:hAnsiTheme="majorHAnsi" w:cstheme="majorHAnsi"/>
                <w:sz w:val="24"/>
                <w:szCs w:val="24"/>
                <w:lang w:val="ro-RO"/>
              </w:rPr>
            </w:pPr>
          </w:p>
        </w:tc>
        <w:tc>
          <w:tcPr>
            <w:tcW w:w="2606" w:type="dxa"/>
          </w:tcPr>
          <w:p w14:paraId="14A3857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Sustenabilitate</w:t>
            </w:r>
          </w:p>
        </w:tc>
        <w:tc>
          <w:tcPr>
            <w:tcW w:w="4221" w:type="dxa"/>
          </w:tcPr>
          <w:p w14:paraId="60439C19">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Veniturile  obținute  din  prestarea  Serviciului sunt insuficiente pentru a acoperi toate plățile datorate de către Delegat conform Contractului</w:t>
            </w:r>
          </w:p>
        </w:tc>
        <w:tc>
          <w:tcPr>
            <w:tcW w:w="1917" w:type="dxa"/>
            <w:vAlign w:val="center"/>
          </w:tcPr>
          <w:p w14:paraId="1CC866C1">
            <w:pPr>
              <w:spacing w:after="0" w:line="240" w:lineRule="auto"/>
              <w:jc w:val="center"/>
              <w:rPr>
                <w:rFonts w:asciiTheme="majorHAnsi" w:hAnsiTheme="majorHAnsi" w:cstheme="majorHAnsi"/>
                <w:sz w:val="24"/>
                <w:szCs w:val="24"/>
                <w:lang w:val="ro-RO"/>
              </w:rPr>
            </w:pPr>
          </w:p>
        </w:tc>
        <w:tc>
          <w:tcPr>
            <w:tcW w:w="1077" w:type="dxa"/>
            <w:vAlign w:val="center"/>
          </w:tcPr>
          <w:p w14:paraId="4F1AB90D">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4F3A17BD">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Delegatul trebuie sa facă estimarea raportului de venituri/cheltuieli  necesare realizării serviciului încă din faza de ofertare;</w:t>
            </w:r>
          </w:p>
        </w:tc>
      </w:tr>
      <w:tr w14:paraId="6455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59618692">
            <w:pPr>
              <w:numPr>
                <w:ilvl w:val="0"/>
                <w:numId w:val="19"/>
              </w:numPr>
              <w:spacing w:after="0" w:line="240" w:lineRule="auto"/>
              <w:rPr>
                <w:rFonts w:asciiTheme="majorHAnsi" w:hAnsiTheme="majorHAnsi" w:cstheme="majorHAnsi"/>
                <w:sz w:val="24"/>
                <w:szCs w:val="24"/>
                <w:lang w:val="ro-RO"/>
              </w:rPr>
            </w:pPr>
          </w:p>
        </w:tc>
        <w:tc>
          <w:tcPr>
            <w:tcW w:w="2606" w:type="dxa"/>
          </w:tcPr>
          <w:p w14:paraId="0D747F70">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Grad redus de colectare  a tarifului de la utilizatorii non casnici colectat de către  operatorul de colectare/transport – Risc de ofertă </w:t>
            </w:r>
          </w:p>
        </w:tc>
        <w:tc>
          <w:tcPr>
            <w:tcW w:w="4221" w:type="dxa"/>
          </w:tcPr>
          <w:p w14:paraId="4949A17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28C4FBEC">
            <w:pPr>
              <w:spacing w:after="0" w:line="240" w:lineRule="auto"/>
              <w:jc w:val="center"/>
              <w:rPr>
                <w:rFonts w:asciiTheme="majorHAnsi" w:hAnsiTheme="majorHAnsi" w:cstheme="majorHAnsi"/>
                <w:sz w:val="24"/>
                <w:szCs w:val="24"/>
                <w:lang w:val="ro-RO"/>
              </w:rPr>
            </w:pPr>
          </w:p>
        </w:tc>
        <w:tc>
          <w:tcPr>
            <w:tcW w:w="1077" w:type="dxa"/>
            <w:vAlign w:val="center"/>
          </w:tcPr>
          <w:p w14:paraId="28015976">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56D1DDB5">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Operatorul trebuie să implementeze politici adecvate pentru încasarea facturilor/recuperarea creanțelor</w:t>
            </w:r>
          </w:p>
          <w:p w14:paraId="4C333A6D">
            <w:pPr>
              <w:pStyle w:val="200"/>
              <w:spacing w:after="0" w:line="240" w:lineRule="auto"/>
              <w:rPr>
                <w:rFonts w:asciiTheme="majorHAnsi" w:hAnsiTheme="majorHAnsi" w:cstheme="majorHAnsi"/>
                <w:color w:val="auto"/>
                <w:lang w:val="ro-RO"/>
              </w:rPr>
            </w:pPr>
            <w:r>
              <w:rPr>
                <w:rFonts w:asciiTheme="majorHAnsi" w:hAnsiTheme="majorHAnsi" w:cstheme="majorHAnsi"/>
                <w:color w:val="auto"/>
                <w:lang w:val="ro-RO"/>
              </w:rPr>
              <w:t>Operatorul devine astfel pe deplin responsabil pentru colectarea acestor tarife.</w:t>
            </w:r>
          </w:p>
        </w:tc>
      </w:tr>
      <w:tr w14:paraId="53CD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5AAF823">
            <w:pPr>
              <w:numPr>
                <w:ilvl w:val="0"/>
                <w:numId w:val="19"/>
              </w:numPr>
              <w:spacing w:after="0" w:line="240" w:lineRule="auto"/>
              <w:rPr>
                <w:rFonts w:asciiTheme="majorHAnsi" w:hAnsiTheme="majorHAnsi" w:cstheme="majorHAnsi"/>
                <w:sz w:val="24"/>
                <w:szCs w:val="24"/>
                <w:lang w:val="ro-RO"/>
              </w:rPr>
            </w:pPr>
          </w:p>
        </w:tc>
        <w:tc>
          <w:tcPr>
            <w:tcW w:w="2606" w:type="dxa"/>
          </w:tcPr>
          <w:p w14:paraId="7AFE2277">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Cresterea inflatiei peste nivelul prognozat de Comisia Nationala de Strategie si Prognoza </w:t>
            </w:r>
          </w:p>
        </w:tc>
        <w:tc>
          <w:tcPr>
            <w:tcW w:w="4221" w:type="dxa"/>
          </w:tcPr>
          <w:p w14:paraId="027D2193">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Preturile cresc peste nivelul prognozat ca urmare a unor evenimente neprevazute (pandemie, criza economica, etc.) fiind necesara ajustarea tarifului, dar nu mai devreme de un an.</w:t>
            </w:r>
          </w:p>
        </w:tc>
        <w:tc>
          <w:tcPr>
            <w:tcW w:w="1917" w:type="dxa"/>
            <w:vAlign w:val="center"/>
          </w:tcPr>
          <w:p w14:paraId="157DBF13">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1077" w:type="dxa"/>
            <w:vAlign w:val="center"/>
          </w:tcPr>
          <w:p w14:paraId="1417F800">
            <w:pPr>
              <w:spacing w:after="0" w:line="240" w:lineRule="auto"/>
              <w:jc w:val="center"/>
              <w:rPr>
                <w:rFonts w:asciiTheme="majorHAnsi" w:hAnsiTheme="majorHAnsi" w:cstheme="majorHAnsi"/>
                <w:sz w:val="24"/>
                <w:szCs w:val="24"/>
                <w:lang w:val="ro-RO"/>
              </w:rPr>
            </w:pPr>
          </w:p>
        </w:tc>
        <w:tc>
          <w:tcPr>
            <w:tcW w:w="4339" w:type="dxa"/>
          </w:tcPr>
          <w:p w14:paraId="7691D60A">
            <w:pPr>
              <w:pStyle w:val="205"/>
              <w:rPr>
                <w:rFonts w:asciiTheme="majorHAnsi" w:hAnsiTheme="majorHAnsi" w:cstheme="majorHAnsi"/>
                <w:color w:val="auto"/>
              </w:rPr>
            </w:pPr>
            <w:r>
              <w:rPr>
                <w:rFonts w:asciiTheme="majorHAnsi" w:hAnsiTheme="majorHAnsi" w:cstheme="majorHAnsi"/>
                <w:color w:val="auto"/>
              </w:rPr>
              <w:t>În cazuri justificate, tariful se poate ajusta la solicitarea operatorului conform prevederilor Ordinului ANRSC nr. 640/2022 ( In limita planului tarifar)</w:t>
            </w:r>
          </w:p>
        </w:tc>
      </w:tr>
      <w:tr w14:paraId="6650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054B453">
            <w:pPr>
              <w:numPr>
                <w:ilvl w:val="0"/>
                <w:numId w:val="19"/>
              </w:numPr>
              <w:spacing w:after="0" w:line="240" w:lineRule="auto"/>
              <w:rPr>
                <w:rFonts w:asciiTheme="majorHAnsi" w:hAnsiTheme="majorHAnsi" w:cstheme="majorHAnsi"/>
                <w:sz w:val="24"/>
                <w:szCs w:val="24"/>
                <w:lang w:val="ro-RO"/>
              </w:rPr>
            </w:pPr>
          </w:p>
        </w:tc>
        <w:tc>
          <w:tcPr>
            <w:tcW w:w="2606" w:type="dxa"/>
          </w:tcPr>
          <w:p w14:paraId="4C969171">
            <w:pPr>
              <w:pStyle w:val="205"/>
              <w:rPr>
                <w:rFonts w:asciiTheme="majorHAnsi" w:hAnsiTheme="majorHAnsi" w:cstheme="majorHAnsi"/>
                <w:color w:val="auto"/>
              </w:rPr>
            </w:pPr>
            <w:r>
              <w:rPr>
                <w:rFonts w:asciiTheme="majorHAnsi" w:hAnsiTheme="majorHAnsi" w:cstheme="majorHAnsi"/>
                <w:color w:val="auto"/>
              </w:rPr>
              <w:t>Creșteri salariale generale ca urmare a aplicării unor politici publice</w:t>
            </w:r>
          </w:p>
        </w:tc>
        <w:tc>
          <w:tcPr>
            <w:tcW w:w="4221" w:type="dxa"/>
          </w:tcPr>
          <w:p w14:paraId="47568C38">
            <w:pPr>
              <w:pStyle w:val="205"/>
              <w:rPr>
                <w:rFonts w:asciiTheme="majorHAnsi" w:hAnsiTheme="majorHAnsi" w:cstheme="majorHAnsi"/>
                <w:color w:val="auto"/>
              </w:rPr>
            </w:pPr>
            <w:r>
              <w:rPr>
                <w:rFonts w:asciiTheme="majorHAnsi" w:hAnsiTheme="majorHAnsi" w:cstheme="majorHAnsi"/>
                <w:color w:val="auto"/>
              </w:rPr>
              <w:t>Salariul minim pe economie creste foarte mult (mai mult de 10% pe an) datorită aplicării unor politici publice</w:t>
            </w:r>
          </w:p>
        </w:tc>
        <w:tc>
          <w:tcPr>
            <w:tcW w:w="1917" w:type="dxa"/>
            <w:vAlign w:val="center"/>
          </w:tcPr>
          <w:p w14:paraId="5E4E2558">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1077" w:type="dxa"/>
            <w:vAlign w:val="center"/>
          </w:tcPr>
          <w:p w14:paraId="76FB9B79">
            <w:pPr>
              <w:pStyle w:val="205"/>
              <w:rPr>
                <w:rFonts w:asciiTheme="majorHAnsi" w:hAnsiTheme="majorHAnsi" w:cstheme="majorHAnsi"/>
                <w:color w:val="auto"/>
              </w:rPr>
            </w:pPr>
          </w:p>
        </w:tc>
        <w:tc>
          <w:tcPr>
            <w:tcW w:w="4339" w:type="dxa"/>
          </w:tcPr>
          <w:p w14:paraId="2D88707D">
            <w:pPr>
              <w:pStyle w:val="205"/>
              <w:rPr>
                <w:rFonts w:asciiTheme="majorHAnsi" w:hAnsiTheme="majorHAnsi" w:cstheme="majorHAnsi"/>
                <w:color w:val="auto"/>
              </w:rPr>
            </w:pPr>
            <w:r>
              <w:rPr>
                <w:rFonts w:asciiTheme="majorHAnsi" w:hAnsiTheme="majorHAnsi" w:cstheme="majorHAnsi"/>
                <w:color w:val="auto"/>
              </w:rPr>
              <w:t>În cazuri bine justificate, tariful se poate ajusta la solicitarea Delegatului, conform prevederilor Ordinului ANRSC nr. 640/2022 (In limita planului tarifar)</w:t>
            </w:r>
          </w:p>
        </w:tc>
      </w:tr>
      <w:tr w14:paraId="3970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BA3B1CB">
            <w:pPr>
              <w:numPr>
                <w:ilvl w:val="0"/>
                <w:numId w:val="19"/>
              </w:numPr>
              <w:spacing w:after="0" w:line="240" w:lineRule="auto"/>
              <w:rPr>
                <w:rFonts w:asciiTheme="majorHAnsi" w:hAnsiTheme="majorHAnsi" w:cstheme="majorHAnsi"/>
                <w:sz w:val="24"/>
                <w:szCs w:val="24"/>
                <w:lang w:val="ro-RO"/>
              </w:rPr>
            </w:pPr>
          </w:p>
        </w:tc>
        <w:tc>
          <w:tcPr>
            <w:tcW w:w="2606" w:type="dxa"/>
          </w:tcPr>
          <w:p w14:paraId="41E87B5C">
            <w:pPr>
              <w:pStyle w:val="205"/>
              <w:rPr>
                <w:rFonts w:asciiTheme="majorHAnsi" w:hAnsiTheme="majorHAnsi" w:cstheme="majorHAnsi"/>
                <w:color w:val="auto"/>
              </w:rPr>
            </w:pPr>
            <w:r>
              <w:rPr>
                <w:rFonts w:asciiTheme="majorHAnsi" w:hAnsiTheme="majorHAnsi" w:cstheme="majorHAnsi"/>
                <w:color w:val="auto"/>
              </w:rPr>
              <w:t>Creșteri de preț la carburanți din cauza unor evenimente externe neașteptate</w:t>
            </w:r>
          </w:p>
        </w:tc>
        <w:tc>
          <w:tcPr>
            <w:tcW w:w="4221" w:type="dxa"/>
          </w:tcPr>
          <w:p w14:paraId="0ED13E42">
            <w:pPr>
              <w:pStyle w:val="205"/>
              <w:rPr>
                <w:rFonts w:asciiTheme="majorHAnsi" w:hAnsiTheme="majorHAnsi" w:cstheme="majorHAnsi"/>
                <w:color w:val="auto"/>
              </w:rPr>
            </w:pPr>
            <w:r>
              <w:rPr>
                <w:rFonts w:asciiTheme="majorHAnsi" w:hAnsiTheme="majorHAnsi" w:cstheme="majorHAnsi"/>
                <w:color w:val="auto"/>
              </w:rPr>
              <w:t>Preturile la carburanți cresc foarte mult (mai mult de 10% pe an) din cauza aplicării unor politici fiscale sau din cauza unor evenimente internaționale neașteptate</w:t>
            </w:r>
          </w:p>
        </w:tc>
        <w:tc>
          <w:tcPr>
            <w:tcW w:w="1917" w:type="dxa"/>
            <w:vAlign w:val="center"/>
          </w:tcPr>
          <w:p w14:paraId="0C4E288C">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1077" w:type="dxa"/>
            <w:vAlign w:val="center"/>
          </w:tcPr>
          <w:p w14:paraId="2D7629AC">
            <w:pPr>
              <w:pStyle w:val="205"/>
              <w:rPr>
                <w:rFonts w:asciiTheme="majorHAnsi" w:hAnsiTheme="majorHAnsi" w:cstheme="majorHAnsi"/>
                <w:color w:val="auto"/>
              </w:rPr>
            </w:pPr>
          </w:p>
        </w:tc>
        <w:tc>
          <w:tcPr>
            <w:tcW w:w="4339" w:type="dxa"/>
          </w:tcPr>
          <w:p w14:paraId="292988C6">
            <w:pPr>
              <w:pStyle w:val="205"/>
              <w:rPr>
                <w:rFonts w:asciiTheme="majorHAnsi" w:hAnsiTheme="majorHAnsi" w:cstheme="majorHAnsi"/>
                <w:color w:val="auto"/>
              </w:rPr>
            </w:pPr>
            <w:r>
              <w:rPr>
                <w:rFonts w:asciiTheme="majorHAnsi" w:hAnsiTheme="majorHAnsi" w:cstheme="majorHAnsi"/>
                <w:color w:val="auto"/>
              </w:rPr>
              <w:t>În cazuri bine justificate, tariful se poate ajusta la solicitarea Delegatului, conform prevederilor Ordinului ANRSC nr. 640/2022 (In limita planului tarifar)</w:t>
            </w:r>
          </w:p>
        </w:tc>
      </w:tr>
      <w:tr w14:paraId="6867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7708903">
            <w:pPr>
              <w:numPr>
                <w:ilvl w:val="0"/>
                <w:numId w:val="19"/>
              </w:numPr>
              <w:spacing w:after="0" w:line="240" w:lineRule="auto"/>
              <w:rPr>
                <w:rFonts w:asciiTheme="majorHAnsi" w:hAnsiTheme="majorHAnsi" w:cstheme="majorHAnsi"/>
                <w:sz w:val="24"/>
                <w:szCs w:val="24"/>
                <w:lang w:val="ro-RO"/>
              </w:rPr>
            </w:pPr>
          </w:p>
        </w:tc>
        <w:tc>
          <w:tcPr>
            <w:tcW w:w="2606" w:type="dxa"/>
          </w:tcPr>
          <w:p w14:paraId="7345178C">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Insolventa Operatorului – </w:t>
            </w:r>
          </w:p>
        </w:tc>
        <w:tc>
          <w:tcPr>
            <w:tcW w:w="4221" w:type="dxa"/>
          </w:tcPr>
          <w:p w14:paraId="3CA53F6F">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Constatarea intrării în incapacitate de plata a Operatorului. Serviciul nu mai poate fi prestat.</w:t>
            </w:r>
          </w:p>
        </w:tc>
        <w:tc>
          <w:tcPr>
            <w:tcW w:w="1917" w:type="dxa"/>
            <w:vAlign w:val="center"/>
          </w:tcPr>
          <w:p w14:paraId="2A7F5C9E">
            <w:pPr>
              <w:spacing w:after="0" w:line="240" w:lineRule="auto"/>
              <w:jc w:val="center"/>
              <w:rPr>
                <w:rFonts w:asciiTheme="majorHAnsi" w:hAnsiTheme="majorHAnsi" w:cstheme="majorHAnsi"/>
                <w:sz w:val="24"/>
                <w:szCs w:val="24"/>
                <w:lang w:val="ro-RO"/>
              </w:rPr>
            </w:pPr>
          </w:p>
        </w:tc>
        <w:tc>
          <w:tcPr>
            <w:tcW w:w="1077" w:type="dxa"/>
            <w:vAlign w:val="center"/>
          </w:tcPr>
          <w:p w14:paraId="7310E453">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100%</w:t>
            </w:r>
          </w:p>
        </w:tc>
        <w:tc>
          <w:tcPr>
            <w:tcW w:w="4339" w:type="dxa"/>
          </w:tcPr>
          <w:p w14:paraId="6A143691">
            <w:pPr>
              <w:pStyle w:val="205"/>
              <w:rPr>
                <w:rFonts w:asciiTheme="majorHAnsi" w:hAnsiTheme="majorHAnsi" w:cstheme="majorHAnsi"/>
                <w:color w:val="auto"/>
              </w:rPr>
            </w:pPr>
            <w:r>
              <w:rPr>
                <w:rFonts w:asciiTheme="majorHAnsi" w:hAnsiTheme="majorHAnsi" w:cstheme="majorHAnsi"/>
                <w:color w:val="auto"/>
              </w:rPr>
              <w:t>Documentația de atribuire este întocmita de așa natura încât Operatorul  identificat sa fie solvabil.</w:t>
            </w:r>
          </w:p>
          <w:p w14:paraId="247E409A">
            <w:pPr>
              <w:pStyle w:val="205"/>
              <w:rPr>
                <w:rFonts w:asciiTheme="majorHAnsi" w:hAnsiTheme="majorHAnsi" w:cstheme="majorHAnsi"/>
                <w:color w:val="auto"/>
              </w:rPr>
            </w:pPr>
            <w:r>
              <w:rPr>
                <w:rFonts w:asciiTheme="majorHAnsi" w:hAnsiTheme="majorHAnsi" w:cstheme="majorHAnsi"/>
                <w:color w:val="auto"/>
              </w:rPr>
              <w:t>In cazul în care Operatorul  devine insolvabil pe durata contractului, Contractul poate fi reziliat iar Autoritatea Contractanta va incerca atribuirea contractului printr-o procedura de achizite publica.</w:t>
            </w:r>
          </w:p>
          <w:p w14:paraId="1A812B50">
            <w:pPr>
              <w:spacing w:after="0" w:line="240" w:lineRule="auto"/>
              <w:rPr>
                <w:rFonts w:asciiTheme="majorHAnsi" w:hAnsiTheme="majorHAnsi" w:cstheme="majorHAnsi"/>
                <w:strike/>
                <w:sz w:val="24"/>
                <w:szCs w:val="24"/>
                <w:lang w:val="ro-RO"/>
              </w:rPr>
            </w:pPr>
          </w:p>
        </w:tc>
      </w:tr>
      <w:tr w14:paraId="36F2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2F23E4C">
            <w:pPr>
              <w:numPr>
                <w:ilvl w:val="0"/>
                <w:numId w:val="19"/>
              </w:numPr>
              <w:spacing w:after="0" w:line="240" w:lineRule="auto"/>
              <w:rPr>
                <w:rFonts w:asciiTheme="majorHAnsi" w:hAnsiTheme="majorHAnsi" w:cstheme="majorHAnsi"/>
                <w:sz w:val="24"/>
                <w:szCs w:val="24"/>
                <w:lang w:val="ro-RO"/>
              </w:rPr>
            </w:pPr>
          </w:p>
        </w:tc>
        <w:tc>
          <w:tcPr>
            <w:tcW w:w="2606" w:type="dxa"/>
          </w:tcPr>
          <w:p w14:paraId="024CD1D7">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 xml:space="preserve">Forța majora – Risc de operare </w:t>
            </w:r>
          </w:p>
        </w:tc>
        <w:tc>
          <w:tcPr>
            <w:tcW w:w="4221" w:type="dxa"/>
          </w:tcPr>
          <w:p w14:paraId="581ACB9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Forța majora, astfel cum este definita prin lege, împiedica realizarea contractului, pierderea sau avarierea activelor proiectului și pierderea/diminuarea posibilității de obținere a veniturilor preconizate.</w:t>
            </w:r>
          </w:p>
        </w:tc>
        <w:tc>
          <w:tcPr>
            <w:tcW w:w="1917" w:type="dxa"/>
            <w:vAlign w:val="center"/>
          </w:tcPr>
          <w:p w14:paraId="1702542E">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50% - UAT Județul Calarasi</w:t>
            </w:r>
          </w:p>
        </w:tc>
        <w:tc>
          <w:tcPr>
            <w:tcW w:w="1077" w:type="dxa"/>
            <w:vAlign w:val="center"/>
          </w:tcPr>
          <w:p w14:paraId="4F6422C8">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50%</w:t>
            </w:r>
          </w:p>
        </w:tc>
        <w:tc>
          <w:tcPr>
            <w:tcW w:w="4339" w:type="dxa"/>
          </w:tcPr>
          <w:p w14:paraId="4F9723BA">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Bunurile mobile și imobile vor fi asigurate în baza viitorului contract.</w:t>
            </w:r>
          </w:p>
          <w:p w14:paraId="744284F0">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Fondurile acumulate atât de Autoritatea Contractanta cat și de Delegat pentru dezvoltare și retehnologizare vor fi utilizate pentru a asigura continuitatea operării.</w:t>
            </w:r>
          </w:p>
        </w:tc>
      </w:tr>
      <w:tr w14:paraId="799B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DB0AA5C">
            <w:pPr>
              <w:numPr>
                <w:ilvl w:val="0"/>
                <w:numId w:val="19"/>
              </w:numPr>
              <w:spacing w:after="0" w:line="240" w:lineRule="auto"/>
              <w:rPr>
                <w:rFonts w:asciiTheme="majorHAnsi" w:hAnsiTheme="majorHAnsi" w:cstheme="majorHAnsi"/>
                <w:sz w:val="24"/>
                <w:szCs w:val="24"/>
                <w:lang w:val="ro-RO"/>
              </w:rPr>
            </w:pPr>
          </w:p>
        </w:tc>
        <w:tc>
          <w:tcPr>
            <w:tcW w:w="2606" w:type="dxa"/>
          </w:tcPr>
          <w:p w14:paraId="1D844D36">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Modificări legislative</w:t>
            </w:r>
          </w:p>
        </w:tc>
        <w:tc>
          <w:tcPr>
            <w:tcW w:w="4221" w:type="dxa"/>
          </w:tcPr>
          <w:p w14:paraId="7792D686">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Modificări de legislație care nu puteau fi anticipate la semnarea contractului și care sunt generale în aplicarea lor (nu specifice proiectului), ceea ce conduce la costuri de capital sau operaționale suplimentare din partea Delegatului</w:t>
            </w:r>
          </w:p>
        </w:tc>
        <w:tc>
          <w:tcPr>
            <w:tcW w:w="1917" w:type="dxa"/>
          </w:tcPr>
          <w:p w14:paraId="573CBE93">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50%</w:t>
            </w:r>
          </w:p>
        </w:tc>
        <w:tc>
          <w:tcPr>
            <w:tcW w:w="1077" w:type="dxa"/>
          </w:tcPr>
          <w:p w14:paraId="5067FCD2">
            <w:pPr>
              <w:spacing w:after="0" w:line="240" w:lineRule="auto"/>
              <w:jc w:val="center"/>
              <w:rPr>
                <w:rFonts w:asciiTheme="majorHAnsi" w:hAnsiTheme="majorHAnsi" w:cstheme="majorHAnsi"/>
                <w:sz w:val="24"/>
                <w:szCs w:val="24"/>
                <w:lang w:val="ro-RO"/>
              </w:rPr>
            </w:pPr>
            <w:r>
              <w:rPr>
                <w:rFonts w:asciiTheme="majorHAnsi" w:hAnsiTheme="majorHAnsi" w:cstheme="majorHAnsi"/>
                <w:sz w:val="24"/>
                <w:szCs w:val="24"/>
                <w:lang w:val="ro-RO"/>
              </w:rPr>
              <w:t>50%</w:t>
            </w:r>
          </w:p>
        </w:tc>
        <w:tc>
          <w:tcPr>
            <w:tcW w:w="4339" w:type="dxa"/>
          </w:tcPr>
          <w:p w14:paraId="405AE1F3">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Modificările legislative care vor avea impact asupra derulării contractului nu pot fi prevăzute și asumate în totalitate de niciuna din părți. În asemenea caz se vor realiza modificările contractuale impuse de noile prevederi legale.</w:t>
            </w:r>
          </w:p>
        </w:tc>
      </w:tr>
    </w:tbl>
    <w:p w14:paraId="0F7F1B18">
      <w:pPr>
        <w:spacing w:after="0" w:line="240" w:lineRule="auto"/>
        <w:rPr>
          <w:rFonts w:asciiTheme="majorHAnsi" w:hAnsiTheme="majorHAnsi" w:cstheme="majorHAnsi"/>
          <w:sz w:val="24"/>
          <w:szCs w:val="24"/>
          <w:lang w:eastAsia="en-GB"/>
        </w:rPr>
        <w:sectPr>
          <w:pgSz w:w="16838" w:h="11906" w:orient="landscape"/>
          <w:pgMar w:top="1134" w:right="851" w:bottom="851" w:left="1134" w:header="709" w:footer="408" w:gutter="0"/>
          <w:cols w:space="720" w:num="1"/>
          <w:docGrid w:linePitch="360" w:charSpace="0"/>
        </w:sectPr>
      </w:pPr>
    </w:p>
    <w:bookmarkEnd w:id="5"/>
    <w:p w14:paraId="7CF166B8">
      <w:pPr>
        <w:spacing w:after="0" w:line="240" w:lineRule="auto"/>
        <w:jc w:val="both"/>
        <w:rPr>
          <w:rFonts w:asciiTheme="majorHAnsi" w:hAnsiTheme="majorHAnsi" w:cstheme="majorHAnsi"/>
          <w:sz w:val="24"/>
          <w:szCs w:val="24"/>
          <w:lang w:val="ro-RO"/>
        </w:rPr>
      </w:pPr>
    </w:p>
    <w:p w14:paraId="73BE70BF">
      <w:pPr>
        <w:pStyle w:val="2"/>
        <w:spacing w:before="0" w:line="240" w:lineRule="auto"/>
        <w:jc w:val="center"/>
        <w:rPr>
          <w:rFonts w:cstheme="majorHAnsi"/>
          <w:color w:val="auto"/>
          <w:sz w:val="24"/>
          <w:szCs w:val="24"/>
          <w:lang w:val="ro-RO"/>
        </w:rPr>
      </w:pPr>
      <w:r>
        <w:rPr>
          <w:rFonts w:cstheme="majorHAnsi"/>
          <w:color w:val="auto"/>
          <w:sz w:val="24"/>
          <w:szCs w:val="24"/>
          <w:lang w:val="ro-RO"/>
        </w:rPr>
        <w:t>Capitolul XVIII Informații privind oferta tehnica</w:t>
      </w:r>
    </w:p>
    <w:p w14:paraId="53C8CFAB">
      <w:pPr>
        <w:spacing w:after="0" w:line="240" w:lineRule="auto"/>
        <w:jc w:val="both"/>
        <w:rPr>
          <w:rFonts w:asciiTheme="majorHAnsi" w:hAnsiTheme="majorHAnsi" w:cstheme="majorHAnsi"/>
          <w:sz w:val="24"/>
          <w:szCs w:val="24"/>
          <w:lang w:val="ro-RO"/>
        </w:rPr>
      </w:pPr>
    </w:p>
    <w:p w14:paraId="2C735EF1">
      <w:pPr>
        <w:spacing w:after="0" w:line="240" w:lineRule="auto"/>
        <w:jc w:val="both"/>
        <w:rPr>
          <w:rFonts w:asciiTheme="majorHAnsi" w:hAnsiTheme="majorHAnsi" w:cstheme="majorHAnsi"/>
          <w:sz w:val="24"/>
          <w:szCs w:val="24"/>
          <w:lang w:val="ro-RO"/>
        </w:rPr>
      </w:pPr>
    </w:p>
    <w:p w14:paraId="233C3C43">
      <w:pPr>
        <w:pStyle w:val="164"/>
        <w:numPr>
          <w:ilvl w:val="1"/>
          <w:numId w:val="20"/>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Managementul si organizarea activității </w:t>
      </w:r>
    </w:p>
    <w:p w14:paraId="58E08E16">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Oferta va trebui sa conțină următoarele elemente: </w:t>
      </w:r>
    </w:p>
    <w:p w14:paraId="39B7C13A">
      <w:pPr>
        <w:pStyle w:val="164"/>
        <w:numPr>
          <w:ilvl w:val="2"/>
          <w:numId w:val="20"/>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Organigrama cuprinzând toate posturile de lucru necesare desfășurării activității. </w:t>
      </w:r>
    </w:p>
    <w:p w14:paraId="597CA2BD">
      <w:pPr>
        <w:pStyle w:val="164"/>
        <w:numPr>
          <w:ilvl w:val="2"/>
          <w:numId w:val="20"/>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Atribuțiile specifice aferente fiecărui post de lucru cuprins in organigrama. </w:t>
      </w:r>
    </w:p>
    <w:p w14:paraId="1D7C103E">
      <w:pPr>
        <w:pStyle w:val="164"/>
        <w:numPr>
          <w:ilvl w:val="2"/>
          <w:numId w:val="20"/>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Detalierea atribuțiilor specifice aferente personalului de conducere, prezentate sub forma „Fisei de post”.</w:t>
      </w:r>
    </w:p>
    <w:p w14:paraId="3B87DD5C">
      <w:pPr>
        <w:spacing w:after="0" w:line="240" w:lineRule="auto"/>
        <w:jc w:val="both"/>
        <w:rPr>
          <w:rFonts w:asciiTheme="majorHAnsi" w:hAnsiTheme="majorHAnsi" w:cstheme="majorHAnsi"/>
          <w:sz w:val="24"/>
          <w:szCs w:val="24"/>
          <w:lang w:val="ro-RO"/>
        </w:rPr>
      </w:pPr>
    </w:p>
    <w:p w14:paraId="6643ED28">
      <w:pPr>
        <w:pStyle w:val="164"/>
        <w:numPr>
          <w:ilvl w:val="1"/>
          <w:numId w:val="20"/>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Mobilizarea si operaționalizarea activității </w:t>
      </w:r>
    </w:p>
    <w:p w14:paraId="56EE1675">
      <w:pPr>
        <w:spacing w:after="0" w:line="240" w:lineRule="auto"/>
        <w:jc w:val="both"/>
        <w:rPr>
          <w:rFonts w:asciiTheme="majorHAnsi" w:hAnsiTheme="majorHAnsi" w:cstheme="majorHAnsi"/>
          <w:sz w:val="24"/>
          <w:szCs w:val="24"/>
          <w:lang w:val="ro-RO"/>
        </w:rPr>
      </w:pPr>
    </w:p>
    <w:p w14:paraId="06E07B2C">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In perioada de mobilizare vor fi desfășurate minim următoarele activități: </w:t>
      </w:r>
    </w:p>
    <w:p w14:paraId="6CE1F357">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33413ED3">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procurarea utilajelor si echipamentelor necesare (pentru categoriile de deșeuri care fac obiectul contractului) si amplasarea lor in teritoriu – cumpărare, închiriere, leasing; </w:t>
      </w:r>
    </w:p>
    <w:p w14:paraId="691405FB">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amenajarea si autorizarea activităților in conformitate cu cerințele legale pentru toate punctele de lucru (inclusiv bazele de lucru); </w:t>
      </w:r>
    </w:p>
    <w:p w14:paraId="40366C83">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amenajarea si autorizarea unor baze de lucru aferenta fiecarei zone de colectare care să permită gararea autospecialelor, întreținerea acestora și să faciliteze accesul mai rapid spre UAT-urile din care se va face colectarea si transportul deșeurilor municipale; </w:t>
      </w:r>
    </w:p>
    <w:p w14:paraId="02EDC0E0">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preluarea de la CJ Calarasi a bunurilor de retur date în administrare (inclusiv testarea acestora, daca este cazul) </w:t>
      </w:r>
    </w:p>
    <w:p w14:paraId="1359514E">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obținerea tuturor avizelor/autorizațiilor/licențelor necesare pentru desfășurarea activităților contractului; </w:t>
      </w:r>
    </w:p>
    <w:p w14:paraId="0F848A1D">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încheierea tuturor poliţelor de asigurare și a taxelor legale obligatorii pentru bunurile de retur;</w:t>
      </w:r>
    </w:p>
    <w:p w14:paraId="6490CA4A">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21AD787D">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 </w:t>
      </w:r>
    </w:p>
    <w:p w14:paraId="2CA48E06">
      <w:pPr>
        <w:pStyle w:val="164"/>
        <w:numPr>
          <w:ilvl w:val="0"/>
          <w:numId w:val="21"/>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alte măsuri prevăzute a fi îndeplinite în perioada de mobilizare, conform contractului de delegare a gestiunii. </w:t>
      </w:r>
    </w:p>
    <w:p w14:paraId="3FE94768">
      <w:pPr>
        <w:spacing w:after="0" w:line="240" w:lineRule="auto"/>
        <w:jc w:val="both"/>
        <w:rPr>
          <w:rFonts w:asciiTheme="majorHAnsi" w:hAnsiTheme="majorHAnsi" w:cstheme="majorHAnsi"/>
          <w:sz w:val="24"/>
          <w:szCs w:val="24"/>
          <w:lang w:val="ro-RO"/>
        </w:rPr>
      </w:pPr>
    </w:p>
    <w:p w14:paraId="736548B4">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Se convine ca sfârșitul perioadei de mobilizare (Data începerii activității) este la data la care toate condițiile de la literele a) – j) din paragraful de mai sus sunt îndeplinite in mod cumulativ, dar nu mai mult de 15 de zile, cu posibilitate de prelungire in cazuri temeinic justificate si care nu sunt imputabile operatorului ,cu maximum de 5 de zile de la data semnării contractului de delegare. Pentru emiterea ordinului de începere trebuie să fie îndeplinite cel puțin condițiile prevăzute la art.3 din contract.</w:t>
      </w:r>
    </w:p>
    <w:p w14:paraId="0FA31F20">
      <w:pPr>
        <w:spacing w:after="0" w:line="240" w:lineRule="auto"/>
        <w:jc w:val="both"/>
        <w:rPr>
          <w:rFonts w:asciiTheme="majorHAnsi" w:hAnsiTheme="majorHAnsi" w:cstheme="majorHAnsi"/>
          <w:sz w:val="24"/>
          <w:szCs w:val="24"/>
          <w:lang w:val="ro-RO"/>
        </w:rPr>
      </w:pPr>
    </w:p>
    <w:p w14:paraId="7FEDBA4E">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Oferta tehnica va cuprinde descrierea detaliata a activităților aferente etapei de mobilizare in mod distinct pentru fiecare activitate in parte. </w:t>
      </w:r>
    </w:p>
    <w:p w14:paraId="0BBD314A">
      <w:pPr>
        <w:spacing w:after="0" w:line="240" w:lineRule="auto"/>
        <w:jc w:val="both"/>
        <w:rPr>
          <w:rFonts w:asciiTheme="majorHAnsi" w:hAnsiTheme="majorHAnsi" w:cstheme="majorHAnsi"/>
          <w:sz w:val="24"/>
          <w:szCs w:val="24"/>
          <w:lang w:val="ro-RO"/>
        </w:rPr>
      </w:pPr>
    </w:p>
    <w:p w14:paraId="74189B54">
      <w:pPr>
        <w:pStyle w:val="164"/>
        <w:numPr>
          <w:ilvl w:val="1"/>
          <w:numId w:val="20"/>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Planul de organizare a activații </w:t>
      </w:r>
    </w:p>
    <w:p w14:paraId="6F0BCF3D">
      <w:pPr>
        <w:autoSpaceDE w:val="0"/>
        <w:autoSpaceDN w:val="0"/>
        <w:adjustRightInd w:val="0"/>
        <w:spacing w:after="0" w:line="240" w:lineRule="auto"/>
        <w:rPr>
          <w:rFonts w:asciiTheme="majorHAnsi" w:hAnsiTheme="majorHAnsi" w:cstheme="majorHAnsi"/>
          <w:sz w:val="24"/>
          <w:szCs w:val="24"/>
          <w:lang w:val="ro-RO"/>
        </w:rPr>
      </w:pPr>
    </w:p>
    <w:p w14:paraId="331A3C64">
      <w:pPr>
        <w:autoSpaceDE w:val="0"/>
        <w:autoSpaceDN w:val="0"/>
        <w:adjustRightInd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În oferta tehnică, Ofertantul trebuie să prezinte un Plan de organizare a activității detaliat si coerent, care sa prezinte cel puțin: </w:t>
      </w:r>
    </w:p>
    <w:p w14:paraId="108B8B18">
      <w:pPr>
        <w:pStyle w:val="164"/>
        <w:numPr>
          <w:ilvl w:val="0"/>
          <w:numId w:val="22"/>
        </w:numPr>
        <w:autoSpaceDE w:val="0"/>
        <w:autoSpaceDN w:val="0"/>
        <w:adjustRightInd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alocarea de resurse pentru fiecare categorie de deșeuri (vehicule, echipamente, unelte, personal); </w:t>
      </w:r>
    </w:p>
    <w:p w14:paraId="5463C520">
      <w:pPr>
        <w:pStyle w:val="164"/>
        <w:numPr>
          <w:ilvl w:val="0"/>
          <w:numId w:val="22"/>
        </w:numPr>
        <w:autoSpaceDE w:val="0"/>
        <w:autoSpaceDN w:val="0"/>
        <w:adjustRightInd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organizarea calendaristica a activității pe parcursul unui an – pentru fiecare UAT si categorie de deșeuri; </w:t>
      </w:r>
    </w:p>
    <w:p w14:paraId="128E3950">
      <w:pPr>
        <w:pStyle w:val="164"/>
        <w:numPr>
          <w:ilvl w:val="0"/>
          <w:numId w:val="22"/>
        </w:numPr>
        <w:autoSpaceDE w:val="0"/>
        <w:autoSpaceDN w:val="0"/>
        <w:adjustRightInd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modul de colectare, echipamentele si resursele utilizate pentru fiecare categorie de deșeuri, inclusiv pentru fluxurile speciale de deșeuri care fac obiectul contractului de delegare (deșeuri periculoase menajere, deșeuri voluminoase, deseuri textile); </w:t>
      </w:r>
    </w:p>
    <w:p w14:paraId="75397FFC">
      <w:pPr>
        <w:pStyle w:val="164"/>
        <w:numPr>
          <w:ilvl w:val="0"/>
          <w:numId w:val="22"/>
        </w:numPr>
        <w:autoSpaceDE w:val="0"/>
        <w:autoSpaceDN w:val="0"/>
        <w:adjustRightInd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breviare de calcul pentru dimensionarea echipamentelor detaliate cu privire cel putin la: distante de parcurs, viteze de deplasare, timpi de deplasare, timpi de prestare (incarcare/desarcare pubele si containere), timpi golire autospeciale, etc.</w:t>
      </w:r>
    </w:p>
    <w:p w14:paraId="39EFE327">
      <w:pPr>
        <w:pStyle w:val="164"/>
        <w:numPr>
          <w:ilvl w:val="0"/>
          <w:numId w:val="22"/>
        </w:numPr>
        <w:autoSpaceDE w:val="0"/>
        <w:autoSpaceDN w:val="0"/>
        <w:adjustRightInd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un grafic de colectare pentru deșeurile menajere și similare, și rutele aferente cu respectarea frecvenței de colectare impusă prin prezentul caiet de sarcini; </w:t>
      </w:r>
    </w:p>
    <w:p w14:paraId="2C9B7EBF">
      <w:pPr>
        <w:pStyle w:val="164"/>
        <w:numPr>
          <w:ilvl w:val="0"/>
          <w:numId w:val="22"/>
        </w:numPr>
        <w:autoSpaceDE w:val="0"/>
        <w:autoSpaceDN w:val="0"/>
        <w:adjustRightInd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modalitatea propusă de colectare și transport a deșeurilor abandonate pe domeniul public; </w:t>
      </w:r>
    </w:p>
    <w:p w14:paraId="702ADFF0">
      <w:pPr>
        <w:pStyle w:val="164"/>
        <w:numPr>
          <w:ilvl w:val="0"/>
          <w:numId w:val="22"/>
        </w:numPr>
        <w:autoSpaceDE w:val="0"/>
        <w:autoSpaceDN w:val="0"/>
        <w:adjustRightInd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2AFA8EE0">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Daca este cazul, se va evidenția si contribuția adusa de partenerii din asociere si/sau de subcontractanți: activitățile ce urmează a fi derulate, planificarea in timp, etc. </w:t>
      </w:r>
    </w:p>
    <w:p w14:paraId="6947E3B1">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05F6DF9C">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Compoziția deșeurilor va fi determinata semestrial, in mediul rural se va realiza o proba medie pe fiecare zona in parte care sa reprezinte deșeurile generate in toate unitățile administrativ – teritoriale arondate. </w:t>
      </w:r>
    </w:p>
    <w:p w14:paraId="6AED2322">
      <w:pPr>
        <w:spacing w:after="0" w:line="240" w:lineRule="auto"/>
        <w:jc w:val="both"/>
        <w:rPr>
          <w:rFonts w:asciiTheme="majorHAnsi" w:hAnsiTheme="majorHAnsi" w:cstheme="majorHAnsi"/>
          <w:sz w:val="24"/>
          <w:szCs w:val="24"/>
          <w:lang w:val="ro-RO"/>
        </w:rPr>
      </w:pPr>
    </w:p>
    <w:p w14:paraId="2669C9C9">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Luând în considerare cerințele prezentate în Caietul de sarcini, ofertanții vor calcula necesarul de echipamente pentru prestarea activităților contractului, separat pentru fiecare activitate în parte. </w:t>
      </w:r>
    </w:p>
    <w:p w14:paraId="436EF65E">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Calculele vor fi prezentate explicit în cadrul Ofertei tehnice, specificându-se toți parametrii principali pentru fiecare tip de mijloc de transport, respectiv pentru fiecare tip de utilaj în parte. </w:t>
      </w:r>
    </w:p>
    <w:p w14:paraId="12EE3F88">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La realizarea calculelor se vor avea în vedere, breviarele de calcul din Ordinul ANRSC nr.98/2025 privind aprobarea Caietului de sarcini cadrul al serviciului de salubrizare a localităților, cantitățile de lucrări estimate a fi realizate, frecvențele de prestare a activităților și parametrii de calitate solicitați prin Caietul de sarcini. </w:t>
      </w:r>
    </w:p>
    <w:p w14:paraId="5907ED8A">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Pentru fiecare tip mijloc de transport/utilaj în parte se vor prezenta copii ale documentelor care să ateste veridicitatea parametrilor utilizați în formule.</w:t>
      </w:r>
    </w:p>
    <w:p w14:paraId="2030BC9F">
      <w:pPr>
        <w:spacing w:after="0" w:line="240" w:lineRule="auto"/>
        <w:jc w:val="both"/>
        <w:rPr>
          <w:rFonts w:asciiTheme="majorHAnsi" w:hAnsiTheme="majorHAnsi" w:cstheme="majorHAnsi"/>
          <w:sz w:val="24"/>
          <w:szCs w:val="24"/>
          <w:lang w:val="ro-RO"/>
        </w:rPr>
      </w:pPr>
    </w:p>
    <w:p w14:paraId="08C0F269">
      <w:pPr>
        <w:pStyle w:val="164"/>
        <w:numPr>
          <w:ilvl w:val="1"/>
          <w:numId w:val="20"/>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Planul de investiții </w:t>
      </w:r>
    </w:p>
    <w:p w14:paraId="6D206708">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502AF956">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Prin caietul de sarcini nu sunt impuse investitii in sarcina operatorilor avand in vedere tipul procedurii si durata contractului.</w:t>
      </w:r>
    </w:p>
    <w:p w14:paraId="693ECAF0">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Acest document va fi completat daca ofertantii considera necesare investitii pentru realizarea serviciului.</w:t>
      </w:r>
    </w:p>
    <w:p w14:paraId="1BAC3934">
      <w:pPr>
        <w:spacing w:after="0" w:line="240" w:lineRule="auto"/>
        <w:jc w:val="both"/>
        <w:rPr>
          <w:rFonts w:asciiTheme="majorHAnsi" w:hAnsiTheme="majorHAnsi" w:cstheme="majorHAnsi"/>
          <w:sz w:val="24"/>
          <w:szCs w:val="24"/>
          <w:lang w:val="ro-RO"/>
        </w:rPr>
      </w:pPr>
    </w:p>
    <w:p w14:paraId="391B3504">
      <w:pPr>
        <w:pStyle w:val="164"/>
        <w:numPr>
          <w:ilvl w:val="1"/>
          <w:numId w:val="20"/>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Norme de poluare a autogunoierelor/autovehiculelor de colectare</w:t>
      </w:r>
    </w:p>
    <w:p w14:paraId="63CDABF9">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Se vor prezenta documente relevante care sa ateste norma de poluare a 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644B6145">
      <w:pPr>
        <w:spacing w:after="0" w:line="240" w:lineRule="auto"/>
        <w:jc w:val="both"/>
        <w:rPr>
          <w:rFonts w:asciiTheme="majorHAnsi" w:hAnsiTheme="majorHAnsi" w:cstheme="majorHAnsi"/>
          <w:sz w:val="24"/>
          <w:szCs w:val="24"/>
          <w:lang w:val="ro-RO"/>
        </w:rPr>
      </w:pPr>
    </w:p>
    <w:p w14:paraId="5517C396">
      <w:pPr>
        <w:spacing w:after="0" w:line="240" w:lineRule="auto"/>
        <w:jc w:val="center"/>
        <w:rPr>
          <w:rFonts w:asciiTheme="majorHAnsi" w:hAnsiTheme="majorHAnsi" w:cstheme="majorHAnsi"/>
          <w:b/>
          <w:bCs/>
          <w:sz w:val="24"/>
          <w:szCs w:val="24"/>
          <w:lang w:val="ro-RO"/>
        </w:rPr>
      </w:pPr>
      <w:r>
        <w:rPr>
          <w:rFonts w:cstheme="majorHAnsi"/>
          <w:b/>
          <w:bCs/>
          <w:sz w:val="24"/>
          <w:szCs w:val="24"/>
          <w:lang w:val="ro-RO"/>
        </w:rPr>
        <w:t>Capitolul XIX Informații privind oferta financiara</w:t>
      </w:r>
    </w:p>
    <w:p w14:paraId="0DE0A3BA">
      <w:pPr>
        <w:spacing w:after="0" w:line="240" w:lineRule="auto"/>
        <w:jc w:val="both"/>
        <w:rPr>
          <w:rFonts w:asciiTheme="majorHAnsi" w:hAnsiTheme="majorHAnsi" w:cstheme="majorHAnsi"/>
          <w:sz w:val="24"/>
          <w:szCs w:val="24"/>
          <w:lang w:val="ro-RO"/>
        </w:rPr>
      </w:pPr>
    </w:p>
    <w:p w14:paraId="2DC6928F">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Elaborarea ofertei financiare se va face pe baza: </w:t>
      </w:r>
    </w:p>
    <w:p w14:paraId="35F14AF9">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1- fișei de fundamentare anexă la formularul de oferta- câte o fișă de fundamentare pentru fiecare tarif ofertat,  ținând cont de costurile reale aferente fiecărui tarif, conform Ordonanței de urgenta nr. 92/2021, art.17 alin.(5), lit.c) si a ordinului 640/2022</w:t>
      </w:r>
    </w:p>
    <w:p w14:paraId="04D5EFD4">
      <w:pPr>
        <w:spacing w:after="0" w:line="240" w:lineRule="auto"/>
        <w:jc w:val="both"/>
        <w:rPr>
          <w:rFonts w:asciiTheme="majorHAnsi" w:hAnsiTheme="majorHAnsi" w:cstheme="majorHAnsi"/>
          <w:sz w:val="24"/>
          <w:szCs w:val="24"/>
          <w:lang w:val="ro-RO"/>
        </w:rPr>
      </w:pPr>
      <w:bookmarkStart w:id="6" w:name="_Hlk89185573"/>
      <w:r>
        <w:rPr>
          <w:rFonts w:asciiTheme="majorHAnsi" w:hAnsiTheme="majorHAnsi" w:cstheme="majorHAnsi"/>
          <w:sz w:val="24"/>
          <w:szCs w:val="24"/>
          <w:lang w:val="ro-RO"/>
        </w:rPr>
        <w:t xml:space="preserve">Cuantumul anual al redevenței </w:t>
      </w:r>
      <w:bookmarkEnd w:id="6"/>
      <w:r>
        <w:rPr>
          <w:rFonts w:asciiTheme="majorHAnsi" w:hAnsiTheme="majorHAnsi" w:cstheme="majorHAnsi"/>
          <w:sz w:val="24"/>
          <w:szCs w:val="24"/>
          <w:lang w:val="ro-RO"/>
        </w:rPr>
        <w:t xml:space="preserve">va fi plătit către UAT Județul Calarasi si UAT Mun Oltenita- trimestrial in transe egale. Pe durata fiecarui an contractual redeventa este fixa, aceasta actualizandu-se cu IPC anual. </w:t>
      </w:r>
    </w:p>
    <w:p w14:paraId="19E7B6E4">
      <w:pPr>
        <w:spacing w:after="0" w:line="240" w:lineRule="auto"/>
        <w:jc w:val="both"/>
        <w:rPr>
          <w:rFonts w:asciiTheme="majorHAnsi" w:hAnsiTheme="majorHAnsi" w:cstheme="majorHAnsi"/>
          <w:b/>
          <w:bCs/>
          <w:sz w:val="24"/>
          <w:szCs w:val="24"/>
          <w:lang w:val="ro-RO"/>
        </w:rPr>
      </w:pPr>
      <w:r>
        <w:rPr>
          <w:rFonts w:asciiTheme="majorHAnsi" w:hAnsiTheme="majorHAnsi" w:cstheme="majorHAnsi"/>
          <w:b/>
          <w:bCs/>
          <w:sz w:val="24"/>
          <w:szCs w:val="24"/>
          <w:lang w:val="ro-RO"/>
        </w:rPr>
        <w:t>Redeventa va fi repartizata in tarifele T1-T3 ponderat cu cantitatile programate.</w:t>
      </w:r>
    </w:p>
    <w:p w14:paraId="1E5E426D">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La elaborarea ofertei financiare se vor avea în vedere cantitățile de deșeuri menționate în documentație pentru primul an de executare a contractului în caz contrar oferta urmează a fi declarată ca neconformă.</w:t>
      </w:r>
    </w:p>
    <w:p w14:paraId="21272219">
      <w:pPr>
        <w:spacing w:after="0" w:line="240" w:lineRule="auto"/>
        <w:jc w:val="both"/>
        <w:rPr>
          <w:rFonts w:asciiTheme="majorHAnsi" w:hAnsiTheme="majorHAnsi" w:cstheme="majorHAnsi"/>
          <w:sz w:val="24"/>
          <w:szCs w:val="24"/>
          <w:lang w:val="ro-RO"/>
        </w:rPr>
      </w:pPr>
    </w:p>
    <w:p w14:paraId="7553CC08">
      <w:pPr>
        <w:spacing w:after="0" w:line="240" w:lineRule="auto"/>
        <w:jc w:val="both"/>
        <w:rPr>
          <w:rFonts w:asciiTheme="majorHAnsi" w:hAnsiTheme="majorHAnsi" w:cstheme="majorHAnsi"/>
          <w:sz w:val="24"/>
          <w:szCs w:val="24"/>
          <w:u w:val="single"/>
          <w:lang w:val="ro-RO"/>
        </w:rPr>
      </w:pPr>
      <w:r>
        <w:rPr>
          <w:rFonts w:asciiTheme="majorHAnsi" w:hAnsiTheme="majorHAnsi" w:cstheme="majorHAnsi"/>
          <w:sz w:val="24"/>
          <w:szCs w:val="24"/>
          <w:u w:val="single"/>
          <w:lang w:val="ro-RO"/>
        </w:rPr>
        <w:t xml:space="preserve">Pentru fiecare activitate și fiecare tip de tarif se va întocmi câte o fișă de fundamentare. </w:t>
      </w:r>
    </w:p>
    <w:p w14:paraId="2AC73C87">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Pentru fiecare element de cost din fișa de fundamentare se va prezenta modalitatea detaliată de determinare/cuantificare a acestuia. </w:t>
      </w:r>
    </w:p>
    <w:p w14:paraId="3869D6FE">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Investițiile operatorului se vor amortiza integral în perioada contractului. In conformitate cu prevederile Art. 28 din Legea 101/2006.</w:t>
      </w:r>
    </w:p>
    <w:p w14:paraId="7AEB4618">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Ofertantul este responsabil pentru corelarea ofertei tehnice și a cele financiare.</w:t>
      </w:r>
    </w:p>
    <w:p w14:paraId="41748C7E">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br w:type="page"/>
      </w:r>
    </w:p>
    <w:p w14:paraId="683DAD8C">
      <w:pPr>
        <w:spacing w:after="0" w:line="240" w:lineRule="auto"/>
        <w:jc w:val="both"/>
        <w:rPr>
          <w:rFonts w:asciiTheme="majorHAnsi" w:hAnsiTheme="majorHAnsi" w:cstheme="majorHAnsi"/>
          <w:sz w:val="24"/>
          <w:szCs w:val="24"/>
          <w:lang w:val="ro-RO"/>
        </w:rPr>
      </w:pPr>
    </w:p>
    <w:p w14:paraId="5321DC30">
      <w:pPr>
        <w:pStyle w:val="2"/>
        <w:spacing w:before="0" w:line="240" w:lineRule="auto"/>
        <w:jc w:val="center"/>
        <w:rPr>
          <w:rFonts w:cstheme="majorHAnsi"/>
          <w:color w:val="auto"/>
          <w:sz w:val="24"/>
          <w:szCs w:val="24"/>
          <w:lang w:val="ro-RO"/>
        </w:rPr>
      </w:pPr>
      <w:r>
        <w:rPr>
          <w:rFonts w:cstheme="majorHAnsi"/>
          <w:color w:val="auto"/>
          <w:sz w:val="24"/>
          <w:szCs w:val="24"/>
          <w:lang w:val="ro-RO"/>
        </w:rPr>
        <w:t>Anexe</w:t>
      </w:r>
    </w:p>
    <w:p w14:paraId="2F321BE7">
      <w:pPr>
        <w:spacing w:after="0" w:line="240" w:lineRule="auto"/>
        <w:jc w:val="both"/>
        <w:rPr>
          <w:rFonts w:asciiTheme="majorHAnsi" w:hAnsiTheme="majorHAnsi" w:cstheme="majorHAnsi"/>
          <w:sz w:val="24"/>
          <w:szCs w:val="24"/>
          <w:lang w:val="ro-RO"/>
        </w:rPr>
      </w:pPr>
    </w:p>
    <w:p w14:paraId="678E9E83">
      <w:pPr>
        <w:spacing w:after="0" w:line="240" w:lineRule="auto"/>
        <w:jc w:val="both"/>
        <w:rPr>
          <w:rFonts w:asciiTheme="majorHAnsi" w:hAnsiTheme="majorHAnsi" w:cstheme="majorHAnsi"/>
          <w:sz w:val="24"/>
          <w:szCs w:val="24"/>
          <w:lang w:val="ro-RO"/>
        </w:rPr>
      </w:pPr>
    </w:p>
    <w:p w14:paraId="1E2860CA">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Lista anexe:</w:t>
      </w:r>
    </w:p>
    <w:p w14:paraId="5E88A35C">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Anexa nr.1 –  </w:t>
      </w:r>
      <w:r>
        <w:rPr>
          <w:rFonts w:eastAsia="Times New Roman" w:asciiTheme="majorHAnsi" w:hAnsiTheme="majorHAnsi" w:cstheme="majorHAnsi"/>
          <w:b/>
          <w:bCs/>
          <w:sz w:val="24"/>
          <w:szCs w:val="24"/>
        </w:rPr>
        <w:t>Numărul de utilizatori şi numărul de gospodării individuale/locuinţe în blocuri din aria de delegare</w:t>
      </w:r>
    </w:p>
    <w:p w14:paraId="64926063">
      <w:pPr>
        <w:spacing w:after="0" w:line="240" w:lineRule="auto"/>
        <w:jc w:val="both"/>
        <w:rPr>
          <w:rFonts w:asciiTheme="majorHAnsi" w:hAnsiTheme="majorHAnsi" w:cstheme="majorHAnsi"/>
          <w:sz w:val="24"/>
          <w:szCs w:val="24"/>
          <w:lang w:val="ro-RO"/>
        </w:rPr>
      </w:pPr>
    </w:p>
    <w:p w14:paraId="112632F3">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br w:type="page"/>
      </w:r>
    </w:p>
    <w:p w14:paraId="5232726A">
      <w:pPr>
        <w:pStyle w:val="4"/>
        <w:spacing w:before="0" w:line="240" w:lineRule="auto"/>
        <w:rPr>
          <w:rFonts w:cstheme="majorHAnsi"/>
          <w:color w:val="auto"/>
          <w:sz w:val="24"/>
          <w:szCs w:val="24"/>
        </w:rPr>
      </w:pPr>
      <w:r>
        <w:rPr>
          <w:rFonts w:cstheme="majorHAnsi"/>
          <w:color w:val="auto"/>
          <w:sz w:val="24"/>
          <w:szCs w:val="24"/>
        </w:rPr>
        <w:t>ANEXA Nr. 1 la caietul de sarcini</w:t>
      </w:r>
    </w:p>
    <w:p w14:paraId="3317E8FB">
      <w:pPr>
        <w:spacing w:after="0" w:line="240" w:lineRule="auto"/>
        <w:jc w:val="both"/>
        <w:rPr>
          <w:rFonts w:eastAsia="Times New Roman" w:asciiTheme="majorHAnsi" w:hAnsiTheme="majorHAnsi" w:cstheme="majorHAnsi"/>
          <w:sz w:val="24"/>
          <w:szCs w:val="24"/>
        </w:rPr>
      </w:pPr>
    </w:p>
    <w:p w14:paraId="538AB856">
      <w:pPr>
        <w:spacing w:after="0" w:line="240" w:lineRule="auto"/>
        <w:jc w:val="center"/>
        <w:rPr>
          <w:rFonts w:eastAsia="Times New Roman" w:asciiTheme="majorHAnsi" w:hAnsiTheme="majorHAnsi" w:cstheme="majorHAnsi"/>
          <w:b/>
          <w:bCs/>
          <w:sz w:val="24"/>
          <w:szCs w:val="24"/>
        </w:rPr>
      </w:pPr>
      <w:r>
        <w:rPr>
          <w:rFonts w:eastAsia="Times New Roman" w:asciiTheme="majorHAnsi" w:hAnsiTheme="majorHAnsi" w:cstheme="majorHAnsi"/>
          <w:b/>
          <w:bCs/>
          <w:sz w:val="24"/>
          <w:szCs w:val="24"/>
        </w:rPr>
        <w:t>Numărul de utilizatori şi numărul de gospodării individuale/locuinţe în blocuri din aria de delegare</w:t>
      </w:r>
    </w:p>
    <w:p w14:paraId="0DD888E3">
      <w:pPr>
        <w:spacing w:after="0" w:line="240" w:lineRule="auto"/>
        <w:jc w:val="both"/>
        <w:rPr>
          <w:rFonts w:eastAsia="Times New Roman" w:asciiTheme="majorHAnsi" w:hAnsiTheme="majorHAnsi" w:cstheme="majorHAnsi"/>
          <w:b/>
          <w:bCs/>
          <w:sz w:val="24"/>
          <w:szCs w:val="24"/>
        </w:rPr>
      </w:pPr>
    </w:p>
    <w:p w14:paraId="1CE3BC0E">
      <w:pPr>
        <w:spacing w:after="0" w:line="240" w:lineRule="auto"/>
        <w:jc w:val="both"/>
        <w:rPr>
          <w:rFonts w:eastAsia="Calibri" w:asciiTheme="majorHAnsi" w:hAnsiTheme="majorHAnsi" w:cstheme="majorHAnsi"/>
          <w:sz w:val="24"/>
          <w:szCs w:val="24"/>
          <w:lang w:val="ro-RO"/>
        </w:rPr>
      </w:pPr>
      <w:r>
        <w:rPr>
          <w:rFonts w:eastAsia="Calibri" w:asciiTheme="majorHAnsi" w:hAnsiTheme="majorHAnsi" w:cstheme="majorHAnsi"/>
          <w:sz w:val="24"/>
          <w:szCs w:val="24"/>
          <w:lang w:val="ro-RO"/>
        </w:rPr>
        <w:t>Sistemul de colectare al deșeurilor conceput pentru a fi implementat in Zona 2  a Județului Calarasi, consta in implementarea unui sistem mixt de colectare ce presupune colectare la puncte fixe de colectare (platforme de colectare)- pentru mediul urban zona de blocuri si colectare din poarta in poarta atât pentru mediul rural cat si pentru mediul urban zona de locuințe individuale.</w:t>
      </w:r>
    </w:p>
    <w:p w14:paraId="1C274B4E">
      <w:pPr>
        <w:spacing w:after="0" w:line="240" w:lineRule="auto"/>
        <w:jc w:val="both"/>
        <w:rPr>
          <w:rFonts w:eastAsia="Calibri" w:asciiTheme="majorHAnsi" w:hAnsiTheme="majorHAnsi" w:cstheme="majorHAnsi"/>
          <w:sz w:val="24"/>
          <w:szCs w:val="24"/>
          <w:lang w:val="ro-RO"/>
        </w:rPr>
      </w:pPr>
    </w:p>
    <w:p w14:paraId="3F5D0F2F">
      <w:pPr>
        <w:spacing w:after="0" w:line="240" w:lineRule="auto"/>
        <w:jc w:val="both"/>
        <w:rPr>
          <w:rFonts w:eastAsia="Calibri" w:asciiTheme="majorHAnsi" w:hAnsiTheme="majorHAnsi" w:cstheme="majorHAnsi"/>
          <w:sz w:val="24"/>
          <w:szCs w:val="24"/>
          <w:lang w:val="ro-RO"/>
        </w:rPr>
      </w:pPr>
      <w:r>
        <w:rPr>
          <w:rFonts w:eastAsia="Calibri" w:asciiTheme="majorHAnsi" w:hAnsiTheme="majorHAnsi" w:cstheme="majorHAnsi"/>
          <w:sz w:val="24"/>
          <w:szCs w:val="24"/>
          <w:lang w:val="ro-RO"/>
        </w:rPr>
        <w:t>Compozitia deseurilor este conform Determinarilor efectuate in Zona 2:</w:t>
      </w:r>
    </w:p>
    <w:p w14:paraId="701C65B3">
      <w:pPr>
        <w:spacing w:after="0" w:line="240" w:lineRule="auto"/>
        <w:rPr>
          <w:rFonts w:asciiTheme="majorHAnsi" w:hAnsiTheme="majorHAnsi" w:cstheme="majorHAnsi"/>
          <w:sz w:val="24"/>
          <w:szCs w:val="24"/>
          <w:lang w:val="ro-RO" w:eastAsia="en-GB"/>
        </w:rPr>
      </w:pPr>
    </w:p>
    <w:tbl>
      <w:tblPr>
        <w:tblStyle w:val="12"/>
        <w:tblW w:w="5000" w:type="pct"/>
        <w:tblInd w:w="0" w:type="dxa"/>
        <w:tblLayout w:type="autofit"/>
        <w:tblCellMar>
          <w:top w:w="0" w:type="dxa"/>
          <w:left w:w="108" w:type="dxa"/>
          <w:bottom w:w="0" w:type="dxa"/>
          <w:right w:w="108" w:type="dxa"/>
        </w:tblCellMar>
      </w:tblPr>
      <w:tblGrid>
        <w:gridCol w:w="1287"/>
        <w:gridCol w:w="1203"/>
        <w:gridCol w:w="1242"/>
        <w:gridCol w:w="1096"/>
        <w:gridCol w:w="1135"/>
        <w:gridCol w:w="1192"/>
        <w:gridCol w:w="1231"/>
        <w:gridCol w:w="797"/>
        <w:gridCol w:w="955"/>
      </w:tblGrid>
      <w:tr w14:paraId="09D28B93">
        <w:tblPrEx>
          <w:tblCellMar>
            <w:top w:w="0" w:type="dxa"/>
            <w:left w:w="108" w:type="dxa"/>
            <w:bottom w:w="0" w:type="dxa"/>
            <w:right w:w="108" w:type="dxa"/>
          </w:tblCellMar>
        </w:tblPrEx>
        <w:trPr>
          <w:trHeight w:val="300" w:hRule="atLeast"/>
        </w:trPr>
        <w:tc>
          <w:tcPr>
            <w:tcW w:w="735" w:type="pct"/>
            <w:tcBorders>
              <w:top w:val="single" w:color="auto" w:sz="4" w:space="0"/>
              <w:left w:val="single" w:color="auto" w:sz="4" w:space="0"/>
              <w:bottom w:val="single" w:color="auto" w:sz="4" w:space="0"/>
              <w:right w:val="single" w:color="auto" w:sz="4" w:space="0"/>
            </w:tcBorders>
            <w:shd w:val="clear" w:color="000000" w:fill="DDEBF7"/>
            <w:noWrap/>
            <w:vAlign w:val="bottom"/>
          </w:tcPr>
          <w:p w14:paraId="3C4F59F5">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Tip Deșeu</w:t>
            </w:r>
          </w:p>
        </w:tc>
        <w:tc>
          <w:tcPr>
            <w:tcW w:w="613" w:type="pct"/>
            <w:tcBorders>
              <w:top w:val="single" w:color="auto" w:sz="4" w:space="0"/>
              <w:left w:val="nil"/>
              <w:bottom w:val="single" w:color="auto" w:sz="4" w:space="0"/>
              <w:right w:val="single" w:color="auto" w:sz="4" w:space="0"/>
            </w:tcBorders>
            <w:shd w:val="clear" w:color="000000" w:fill="DDEBF7"/>
            <w:noWrap/>
            <w:vAlign w:val="bottom"/>
          </w:tcPr>
          <w:p w14:paraId="4B3AF01C">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 xml:space="preserve">Oltenița Populație (%) </w:t>
            </w:r>
          </w:p>
        </w:tc>
        <w:tc>
          <w:tcPr>
            <w:tcW w:w="608" w:type="pct"/>
            <w:tcBorders>
              <w:top w:val="single" w:color="auto" w:sz="4" w:space="0"/>
              <w:left w:val="nil"/>
              <w:bottom w:val="single" w:color="auto" w:sz="4" w:space="0"/>
              <w:right w:val="single" w:color="auto" w:sz="4" w:space="0"/>
            </w:tcBorders>
            <w:shd w:val="clear" w:color="000000" w:fill="DDEBF7"/>
            <w:noWrap/>
            <w:vAlign w:val="bottom"/>
          </w:tcPr>
          <w:p w14:paraId="2F1A2F6D">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 xml:space="preserve">Oltenița Agenți Ec. (%) </w:t>
            </w:r>
          </w:p>
        </w:tc>
        <w:tc>
          <w:tcPr>
            <w:tcW w:w="534" w:type="pct"/>
            <w:tcBorders>
              <w:top w:val="single" w:color="auto" w:sz="4" w:space="0"/>
              <w:left w:val="nil"/>
              <w:bottom w:val="single" w:color="auto" w:sz="4" w:space="0"/>
              <w:right w:val="single" w:color="auto" w:sz="4" w:space="0"/>
            </w:tcBorders>
            <w:shd w:val="clear" w:color="000000" w:fill="DDEBF7"/>
            <w:noWrap/>
            <w:vAlign w:val="bottom"/>
          </w:tcPr>
          <w:p w14:paraId="1A9A267E">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 xml:space="preserve">Rural Populație (%) </w:t>
            </w:r>
          </w:p>
        </w:tc>
        <w:tc>
          <w:tcPr>
            <w:tcW w:w="529" w:type="pct"/>
            <w:tcBorders>
              <w:top w:val="single" w:color="auto" w:sz="4" w:space="0"/>
              <w:left w:val="nil"/>
              <w:bottom w:val="single" w:color="auto" w:sz="4" w:space="0"/>
              <w:right w:val="single" w:color="auto" w:sz="4" w:space="0"/>
            </w:tcBorders>
            <w:shd w:val="clear" w:color="000000" w:fill="DDEBF7"/>
            <w:noWrap/>
            <w:vAlign w:val="bottom"/>
          </w:tcPr>
          <w:p w14:paraId="26C3649A">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 xml:space="preserve">Rural Agenți Ec. (%) </w:t>
            </w:r>
          </w:p>
        </w:tc>
        <w:tc>
          <w:tcPr>
            <w:tcW w:w="592" w:type="pct"/>
            <w:tcBorders>
              <w:top w:val="single" w:color="auto" w:sz="4" w:space="0"/>
              <w:left w:val="nil"/>
              <w:bottom w:val="single" w:color="auto" w:sz="4" w:space="0"/>
              <w:right w:val="single" w:color="auto" w:sz="4" w:space="0"/>
            </w:tcBorders>
            <w:shd w:val="clear" w:color="000000" w:fill="DDEBF7"/>
            <w:noWrap/>
            <w:vAlign w:val="bottom"/>
          </w:tcPr>
          <w:p w14:paraId="30F71D98">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 xml:space="preserve">Budești Populație (%) </w:t>
            </w:r>
          </w:p>
        </w:tc>
        <w:tc>
          <w:tcPr>
            <w:tcW w:w="587" w:type="pct"/>
            <w:tcBorders>
              <w:top w:val="single" w:color="auto" w:sz="4" w:space="0"/>
              <w:left w:val="nil"/>
              <w:bottom w:val="single" w:color="auto" w:sz="4" w:space="0"/>
              <w:right w:val="single" w:color="auto" w:sz="4" w:space="0"/>
            </w:tcBorders>
            <w:shd w:val="clear" w:color="000000" w:fill="DDEBF7"/>
            <w:noWrap/>
            <w:vAlign w:val="bottom"/>
          </w:tcPr>
          <w:p w14:paraId="13372C29">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 xml:space="preserve">Budești Agenți Ec. (%) </w:t>
            </w:r>
          </w:p>
        </w:tc>
        <w:tc>
          <w:tcPr>
            <w:tcW w:w="365" w:type="pct"/>
            <w:tcBorders>
              <w:top w:val="single" w:color="auto" w:sz="4" w:space="0"/>
              <w:left w:val="nil"/>
              <w:bottom w:val="single" w:color="auto" w:sz="4" w:space="0"/>
              <w:right w:val="single" w:color="auto" w:sz="4" w:space="0"/>
            </w:tcBorders>
            <w:shd w:val="clear" w:color="000000" w:fill="DDEBF7"/>
            <w:noWrap/>
            <w:vAlign w:val="bottom"/>
          </w:tcPr>
          <w:p w14:paraId="46A5CF80">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Medie Urban</w:t>
            </w:r>
          </w:p>
        </w:tc>
        <w:tc>
          <w:tcPr>
            <w:tcW w:w="439" w:type="pct"/>
            <w:tcBorders>
              <w:top w:val="single" w:color="auto" w:sz="4" w:space="0"/>
              <w:left w:val="nil"/>
              <w:bottom w:val="single" w:color="auto" w:sz="4" w:space="0"/>
              <w:right w:val="single" w:color="auto" w:sz="4" w:space="0"/>
            </w:tcBorders>
            <w:shd w:val="clear" w:color="000000" w:fill="DDEBF7"/>
            <w:noWrap/>
            <w:vAlign w:val="bottom"/>
          </w:tcPr>
          <w:p w14:paraId="62163A97">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Medie CII Urban</w:t>
            </w:r>
          </w:p>
        </w:tc>
      </w:tr>
      <w:tr w14:paraId="4C6DD8C1">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6D413C46">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Biodegradabile</w:t>
            </w:r>
          </w:p>
        </w:tc>
        <w:tc>
          <w:tcPr>
            <w:tcW w:w="613" w:type="pct"/>
            <w:tcBorders>
              <w:top w:val="nil"/>
              <w:left w:val="nil"/>
              <w:bottom w:val="single" w:color="auto" w:sz="4" w:space="0"/>
              <w:right w:val="single" w:color="auto" w:sz="4" w:space="0"/>
            </w:tcBorders>
            <w:noWrap/>
            <w:vAlign w:val="bottom"/>
          </w:tcPr>
          <w:p w14:paraId="7AB23A45">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61.06%</w:t>
            </w:r>
          </w:p>
        </w:tc>
        <w:tc>
          <w:tcPr>
            <w:tcW w:w="608" w:type="pct"/>
            <w:tcBorders>
              <w:top w:val="nil"/>
              <w:left w:val="nil"/>
              <w:bottom w:val="single" w:color="auto" w:sz="4" w:space="0"/>
              <w:right w:val="single" w:color="auto" w:sz="4" w:space="0"/>
            </w:tcBorders>
            <w:noWrap/>
            <w:vAlign w:val="bottom"/>
          </w:tcPr>
          <w:p w14:paraId="22725830">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59.97%</w:t>
            </w:r>
          </w:p>
        </w:tc>
        <w:tc>
          <w:tcPr>
            <w:tcW w:w="534" w:type="pct"/>
            <w:tcBorders>
              <w:top w:val="nil"/>
              <w:left w:val="nil"/>
              <w:bottom w:val="single" w:color="auto" w:sz="4" w:space="0"/>
              <w:right w:val="single" w:color="auto" w:sz="4" w:space="0"/>
            </w:tcBorders>
            <w:noWrap/>
            <w:vAlign w:val="bottom"/>
          </w:tcPr>
          <w:p w14:paraId="17ADEB4D">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60.02%</w:t>
            </w:r>
          </w:p>
        </w:tc>
        <w:tc>
          <w:tcPr>
            <w:tcW w:w="529" w:type="pct"/>
            <w:tcBorders>
              <w:top w:val="nil"/>
              <w:left w:val="nil"/>
              <w:bottom w:val="single" w:color="auto" w:sz="4" w:space="0"/>
              <w:right w:val="single" w:color="auto" w:sz="4" w:space="0"/>
            </w:tcBorders>
            <w:noWrap/>
            <w:vAlign w:val="bottom"/>
          </w:tcPr>
          <w:p w14:paraId="0628B5DA">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61.22%</w:t>
            </w:r>
          </w:p>
        </w:tc>
        <w:tc>
          <w:tcPr>
            <w:tcW w:w="592" w:type="pct"/>
            <w:tcBorders>
              <w:top w:val="nil"/>
              <w:left w:val="nil"/>
              <w:bottom w:val="single" w:color="auto" w:sz="4" w:space="0"/>
              <w:right w:val="single" w:color="auto" w:sz="4" w:space="0"/>
            </w:tcBorders>
            <w:noWrap/>
            <w:vAlign w:val="bottom"/>
          </w:tcPr>
          <w:p w14:paraId="62D52D9B">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62.03%</w:t>
            </w:r>
          </w:p>
        </w:tc>
        <w:tc>
          <w:tcPr>
            <w:tcW w:w="587" w:type="pct"/>
            <w:tcBorders>
              <w:top w:val="nil"/>
              <w:left w:val="nil"/>
              <w:bottom w:val="single" w:color="auto" w:sz="4" w:space="0"/>
              <w:right w:val="single" w:color="auto" w:sz="4" w:space="0"/>
            </w:tcBorders>
            <w:noWrap/>
            <w:vAlign w:val="bottom"/>
          </w:tcPr>
          <w:p w14:paraId="2743831A">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63.43%</w:t>
            </w:r>
          </w:p>
        </w:tc>
        <w:tc>
          <w:tcPr>
            <w:tcW w:w="365" w:type="pct"/>
            <w:tcBorders>
              <w:top w:val="nil"/>
              <w:left w:val="nil"/>
              <w:bottom w:val="single" w:color="auto" w:sz="4" w:space="0"/>
              <w:right w:val="single" w:color="auto" w:sz="4" w:space="0"/>
            </w:tcBorders>
            <w:noWrap/>
            <w:vAlign w:val="bottom"/>
          </w:tcPr>
          <w:p w14:paraId="64095695">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61.55%</w:t>
            </w:r>
          </w:p>
        </w:tc>
        <w:tc>
          <w:tcPr>
            <w:tcW w:w="439" w:type="pct"/>
            <w:tcBorders>
              <w:top w:val="nil"/>
              <w:left w:val="nil"/>
              <w:bottom w:val="single" w:color="auto" w:sz="4" w:space="0"/>
              <w:right w:val="single" w:color="auto" w:sz="4" w:space="0"/>
            </w:tcBorders>
            <w:noWrap/>
            <w:vAlign w:val="bottom"/>
          </w:tcPr>
          <w:p w14:paraId="554B7FAC">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61.70%</w:t>
            </w:r>
          </w:p>
        </w:tc>
      </w:tr>
      <w:tr w14:paraId="066D1FE4">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2D2133D7">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Hârtie și carton</w:t>
            </w:r>
          </w:p>
        </w:tc>
        <w:tc>
          <w:tcPr>
            <w:tcW w:w="613" w:type="pct"/>
            <w:tcBorders>
              <w:top w:val="nil"/>
              <w:left w:val="nil"/>
              <w:bottom w:val="single" w:color="auto" w:sz="4" w:space="0"/>
              <w:right w:val="single" w:color="auto" w:sz="4" w:space="0"/>
            </w:tcBorders>
            <w:noWrap/>
            <w:vAlign w:val="bottom"/>
          </w:tcPr>
          <w:p w14:paraId="6DCE7CC5">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3.70%</w:t>
            </w:r>
          </w:p>
        </w:tc>
        <w:tc>
          <w:tcPr>
            <w:tcW w:w="608" w:type="pct"/>
            <w:tcBorders>
              <w:top w:val="nil"/>
              <w:left w:val="nil"/>
              <w:bottom w:val="single" w:color="auto" w:sz="4" w:space="0"/>
              <w:right w:val="single" w:color="auto" w:sz="4" w:space="0"/>
            </w:tcBorders>
            <w:noWrap/>
            <w:vAlign w:val="bottom"/>
          </w:tcPr>
          <w:p w14:paraId="25957E37">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3.07%</w:t>
            </w:r>
          </w:p>
        </w:tc>
        <w:tc>
          <w:tcPr>
            <w:tcW w:w="534" w:type="pct"/>
            <w:tcBorders>
              <w:top w:val="nil"/>
              <w:left w:val="nil"/>
              <w:bottom w:val="single" w:color="auto" w:sz="4" w:space="0"/>
              <w:right w:val="single" w:color="auto" w:sz="4" w:space="0"/>
            </w:tcBorders>
            <w:noWrap/>
            <w:vAlign w:val="bottom"/>
          </w:tcPr>
          <w:p w14:paraId="7317C624">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2.85%</w:t>
            </w:r>
          </w:p>
        </w:tc>
        <w:tc>
          <w:tcPr>
            <w:tcW w:w="529" w:type="pct"/>
            <w:tcBorders>
              <w:top w:val="nil"/>
              <w:left w:val="nil"/>
              <w:bottom w:val="single" w:color="auto" w:sz="4" w:space="0"/>
              <w:right w:val="single" w:color="auto" w:sz="4" w:space="0"/>
            </w:tcBorders>
            <w:noWrap/>
            <w:vAlign w:val="bottom"/>
          </w:tcPr>
          <w:p w14:paraId="72193BD3">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3.84%</w:t>
            </w:r>
          </w:p>
        </w:tc>
        <w:tc>
          <w:tcPr>
            <w:tcW w:w="592" w:type="pct"/>
            <w:tcBorders>
              <w:top w:val="nil"/>
              <w:left w:val="nil"/>
              <w:bottom w:val="single" w:color="auto" w:sz="4" w:space="0"/>
              <w:right w:val="single" w:color="auto" w:sz="4" w:space="0"/>
            </w:tcBorders>
            <w:noWrap/>
            <w:vAlign w:val="bottom"/>
          </w:tcPr>
          <w:p w14:paraId="4D190B75">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2.17%</w:t>
            </w:r>
          </w:p>
        </w:tc>
        <w:tc>
          <w:tcPr>
            <w:tcW w:w="587" w:type="pct"/>
            <w:tcBorders>
              <w:top w:val="nil"/>
              <w:left w:val="nil"/>
              <w:bottom w:val="single" w:color="auto" w:sz="4" w:space="0"/>
              <w:right w:val="single" w:color="auto" w:sz="4" w:space="0"/>
            </w:tcBorders>
            <w:noWrap/>
            <w:vAlign w:val="bottom"/>
          </w:tcPr>
          <w:p w14:paraId="54D96071">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3.82%</w:t>
            </w:r>
          </w:p>
        </w:tc>
        <w:tc>
          <w:tcPr>
            <w:tcW w:w="365" w:type="pct"/>
            <w:tcBorders>
              <w:top w:val="nil"/>
              <w:left w:val="nil"/>
              <w:bottom w:val="single" w:color="auto" w:sz="4" w:space="0"/>
              <w:right w:val="single" w:color="auto" w:sz="4" w:space="0"/>
            </w:tcBorders>
            <w:noWrap/>
            <w:vAlign w:val="bottom"/>
          </w:tcPr>
          <w:p w14:paraId="3255C032">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2.94%</w:t>
            </w:r>
          </w:p>
        </w:tc>
        <w:tc>
          <w:tcPr>
            <w:tcW w:w="439" w:type="pct"/>
            <w:tcBorders>
              <w:top w:val="nil"/>
              <w:left w:val="nil"/>
              <w:bottom w:val="single" w:color="auto" w:sz="4" w:space="0"/>
              <w:right w:val="single" w:color="auto" w:sz="4" w:space="0"/>
            </w:tcBorders>
            <w:noWrap/>
            <w:vAlign w:val="bottom"/>
          </w:tcPr>
          <w:p w14:paraId="1EBAFC48">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3.45%</w:t>
            </w:r>
          </w:p>
        </w:tc>
      </w:tr>
      <w:tr w14:paraId="73258D89">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236D171E">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Materiale textile</w:t>
            </w:r>
          </w:p>
        </w:tc>
        <w:tc>
          <w:tcPr>
            <w:tcW w:w="613" w:type="pct"/>
            <w:tcBorders>
              <w:top w:val="nil"/>
              <w:left w:val="nil"/>
              <w:bottom w:val="single" w:color="auto" w:sz="4" w:space="0"/>
              <w:right w:val="single" w:color="auto" w:sz="4" w:space="0"/>
            </w:tcBorders>
            <w:noWrap/>
            <w:vAlign w:val="bottom"/>
          </w:tcPr>
          <w:p w14:paraId="2B1C9099">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0.83%</w:t>
            </w:r>
          </w:p>
        </w:tc>
        <w:tc>
          <w:tcPr>
            <w:tcW w:w="608" w:type="pct"/>
            <w:tcBorders>
              <w:top w:val="nil"/>
              <w:left w:val="nil"/>
              <w:bottom w:val="single" w:color="auto" w:sz="4" w:space="0"/>
              <w:right w:val="single" w:color="auto" w:sz="4" w:space="0"/>
            </w:tcBorders>
            <w:noWrap/>
            <w:vAlign w:val="bottom"/>
          </w:tcPr>
          <w:p w14:paraId="01E407FD">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0.37%</w:t>
            </w:r>
          </w:p>
        </w:tc>
        <w:tc>
          <w:tcPr>
            <w:tcW w:w="534" w:type="pct"/>
            <w:tcBorders>
              <w:top w:val="nil"/>
              <w:left w:val="nil"/>
              <w:bottom w:val="single" w:color="auto" w:sz="4" w:space="0"/>
              <w:right w:val="single" w:color="auto" w:sz="4" w:space="0"/>
            </w:tcBorders>
            <w:noWrap/>
            <w:vAlign w:val="bottom"/>
          </w:tcPr>
          <w:p w14:paraId="2413368D">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1.04%</w:t>
            </w:r>
          </w:p>
        </w:tc>
        <w:tc>
          <w:tcPr>
            <w:tcW w:w="529" w:type="pct"/>
            <w:tcBorders>
              <w:top w:val="nil"/>
              <w:left w:val="nil"/>
              <w:bottom w:val="single" w:color="auto" w:sz="4" w:space="0"/>
              <w:right w:val="single" w:color="auto" w:sz="4" w:space="0"/>
            </w:tcBorders>
            <w:noWrap/>
            <w:vAlign w:val="bottom"/>
          </w:tcPr>
          <w:p w14:paraId="10207733">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0.41%</w:t>
            </w:r>
          </w:p>
        </w:tc>
        <w:tc>
          <w:tcPr>
            <w:tcW w:w="592" w:type="pct"/>
            <w:tcBorders>
              <w:top w:val="nil"/>
              <w:left w:val="nil"/>
              <w:bottom w:val="single" w:color="auto" w:sz="4" w:space="0"/>
              <w:right w:val="single" w:color="auto" w:sz="4" w:space="0"/>
            </w:tcBorders>
            <w:noWrap/>
            <w:vAlign w:val="bottom"/>
          </w:tcPr>
          <w:p w14:paraId="48899DF1">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1.01%</w:t>
            </w:r>
          </w:p>
        </w:tc>
        <w:tc>
          <w:tcPr>
            <w:tcW w:w="587" w:type="pct"/>
            <w:tcBorders>
              <w:top w:val="nil"/>
              <w:left w:val="nil"/>
              <w:bottom w:val="single" w:color="auto" w:sz="4" w:space="0"/>
              <w:right w:val="single" w:color="auto" w:sz="4" w:space="0"/>
            </w:tcBorders>
            <w:noWrap/>
            <w:vAlign w:val="bottom"/>
          </w:tcPr>
          <w:p w14:paraId="627D0C27">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0.80%</w:t>
            </w:r>
          </w:p>
        </w:tc>
        <w:tc>
          <w:tcPr>
            <w:tcW w:w="365" w:type="pct"/>
            <w:tcBorders>
              <w:top w:val="nil"/>
              <w:left w:val="nil"/>
              <w:bottom w:val="single" w:color="auto" w:sz="4" w:space="0"/>
              <w:right w:val="single" w:color="auto" w:sz="4" w:space="0"/>
            </w:tcBorders>
            <w:noWrap/>
            <w:vAlign w:val="bottom"/>
          </w:tcPr>
          <w:p w14:paraId="724819B1">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0.92%</w:t>
            </w:r>
          </w:p>
        </w:tc>
        <w:tc>
          <w:tcPr>
            <w:tcW w:w="439" w:type="pct"/>
            <w:tcBorders>
              <w:top w:val="nil"/>
              <w:left w:val="nil"/>
              <w:bottom w:val="single" w:color="auto" w:sz="4" w:space="0"/>
              <w:right w:val="single" w:color="auto" w:sz="4" w:space="0"/>
            </w:tcBorders>
            <w:noWrap/>
            <w:vAlign w:val="bottom"/>
          </w:tcPr>
          <w:p w14:paraId="530EA039">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0.59%</w:t>
            </w:r>
          </w:p>
        </w:tc>
      </w:tr>
      <w:tr w14:paraId="25A58003">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02B3B104">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Materiale plastice</w:t>
            </w:r>
          </w:p>
        </w:tc>
        <w:tc>
          <w:tcPr>
            <w:tcW w:w="613" w:type="pct"/>
            <w:tcBorders>
              <w:top w:val="nil"/>
              <w:left w:val="nil"/>
              <w:bottom w:val="single" w:color="auto" w:sz="4" w:space="0"/>
              <w:right w:val="single" w:color="auto" w:sz="4" w:space="0"/>
            </w:tcBorders>
            <w:noWrap/>
            <w:vAlign w:val="bottom"/>
          </w:tcPr>
          <w:p w14:paraId="429A9DD3">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4.12%</w:t>
            </w:r>
          </w:p>
        </w:tc>
        <w:tc>
          <w:tcPr>
            <w:tcW w:w="608" w:type="pct"/>
            <w:tcBorders>
              <w:top w:val="nil"/>
              <w:left w:val="nil"/>
              <w:bottom w:val="single" w:color="auto" w:sz="4" w:space="0"/>
              <w:right w:val="single" w:color="auto" w:sz="4" w:space="0"/>
            </w:tcBorders>
            <w:noWrap/>
            <w:vAlign w:val="bottom"/>
          </w:tcPr>
          <w:p w14:paraId="40A58A69">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3.98%</w:t>
            </w:r>
          </w:p>
        </w:tc>
        <w:tc>
          <w:tcPr>
            <w:tcW w:w="534" w:type="pct"/>
            <w:tcBorders>
              <w:top w:val="nil"/>
              <w:left w:val="nil"/>
              <w:bottom w:val="single" w:color="auto" w:sz="4" w:space="0"/>
              <w:right w:val="single" w:color="auto" w:sz="4" w:space="0"/>
            </w:tcBorders>
            <w:noWrap/>
            <w:vAlign w:val="bottom"/>
          </w:tcPr>
          <w:p w14:paraId="29BBB80F">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2.72%</w:t>
            </w:r>
          </w:p>
        </w:tc>
        <w:tc>
          <w:tcPr>
            <w:tcW w:w="529" w:type="pct"/>
            <w:tcBorders>
              <w:top w:val="nil"/>
              <w:left w:val="nil"/>
              <w:bottom w:val="single" w:color="auto" w:sz="4" w:space="0"/>
              <w:right w:val="single" w:color="auto" w:sz="4" w:space="0"/>
            </w:tcBorders>
            <w:noWrap/>
            <w:vAlign w:val="bottom"/>
          </w:tcPr>
          <w:p w14:paraId="2190F017">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3.43%</w:t>
            </w:r>
          </w:p>
        </w:tc>
        <w:tc>
          <w:tcPr>
            <w:tcW w:w="592" w:type="pct"/>
            <w:tcBorders>
              <w:top w:val="nil"/>
              <w:left w:val="nil"/>
              <w:bottom w:val="single" w:color="auto" w:sz="4" w:space="0"/>
              <w:right w:val="single" w:color="auto" w:sz="4" w:space="0"/>
            </w:tcBorders>
            <w:noWrap/>
            <w:vAlign w:val="bottom"/>
          </w:tcPr>
          <w:p w14:paraId="505777A0">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3.08%</w:t>
            </w:r>
          </w:p>
        </w:tc>
        <w:tc>
          <w:tcPr>
            <w:tcW w:w="587" w:type="pct"/>
            <w:tcBorders>
              <w:top w:val="nil"/>
              <w:left w:val="nil"/>
              <w:bottom w:val="single" w:color="auto" w:sz="4" w:space="0"/>
              <w:right w:val="single" w:color="auto" w:sz="4" w:space="0"/>
            </w:tcBorders>
            <w:noWrap/>
            <w:vAlign w:val="bottom"/>
          </w:tcPr>
          <w:p w14:paraId="469503BA">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4.23%</w:t>
            </w:r>
          </w:p>
        </w:tc>
        <w:tc>
          <w:tcPr>
            <w:tcW w:w="365" w:type="pct"/>
            <w:tcBorders>
              <w:top w:val="nil"/>
              <w:left w:val="nil"/>
              <w:bottom w:val="single" w:color="auto" w:sz="4" w:space="0"/>
              <w:right w:val="single" w:color="auto" w:sz="4" w:space="0"/>
            </w:tcBorders>
            <w:noWrap/>
            <w:vAlign w:val="bottom"/>
          </w:tcPr>
          <w:p w14:paraId="5DBCBECD">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3.60%</w:t>
            </w:r>
          </w:p>
        </w:tc>
        <w:tc>
          <w:tcPr>
            <w:tcW w:w="439" w:type="pct"/>
            <w:tcBorders>
              <w:top w:val="nil"/>
              <w:left w:val="nil"/>
              <w:bottom w:val="single" w:color="auto" w:sz="4" w:space="0"/>
              <w:right w:val="single" w:color="auto" w:sz="4" w:space="0"/>
            </w:tcBorders>
            <w:noWrap/>
            <w:vAlign w:val="bottom"/>
          </w:tcPr>
          <w:p w14:paraId="2CF09C36">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4.11%</w:t>
            </w:r>
          </w:p>
        </w:tc>
      </w:tr>
      <w:tr w14:paraId="62F1B54D">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592CB600">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Lemn</w:t>
            </w:r>
          </w:p>
        </w:tc>
        <w:tc>
          <w:tcPr>
            <w:tcW w:w="613" w:type="pct"/>
            <w:tcBorders>
              <w:top w:val="nil"/>
              <w:left w:val="nil"/>
              <w:bottom w:val="single" w:color="auto" w:sz="4" w:space="0"/>
              <w:right w:val="single" w:color="auto" w:sz="4" w:space="0"/>
            </w:tcBorders>
            <w:noWrap/>
            <w:vAlign w:val="bottom"/>
          </w:tcPr>
          <w:p w14:paraId="234EFFB5">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0.33%</w:t>
            </w:r>
          </w:p>
        </w:tc>
        <w:tc>
          <w:tcPr>
            <w:tcW w:w="608" w:type="pct"/>
            <w:tcBorders>
              <w:top w:val="nil"/>
              <w:left w:val="nil"/>
              <w:bottom w:val="single" w:color="auto" w:sz="4" w:space="0"/>
              <w:right w:val="single" w:color="auto" w:sz="4" w:space="0"/>
            </w:tcBorders>
            <w:noWrap/>
            <w:vAlign w:val="bottom"/>
          </w:tcPr>
          <w:p w14:paraId="28B49733">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0.67%</w:t>
            </w:r>
          </w:p>
        </w:tc>
        <w:tc>
          <w:tcPr>
            <w:tcW w:w="534" w:type="pct"/>
            <w:tcBorders>
              <w:top w:val="nil"/>
              <w:left w:val="nil"/>
              <w:bottom w:val="single" w:color="auto" w:sz="4" w:space="0"/>
              <w:right w:val="single" w:color="auto" w:sz="4" w:space="0"/>
            </w:tcBorders>
            <w:noWrap/>
            <w:vAlign w:val="bottom"/>
          </w:tcPr>
          <w:p w14:paraId="33194E34">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0.67%</w:t>
            </w:r>
          </w:p>
        </w:tc>
        <w:tc>
          <w:tcPr>
            <w:tcW w:w="529" w:type="pct"/>
            <w:tcBorders>
              <w:top w:val="nil"/>
              <w:left w:val="nil"/>
              <w:bottom w:val="single" w:color="auto" w:sz="4" w:space="0"/>
              <w:right w:val="single" w:color="auto" w:sz="4" w:space="0"/>
            </w:tcBorders>
            <w:noWrap/>
            <w:vAlign w:val="bottom"/>
          </w:tcPr>
          <w:p w14:paraId="6CD9F016">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1.00%</w:t>
            </w:r>
          </w:p>
        </w:tc>
        <w:tc>
          <w:tcPr>
            <w:tcW w:w="592" w:type="pct"/>
            <w:tcBorders>
              <w:top w:val="nil"/>
              <w:left w:val="nil"/>
              <w:bottom w:val="single" w:color="auto" w:sz="4" w:space="0"/>
              <w:right w:val="single" w:color="auto" w:sz="4" w:space="0"/>
            </w:tcBorders>
            <w:noWrap/>
            <w:vAlign w:val="bottom"/>
          </w:tcPr>
          <w:p w14:paraId="7FDC7BF7">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0.72%</w:t>
            </w:r>
          </w:p>
        </w:tc>
        <w:tc>
          <w:tcPr>
            <w:tcW w:w="587" w:type="pct"/>
            <w:tcBorders>
              <w:top w:val="nil"/>
              <w:left w:val="nil"/>
              <w:bottom w:val="single" w:color="auto" w:sz="4" w:space="0"/>
              <w:right w:val="single" w:color="auto" w:sz="4" w:space="0"/>
            </w:tcBorders>
            <w:noWrap/>
            <w:vAlign w:val="bottom"/>
          </w:tcPr>
          <w:p w14:paraId="488CBC39">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0.65%</w:t>
            </w:r>
          </w:p>
        </w:tc>
        <w:tc>
          <w:tcPr>
            <w:tcW w:w="365" w:type="pct"/>
            <w:tcBorders>
              <w:top w:val="nil"/>
              <w:left w:val="nil"/>
              <w:bottom w:val="single" w:color="auto" w:sz="4" w:space="0"/>
              <w:right w:val="single" w:color="auto" w:sz="4" w:space="0"/>
            </w:tcBorders>
            <w:noWrap/>
            <w:vAlign w:val="bottom"/>
          </w:tcPr>
          <w:p w14:paraId="5A1DBC89">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0.53%</w:t>
            </w:r>
          </w:p>
        </w:tc>
        <w:tc>
          <w:tcPr>
            <w:tcW w:w="439" w:type="pct"/>
            <w:tcBorders>
              <w:top w:val="nil"/>
              <w:left w:val="nil"/>
              <w:bottom w:val="single" w:color="auto" w:sz="4" w:space="0"/>
              <w:right w:val="single" w:color="auto" w:sz="4" w:space="0"/>
            </w:tcBorders>
            <w:noWrap/>
            <w:vAlign w:val="bottom"/>
          </w:tcPr>
          <w:p w14:paraId="41D6A7D7">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0.66%</w:t>
            </w:r>
          </w:p>
        </w:tc>
      </w:tr>
      <w:tr w14:paraId="426DB664">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6DC52EC6">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Sticlă</w:t>
            </w:r>
          </w:p>
        </w:tc>
        <w:tc>
          <w:tcPr>
            <w:tcW w:w="613" w:type="pct"/>
            <w:tcBorders>
              <w:top w:val="nil"/>
              <w:left w:val="nil"/>
              <w:bottom w:val="single" w:color="auto" w:sz="4" w:space="0"/>
              <w:right w:val="single" w:color="auto" w:sz="4" w:space="0"/>
            </w:tcBorders>
            <w:noWrap/>
            <w:vAlign w:val="bottom"/>
          </w:tcPr>
          <w:p w14:paraId="40A06009">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1.68%</w:t>
            </w:r>
          </w:p>
        </w:tc>
        <w:tc>
          <w:tcPr>
            <w:tcW w:w="608" w:type="pct"/>
            <w:tcBorders>
              <w:top w:val="nil"/>
              <w:left w:val="nil"/>
              <w:bottom w:val="single" w:color="auto" w:sz="4" w:space="0"/>
              <w:right w:val="single" w:color="auto" w:sz="4" w:space="0"/>
            </w:tcBorders>
            <w:noWrap/>
            <w:vAlign w:val="bottom"/>
          </w:tcPr>
          <w:p w14:paraId="639107B8">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6.00%</w:t>
            </w:r>
          </w:p>
        </w:tc>
        <w:tc>
          <w:tcPr>
            <w:tcW w:w="534" w:type="pct"/>
            <w:tcBorders>
              <w:top w:val="nil"/>
              <w:left w:val="nil"/>
              <w:bottom w:val="single" w:color="auto" w:sz="4" w:space="0"/>
              <w:right w:val="single" w:color="auto" w:sz="4" w:space="0"/>
            </w:tcBorders>
            <w:noWrap/>
            <w:vAlign w:val="bottom"/>
          </w:tcPr>
          <w:p w14:paraId="4DE1FE80">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0.81%</w:t>
            </w:r>
          </w:p>
        </w:tc>
        <w:tc>
          <w:tcPr>
            <w:tcW w:w="529" w:type="pct"/>
            <w:tcBorders>
              <w:top w:val="nil"/>
              <w:left w:val="nil"/>
              <w:bottom w:val="single" w:color="auto" w:sz="4" w:space="0"/>
              <w:right w:val="single" w:color="auto" w:sz="4" w:space="0"/>
            </w:tcBorders>
            <w:noWrap/>
            <w:vAlign w:val="bottom"/>
          </w:tcPr>
          <w:p w14:paraId="71ED5A7A">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1.55%</w:t>
            </w:r>
          </w:p>
        </w:tc>
        <w:tc>
          <w:tcPr>
            <w:tcW w:w="592" w:type="pct"/>
            <w:tcBorders>
              <w:top w:val="nil"/>
              <w:left w:val="nil"/>
              <w:bottom w:val="single" w:color="auto" w:sz="4" w:space="0"/>
              <w:right w:val="single" w:color="auto" w:sz="4" w:space="0"/>
            </w:tcBorders>
            <w:noWrap/>
            <w:vAlign w:val="bottom"/>
          </w:tcPr>
          <w:p w14:paraId="39B4DC54">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0.69%</w:t>
            </w:r>
          </w:p>
        </w:tc>
        <w:tc>
          <w:tcPr>
            <w:tcW w:w="587" w:type="pct"/>
            <w:tcBorders>
              <w:top w:val="nil"/>
              <w:left w:val="nil"/>
              <w:bottom w:val="single" w:color="auto" w:sz="4" w:space="0"/>
              <w:right w:val="single" w:color="auto" w:sz="4" w:space="0"/>
            </w:tcBorders>
            <w:noWrap/>
            <w:vAlign w:val="bottom"/>
          </w:tcPr>
          <w:p w14:paraId="6A754C78">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2.01%</w:t>
            </w:r>
          </w:p>
        </w:tc>
        <w:tc>
          <w:tcPr>
            <w:tcW w:w="365" w:type="pct"/>
            <w:tcBorders>
              <w:top w:val="nil"/>
              <w:left w:val="nil"/>
              <w:bottom w:val="single" w:color="auto" w:sz="4" w:space="0"/>
              <w:right w:val="single" w:color="auto" w:sz="4" w:space="0"/>
            </w:tcBorders>
            <w:noWrap/>
            <w:vAlign w:val="bottom"/>
          </w:tcPr>
          <w:p w14:paraId="31037C26">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1.19%</w:t>
            </w:r>
          </w:p>
        </w:tc>
        <w:tc>
          <w:tcPr>
            <w:tcW w:w="439" w:type="pct"/>
            <w:tcBorders>
              <w:top w:val="nil"/>
              <w:left w:val="nil"/>
              <w:bottom w:val="single" w:color="auto" w:sz="4" w:space="0"/>
              <w:right w:val="single" w:color="auto" w:sz="4" w:space="0"/>
            </w:tcBorders>
            <w:noWrap/>
            <w:vAlign w:val="bottom"/>
          </w:tcPr>
          <w:p w14:paraId="6DBE8E80">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4.01%</w:t>
            </w:r>
          </w:p>
        </w:tc>
      </w:tr>
      <w:tr w14:paraId="04F06C7F">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05FAF7C4">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Metale</w:t>
            </w:r>
          </w:p>
        </w:tc>
        <w:tc>
          <w:tcPr>
            <w:tcW w:w="613" w:type="pct"/>
            <w:tcBorders>
              <w:top w:val="nil"/>
              <w:left w:val="nil"/>
              <w:bottom w:val="single" w:color="auto" w:sz="4" w:space="0"/>
              <w:right w:val="single" w:color="auto" w:sz="4" w:space="0"/>
            </w:tcBorders>
            <w:noWrap/>
            <w:vAlign w:val="bottom"/>
          </w:tcPr>
          <w:p w14:paraId="07FFE117">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0.84%</w:t>
            </w:r>
          </w:p>
        </w:tc>
        <w:tc>
          <w:tcPr>
            <w:tcW w:w="608" w:type="pct"/>
            <w:tcBorders>
              <w:top w:val="nil"/>
              <w:left w:val="nil"/>
              <w:bottom w:val="single" w:color="auto" w:sz="4" w:space="0"/>
              <w:right w:val="single" w:color="auto" w:sz="4" w:space="0"/>
            </w:tcBorders>
            <w:noWrap/>
            <w:vAlign w:val="bottom"/>
          </w:tcPr>
          <w:p w14:paraId="7E6ADC62">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1.45%</w:t>
            </w:r>
          </w:p>
        </w:tc>
        <w:tc>
          <w:tcPr>
            <w:tcW w:w="534" w:type="pct"/>
            <w:tcBorders>
              <w:top w:val="nil"/>
              <w:left w:val="nil"/>
              <w:bottom w:val="single" w:color="auto" w:sz="4" w:space="0"/>
              <w:right w:val="single" w:color="auto" w:sz="4" w:space="0"/>
            </w:tcBorders>
            <w:noWrap/>
            <w:vAlign w:val="bottom"/>
          </w:tcPr>
          <w:p w14:paraId="6495A22C">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1.19%</w:t>
            </w:r>
          </w:p>
        </w:tc>
        <w:tc>
          <w:tcPr>
            <w:tcW w:w="529" w:type="pct"/>
            <w:tcBorders>
              <w:top w:val="nil"/>
              <w:left w:val="nil"/>
              <w:bottom w:val="single" w:color="auto" w:sz="4" w:space="0"/>
              <w:right w:val="single" w:color="auto" w:sz="4" w:space="0"/>
            </w:tcBorders>
            <w:noWrap/>
            <w:vAlign w:val="bottom"/>
          </w:tcPr>
          <w:p w14:paraId="5B7B5484">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1.07%</w:t>
            </w:r>
          </w:p>
        </w:tc>
        <w:tc>
          <w:tcPr>
            <w:tcW w:w="592" w:type="pct"/>
            <w:tcBorders>
              <w:top w:val="nil"/>
              <w:left w:val="nil"/>
              <w:bottom w:val="single" w:color="auto" w:sz="4" w:space="0"/>
              <w:right w:val="single" w:color="auto" w:sz="4" w:space="0"/>
            </w:tcBorders>
            <w:noWrap/>
            <w:vAlign w:val="bottom"/>
          </w:tcPr>
          <w:p w14:paraId="25662053">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0.82%</w:t>
            </w:r>
          </w:p>
        </w:tc>
        <w:tc>
          <w:tcPr>
            <w:tcW w:w="587" w:type="pct"/>
            <w:tcBorders>
              <w:top w:val="nil"/>
              <w:left w:val="nil"/>
              <w:bottom w:val="single" w:color="auto" w:sz="4" w:space="0"/>
              <w:right w:val="single" w:color="auto" w:sz="4" w:space="0"/>
            </w:tcBorders>
            <w:noWrap/>
            <w:vAlign w:val="bottom"/>
          </w:tcPr>
          <w:p w14:paraId="59F2D7DC">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0.95%</w:t>
            </w:r>
          </w:p>
        </w:tc>
        <w:tc>
          <w:tcPr>
            <w:tcW w:w="365" w:type="pct"/>
            <w:tcBorders>
              <w:top w:val="nil"/>
              <w:left w:val="nil"/>
              <w:bottom w:val="single" w:color="auto" w:sz="4" w:space="0"/>
              <w:right w:val="single" w:color="auto" w:sz="4" w:space="0"/>
            </w:tcBorders>
            <w:noWrap/>
            <w:vAlign w:val="bottom"/>
          </w:tcPr>
          <w:p w14:paraId="544FE63E">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0.83%</w:t>
            </w:r>
          </w:p>
        </w:tc>
        <w:tc>
          <w:tcPr>
            <w:tcW w:w="439" w:type="pct"/>
            <w:tcBorders>
              <w:top w:val="nil"/>
              <w:left w:val="nil"/>
              <w:bottom w:val="single" w:color="auto" w:sz="4" w:space="0"/>
              <w:right w:val="single" w:color="auto" w:sz="4" w:space="0"/>
            </w:tcBorders>
            <w:noWrap/>
            <w:vAlign w:val="bottom"/>
          </w:tcPr>
          <w:p w14:paraId="1840B1C4">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1.20%</w:t>
            </w:r>
          </w:p>
        </w:tc>
      </w:tr>
      <w:tr w14:paraId="7F75AD23">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167EF1C5">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Pământ și pietre</w:t>
            </w:r>
          </w:p>
        </w:tc>
        <w:tc>
          <w:tcPr>
            <w:tcW w:w="613" w:type="pct"/>
            <w:tcBorders>
              <w:top w:val="nil"/>
              <w:left w:val="nil"/>
              <w:bottom w:val="single" w:color="auto" w:sz="4" w:space="0"/>
              <w:right w:val="single" w:color="auto" w:sz="4" w:space="0"/>
            </w:tcBorders>
            <w:noWrap/>
            <w:vAlign w:val="bottom"/>
          </w:tcPr>
          <w:p w14:paraId="1F0DDDCC">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12.11%</w:t>
            </w:r>
          </w:p>
        </w:tc>
        <w:tc>
          <w:tcPr>
            <w:tcW w:w="608" w:type="pct"/>
            <w:tcBorders>
              <w:top w:val="nil"/>
              <w:left w:val="nil"/>
              <w:bottom w:val="single" w:color="auto" w:sz="4" w:space="0"/>
              <w:right w:val="single" w:color="auto" w:sz="4" w:space="0"/>
            </w:tcBorders>
            <w:noWrap/>
            <w:vAlign w:val="bottom"/>
          </w:tcPr>
          <w:p w14:paraId="72029CAB">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8.96%</w:t>
            </w:r>
          </w:p>
        </w:tc>
        <w:tc>
          <w:tcPr>
            <w:tcW w:w="534" w:type="pct"/>
            <w:tcBorders>
              <w:top w:val="nil"/>
              <w:left w:val="nil"/>
              <w:bottom w:val="single" w:color="auto" w:sz="4" w:space="0"/>
              <w:right w:val="single" w:color="auto" w:sz="4" w:space="0"/>
            </w:tcBorders>
            <w:noWrap/>
            <w:vAlign w:val="bottom"/>
          </w:tcPr>
          <w:p w14:paraId="694149D9">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14.28%</w:t>
            </w:r>
          </w:p>
        </w:tc>
        <w:tc>
          <w:tcPr>
            <w:tcW w:w="529" w:type="pct"/>
            <w:tcBorders>
              <w:top w:val="nil"/>
              <w:left w:val="nil"/>
              <w:bottom w:val="single" w:color="auto" w:sz="4" w:space="0"/>
              <w:right w:val="single" w:color="auto" w:sz="4" w:space="0"/>
            </w:tcBorders>
            <w:noWrap/>
            <w:vAlign w:val="bottom"/>
          </w:tcPr>
          <w:p w14:paraId="08BB023F">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10.29%</w:t>
            </w:r>
          </w:p>
        </w:tc>
        <w:tc>
          <w:tcPr>
            <w:tcW w:w="592" w:type="pct"/>
            <w:tcBorders>
              <w:top w:val="nil"/>
              <w:left w:val="nil"/>
              <w:bottom w:val="single" w:color="auto" w:sz="4" w:space="0"/>
              <w:right w:val="single" w:color="auto" w:sz="4" w:space="0"/>
            </w:tcBorders>
            <w:noWrap/>
            <w:vAlign w:val="bottom"/>
          </w:tcPr>
          <w:p w14:paraId="0951DA65">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16.14%</w:t>
            </w:r>
          </w:p>
        </w:tc>
        <w:tc>
          <w:tcPr>
            <w:tcW w:w="587" w:type="pct"/>
            <w:tcBorders>
              <w:top w:val="nil"/>
              <w:left w:val="nil"/>
              <w:bottom w:val="single" w:color="auto" w:sz="4" w:space="0"/>
              <w:right w:val="single" w:color="auto" w:sz="4" w:space="0"/>
            </w:tcBorders>
            <w:noWrap/>
            <w:vAlign w:val="bottom"/>
          </w:tcPr>
          <w:p w14:paraId="24340E50">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11.69%</w:t>
            </w:r>
          </w:p>
        </w:tc>
        <w:tc>
          <w:tcPr>
            <w:tcW w:w="365" w:type="pct"/>
            <w:tcBorders>
              <w:top w:val="nil"/>
              <w:left w:val="nil"/>
              <w:bottom w:val="single" w:color="auto" w:sz="4" w:space="0"/>
              <w:right w:val="single" w:color="auto" w:sz="4" w:space="0"/>
            </w:tcBorders>
            <w:noWrap/>
            <w:vAlign w:val="bottom"/>
          </w:tcPr>
          <w:p w14:paraId="7C15E0AF">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14.13%</w:t>
            </w:r>
          </w:p>
        </w:tc>
        <w:tc>
          <w:tcPr>
            <w:tcW w:w="439" w:type="pct"/>
            <w:tcBorders>
              <w:top w:val="nil"/>
              <w:left w:val="nil"/>
              <w:bottom w:val="single" w:color="auto" w:sz="4" w:space="0"/>
              <w:right w:val="single" w:color="auto" w:sz="4" w:space="0"/>
            </w:tcBorders>
            <w:noWrap/>
            <w:vAlign w:val="bottom"/>
          </w:tcPr>
          <w:p w14:paraId="6E59A0AB">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10.33%</w:t>
            </w:r>
          </w:p>
        </w:tc>
      </w:tr>
      <w:tr w14:paraId="78A5A694">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60802301">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Reciclabile contaminate</w:t>
            </w:r>
          </w:p>
        </w:tc>
        <w:tc>
          <w:tcPr>
            <w:tcW w:w="613" w:type="pct"/>
            <w:tcBorders>
              <w:top w:val="nil"/>
              <w:left w:val="nil"/>
              <w:bottom w:val="single" w:color="auto" w:sz="4" w:space="0"/>
              <w:right w:val="single" w:color="auto" w:sz="4" w:space="0"/>
            </w:tcBorders>
            <w:noWrap/>
            <w:vAlign w:val="bottom"/>
          </w:tcPr>
          <w:p w14:paraId="2ECBD0FB">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7.24%</w:t>
            </w:r>
          </w:p>
        </w:tc>
        <w:tc>
          <w:tcPr>
            <w:tcW w:w="608" w:type="pct"/>
            <w:tcBorders>
              <w:top w:val="nil"/>
              <w:left w:val="nil"/>
              <w:bottom w:val="single" w:color="auto" w:sz="4" w:space="0"/>
              <w:right w:val="single" w:color="auto" w:sz="4" w:space="0"/>
            </w:tcBorders>
            <w:noWrap/>
            <w:vAlign w:val="bottom"/>
          </w:tcPr>
          <w:p w14:paraId="5C1CEB13">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6.95%</w:t>
            </w:r>
          </w:p>
        </w:tc>
        <w:tc>
          <w:tcPr>
            <w:tcW w:w="534" w:type="pct"/>
            <w:tcBorders>
              <w:top w:val="nil"/>
              <w:left w:val="nil"/>
              <w:bottom w:val="single" w:color="auto" w:sz="4" w:space="0"/>
              <w:right w:val="single" w:color="auto" w:sz="4" w:space="0"/>
            </w:tcBorders>
            <w:noWrap/>
            <w:vAlign w:val="bottom"/>
          </w:tcPr>
          <w:p w14:paraId="5C731317">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6.33%</w:t>
            </w:r>
          </w:p>
        </w:tc>
        <w:tc>
          <w:tcPr>
            <w:tcW w:w="529" w:type="pct"/>
            <w:tcBorders>
              <w:top w:val="nil"/>
              <w:left w:val="nil"/>
              <w:bottom w:val="single" w:color="auto" w:sz="4" w:space="0"/>
              <w:right w:val="single" w:color="auto" w:sz="4" w:space="0"/>
            </w:tcBorders>
            <w:noWrap/>
            <w:vAlign w:val="bottom"/>
          </w:tcPr>
          <w:p w14:paraId="45B0355E">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7.87%</w:t>
            </w:r>
          </w:p>
        </w:tc>
        <w:tc>
          <w:tcPr>
            <w:tcW w:w="592" w:type="pct"/>
            <w:tcBorders>
              <w:top w:val="nil"/>
              <w:left w:val="nil"/>
              <w:bottom w:val="single" w:color="auto" w:sz="4" w:space="0"/>
              <w:right w:val="single" w:color="auto" w:sz="4" w:space="0"/>
            </w:tcBorders>
            <w:noWrap/>
            <w:vAlign w:val="bottom"/>
          </w:tcPr>
          <w:p w14:paraId="13FC3317">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8.27%</w:t>
            </w:r>
          </w:p>
        </w:tc>
        <w:tc>
          <w:tcPr>
            <w:tcW w:w="587" w:type="pct"/>
            <w:tcBorders>
              <w:top w:val="nil"/>
              <w:left w:val="nil"/>
              <w:bottom w:val="single" w:color="auto" w:sz="4" w:space="0"/>
              <w:right w:val="single" w:color="auto" w:sz="4" w:space="0"/>
            </w:tcBorders>
            <w:noWrap/>
            <w:vAlign w:val="bottom"/>
          </w:tcPr>
          <w:p w14:paraId="4D40A7F6">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5.75%</w:t>
            </w:r>
          </w:p>
        </w:tc>
        <w:tc>
          <w:tcPr>
            <w:tcW w:w="365" w:type="pct"/>
            <w:tcBorders>
              <w:top w:val="nil"/>
              <w:left w:val="nil"/>
              <w:bottom w:val="single" w:color="auto" w:sz="4" w:space="0"/>
              <w:right w:val="single" w:color="auto" w:sz="4" w:space="0"/>
            </w:tcBorders>
            <w:noWrap/>
            <w:vAlign w:val="bottom"/>
          </w:tcPr>
          <w:p w14:paraId="44786175">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7.76%</w:t>
            </w:r>
          </w:p>
        </w:tc>
        <w:tc>
          <w:tcPr>
            <w:tcW w:w="439" w:type="pct"/>
            <w:tcBorders>
              <w:top w:val="nil"/>
              <w:left w:val="nil"/>
              <w:bottom w:val="single" w:color="auto" w:sz="4" w:space="0"/>
              <w:right w:val="single" w:color="auto" w:sz="4" w:space="0"/>
            </w:tcBorders>
            <w:noWrap/>
            <w:vAlign w:val="bottom"/>
          </w:tcPr>
          <w:p w14:paraId="593F9E38">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6.35%</w:t>
            </w:r>
          </w:p>
        </w:tc>
      </w:tr>
      <w:tr w14:paraId="3F7C0AC7">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05F46C9D">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Alte deșeuri</w:t>
            </w:r>
          </w:p>
        </w:tc>
        <w:tc>
          <w:tcPr>
            <w:tcW w:w="613" w:type="pct"/>
            <w:tcBorders>
              <w:top w:val="nil"/>
              <w:left w:val="nil"/>
              <w:bottom w:val="single" w:color="auto" w:sz="4" w:space="0"/>
              <w:right w:val="single" w:color="auto" w:sz="4" w:space="0"/>
            </w:tcBorders>
            <w:noWrap/>
            <w:vAlign w:val="bottom"/>
          </w:tcPr>
          <w:p w14:paraId="0CF7656E">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7.54%</w:t>
            </w:r>
          </w:p>
        </w:tc>
        <w:tc>
          <w:tcPr>
            <w:tcW w:w="608" w:type="pct"/>
            <w:tcBorders>
              <w:top w:val="nil"/>
              <w:left w:val="nil"/>
              <w:bottom w:val="single" w:color="auto" w:sz="4" w:space="0"/>
              <w:right w:val="single" w:color="auto" w:sz="4" w:space="0"/>
            </w:tcBorders>
            <w:noWrap/>
            <w:vAlign w:val="bottom"/>
          </w:tcPr>
          <w:p w14:paraId="09FAEEC0">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8.08%</w:t>
            </w:r>
          </w:p>
        </w:tc>
        <w:tc>
          <w:tcPr>
            <w:tcW w:w="534" w:type="pct"/>
            <w:tcBorders>
              <w:top w:val="nil"/>
              <w:left w:val="nil"/>
              <w:bottom w:val="single" w:color="auto" w:sz="4" w:space="0"/>
              <w:right w:val="single" w:color="auto" w:sz="4" w:space="0"/>
            </w:tcBorders>
            <w:noWrap/>
            <w:vAlign w:val="bottom"/>
          </w:tcPr>
          <w:p w14:paraId="7AA601A8">
            <w:pPr>
              <w:spacing w:after="0" w:line="240" w:lineRule="auto"/>
              <w:jc w:val="right"/>
              <w:rPr>
                <w:rFonts w:ascii="Arial" w:hAnsi="Arial" w:eastAsia="Times New Roman" w:cs="Arial"/>
                <w:b/>
                <w:bCs/>
                <w:color w:val="000000"/>
                <w:sz w:val="16"/>
                <w:szCs w:val="16"/>
              </w:rPr>
            </w:pPr>
            <w:r>
              <w:rPr>
                <w:rFonts w:ascii="Arial" w:hAnsi="Arial" w:eastAsia="Times New Roman" w:cs="Arial"/>
                <w:b/>
                <w:bCs/>
                <w:color w:val="000000"/>
                <w:sz w:val="16"/>
                <w:szCs w:val="16"/>
              </w:rPr>
              <w:t>9.64%</w:t>
            </w:r>
          </w:p>
        </w:tc>
        <w:tc>
          <w:tcPr>
            <w:tcW w:w="529" w:type="pct"/>
            <w:tcBorders>
              <w:top w:val="nil"/>
              <w:left w:val="nil"/>
              <w:bottom w:val="single" w:color="auto" w:sz="4" w:space="0"/>
              <w:right w:val="single" w:color="auto" w:sz="4" w:space="0"/>
            </w:tcBorders>
            <w:noWrap/>
            <w:vAlign w:val="bottom"/>
          </w:tcPr>
          <w:p w14:paraId="4D9A75ED">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8.92%</w:t>
            </w:r>
          </w:p>
        </w:tc>
        <w:tc>
          <w:tcPr>
            <w:tcW w:w="592" w:type="pct"/>
            <w:tcBorders>
              <w:top w:val="nil"/>
              <w:left w:val="nil"/>
              <w:bottom w:val="single" w:color="auto" w:sz="4" w:space="0"/>
              <w:right w:val="single" w:color="auto" w:sz="4" w:space="0"/>
            </w:tcBorders>
            <w:noWrap/>
            <w:vAlign w:val="bottom"/>
          </w:tcPr>
          <w:p w14:paraId="39AAF484">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4.52%</w:t>
            </w:r>
          </w:p>
        </w:tc>
        <w:tc>
          <w:tcPr>
            <w:tcW w:w="587" w:type="pct"/>
            <w:tcBorders>
              <w:top w:val="nil"/>
              <w:left w:val="nil"/>
              <w:bottom w:val="single" w:color="auto" w:sz="4" w:space="0"/>
              <w:right w:val="single" w:color="auto" w:sz="4" w:space="0"/>
            </w:tcBorders>
            <w:noWrap/>
            <w:vAlign w:val="bottom"/>
          </w:tcPr>
          <w:p w14:paraId="6E73499C">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6.17%</w:t>
            </w:r>
          </w:p>
        </w:tc>
        <w:tc>
          <w:tcPr>
            <w:tcW w:w="365" w:type="pct"/>
            <w:tcBorders>
              <w:top w:val="nil"/>
              <w:left w:val="nil"/>
              <w:bottom w:val="single" w:color="auto" w:sz="4" w:space="0"/>
              <w:right w:val="single" w:color="auto" w:sz="4" w:space="0"/>
            </w:tcBorders>
            <w:noWrap/>
            <w:vAlign w:val="bottom"/>
          </w:tcPr>
          <w:p w14:paraId="57DBE7D2">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6.03%</w:t>
            </w:r>
          </w:p>
        </w:tc>
        <w:tc>
          <w:tcPr>
            <w:tcW w:w="439" w:type="pct"/>
            <w:tcBorders>
              <w:top w:val="nil"/>
              <w:left w:val="nil"/>
              <w:bottom w:val="single" w:color="auto" w:sz="4" w:space="0"/>
              <w:right w:val="single" w:color="auto" w:sz="4" w:space="0"/>
            </w:tcBorders>
            <w:noWrap/>
            <w:vAlign w:val="bottom"/>
          </w:tcPr>
          <w:p w14:paraId="2A5950C3">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7.13%</w:t>
            </w:r>
          </w:p>
        </w:tc>
      </w:tr>
      <w:tr w14:paraId="5BCCC53E">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14B64824">
            <w:pPr>
              <w:spacing w:after="0" w:line="240" w:lineRule="auto"/>
              <w:jc w:val="right"/>
              <w:rPr>
                <w:rFonts w:ascii="Arial" w:hAnsi="Arial" w:eastAsia="Times New Roman" w:cs="Arial"/>
                <w:sz w:val="16"/>
                <w:szCs w:val="16"/>
              </w:rPr>
            </w:pPr>
            <w:r>
              <w:rPr>
                <w:rFonts w:ascii="Arial" w:hAnsi="Arial" w:eastAsia="Times New Roman" w:cs="Arial"/>
                <w:sz w:val="16"/>
                <w:szCs w:val="16"/>
              </w:rPr>
              <w:t>Voluminoase</w:t>
            </w:r>
          </w:p>
        </w:tc>
        <w:tc>
          <w:tcPr>
            <w:tcW w:w="613" w:type="pct"/>
            <w:tcBorders>
              <w:top w:val="nil"/>
              <w:left w:val="nil"/>
              <w:bottom w:val="single" w:color="auto" w:sz="4" w:space="0"/>
              <w:right w:val="single" w:color="auto" w:sz="4" w:space="0"/>
            </w:tcBorders>
            <w:noWrap/>
            <w:vAlign w:val="bottom"/>
          </w:tcPr>
          <w:p w14:paraId="2FFA4A5F">
            <w:pPr>
              <w:spacing w:after="0" w:line="240" w:lineRule="auto"/>
              <w:jc w:val="right"/>
              <w:rPr>
                <w:rFonts w:ascii="Arial" w:hAnsi="Arial" w:eastAsia="Times New Roman" w:cs="Arial"/>
                <w:sz w:val="16"/>
                <w:szCs w:val="16"/>
              </w:rPr>
            </w:pPr>
            <w:r>
              <w:rPr>
                <w:rFonts w:ascii="Arial" w:hAnsi="Arial" w:eastAsia="Times New Roman" w:cs="Arial"/>
                <w:sz w:val="16"/>
                <w:szCs w:val="16"/>
              </w:rPr>
              <w:t>0.35%</w:t>
            </w:r>
          </w:p>
        </w:tc>
        <w:tc>
          <w:tcPr>
            <w:tcW w:w="608" w:type="pct"/>
            <w:tcBorders>
              <w:top w:val="nil"/>
              <w:left w:val="nil"/>
              <w:bottom w:val="single" w:color="auto" w:sz="4" w:space="0"/>
              <w:right w:val="single" w:color="auto" w:sz="4" w:space="0"/>
            </w:tcBorders>
            <w:noWrap/>
            <w:vAlign w:val="bottom"/>
          </w:tcPr>
          <w:p w14:paraId="3003E851">
            <w:pPr>
              <w:spacing w:after="0" w:line="240" w:lineRule="auto"/>
              <w:jc w:val="right"/>
              <w:rPr>
                <w:rFonts w:ascii="Arial" w:hAnsi="Arial" w:eastAsia="Times New Roman" w:cs="Arial"/>
                <w:sz w:val="16"/>
                <w:szCs w:val="16"/>
              </w:rPr>
            </w:pPr>
            <w:r>
              <w:rPr>
                <w:rFonts w:ascii="Arial" w:hAnsi="Arial" w:eastAsia="Times New Roman" w:cs="Arial"/>
                <w:sz w:val="16"/>
                <w:szCs w:val="16"/>
              </w:rPr>
              <w:t>0.35%</w:t>
            </w:r>
          </w:p>
        </w:tc>
        <w:tc>
          <w:tcPr>
            <w:tcW w:w="534" w:type="pct"/>
            <w:tcBorders>
              <w:top w:val="nil"/>
              <w:left w:val="nil"/>
              <w:bottom w:val="single" w:color="auto" w:sz="4" w:space="0"/>
              <w:right w:val="single" w:color="auto" w:sz="4" w:space="0"/>
            </w:tcBorders>
            <w:noWrap/>
            <w:vAlign w:val="bottom"/>
          </w:tcPr>
          <w:p w14:paraId="20F4420C">
            <w:pPr>
              <w:spacing w:after="0" w:line="240" w:lineRule="auto"/>
              <w:jc w:val="right"/>
              <w:rPr>
                <w:rFonts w:ascii="Arial" w:hAnsi="Arial" w:eastAsia="Times New Roman" w:cs="Arial"/>
                <w:sz w:val="16"/>
                <w:szCs w:val="16"/>
              </w:rPr>
            </w:pPr>
            <w:r>
              <w:rPr>
                <w:rFonts w:ascii="Arial" w:hAnsi="Arial" w:eastAsia="Times New Roman" w:cs="Arial"/>
                <w:sz w:val="16"/>
                <w:szCs w:val="16"/>
              </w:rPr>
              <w:t>0.35%</w:t>
            </w:r>
          </w:p>
        </w:tc>
        <w:tc>
          <w:tcPr>
            <w:tcW w:w="529" w:type="pct"/>
            <w:tcBorders>
              <w:top w:val="nil"/>
              <w:left w:val="nil"/>
              <w:bottom w:val="single" w:color="auto" w:sz="4" w:space="0"/>
              <w:right w:val="single" w:color="auto" w:sz="4" w:space="0"/>
            </w:tcBorders>
            <w:noWrap/>
            <w:vAlign w:val="bottom"/>
          </w:tcPr>
          <w:p w14:paraId="559678EF">
            <w:pPr>
              <w:spacing w:after="0" w:line="240" w:lineRule="auto"/>
              <w:jc w:val="right"/>
              <w:rPr>
                <w:rFonts w:ascii="Arial" w:hAnsi="Arial" w:eastAsia="Times New Roman" w:cs="Arial"/>
                <w:sz w:val="16"/>
                <w:szCs w:val="16"/>
              </w:rPr>
            </w:pPr>
            <w:r>
              <w:rPr>
                <w:rFonts w:ascii="Arial" w:hAnsi="Arial" w:eastAsia="Times New Roman" w:cs="Arial"/>
                <w:sz w:val="16"/>
                <w:szCs w:val="16"/>
              </w:rPr>
              <w:t>0.35%</w:t>
            </w:r>
          </w:p>
        </w:tc>
        <w:tc>
          <w:tcPr>
            <w:tcW w:w="592" w:type="pct"/>
            <w:tcBorders>
              <w:top w:val="nil"/>
              <w:left w:val="nil"/>
              <w:bottom w:val="single" w:color="auto" w:sz="4" w:space="0"/>
              <w:right w:val="single" w:color="auto" w:sz="4" w:space="0"/>
            </w:tcBorders>
            <w:noWrap/>
            <w:vAlign w:val="bottom"/>
          </w:tcPr>
          <w:p w14:paraId="08AA59F8">
            <w:pPr>
              <w:spacing w:after="0" w:line="240" w:lineRule="auto"/>
              <w:jc w:val="right"/>
              <w:rPr>
                <w:rFonts w:ascii="Arial" w:hAnsi="Arial" w:eastAsia="Times New Roman" w:cs="Arial"/>
                <w:sz w:val="16"/>
                <w:szCs w:val="16"/>
              </w:rPr>
            </w:pPr>
            <w:r>
              <w:rPr>
                <w:rFonts w:ascii="Arial" w:hAnsi="Arial" w:eastAsia="Times New Roman" w:cs="Arial"/>
                <w:sz w:val="16"/>
                <w:szCs w:val="16"/>
              </w:rPr>
              <w:t>0.35%</w:t>
            </w:r>
          </w:p>
        </w:tc>
        <w:tc>
          <w:tcPr>
            <w:tcW w:w="587" w:type="pct"/>
            <w:tcBorders>
              <w:top w:val="nil"/>
              <w:left w:val="nil"/>
              <w:bottom w:val="single" w:color="auto" w:sz="4" w:space="0"/>
              <w:right w:val="single" w:color="auto" w:sz="4" w:space="0"/>
            </w:tcBorders>
            <w:noWrap/>
            <w:vAlign w:val="bottom"/>
          </w:tcPr>
          <w:p w14:paraId="0A4A3D37">
            <w:pPr>
              <w:spacing w:after="0" w:line="240" w:lineRule="auto"/>
              <w:jc w:val="right"/>
              <w:rPr>
                <w:rFonts w:ascii="Arial" w:hAnsi="Arial" w:eastAsia="Times New Roman" w:cs="Arial"/>
                <w:sz w:val="16"/>
                <w:szCs w:val="16"/>
              </w:rPr>
            </w:pPr>
            <w:r>
              <w:rPr>
                <w:rFonts w:ascii="Arial" w:hAnsi="Arial" w:eastAsia="Times New Roman" w:cs="Arial"/>
                <w:sz w:val="16"/>
                <w:szCs w:val="16"/>
              </w:rPr>
              <w:t>0.35%</w:t>
            </w:r>
          </w:p>
        </w:tc>
        <w:tc>
          <w:tcPr>
            <w:tcW w:w="365" w:type="pct"/>
            <w:tcBorders>
              <w:top w:val="nil"/>
              <w:left w:val="nil"/>
              <w:bottom w:val="single" w:color="auto" w:sz="4" w:space="0"/>
              <w:right w:val="single" w:color="auto" w:sz="4" w:space="0"/>
            </w:tcBorders>
            <w:noWrap/>
            <w:vAlign w:val="bottom"/>
          </w:tcPr>
          <w:p w14:paraId="5D1B0A58">
            <w:pPr>
              <w:spacing w:after="0" w:line="240" w:lineRule="auto"/>
              <w:jc w:val="right"/>
              <w:rPr>
                <w:rFonts w:ascii="Arial" w:hAnsi="Arial" w:eastAsia="Times New Roman" w:cs="Arial"/>
                <w:sz w:val="16"/>
                <w:szCs w:val="16"/>
              </w:rPr>
            </w:pPr>
            <w:r>
              <w:rPr>
                <w:rFonts w:ascii="Arial" w:hAnsi="Arial" w:eastAsia="Times New Roman" w:cs="Arial"/>
                <w:sz w:val="16"/>
                <w:szCs w:val="16"/>
              </w:rPr>
              <w:t>0.35%</w:t>
            </w:r>
          </w:p>
        </w:tc>
        <w:tc>
          <w:tcPr>
            <w:tcW w:w="439" w:type="pct"/>
            <w:tcBorders>
              <w:top w:val="nil"/>
              <w:left w:val="nil"/>
              <w:bottom w:val="single" w:color="auto" w:sz="4" w:space="0"/>
              <w:right w:val="single" w:color="auto" w:sz="4" w:space="0"/>
            </w:tcBorders>
            <w:noWrap/>
            <w:vAlign w:val="bottom"/>
          </w:tcPr>
          <w:p w14:paraId="7168C7FA">
            <w:pPr>
              <w:spacing w:after="0" w:line="240" w:lineRule="auto"/>
              <w:jc w:val="right"/>
              <w:rPr>
                <w:rFonts w:ascii="Arial" w:hAnsi="Arial" w:eastAsia="Times New Roman" w:cs="Arial"/>
                <w:sz w:val="16"/>
                <w:szCs w:val="16"/>
              </w:rPr>
            </w:pPr>
            <w:r>
              <w:rPr>
                <w:rFonts w:ascii="Arial" w:hAnsi="Arial" w:eastAsia="Times New Roman" w:cs="Arial"/>
                <w:sz w:val="16"/>
                <w:szCs w:val="16"/>
              </w:rPr>
              <w:t>0.35%</w:t>
            </w:r>
          </w:p>
        </w:tc>
      </w:tr>
      <w:tr w14:paraId="35C6DDAB">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59B7CC70">
            <w:pPr>
              <w:spacing w:after="0" w:line="240" w:lineRule="auto"/>
              <w:jc w:val="right"/>
              <w:rPr>
                <w:rFonts w:ascii="Arial" w:hAnsi="Arial" w:eastAsia="Times New Roman" w:cs="Arial"/>
                <w:sz w:val="16"/>
                <w:szCs w:val="16"/>
              </w:rPr>
            </w:pPr>
            <w:r>
              <w:rPr>
                <w:rFonts w:ascii="Arial" w:hAnsi="Arial" w:eastAsia="Times New Roman" w:cs="Arial"/>
                <w:sz w:val="16"/>
                <w:szCs w:val="16"/>
              </w:rPr>
              <w:t>Periculoase</w:t>
            </w:r>
          </w:p>
        </w:tc>
        <w:tc>
          <w:tcPr>
            <w:tcW w:w="613" w:type="pct"/>
            <w:tcBorders>
              <w:top w:val="nil"/>
              <w:left w:val="nil"/>
              <w:bottom w:val="single" w:color="auto" w:sz="4" w:space="0"/>
              <w:right w:val="single" w:color="auto" w:sz="4" w:space="0"/>
            </w:tcBorders>
            <w:noWrap/>
            <w:vAlign w:val="bottom"/>
          </w:tcPr>
          <w:p w14:paraId="7B2ADA9F">
            <w:pPr>
              <w:spacing w:after="0" w:line="240" w:lineRule="auto"/>
              <w:jc w:val="right"/>
              <w:rPr>
                <w:rFonts w:ascii="Arial" w:hAnsi="Arial" w:eastAsia="Times New Roman" w:cs="Arial"/>
                <w:sz w:val="16"/>
                <w:szCs w:val="16"/>
              </w:rPr>
            </w:pPr>
            <w:r>
              <w:rPr>
                <w:rFonts w:ascii="Arial" w:hAnsi="Arial" w:eastAsia="Times New Roman" w:cs="Arial"/>
                <w:sz w:val="16"/>
                <w:szCs w:val="16"/>
              </w:rPr>
              <w:t>0.20%</w:t>
            </w:r>
          </w:p>
        </w:tc>
        <w:tc>
          <w:tcPr>
            <w:tcW w:w="608" w:type="pct"/>
            <w:tcBorders>
              <w:top w:val="nil"/>
              <w:left w:val="nil"/>
              <w:bottom w:val="single" w:color="auto" w:sz="4" w:space="0"/>
              <w:right w:val="single" w:color="auto" w:sz="4" w:space="0"/>
            </w:tcBorders>
            <w:noWrap/>
            <w:vAlign w:val="bottom"/>
          </w:tcPr>
          <w:p w14:paraId="36120238">
            <w:pPr>
              <w:spacing w:after="0" w:line="240" w:lineRule="auto"/>
              <w:jc w:val="right"/>
              <w:rPr>
                <w:rFonts w:ascii="Arial" w:hAnsi="Arial" w:eastAsia="Times New Roman" w:cs="Arial"/>
                <w:sz w:val="16"/>
                <w:szCs w:val="16"/>
              </w:rPr>
            </w:pPr>
            <w:r>
              <w:rPr>
                <w:rFonts w:ascii="Arial" w:hAnsi="Arial" w:eastAsia="Times New Roman" w:cs="Arial"/>
                <w:sz w:val="16"/>
                <w:szCs w:val="16"/>
              </w:rPr>
              <w:t>0.15%</w:t>
            </w:r>
          </w:p>
        </w:tc>
        <w:tc>
          <w:tcPr>
            <w:tcW w:w="534" w:type="pct"/>
            <w:tcBorders>
              <w:top w:val="nil"/>
              <w:left w:val="nil"/>
              <w:bottom w:val="single" w:color="auto" w:sz="4" w:space="0"/>
              <w:right w:val="single" w:color="auto" w:sz="4" w:space="0"/>
            </w:tcBorders>
            <w:noWrap/>
            <w:vAlign w:val="bottom"/>
          </w:tcPr>
          <w:p w14:paraId="6BEBECF1">
            <w:pPr>
              <w:spacing w:after="0" w:line="240" w:lineRule="auto"/>
              <w:jc w:val="right"/>
              <w:rPr>
                <w:rFonts w:ascii="Arial" w:hAnsi="Arial" w:eastAsia="Times New Roman" w:cs="Arial"/>
                <w:b/>
                <w:bCs/>
                <w:sz w:val="16"/>
                <w:szCs w:val="16"/>
              </w:rPr>
            </w:pPr>
            <w:r>
              <w:rPr>
                <w:rFonts w:ascii="Arial" w:hAnsi="Arial" w:eastAsia="Times New Roman" w:cs="Arial"/>
                <w:b/>
                <w:bCs/>
                <w:sz w:val="16"/>
                <w:szCs w:val="16"/>
              </w:rPr>
              <w:t>0.10%</w:t>
            </w:r>
          </w:p>
        </w:tc>
        <w:tc>
          <w:tcPr>
            <w:tcW w:w="529" w:type="pct"/>
            <w:tcBorders>
              <w:top w:val="nil"/>
              <w:left w:val="nil"/>
              <w:bottom w:val="single" w:color="auto" w:sz="4" w:space="0"/>
              <w:right w:val="single" w:color="auto" w:sz="4" w:space="0"/>
            </w:tcBorders>
            <w:noWrap/>
            <w:vAlign w:val="bottom"/>
          </w:tcPr>
          <w:p w14:paraId="54EDC825">
            <w:pPr>
              <w:spacing w:after="0" w:line="240" w:lineRule="auto"/>
              <w:jc w:val="right"/>
              <w:rPr>
                <w:rFonts w:ascii="Arial" w:hAnsi="Arial" w:eastAsia="Times New Roman" w:cs="Arial"/>
                <w:b/>
                <w:bCs/>
                <w:sz w:val="16"/>
                <w:szCs w:val="16"/>
              </w:rPr>
            </w:pPr>
            <w:r>
              <w:rPr>
                <w:rFonts w:ascii="Arial" w:hAnsi="Arial" w:eastAsia="Times New Roman" w:cs="Arial"/>
                <w:b/>
                <w:bCs/>
                <w:sz w:val="16"/>
                <w:szCs w:val="16"/>
              </w:rPr>
              <w:t>0.05%</w:t>
            </w:r>
          </w:p>
        </w:tc>
        <w:tc>
          <w:tcPr>
            <w:tcW w:w="592" w:type="pct"/>
            <w:tcBorders>
              <w:top w:val="nil"/>
              <w:left w:val="nil"/>
              <w:bottom w:val="single" w:color="auto" w:sz="4" w:space="0"/>
              <w:right w:val="single" w:color="auto" w:sz="4" w:space="0"/>
            </w:tcBorders>
            <w:noWrap/>
            <w:vAlign w:val="bottom"/>
          </w:tcPr>
          <w:p w14:paraId="4124112D">
            <w:pPr>
              <w:spacing w:after="0" w:line="240" w:lineRule="auto"/>
              <w:jc w:val="right"/>
              <w:rPr>
                <w:rFonts w:ascii="Arial" w:hAnsi="Arial" w:eastAsia="Times New Roman" w:cs="Arial"/>
                <w:b/>
                <w:bCs/>
                <w:sz w:val="16"/>
                <w:szCs w:val="16"/>
              </w:rPr>
            </w:pPr>
            <w:r>
              <w:rPr>
                <w:rFonts w:ascii="Arial" w:hAnsi="Arial" w:eastAsia="Times New Roman" w:cs="Arial"/>
                <w:b/>
                <w:bCs/>
                <w:sz w:val="16"/>
                <w:szCs w:val="16"/>
              </w:rPr>
              <w:t>0.20%</w:t>
            </w:r>
          </w:p>
        </w:tc>
        <w:tc>
          <w:tcPr>
            <w:tcW w:w="587" w:type="pct"/>
            <w:tcBorders>
              <w:top w:val="nil"/>
              <w:left w:val="nil"/>
              <w:bottom w:val="single" w:color="auto" w:sz="4" w:space="0"/>
              <w:right w:val="single" w:color="auto" w:sz="4" w:space="0"/>
            </w:tcBorders>
            <w:noWrap/>
            <w:vAlign w:val="bottom"/>
          </w:tcPr>
          <w:p w14:paraId="1FB3CE1B">
            <w:pPr>
              <w:spacing w:after="0" w:line="240" w:lineRule="auto"/>
              <w:jc w:val="right"/>
              <w:rPr>
                <w:rFonts w:ascii="Arial" w:hAnsi="Arial" w:eastAsia="Times New Roman" w:cs="Arial"/>
                <w:b/>
                <w:bCs/>
                <w:sz w:val="16"/>
                <w:szCs w:val="16"/>
              </w:rPr>
            </w:pPr>
            <w:r>
              <w:rPr>
                <w:rFonts w:ascii="Arial" w:hAnsi="Arial" w:eastAsia="Times New Roman" w:cs="Arial"/>
                <w:b/>
                <w:bCs/>
                <w:sz w:val="16"/>
                <w:szCs w:val="16"/>
              </w:rPr>
              <w:t>0.15%</w:t>
            </w:r>
          </w:p>
        </w:tc>
        <w:tc>
          <w:tcPr>
            <w:tcW w:w="365" w:type="pct"/>
            <w:tcBorders>
              <w:top w:val="nil"/>
              <w:left w:val="nil"/>
              <w:bottom w:val="single" w:color="auto" w:sz="4" w:space="0"/>
              <w:right w:val="single" w:color="auto" w:sz="4" w:space="0"/>
            </w:tcBorders>
            <w:noWrap/>
            <w:vAlign w:val="bottom"/>
          </w:tcPr>
          <w:p w14:paraId="4FF6A4B8">
            <w:pPr>
              <w:spacing w:after="0" w:line="240" w:lineRule="auto"/>
              <w:jc w:val="right"/>
              <w:rPr>
                <w:rFonts w:ascii="Arial" w:hAnsi="Arial" w:eastAsia="Times New Roman" w:cs="Arial"/>
                <w:sz w:val="16"/>
                <w:szCs w:val="16"/>
              </w:rPr>
            </w:pPr>
            <w:r>
              <w:rPr>
                <w:rFonts w:ascii="Arial" w:hAnsi="Arial" w:eastAsia="Times New Roman" w:cs="Arial"/>
                <w:sz w:val="16"/>
                <w:szCs w:val="16"/>
              </w:rPr>
              <w:t>0.20%</w:t>
            </w:r>
          </w:p>
        </w:tc>
        <w:tc>
          <w:tcPr>
            <w:tcW w:w="439" w:type="pct"/>
            <w:tcBorders>
              <w:top w:val="nil"/>
              <w:left w:val="nil"/>
              <w:bottom w:val="single" w:color="auto" w:sz="4" w:space="0"/>
              <w:right w:val="single" w:color="auto" w:sz="4" w:space="0"/>
            </w:tcBorders>
            <w:noWrap/>
            <w:vAlign w:val="bottom"/>
          </w:tcPr>
          <w:p w14:paraId="441A088D">
            <w:pPr>
              <w:spacing w:after="0" w:line="240" w:lineRule="auto"/>
              <w:jc w:val="right"/>
              <w:rPr>
                <w:rFonts w:ascii="Arial" w:hAnsi="Arial" w:eastAsia="Times New Roman" w:cs="Arial"/>
                <w:sz w:val="16"/>
                <w:szCs w:val="16"/>
              </w:rPr>
            </w:pPr>
            <w:r>
              <w:rPr>
                <w:rFonts w:ascii="Arial" w:hAnsi="Arial" w:eastAsia="Times New Roman" w:cs="Arial"/>
                <w:sz w:val="16"/>
                <w:szCs w:val="16"/>
              </w:rPr>
              <w:t>0.15%</w:t>
            </w:r>
          </w:p>
        </w:tc>
      </w:tr>
      <w:tr w14:paraId="6FCD93F4">
        <w:tblPrEx>
          <w:tblCellMar>
            <w:top w:w="0" w:type="dxa"/>
            <w:left w:w="108" w:type="dxa"/>
            <w:bottom w:w="0" w:type="dxa"/>
            <w:right w:w="108" w:type="dxa"/>
          </w:tblCellMar>
        </w:tblPrEx>
        <w:trPr>
          <w:trHeight w:val="300" w:hRule="atLeast"/>
        </w:trPr>
        <w:tc>
          <w:tcPr>
            <w:tcW w:w="735" w:type="pct"/>
            <w:tcBorders>
              <w:top w:val="nil"/>
              <w:left w:val="single" w:color="auto" w:sz="4" w:space="0"/>
              <w:bottom w:val="single" w:color="auto" w:sz="4" w:space="0"/>
              <w:right w:val="single" w:color="auto" w:sz="4" w:space="0"/>
            </w:tcBorders>
            <w:noWrap/>
            <w:vAlign w:val="bottom"/>
          </w:tcPr>
          <w:p w14:paraId="2932B7CC">
            <w:pPr>
              <w:spacing w:after="0" w:line="240" w:lineRule="auto"/>
              <w:rPr>
                <w:rFonts w:ascii="Arial" w:hAnsi="Arial" w:eastAsia="Times New Roman" w:cs="Arial"/>
                <w:color w:val="000000"/>
                <w:sz w:val="16"/>
                <w:szCs w:val="16"/>
              </w:rPr>
            </w:pPr>
            <w:r>
              <w:rPr>
                <w:rFonts w:ascii="Arial" w:hAnsi="Arial" w:eastAsia="Times New Roman" w:cs="Arial"/>
                <w:color w:val="000000"/>
                <w:sz w:val="16"/>
                <w:szCs w:val="16"/>
              </w:rPr>
              <w:t>TOTAL</w:t>
            </w:r>
          </w:p>
        </w:tc>
        <w:tc>
          <w:tcPr>
            <w:tcW w:w="613" w:type="pct"/>
            <w:tcBorders>
              <w:top w:val="nil"/>
              <w:left w:val="nil"/>
              <w:bottom w:val="single" w:color="auto" w:sz="4" w:space="0"/>
              <w:right w:val="single" w:color="auto" w:sz="4" w:space="0"/>
            </w:tcBorders>
            <w:noWrap/>
            <w:vAlign w:val="bottom"/>
          </w:tcPr>
          <w:p w14:paraId="19C1DC50">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100.00%</w:t>
            </w:r>
          </w:p>
        </w:tc>
        <w:tc>
          <w:tcPr>
            <w:tcW w:w="608" w:type="pct"/>
            <w:tcBorders>
              <w:top w:val="nil"/>
              <w:left w:val="nil"/>
              <w:bottom w:val="single" w:color="auto" w:sz="4" w:space="0"/>
              <w:right w:val="single" w:color="auto" w:sz="4" w:space="0"/>
            </w:tcBorders>
            <w:noWrap/>
            <w:vAlign w:val="bottom"/>
          </w:tcPr>
          <w:p w14:paraId="3D2D9C50">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100.00%</w:t>
            </w:r>
          </w:p>
        </w:tc>
        <w:tc>
          <w:tcPr>
            <w:tcW w:w="534" w:type="pct"/>
            <w:tcBorders>
              <w:top w:val="nil"/>
              <w:left w:val="nil"/>
              <w:bottom w:val="single" w:color="auto" w:sz="4" w:space="0"/>
              <w:right w:val="single" w:color="auto" w:sz="4" w:space="0"/>
            </w:tcBorders>
            <w:noWrap/>
            <w:vAlign w:val="bottom"/>
          </w:tcPr>
          <w:p w14:paraId="19D28C32">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100.00%</w:t>
            </w:r>
          </w:p>
        </w:tc>
        <w:tc>
          <w:tcPr>
            <w:tcW w:w="529" w:type="pct"/>
            <w:tcBorders>
              <w:top w:val="nil"/>
              <w:left w:val="nil"/>
              <w:bottom w:val="single" w:color="auto" w:sz="4" w:space="0"/>
              <w:right w:val="single" w:color="auto" w:sz="4" w:space="0"/>
            </w:tcBorders>
            <w:noWrap/>
            <w:vAlign w:val="bottom"/>
          </w:tcPr>
          <w:p w14:paraId="3D59198E">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100.00%</w:t>
            </w:r>
          </w:p>
        </w:tc>
        <w:tc>
          <w:tcPr>
            <w:tcW w:w="592" w:type="pct"/>
            <w:tcBorders>
              <w:top w:val="nil"/>
              <w:left w:val="nil"/>
              <w:bottom w:val="single" w:color="auto" w:sz="4" w:space="0"/>
              <w:right w:val="single" w:color="auto" w:sz="4" w:space="0"/>
            </w:tcBorders>
            <w:noWrap/>
            <w:vAlign w:val="bottom"/>
          </w:tcPr>
          <w:p w14:paraId="1E3629B1">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100.00%</w:t>
            </w:r>
          </w:p>
        </w:tc>
        <w:tc>
          <w:tcPr>
            <w:tcW w:w="587" w:type="pct"/>
            <w:tcBorders>
              <w:top w:val="nil"/>
              <w:left w:val="nil"/>
              <w:bottom w:val="single" w:color="auto" w:sz="4" w:space="0"/>
              <w:right w:val="single" w:color="auto" w:sz="4" w:space="0"/>
            </w:tcBorders>
            <w:noWrap/>
            <w:vAlign w:val="bottom"/>
          </w:tcPr>
          <w:p w14:paraId="1EEA1B42">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100.00%</w:t>
            </w:r>
          </w:p>
        </w:tc>
        <w:tc>
          <w:tcPr>
            <w:tcW w:w="365" w:type="pct"/>
            <w:tcBorders>
              <w:top w:val="nil"/>
              <w:left w:val="nil"/>
              <w:bottom w:val="single" w:color="auto" w:sz="4" w:space="0"/>
              <w:right w:val="single" w:color="auto" w:sz="4" w:space="0"/>
            </w:tcBorders>
            <w:noWrap/>
            <w:vAlign w:val="bottom"/>
          </w:tcPr>
          <w:p w14:paraId="1624700C">
            <w:pPr>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100.00%</w:t>
            </w:r>
          </w:p>
        </w:tc>
        <w:tc>
          <w:tcPr>
            <w:tcW w:w="439" w:type="pct"/>
            <w:tcBorders>
              <w:top w:val="nil"/>
              <w:left w:val="nil"/>
              <w:bottom w:val="single" w:color="auto" w:sz="4" w:space="0"/>
              <w:right w:val="single" w:color="auto" w:sz="4" w:space="0"/>
            </w:tcBorders>
            <w:noWrap/>
            <w:vAlign w:val="bottom"/>
          </w:tcPr>
          <w:p w14:paraId="0EEB3143">
            <w:pPr>
              <w:keepNext/>
              <w:spacing w:after="0" w:line="240" w:lineRule="auto"/>
              <w:jc w:val="right"/>
              <w:rPr>
                <w:rFonts w:ascii="Arial" w:hAnsi="Arial" w:eastAsia="Times New Roman" w:cs="Arial"/>
                <w:color w:val="000000"/>
                <w:sz w:val="16"/>
                <w:szCs w:val="16"/>
              </w:rPr>
            </w:pPr>
            <w:r>
              <w:rPr>
                <w:rFonts w:ascii="Arial" w:hAnsi="Arial" w:eastAsia="Times New Roman" w:cs="Arial"/>
                <w:color w:val="000000"/>
                <w:sz w:val="16"/>
                <w:szCs w:val="16"/>
              </w:rPr>
              <w:t>100.00%</w:t>
            </w:r>
          </w:p>
        </w:tc>
      </w:tr>
    </w:tbl>
    <w:p w14:paraId="1F798448">
      <w:pPr>
        <w:pStyle w:val="18"/>
        <w:rPr>
          <w:rFonts w:asciiTheme="majorHAnsi" w:hAnsiTheme="majorHAnsi" w:cstheme="majorHAnsi"/>
          <w:sz w:val="24"/>
          <w:szCs w:val="24"/>
          <w:lang w:val="ro-RO" w:eastAsia="en-GB"/>
        </w:rPr>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1</w:t>
      </w:r>
      <w:r>
        <w:fldChar w:fldCharType="end"/>
      </w:r>
      <w:r>
        <w:t xml:space="preserve"> </w:t>
      </w:r>
    </w:p>
    <w:p w14:paraId="72A27520">
      <w:pPr>
        <w:rPr>
          <w:rFonts w:cstheme="majorHAnsi"/>
          <w:sz w:val="24"/>
          <w:szCs w:val="24"/>
        </w:rPr>
      </w:pPr>
    </w:p>
    <w:tbl>
      <w:tblPr>
        <w:tblStyle w:val="12"/>
        <w:tblW w:w="5000" w:type="pct"/>
        <w:tblInd w:w="0" w:type="dxa"/>
        <w:tblLayout w:type="autofit"/>
        <w:tblCellMar>
          <w:top w:w="0" w:type="dxa"/>
          <w:left w:w="108" w:type="dxa"/>
          <w:bottom w:w="0" w:type="dxa"/>
          <w:right w:w="108" w:type="dxa"/>
        </w:tblCellMar>
      </w:tblPr>
      <w:tblGrid>
        <w:gridCol w:w="2541"/>
        <w:gridCol w:w="1770"/>
        <w:gridCol w:w="1683"/>
        <w:gridCol w:w="2472"/>
        <w:gridCol w:w="1672"/>
      </w:tblGrid>
      <w:tr w14:paraId="09BD4902">
        <w:tblPrEx>
          <w:tblCellMar>
            <w:top w:w="0" w:type="dxa"/>
            <w:left w:w="108" w:type="dxa"/>
            <w:bottom w:w="0" w:type="dxa"/>
            <w:right w:w="108" w:type="dxa"/>
          </w:tblCellMar>
        </w:tblPrEx>
        <w:trPr>
          <w:trHeight w:val="1200" w:hRule="atLeast"/>
        </w:trPr>
        <w:tc>
          <w:tcPr>
            <w:tcW w:w="1253" w:type="pct"/>
            <w:tcBorders>
              <w:top w:val="single" w:color="auto" w:sz="4" w:space="0"/>
              <w:left w:val="single" w:color="auto" w:sz="4" w:space="0"/>
              <w:bottom w:val="single" w:color="auto" w:sz="4" w:space="0"/>
              <w:right w:val="single" w:color="auto" w:sz="4" w:space="0"/>
            </w:tcBorders>
            <w:shd w:val="clear" w:color="000000" w:fill="DDEBF7"/>
            <w:vAlign w:val="center"/>
          </w:tcPr>
          <w:p w14:paraId="1DE1BA1D">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xml:space="preserve">Aria de delegare </w:t>
            </w:r>
          </w:p>
        </w:tc>
        <w:tc>
          <w:tcPr>
            <w:tcW w:w="873" w:type="pct"/>
            <w:tcBorders>
              <w:top w:val="single" w:color="auto" w:sz="4" w:space="0"/>
              <w:left w:val="nil"/>
              <w:bottom w:val="single" w:color="auto" w:sz="4" w:space="0"/>
              <w:right w:val="single" w:color="auto" w:sz="4" w:space="0"/>
            </w:tcBorders>
            <w:shd w:val="clear" w:color="000000" w:fill="DDEBF7"/>
            <w:vAlign w:val="center"/>
          </w:tcPr>
          <w:p w14:paraId="77ADBC0E">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xml:space="preserve">Număr de locuitori (populaţia rezidentă) </w:t>
            </w:r>
          </w:p>
        </w:tc>
        <w:tc>
          <w:tcPr>
            <w:tcW w:w="830" w:type="pct"/>
            <w:tcBorders>
              <w:top w:val="single" w:color="auto" w:sz="4" w:space="0"/>
              <w:left w:val="nil"/>
              <w:bottom w:val="single" w:color="auto" w:sz="4" w:space="0"/>
              <w:right w:val="single" w:color="auto" w:sz="4" w:space="0"/>
            </w:tcBorders>
            <w:shd w:val="clear" w:color="000000" w:fill="DDEBF7"/>
            <w:vAlign w:val="center"/>
          </w:tcPr>
          <w:p w14:paraId="5F1456E7">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Număr de persoane juridice UAT</w:t>
            </w:r>
          </w:p>
        </w:tc>
        <w:tc>
          <w:tcPr>
            <w:tcW w:w="1219" w:type="pct"/>
            <w:tcBorders>
              <w:top w:val="single" w:color="auto" w:sz="4" w:space="0"/>
              <w:left w:val="nil"/>
              <w:bottom w:val="single" w:color="auto" w:sz="4" w:space="0"/>
              <w:right w:val="single" w:color="auto" w:sz="4" w:space="0"/>
            </w:tcBorders>
            <w:shd w:val="clear" w:color="000000" w:fill="DDEBF7"/>
            <w:vAlign w:val="center"/>
          </w:tcPr>
          <w:p w14:paraId="2A56B276">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Număr degospodării individuale (case) UAT</w:t>
            </w:r>
          </w:p>
        </w:tc>
        <w:tc>
          <w:tcPr>
            <w:tcW w:w="824" w:type="pct"/>
            <w:tcBorders>
              <w:top w:val="single" w:color="auto" w:sz="4" w:space="0"/>
              <w:left w:val="nil"/>
              <w:bottom w:val="single" w:color="auto" w:sz="4" w:space="0"/>
              <w:right w:val="single" w:color="auto" w:sz="4" w:space="0"/>
            </w:tcBorders>
            <w:shd w:val="clear" w:color="000000" w:fill="DDEBF7"/>
            <w:vAlign w:val="center"/>
          </w:tcPr>
          <w:p w14:paraId="5B092AD6">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xml:space="preserve">Număr de locuinţe în blocuri </w:t>
            </w:r>
          </w:p>
        </w:tc>
      </w:tr>
      <w:tr w14:paraId="36694454">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3DA68F78">
            <w:pPr>
              <w:spacing w:after="0" w:line="240" w:lineRule="auto"/>
              <w:rPr>
                <w:rFonts w:ascii="Calibri" w:hAnsi="Calibri" w:eastAsia="Times New Roman" w:cs="Calibri"/>
                <w:color w:val="000000"/>
              </w:rPr>
            </w:pPr>
            <w:r>
              <w:rPr>
                <w:rFonts w:ascii="Calibri" w:hAnsi="Calibri" w:eastAsia="Times New Roman" w:cs="Calibri"/>
                <w:color w:val="000000"/>
              </w:rPr>
              <w:t xml:space="preserve">OLTENIŢA </w:t>
            </w:r>
          </w:p>
        </w:tc>
        <w:tc>
          <w:tcPr>
            <w:tcW w:w="873" w:type="pct"/>
            <w:tcBorders>
              <w:top w:val="nil"/>
              <w:left w:val="nil"/>
              <w:bottom w:val="single" w:color="auto" w:sz="4" w:space="0"/>
              <w:right w:val="single" w:color="auto" w:sz="4" w:space="0"/>
            </w:tcBorders>
            <w:vAlign w:val="center"/>
          </w:tcPr>
          <w:p w14:paraId="39DABBD8">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21803</w:t>
            </w:r>
          </w:p>
        </w:tc>
        <w:tc>
          <w:tcPr>
            <w:tcW w:w="830" w:type="pct"/>
            <w:tcBorders>
              <w:top w:val="nil"/>
              <w:left w:val="nil"/>
              <w:bottom w:val="single" w:color="auto" w:sz="4" w:space="0"/>
              <w:right w:val="single" w:color="auto" w:sz="4" w:space="0"/>
            </w:tcBorders>
            <w:vAlign w:val="center"/>
          </w:tcPr>
          <w:p w14:paraId="176531BA">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657</w:t>
            </w:r>
          </w:p>
        </w:tc>
        <w:tc>
          <w:tcPr>
            <w:tcW w:w="1219" w:type="pct"/>
            <w:tcBorders>
              <w:top w:val="nil"/>
              <w:left w:val="nil"/>
              <w:bottom w:val="single" w:color="auto" w:sz="4" w:space="0"/>
              <w:right w:val="single" w:color="auto" w:sz="4" w:space="0"/>
            </w:tcBorders>
            <w:noWrap/>
            <w:vAlign w:val="bottom"/>
          </w:tcPr>
          <w:p w14:paraId="20316166">
            <w:pPr>
              <w:spacing w:after="0" w:line="240" w:lineRule="auto"/>
              <w:jc w:val="right"/>
              <w:rPr>
                <w:rFonts w:ascii="Calibri" w:hAnsi="Calibri" w:eastAsia="Times New Roman" w:cs="Calibri"/>
                <w:color w:val="000000"/>
              </w:rPr>
            </w:pPr>
            <w:r>
              <w:rPr>
                <w:rFonts w:ascii="Calibri" w:hAnsi="Calibri" w:eastAsia="Times New Roman" w:cs="Calibri"/>
                <w:color w:val="000000"/>
              </w:rPr>
              <w:t>4325</w:t>
            </w:r>
          </w:p>
        </w:tc>
        <w:tc>
          <w:tcPr>
            <w:tcW w:w="824" w:type="pct"/>
            <w:tcBorders>
              <w:top w:val="nil"/>
              <w:left w:val="nil"/>
              <w:bottom w:val="single" w:color="auto" w:sz="4" w:space="0"/>
              <w:right w:val="single" w:color="auto" w:sz="4" w:space="0"/>
            </w:tcBorders>
            <w:vAlign w:val="center"/>
          </w:tcPr>
          <w:p w14:paraId="21723BB5">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5641</w:t>
            </w:r>
          </w:p>
        </w:tc>
      </w:tr>
      <w:tr w14:paraId="6822C488">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7F6F1F7B">
            <w:pPr>
              <w:spacing w:after="0" w:line="240" w:lineRule="auto"/>
              <w:rPr>
                <w:rFonts w:ascii="Calibri" w:hAnsi="Calibri" w:eastAsia="Times New Roman" w:cs="Calibri"/>
                <w:color w:val="000000"/>
              </w:rPr>
            </w:pPr>
            <w:r>
              <w:rPr>
                <w:rFonts w:ascii="Calibri" w:hAnsi="Calibri" w:eastAsia="Times New Roman" w:cs="Calibri"/>
                <w:color w:val="000000"/>
              </w:rPr>
              <w:t>BUDEȘTI</w:t>
            </w:r>
          </w:p>
        </w:tc>
        <w:tc>
          <w:tcPr>
            <w:tcW w:w="873" w:type="pct"/>
            <w:tcBorders>
              <w:top w:val="nil"/>
              <w:left w:val="nil"/>
              <w:bottom w:val="single" w:color="auto" w:sz="4" w:space="0"/>
              <w:right w:val="single" w:color="auto" w:sz="4" w:space="0"/>
            </w:tcBorders>
            <w:vAlign w:val="center"/>
          </w:tcPr>
          <w:p w14:paraId="6517B122">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6866</w:t>
            </w:r>
          </w:p>
        </w:tc>
        <w:tc>
          <w:tcPr>
            <w:tcW w:w="830" w:type="pct"/>
            <w:tcBorders>
              <w:top w:val="nil"/>
              <w:left w:val="nil"/>
              <w:bottom w:val="single" w:color="auto" w:sz="4" w:space="0"/>
              <w:right w:val="single" w:color="auto" w:sz="4" w:space="0"/>
            </w:tcBorders>
            <w:noWrap/>
            <w:vAlign w:val="bottom"/>
          </w:tcPr>
          <w:p w14:paraId="58F36481">
            <w:pPr>
              <w:spacing w:after="0" w:line="240" w:lineRule="auto"/>
              <w:jc w:val="right"/>
              <w:rPr>
                <w:rFonts w:ascii="Calibri" w:hAnsi="Calibri" w:eastAsia="Times New Roman" w:cs="Calibri"/>
                <w:color w:val="000000"/>
              </w:rPr>
            </w:pPr>
            <w:r>
              <w:rPr>
                <w:rFonts w:ascii="Calibri" w:hAnsi="Calibri" w:eastAsia="Times New Roman" w:cs="Calibri"/>
                <w:color w:val="000000"/>
              </w:rPr>
              <w:t>352</w:t>
            </w:r>
          </w:p>
        </w:tc>
        <w:tc>
          <w:tcPr>
            <w:tcW w:w="1219" w:type="pct"/>
            <w:tcBorders>
              <w:top w:val="nil"/>
              <w:left w:val="nil"/>
              <w:bottom w:val="single" w:color="auto" w:sz="4" w:space="0"/>
              <w:right w:val="single" w:color="auto" w:sz="4" w:space="0"/>
            </w:tcBorders>
            <w:noWrap/>
            <w:vAlign w:val="bottom"/>
          </w:tcPr>
          <w:p w14:paraId="0C638C12">
            <w:pPr>
              <w:spacing w:after="0" w:line="240" w:lineRule="auto"/>
              <w:jc w:val="right"/>
              <w:rPr>
                <w:rFonts w:ascii="Calibri" w:hAnsi="Calibri" w:eastAsia="Times New Roman" w:cs="Calibri"/>
                <w:color w:val="000000"/>
              </w:rPr>
            </w:pPr>
            <w:r>
              <w:rPr>
                <w:rFonts w:ascii="Calibri" w:hAnsi="Calibri" w:eastAsia="Times New Roman" w:cs="Calibri"/>
                <w:color w:val="000000"/>
              </w:rPr>
              <w:t>2972</w:t>
            </w:r>
          </w:p>
        </w:tc>
        <w:tc>
          <w:tcPr>
            <w:tcW w:w="824" w:type="pct"/>
            <w:tcBorders>
              <w:top w:val="nil"/>
              <w:left w:val="nil"/>
              <w:bottom w:val="single" w:color="auto" w:sz="4" w:space="0"/>
              <w:right w:val="single" w:color="auto" w:sz="4" w:space="0"/>
            </w:tcBorders>
            <w:noWrap/>
            <w:vAlign w:val="bottom"/>
          </w:tcPr>
          <w:p w14:paraId="620154E5">
            <w:pPr>
              <w:spacing w:after="0" w:line="240" w:lineRule="auto"/>
              <w:jc w:val="right"/>
              <w:rPr>
                <w:rFonts w:ascii="Calibri" w:hAnsi="Calibri" w:eastAsia="Times New Roman" w:cs="Calibri"/>
                <w:color w:val="000000"/>
              </w:rPr>
            </w:pPr>
            <w:r>
              <w:rPr>
                <w:rFonts w:ascii="Calibri" w:hAnsi="Calibri" w:eastAsia="Times New Roman" w:cs="Calibri"/>
                <w:color w:val="000000"/>
              </w:rPr>
              <w:t>90</w:t>
            </w:r>
          </w:p>
        </w:tc>
      </w:tr>
      <w:tr w14:paraId="50D80C5B">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18DA9277">
            <w:pPr>
              <w:spacing w:after="0" w:line="240" w:lineRule="auto"/>
              <w:rPr>
                <w:rFonts w:ascii="Calibri" w:hAnsi="Calibri" w:eastAsia="Times New Roman" w:cs="Calibri"/>
                <w:b/>
                <w:bCs/>
                <w:color w:val="000000"/>
              </w:rPr>
            </w:pPr>
            <w:r>
              <w:rPr>
                <w:rFonts w:ascii="Calibri" w:hAnsi="Calibri" w:eastAsia="Times New Roman" w:cs="Calibri"/>
                <w:b/>
                <w:bCs/>
                <w:color w:val="000000"/>
              </w:rPr>
              <w:t>TOTAL URBAN</w:t>
            </w:r>
          </w:p>
        </w:tc>
        <w:tc>
          <w:tcPr>
            <w:tcW w:w="873" w:type="pct"/>
            <w:tcBorders>
              <w:top w:val="nil"/>
              <w:left w:val="nil"/>
              <w:bottom w:val="single" w:color="auto" w:sz="4" w:space="0"/>
              <w:right w:val="single" w:color="auto" w:sz="4" w:space="0"/>
            </w:tcBorders>
            <w:vAlign w:val="center"/>
          </w:tcPr>
          <w:p w14:paraId="143198C7">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28669</w:t>
            </w:r>
          </w:p>
        </w:tc>
        <w:tc>
          <w:tcPr>
            <w:tcW w:w="830" w:type="pct"/>
            <w:tcBorders>
              <w:top w:val="nil"/>
              <w:left w:val="nil"/>
              <w:bottom w:val="single" w:color="auto" w:sz="4" w:space="0"/>
              <w:right w:val="single" w:color="auto" w:sz="4" w:space="0"/>
            </w:tcBorders>
            <w:noWrap/>
            <w:vAlign w:val="bottom"/>
          </w:tcPr>
          <w:p w14:paraId="4DBED0F3">
            <w:pPr>
              <w:spacing w:after="0" w:line="240" w:lineRule="auto"/>
              <w:jc w:val="right"/>
              <w:rPr>
                <w:rFonts w:ascii="Calibri" w:hAnsi="Calibri" w:eastAsia="Times New Roman" w:cs="Calibri"/>
                <w:color w:val="000000"/>
              </w:rPr>
            </w:pPr>
            <w:r>
              <w:rPr>
                <w:rFonts w:ascii="Calibri" w:hAnsi="Calibri" w:eastAsia="Times New Roman" w:cs="Calibri"/>
                <w:color w:val="000000"/>
              </w:rPr>
              <w:t>989</w:t>
            </w:r>
          </w:p>
        </w:tc>
        <w:tc>
          <w:tcPr>
            <w:tcW w:w="1219" w:type="pct"/>
            <w:tcBorders>
              <w:top w:val="nil"/>
              <w:left w:val="nil"/>
              <w:bottom w:val="single" w:color="auto" w:sz="4" w:space="0"/>
              <w:right w:val="single" w:color="auto" w:sz="4" w:space="0"/>
            </w:tcBorders>
            <w:noWrap/>
            <w:vAlign w:val="bottom"/>
          </w:tcPr>
          <w:p w14:paraId="2C62DF22">
            <w:pPr>
              <w:spacing w:after="0" w:line="240" w:lineRule="auto"/>
              <w:jc w:val="right"/>
              <w:rPr>
                <w:rFonts w:ascii="Calibri" w:hAnsi="Calibri" w:eastAsia="Times New Roman" w:cs="Calibri"/>
                <w:color w:val="000000"/>
              </w:rPr>
            </w:pPr>
            <w:r>
              <w:rPr>
                <w:rFonts w:ascii="Calibri" w:hAnsi="Calibri" w:eastAsia="Times New Roman" w:cs="Calibri"/>
                <w:color w:val="000000"/>
              </w:rPr>
              <w:t>7297</w:t>
            </w:r>
          </w:p>
        </w:tc>
        <w:tc>
          <w:tcPr>
            <w:tcW w:w="824" w:type="pct"/>
            <w:tcBorders>
              <w:top w:val="nil"/>
              <w:left w:val="nil"/>
              <w:bottom w:val="single" w:color="auto" w:sz="4" w:space="0"/>
              <w:right w:val="single" w:color="auto" w:sz="4" w:space="0"/>
            </w:tcBorders>
            <w:noWrap/>
            <w:vAlign w:val="bottom"/>
          </w:tcPr>
          <w:p w14:paraId="6816E18F">
            <w:pPr>
              <w:spacing w:after="0" w:line="240" w:lineRule="auto"/>
              <w:jc w:val="right"/>
              <w:rPr>
                <w:rFonts w:ascii="Calibri" w:hAnsi="Calibri" w:eastAsia="Times New Roman" w:cs="Calibri"/>
                <w:color w:val="000000"/>
              </w:rPr>
            </w:pPr>
            <w:r>
              <w:rPr>
                <w:rFonts w:ascii="Calibri" w:hAnsi="Calibri" w:eastAsia="Times New Roman" w:cs="Calibri"/>
                <w:color w:val="000000"/>
              </w:rPr>
              <w:t>5731</w:t>
            </w:r>
          </w:p>
        </w:tc>
      </w:tr>
      <w:tr w14:paraId="18F16F93">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0B5EDDFF">
            <w:pPr>
              <w:spacing w:after="0" w:line="240" w:lineRule="auto"/>
              <w:rPr>
                <w:rFonts w:ascii="Calibri" w:hAnsi="Calibri" w:eastAsia="Times New Roman" w:cs="Calibri"/>
                <w:color w:val="000000"/>
              </w:rPr>
            </w:pPr>
            <w:r>
              <w:rPr>
                <w:rFonts w:ascii="Calibri" w:hAnsi="Calibri" w:eastAsia="Times New Roman" w:cs="Calibri"/>
                <w:color w:val="000000"/>
              </w:rPr>
              <w:t>CASCIOARELE</w:t>
            </w:r>
          </w:p>
        </w:tc>
        <w:tc>
          <w:tcPr>
            <w:tcW w:w="873" w:type="pct"/>
            <w:tcBorders>
              <w:top w:val="nil"/>
              <w:left w:val="nil"/>
              <w:bottom w:val="single" w:color="auto" w:sz="4" w:space="0"/>
              <w:right w:val="single" w:color="auto" w:sz="4" w:space="0"/>
            </w:tcBorders>
            <w:vAlign w:val="center"/>
          </w:tcPr>
          <w:p w14:paraId="5177386E">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1516</w:t>
            </w:r>
          </w:p>
        </w:tc>
        <w:tc>
          <w:tcPr>
            <w:tcW w:w="830" w:type="pct"/>
            <w:tcBorders>
              <w:top w:val="nil"/>
              <w:left w:val="nil"/>
              <w:bottom w:val="single" w:color="auto" w:sz="4" w:space="0"/>
              <w:right w:val="single" w:color="auto" w:sz="4" w:space="0"/>
            </w:tcBorders>
            <w:noWrap/>
            <w:vAlign w:val="bottom"/>
          </w:tcPr>
          <w:p w14:paraId="65BCC806">
            <w:pPr>
              <w:spacing w:after="0" w:line="240" w:lineRule="auto"/>
              <w:jc w:val="right"/>
              <w:rPr>
                <w:rFonts w:ascii="Calibri" w:hAnsi="Calibri" w:eastAsia="Times New Roman" w:cs="Calibri"/>
                <w:color w:val="000000"/>
              </w:rPr>
            </w:pPr>
            <w:r>
              <w:rPr>
                <w:rFonts w:ascii="Calibri" w:hAnsi="Calibri" w:eastAsia="Times New Roman" w:cs="Calibri"/>
                <w:color w:val="000000"/>
              </w:rPr>
              <w:t>20</w:t>
            </w:r>
          </w:p>
        </w:tc>
        <w:tc>
          <w:tcPr>
            <w:tcW w:w="1219" w:type="pct"/>
            <w:tcBorders>
              <w:top w:val="nil"/>
              <w:left w:val="nil"/>
              <w:bottom w:val="single" w:color="auto" w:sz="4" w:space="0"/>
              <w:right w:val="single" w:color="auto" w:sz="4" w:space="0"/>
            </w:tcBorders>
            <w:noWrap/>
            <w:vAlign w:val="bottom"/>
          </w:tcPr>
          <w:p w14:paraId="165275E2">
            <w:pPr>
              <w:spacing w:after="0" w:line="240" w:lineRule="auto"/>
              <w:jc w:val="right"/>
              <w:rPr>
                <w:rFonts w:ascii="Calibri" w:hAnsi="Calibri" w:eastAsia="Times New Roman" w:cs="Calibri"/>
                <w:color w:val="000000"/>
              </w:rPr>
            </w:pPr>
            <w:r>
              <w:rPr>
                <w:rFonts w:ascii="Calibri" w:hAnsi="Calibri" w:eastAsia="Times New Roman" w:cs="Calibri"/>
                <w:color w:val="000000"/>
              </w:rPr>
              <w:t>676</w:t>
            </w:r>
          </w:p>
        </w:tc>
        <w:tc>
          <w:tcPr>
            <w:tcW w:w="824" w:type="pct"/>
            <w:tcBorders>
              <w:top w:val="nil"/>
              <w:left w:val="nil"/>
              <w:bottom w:val="single" w:color="auto" w:sz="4" w:space="0"/>
              <w:right w:val="single" w:color="auto" w:sz="4" w:space="0"/>
            </w:tcBorders>
            <w:noWrap/>
            <w:vAlign w:val="bottom"/>
          </w:tcPr>
          <w:p w14:paraId="7481218F">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58634740">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0152215D">
            <w:pPr>
              <w:spacing w:after="0" w:line="240" w:lineRule="auto"/>
              <w:rPr>
                <w:rFonts w:ascii="Calibri" w:hAnsi="Calibri" w:eastAsia="Times New Roman" w:cs="Calibri"/>
                <w:color w:val="000000"/>
              </w:rPr>
            </w:pPr>
            <w:r>
              <w:rPr>
                <w:rFonts w:ascii="Calibri" w:hAnsi="Calibri" w:eastAsia="Times New Roman" w:cs="Calibri"/>
                <w:color w:val="000000"/>
              </w:rPr>
              <w:t>CHIRNOGI</w:t>
            </w:r>
          </w:p>
        </w:tc>
        <w:tc>
          <w:tcPr>
            <w:tcW w:w="873" w:type="pct"/>
            <w:tcBorders>
              <w:top w:val="nil"/>
              <w:left w:val="nil"/>
              <w:bottom w:val="single" w:color="auto" w:sz="4" w:space="0"/>
              <w:right w:val="single" w:color="auto" w:sz="4" w:space="0"/>
            </w:tcBorders>
            <w:vAlign w:val="center"/>
          </w:tcPr>
          <w:p w14:paraId="46D6A0C9">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6513</w:t>
            </w:r>
          </w:p>
        </w:tc>
        <w:tc>
          <w:tcPr>
            <w:tcW w:w="830" w:type="pct"/>
            <w:tcBorders>
              <w:top w:val="nil"/>
              <w:left w:val="nil"/>
              <w:bottom w:val="single" w:color="auto" w:sz="4" w:space="0"/>
              <w:right w:val="single" w:color="auto" w:sz="4" w:space="0"/>
            </w:tcBorders>
            <w:noWrap/>
            <w:vAlign w:val="bottom"/>
          </w:tcPr>
          <w:p w14:paraId="32E31B1C">
            <w:pPr>
              <w:spacing w:after="0" w:line="240" w:lineRule="auto"/>
              <w:jc w:val="right"/>
              <w:rPr>
                <w:rFonts w:ascii="Calibri" w:hAnsi="Calibri" w:eastAsia="Times New Roman" w:cs="Calibri"/>
                <w:color w:val="000000"/>
              </w:rPr>
            </w:pPr>
            <w:r>
              <w:rPr>
                <w:rFonts w:ascii="Calibri" w:hAnsi="Calibri" w:eastAsia="Times New Roman" w:cs="Calibri"/>
                <w:color w:val="000000"/>
              </w:rPr>
              <w:t>219</w:t>
            </w:r>
          </w:p>
        </w:tc>
        <w:tc>
          <w:tcPr>
            <w:tcW w:w="1219" w:type="pct"/>
            <w:tcBorders>
              <w:top w:val="nil"/>
              <w:left w:val="nil"/>
              <w:bottom w:val="single" w:color="auto" w:sz="4" w:space="0"/>
              <w:right w:val="single" w:color="auto" w:sz="4" w:space="0"/>
            </w:tcBorders>
            <w:noWrap/>
            <w:vAlign w:val="bottom"/>
          </w:tcPr>
          <w:p w14:paraId="4D93C92D">
            <w:pPr>
              <w:spacing w:after="0" w:line="240" w:lineRule="auto"/>
              <w:jc w:val="right"/>
              <w:rPr>
                <w:rFonts w:ascii="Calibri" w:hAnsi="Calibri" w:eastAsia="Times New Roman" w:cs="Calibri"/>
                <w:color w:val="000000"/>
              </w:rPr>
            </w:pPr>
            <w:r>
              <w:rPr>
                <w:rFonts w:ascii="Calibri" w:hAnsi="Calibri" w:eastAsia="Times New Roman" w:cs="Calibri"/>
                <w:color w:val="000000"/>
              </w:rPr>
              <w:t>2445</w:t>
            </w:r>
          </w:p>
        </w:tc>
        <w:tc>
          <w:tcPr>
            <w:tcW w:w="824" w:type="pct"/>
            <w:tcBorders>
              <w:top w:val="nil"/>
              <w:left w:val="nil"/>
              <w:bottom w:val="single" w:color="auto" w:sz="4" w:space="0"/>
              <w:right w:val="single" w:color="auto" w:sz="4" w:space="0"/>
            </w:tcBorders>
            <w:noWrap/>
            <w:vAlign w:val="bottom"/>
          </w:tcPr>
          <w:p w14:paraId="3999B28B">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5121F85">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73B14A66">
            <w:pPr>
              <w:spacing w:after="0" w:line="240" w:lineRule="auto"/>
              <w:rPr>
                <w:rFonts w:ascii="Calibri" w:hAnsi="Calibri" w:eastAsia="Times New Roman" w:cs="Calibri"/>
                <w:color w:val="000000"/>
              </w:rPr>
            </w:pPr>
            <w:r>
              <w:rPr>
                <w:rFonts w:ascii="Calibri" w:hAnsi="Calibri" w:eastAsia="Times New Roman" w:cs="Calibri"/>
                <w:color w:val="000000"/>
              </w:rPr>
              <w:t>CHISELET</w:t>
            </w:r>
          </w:p>
        </w:tc>
        <w:tc>
          <w:tcPr>
            <w:tcW w:w="873" w:type="pct"/>
            <w:tcBorders>
              <w:top w:val="nil"/>
              <w:left w:val="nil"/>
              <w:bottom w:val="single" w:color="auto" w:sz="4" w:space="0"/>
              <w:right w:val="single" w:color="auto" w:sz="4" w:space="0"/>
            </w:tcBorders>
            <w:vAlign w:val="center"/>
          </w:tcPr>
          <w:p w14:paraId="73801753">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3048</w:t>
            </w:r>
          </w:p>
        </w:tc>
        <w:tc>
          <w:tcPr>
            <w:tcW w:w="830" w:type="pct"/>
            <w:tcBorders>
              <w:top w:val="nil"/>
              <w:left w:val="nil"/>
              <w:bottom w:val="single" w:color="auto" w:sz="4" w:space="0"/>
              <w:right w:val="single" w:color="auto" w:sz="4" w:space="0"/>
            </w:tcBorders>
            <w:noWrap/>
            <w:vAlign w:val="bottom"/>
          </w:tcPr>
          <w:p w14:paraId="140BB721">
            <w:pPr>
              <w:spacing w:after="0" w:line="240" w:lineRule="auto"/>
              <w:jc w:val="right"/>
              <w:rPr>
                <w:rFonts w:ascii="Calibri" w:hAnsi="Calibri" w:eastAsia="Times New Roman" w:cs="Calibri"/>
                <w:color w:val="000000"/>
              </w:rPr>
            </w:pPr>
            <w:r>
              <w:rPr>
                <w:rFonts w:ascii="Calibri" w:hAnsi="Calibri" w:eastAsia="Times New Roman" w:cs="Calibri"/>
                <w:color w:val="000000"/>
              </w:rPr>
              <w:t>50</w:t>
            </w:r>
          </w:p>
        </w:tc>
        <w:tc>
          <w:tcPr>
            <w:tcW w:w="1219" w:type="pct"/>
            <w:tcBorders>
              <w:top w:val="nil"/>
              <w:left w:val="nil"/>
              <w:bottom w:val="single" w:color="auto" w:sz="4" w:space="0"/>
              <w:right w:val="single" w:color="auto" w:sz="4" w:space="0"/>
            </w:tcBorders>
            <w:noWrap/>
            <w:vAlign w:val="bottom"/>
          </w:tcPr>
          <w:p w14:paraId="207D16BA">
            <w:pPr>
              <w:spacing w:after="0" w:line="240" w:lineRule="auto"/>
              <w:jc w:val="right"/>
              <w:rPr>
                <w:rFonts w:ascii="Calibri" w:hAnsi="Calibri" w:eastAsia="Times New Roman" w:cs="Calibri"/>
                <w:color w:val="000000"/>
              </w:rPr>
            </w:pPr>
            <w:r>
              <w:rPr>
                <w:rFonts w:ascii="Calibri" w:hAnsi="Calibri" w:eastAsia="Times New Roman" w:cs="Calibri"/>
                <w:color w:val="000000"/>
              </w:rPr>
              <w:t>1200</w:t>
            </w:r>
          </w:p>
        </w:tc>
        <w:tc>
          <w:tcPr>
            <w:tcW w:w="824" w:type="pct"/>
            <w:tcBorders>
              <w:top w:val="nil"/>
              <w:left w:val="nil"/>
              <w:bottom w:val="single" w:color="auto" w:sz="4" w:space="0"/>
              <w:right w:val="single" w:color="auto" w:sz="4" w:space="0"/>
            </w:tcBorders>
            <w:noWrap/>
            <w:vAlign w:val="bottom"/>
          </w:tcPr>
          <w:p w14:paraId="79DD97B6">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0BB92875">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63501BA3">
            <w:pPr>
              <w:spacing w:after="0" w:line="240" w:lineRule="auto"/>
              <w:rPr>
                <w:rFonts w:ascii="Calibri" w:hAnsi="Calibri" w:eastAsia="Times New Roman" w:cs="Calibri"/>
                <w:color w:val="000000"/>
              </w:rPr>
            </w:pPr>
            <w:r>
              <w:rPr>
                <w:rFonts w:ascii="Calibri" w:hAnsi="Calibri" w:eastAsia="Times New Roman" w:cs="Calibri"/>
                <w:color w:val="000000"/>
              </w:rPr>
              <w:t>CRIVAȚ</w:t>
            </w:r>
          </w:p>
        </w:tc>
        <w:tc>
          <w:tcPr>
            <w:tcW w:w="873" w:type="pct"/>
            <w:tcBorders>
              <w:top w:val="nil"/>
              <w:left w:val="nil"/>
              <w:bottom w:val="single" w:color="auto" w:sz="4" w:space="0"/>
              <w:right w:val="single" w:color="auto" w:sz="4" w:space="0"/>
            </w:tcBorders>
            <w:vAlign w:val="center"/>
          </w:tcPr>
          <w:p w14:paraId="134132C1">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1920</w:t>
            </w:r>
          </w:p>
        </w:tc>
        <w:tc>
          <w:tcPr>
            <w:tcW w:w="830" w:type="pct"/>
            <w:tcBorders>
              <w:top w:val="nil"/>
              <w:left w:val="nil"/>
              <w:bottom w:val="single" w:color="auto" w:sz="4" w:space="0"/>
              <w:right w:val="single" w:color="auto" w:sz="4" w:space="0"/>
            </w:tcBorders>
            <w:noWrap/>
            <w:vAlign w:val="bottom"/>
          </w:tcPr>
          <w:p w14:paraId="4744D73A">
            <w:pPr>
              <w:spacing w:after="0" w:line="240" w:lineRule="auto"/>
              <w:jc w:val="right"/>
              <w:rPr>
                <w:rFonts w:ascii="Calibri" w:hAnsi="Calibri" w:eastAsia="Times New Roman" w:cs="Calibri"/>
                <w:color w:val="000000"/>
              </w:rPr>
            </w:pPr>
            <w:r>
              <w:rPr>
                <w:rFonts w:ascii="Calibri" w:hAnsi="Calibri" w:eastAsia="Times New Roman" w:cs="Calibri"/>
                <w:color w:val="000000"/>
              </w:rPr>
              <w:t>19</w:t>
            </w:r>
          </w:p>
        </w:tc>
        <w:tc>
          <w:tcPr>
            <w:tcW w:w="1219" w:type="pct"/>
            <w:tcBorders>
              <w:top w:val="nil"/>
              <w:left w:val="nil"/>
              <w:bottom w:val="single" w:color="auto" w:sz="4" w:space="0"/>
              <w:right w:val="single" w:color="auto" w:sz="4" w:space="0"/>
            </w:tcBorders>
            <w:noWrap/>
            <w:vAlign w:val="bottom"/>
          </w:tcPr>
          <w:p w14:paraId="37019FFE">
            <w:pPr>
              <w:spacing w:after="0" w:line="240" w:lineRule="auto"/>
              <w:jc w:val="right"/>
              <w:rPr>
                <w:rFonts w:ascii="Calibri" w:hAnsi="Calibri" w:eastAsia="Times New Roman" w:cs="Calibri"/>
                <w:color w:val="000000"/>
              </w:rPr>
            </w:pPr>
            <w:r>
              <w:rPr>
                <w:rFonts w:ascii="Calibri" w:hAnsi="Calibri" w:eastAsia="Times New Roman" w:cs="Calibri"/>
                <w:color w:val="000000"/>
              </w:rPr>
              <w:t>930</w:t>
            </w:r>
          </w:p>
        </w:tc>
        <w:tc>
          <w:tcPr>
            <w:tcW w:w="824" w:type="pct"/>
            <w:tcBorders>
              <w:top w:val="nil"/>
              <w:left w:val="nil"/>
              <w:bottom w:val="single" w:color="auto" w:sz="4" w:space="0"/>
              <w:right w:val="single" w:color="auto" w:sz="4" w:space="0"/>
            </w:tcBorders>
            <w:noWrap/>
            <w:vAlign w:val="bottom"/>
          </w:tcPr>
          <w:p w14:paraId="54639788">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A66C9EE">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5951C122">
            <w:pPr>
              <w:spacing w:after="0" w:line="240" w:lineRule="auto"/>
              <w:rPr>
                <w:rFonts w:ascii="Calibri" w:hAnsi="Calibri" w:eastAsia="Times New Roman" w:cs="Calibri"/>
                <w:color w:val="000000"/>
              </w:rPr>
            </w:pPr>
            <w:r>
              <w:rPr>
                <w:rFonts w:ascii="Calibri" w:hAnsi="Calibri" w:eastAsia="Times New Roman" w:cs="Calibri"/>
                <w:color w:val="000000"/>
              </w:rPr>
              <w:t>CURCANI</w:t>
            </w:r>
          </w:p>
        </w:tc>
        <w:tc>
          <w:tcPr>
            <w:tcW w:w="873" w:type="pct"/>
            <w:tcBorders>
              <w:top w:val="nil"/>
              <w:left w:val="nil"/>
              <w:bottom w:val="single" w:color="auto" w:sz="4" w:space="0"/>
              <w:right w:val="single" w:color="auto" w:sz="4" w:space="0"/>
            </w:tcBorders>
            <w:vAlign w:val="center"/>
          </w:tcPr>
          <w:p w14:paraId="306B0AC5">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5206</w:t>
            </w:r>
          </w:p>
        </w:tc>
        <w:tc>
          <w:tcPr>
            <w:tcW w:w="830" w:type="pct"/>
            <w:tcBorders>
              <w:top w:val="nil"/>
              <w:left w:val="nil"/>
              <w:bottom w:val="single" w:color="auto" w:sz="4" w:space="0"/>
              <w:right w:val="single" w:color="auto" w:sz="4" w:space="0"/>
            </w:tcBorders>
            <w:noWrap/>
            <w:vAlign w:val="bottom"/>
          </w:tcPr>
          <w:p w14:paraId="1589041B">
            <w:pPr>
              <w:spacing w:after="0" w:line="240" w:lineRule="auto"/>
              <w:jc w:val="right"/>
              <w:rPr>
                <w:rFonts w:ascii="Calibri" w:hAnsi="Calibri" w:eastAsia="Times New Roman" w:cs="Calibri"/>
                <w:color w:val="000000"/>
              </w:rPr>
            </w:pPr>
            <w:r>
              <w:rPr>
                <w:rFonts w:ascii="Calibri" w:hAnsi="Calibri" w:eastAsia="Times New Roman" w:cs="Calibri"/>
                <w:color w:val="000000"/>
              </w:rPr>
              <w:t>193</w:t>
            </w:r>
          </w:p>
        </w:tc>
        <w:tc>
          <w:tcPr>
            <w:tcW w:w="1219" w:type="pct"/>
            <w:tcBorders>
              <w:top w:val="nil"/>
              <w:left w:val="nil"/>
              <w:bottom w:val="single" w:color="auto" w:sz="4" w:space="0"/>
              <w:right w:val="single" w:color="auto" w:sz="4" w:space="0"/>
            </w:tcBorders>
            <w:noWrap/>
            <w:vAlign w:val="bottom"/>
          </w:tcPr>
          <w:p w14:paraId="446F3FCC">
            <w:pPr>
              <w:spacing w:after="0" w:line="240" w:lineRule="auto"/>
              <w:jc w:val="right"/>
              <w:rPr>
                <w:rFonts w:ascii="Calibri" w:hAnsi="Calibri" w:eastAsia="Times New Roman" w:cs="Calibri"/>
                <w:color w:val="000000"/>
              </w:rPr>
            </w:pPr>
            <w:r>
              <w:rPr>
                <w:rFonts w:ascii="Calibri" w:hAnsi="Calibri" w:eastAsia="Times New Roman" w:cs="Calibri"/>
                <w:color w:val="000000"/>
              </w:rPr>
              <w:t>1600</w:t>
            </w:r>
          </w:p>
        </w:tc>
        <w:tc>
          <w:tcPr>
            <w:tcW w:w="824" w:type="pct"/>
            <w:tcBorders>
              <w:top w:val="nil"/>
              <w:left w:val="nil"/>
              <w:bottom w:val="single" w:color="auto" w:sz="4" w:space="0"/>
              <w:right w:val="single" w:color="auto" w:sz="4" w:space="0"/>
            </w:tcBorders>
            <w:noWrap/>
            <w:vAlign w:val="bottom"/>
          </w:tcPr>
          <w:p w14:paraId="7AEF5397">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980FAED">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645D95E3">
            <w:pPr>
              <w:spacing w:after="0" w:line="240" w:lineRule="auto"/>
              <w:rPr>
                <w:rFonts w:ascii="Calibri" w:hAnsi="Calibri" w:eastAsia="Times New Roman" w:cs="Calibri"/>
                <w:color w:val="000000"/>
              </w:rPr>
            </w:pPr>
            <w:r>
              <w:rPr>
                <w:rFonts w:ascii="Calibri" w:hAnsi="Calibri" w:eastAsia="Times New Roman" w:cs="Calibri"/>
                <w:color w:val="000000"/>
              </w:rPr>
              <w:t>FRUMUȘANI</w:t>
            </w:r>
          </w:p>
        </w:tc>
        <w:tc>
          <w:tcPr>
            <w:tcW w:w="873" w:type="pct"/>
            <w:tcBorders>
              <w:top w:val="nil"/>
              <w:left w:val="nil"/>
              <w:bottom w:val="single" w:color="auto" w:sz="4" w:space="0"/>
              <w:right w:val="single" w:color="auto" w:sz="4" w:space="0"/>
            </w:tcBorders>
            <w:vAlign w:val="center"/>
          </w:tcPr>
          <w:p w14:paraId="754C0AEA">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6014</w:t>
            </w:r>
          </w:p>
        </w:tc>
        <w:tc>
          <w:tcPr>
            <w:tcW w:w="830" w:type="pct"/>
            <w:tcBorders>
              <w:top w:val="nil"/>
              <w:left w:val="nil"/>
              <w:bottom w:val="single" w:color="auto" w:sz="4" w:space="0"/>
              <w:right w:val="single" w:color="auto" w:sz="4" w:space="0"/>
            </w:tcBorders>
            <w:noWrap/>
            <w:vAlign w:val="bottom"/>
          </w:tcPr>
          <w:p w14:paraId="014BB0F7">
            <w:pPr>
              <w:spacing w:after="0" w:line="240" w:lineRule="auto"/>
              <w:jc w:val="right"/>
              <w:rPr>
                <w:rFonts w:ascii="Calibri" w:hAnsi="Calibri" w:eastAsia="Times New Roman" w:cs="Calibri"/>
                <w:color w:val="000000"/>
              </w:rPr>
            </w:pPr>
            <w:r>
              <w:rPr>
                <w:rFonts w:ascii="Calibri" w:hAnsi="Calibri" w:eastAsia="Times New Roman" w:cs="Calibri"/>
                <w:color w:val="000000"/>
              </w:rPr>
              <w:t>139</w:t>
            </w:r>
          </w:p>
        </w:tc>
        <w:tc>
          <w:tcPr>
            <w:tcW w:w="1219" w:type="pct"/>
            <w:tcBorders>
              <w:top w:val="nil"/>
              <w:left w:val="nil"/>
              <w:bottom w:val="single" w:color="auto" w:sz="4" w:space="0"/>
              <w:right w:val="single" w:color="auto" w:sz="4" w:space="0"/>
            </w:tcBorders>
            <w:noWrap/>
            <w:vAlign w:val="bottom"/>
          </w:tcPr>
          <w:p w14:paraId="4FD0B43E">
            <w:pPr>
              <w:spacing w:after="0" w:line="240" w:lineRule="auto"/>
              <w:jc w:val="right"/>
              <w:rPr>
                <w:rFonts w:ascii="Calibri" w:hAnsi="Calibri" w:eastAsia="Times New Roman" w:cs="Calibri"/>
                <w:color w:val="000000"/>
              </w:rPr>
            </w:pPr>
            <w:r>
              <w:rPr>
                <w:rFonts w:ascii="Calibri" w:hAnsi="Calibri" w:eastAsia="Times New Roman" w:cs="Calibri"/>
                <w:color w:val="000000"/>
              </w:rPr>
              <w:t>3200</w:t>
            </w:r>
          </w:p>
        </w:tc>
        <w:tc>
          <w:tcPr>
            <w:tcW w:w="824" w:type="pct"/>
            <w:tcBorders>
              <w:top w:val="nil"/>
              <w:left w:val="nil"/>
              <w:bottom w:val="single" w:color="auto" w:sz="4" w:space="0"/>
              <w:right w:val="single" w:color="auto" w:sz="4" w:space="0"/>
            </w:tcBorders>
            <w:noWrap/>
            <w:vAlign w:val="bottom"/>
          </w:tcPr>
          <w:p w14:paraId="149F976D">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5EE94D9D">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74273720">
            <w:pPr>
              <w:spacing w:after="0" w:line="240" w:lineRule="auto"/>
              <w:rPr>
                <w:rFonts w:ascii="Calibri" w:hAnsi="Calibri" w:eastAsia="Times New Roman" w:cs="Calibri"/>
                <w:color w:val="000000"/>
              </w:rPr>
            </w:pPr>
            <w:r>
              <w:rPr>
                <w:rFonts w:ascii="Calibri" w:hAnsi="Calibri" w:eastAsia="Times New Roman" w:cs="Calibri"/>
                <w:color w:val="000000"/>
              </w:rPr>
              <w:t>FUNDENI</w:t>
            </w:r>
          </w:p>
        </w:tc>
        <w:tc>
          <w:tcPr>
            <w:tcW w:w="873" w:type="pct"/>
            <w:tcBorders>
              <w:top w:val="nil"/>
              <w:left w:val="nil"/>
              <w:bottom w:val="single" w:color="auto" w:sz="4" w:space="0"/>
              <w:right w:val="single" w:color="auto" w:sz="4" w:space="0"/>
            </w:tcBorders>
            <w:vAlign w:val="center"/>
          </w:tcPr>
          <w:p w14:paraId="1F7ACF72">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5468</w:t>
            </w:r>
          </w:p>
        </w:tc>
        <w:tc>
          <w:tcPr>
            <w:tcW w:w="830" w:type="pct"/>
            <w:tcBorders>
              <w:top w:val="nil"/>
              <w:left w:val="nil"/>
              <w:bottom w:val="single" w:color="auto" w:sz="4" w:space="0"/>
              <w:right w:val="single" w:color="auto" w:sz="4" w:space="0"/>
            </w:tcBorders>
            <w:noWrap/>
            <w:vAlign w:val="bottom"/>
          </w:tcPr>
          <w:p w14:paraId="457515F7">
            <w:pPr>
              <w:spacing w:after="0" w:line="240" w:lineRule="auto"/>
              <w:jc w:val="right"/>
              <w:rPr>
                <w:rFonts w:ascii="Calibri" w:hAnsi="Calibri" w:eastAsia="Times New Roman" w:cs="Calibri"/>
                <w:color w:val="000000"/>
              </w:rPr>
            </w:pPr>
            <w:r>
              <w:rPr>
                <w:rFonts w:ascii="Calibri" w:hAnsi="Calibri" w:eastAsia="Times New Roman" w:cs="Calibri"/>
                <w:color w:val="000000"/>
              </w:rPr>
              <w:t>168</w:t>
            </w:r>
          </w:p>
        </w:tc>
        <w:tc>
          <w:tcPr>
            <w:tcW w:w="1219" w:type="pct"/>
            <w:tcBorders>
              <w:top w:val="nil"/>
              <w:left w:val="nil"/>
              <w:bottom w:val="single" w:color="auto" w:sz="4" w:space="0"/>
              <w:right w:val="single" w:color="auto" w:sz="4" w:space="0"/>
            </w:tcBorders>
            <w:noWrap/>
            <w:vAlign w:val="bottom"/>
          </w:tcPr>
          <w:p w14:paraId="37D87E7F">
            <w:pPr>
              <w:spacing w:after="0" w:line="240" w:lineRule="auto"/>
              <w:jc w:val="right"/>
              <w:rPr>
                <w:rFonts w:ascii="Calibri" w:hAnsi="Calibri" w:eastAsia="Times New Roman" w:cs="Calibri"/>
                <w:color w:val="000000"/>
              </w:rPr>
            </w:pPr>
            <w:r>
              <w:rPr>
                <w:rFonts w:ascii="Calibri" w:hAnsi="Calibri" w:eastAsia="Times New Roman" w:cs="Calibri"/>
                <w:color w:val="000000"/>
              </w:rPr>
              <w:t>1635</w:t>
            </w:r>
          </w:p>
        </w:tc>
        <w:tc>
          <w:tcPr>
            <w:tcW w:w="824" w:type="pct"/>
            <w:tcBorders>
              <w:top w:val="nil"/>
              <w:left w:val="nil"/>
              <w:bottom w:val="single" w:color="auto" w:sz="4" w:space="0"/>
              <w:right w:val="single" w:color="auto" w:sz="4" w:space="0"/>
            </w:tcBorders>
            <w:noWrap/>
            <w:vAlign w:val="bottom"/>
          </w:tcPr>
          <w:p w14:paraId="077998D8">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E62A872">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37537440">
            <w:pPr>
              <w:spacing w:after="0" w:line="240" w:lineRule="auto"/>
              <w:rPr>
                <w:rFonts w:ascii="Calibri" w:hAnsi="Calibri" w:eastAsia="Times New Roman" w:cs="Calibri"/>
                <w:color w:val="000000"/>
              </w:rPr>
            </w:pPr>
            <w:r>
              <w:rPr>
                <w:rFonts w:ascii="Calibri" w:hAnsi="Calibri" w:eastAsia="Times New Roman" w:cs="Calibri"/>
                <w:color w:val="000000"/>
              </w:rPr>
              <w:t>GALBINAȘI</w:t>
            </w:r>
          </w:p>
        </w:tc>
        <w:tc>
          <w:tcPr>
            <w:tcW w:w="873" w:type="pct"/>
            <w:tcBorders>
              <w:top w:val="nil"/>
              <w:left w:val="nil"/>
              <w:bottom w:val="single" w:color="auto" w:sz="4" w:space="0"/>
              <w:right w:val="single" w:color="auto" w:sz="4" w:space="0"/>
            </w:tcBorders>
            <w:vAlign w:val="center"/>
          </w:tcPr>
          <w:p w14:paraId="179F8A87">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3637</w:t>
            </w:r>
          </w:p>
        </w:tc>
        <w:tc>
          <w:tcPr>
            <w:tcW w:w="830" w:type="pct"/>
            <w:tcBorders>
              <w:top w:val="nil"/>
              <w:left w:val="nil"/>
              <w:bottom w:val="single" w:color="auto" w:sz="4" w:space="0"/>
              <w:right w:val="single" w:color="auto" w:sz="4" w:space="0"/>
            </w:tcBorders>
            <w:noWrap/>
            <w:vAlign w:val="bottom"/>
          </w:tcPr>
          <w:p w14:paraId="5E921743">
            <w:pPr>
              <w:spacing w:after="0" w:line="240" w:lineRule="auto"/>
              <w:jc w:val="right"/>
              <w:rPr>
                <w:rFonts w:ascii="Calibri" w:hAnsi="Calibri" w:eastAsia="Times New Roman" w:cs="Calibri"/>
                <w:color w:val="000000"/>
              </w:rPr>
            </w:pPr>
            <w:r>
              <w:rPr>
                <w:rFonts w:ascii="Calibri" w:hAnsi="Calibri" w:eastAsia="Times New Roman" w:cs="Calibri"/>
                <w:color w:val="000000"/>
              </w:rPr>
              <w:t>83</w:t>
            </w:r>
          </w:p>
        </w:tc>
        <w:tc>
          <w:tcPr>
            <w:tcW w:w="1219" w:type="pct"/>
            <w:tcBorders>
              <w:top w:val="nil"/>
              <w:left w:val="nil"/>
              <w:bottom w:val="single" w:color="auto" w:sz="4" w:space="0"/>
              <w:right w:val="single" w:color="auto" w:sz="4" w:space="0"/>
            </w:tcBorders>
            <w:noWrap/>
            <w:vAlign w:val="bottom"/>
          </w:tcPr>
          <w:p w14:paraId="2593445A">
            <w:pPr>
              <w:spacing w:after="0" w:line="240" w:lineRule="auto"/>
              <w:jc w:val="right"/>
              <w:rPr>
                <w:rFonts w:ascii="Calibri" w:hAnsi="Calibri" w:eastAsia="Times New Roman" w:cs="Calibri"/>
                <w:color w:val="000000"/>
              </w:rPr>
            </w:pPr>
            <w:r>
              <w:rPr>
                <w:rFonts w:ascii="Calibri" w:hAnsi="Calibri" w:eastAsia="Times New Roman" w:cs="Calibri"/>
                <w:color w:val="000000"/>
              </w:rPr>
              <w:t>877</w:t>
            </w:r>
          </w:p>
        </w:tc>
        <w:tc>
          <w:tcPr>
            <w:tcW w:w="824" w:type="pct"/>
            <w:tcBorders>
              <w:top w:val="nil"/>
              <w:left w:val="nil"/>
              <w:bottom w:val="single" w:color="auto" w:sz="4" w:space="0"/>
              <w:right w:val="single" w:color="auto" w:sz="4" w:space="0"/>
            </w:tcBorders>
            <w:noWrap/>
            <w:vAlign w:val="bottom"/>
          </w:tcPr>
          <w:p w14:paraId="1DB1F076">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67020025">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39E5057D">
            <w:pPr>
              <w:spacing w:after="0" w:line="240" w:lineRule="auto"/>
              <w:rPr>
                <w:rFonts w:ascii="Calibri" w:hAnsi="Calibri" w:eastAsia="Times New Roman" w:cs="Calibri"/>
                <w:color w:val="000000"/>
              </w:rPr>
            </w:pPr>
            <w:r>
              <w:rPr>
                <w:rFonts w:ascii="Calibri" w:hAnsi="Calibri" w:eastAsia="Times New Roman" w:cs="Calibri"/>
                <w:color w:val="000000"/>
              </w:rPr>
              <w:t>LUICA</w:t>
            </w:r>
          </w:p>
        </w:tc>
        <w:tc>
          <w:tcPr>
            <w:tcW w:w="873" w:type="pct"/>
            <w:tcBorders>
              <w:top w:val="nil"/>
              <w:left w:val="nil"/>
              <w:bottom w:val="single" w:color="auto" w:sz="4" w:space="0"/>
              <w:right w:val="single" w:color="auto" w:sz="4" w:space="0"/>
            </w:tcBorders>
            <w:vAlign w:val="center"/>
          </w:tcPr>
          <w:p w14:paraId="221071B7">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1995</w:t>
            </w:r>
          </w:p>
        </w:tc>
        <w:tc>
          <w:tcPr>
            <w:tcW w:w="830" w:type="pct"/>
            <w:tcBorders>
              <w:top w:val="nil"/>
              <w:left w:val="nil"/>
              <w:bottom w:val="single" w:color="auto" w:sz="4" w:space="0"/>
              <w:right w:val="single" w:color="auto" w:sz="4" w:space="0"/>
            </w:tcBorders>
            <w:noWrap/>
            <w:vAlign w:val="bottom"/>
          </w:tcPr>
          <w:p w14:paraId="6BE74322">
            <w:pPr>
              <w:spacing w:after="0" w:line="240" w:lineRule="auto"/>
              <w:jc w:val="right"/>
              <w:rPr>
                <w:rFonts w:ascii="Calibri" w:hAnsi="Calibri" w:eastAsia="Times New Roman" w:cs="Calibri"/>
                <w:color w:val="000000"/>
              </w:rPr>
            </w:pPr>
            <w:r>
              <w:rPr>
                <w:rFonts w:ascii="Calibri" w:hAnsi="Calibri" w:eastAsia="Times New Roman" w:cs="Calibri"/>
                <w:color w:val="000000"/>
              </w:rPr>
              <w:t>40</w:t>
            </w:r>
          </w:p>
        </w:tc>
        <w:tc>
          <w:tcPr>
            <w:tcW w:w="1219" w:type="pct"/>
            <w:tcBorders>
              <w:top w:val="nil"/>
              <w:left w:val="nil"/>
              <w:bottom w:val="single" w:color="auto" w:sz="4" w:space="0"/>
              <w:right w:val="single" w:color="auto" w:sz="4" w:space="0"/>
            </w:tcBorders>
            <w:noWrap/>
            <w:vAlign w:val="bottom"/>
          </w:tcPr>
          <w:p w14:paraId="22075E66">
            <w:pPr>
              <w:spacing w:after="0" w:line="240" w:lineRule="auto"/>
              <w:jc w:val="right"/>
              <w:rPr>
                <w:rFonts w:ascii="Calibri" w:hAnsi="Calibri" w:eastAsia="Times New Roman" w:cs="Calibri"/>
                <w:color w:val="000000"/>
              </w:rPr>
            </w:pPr>
            <w:r>
              <w:rPr>
                <w:rFonts w:ascii="Calibri" w:hAnsi="Calibri" w:eastAsia="Times New Roman" w:cs="Calibri"/>
                <w:color w:val="000000"/>
              </w:rPr>
              <w:t>1013</w:t>
            </w:r>
          </w:p>
        </w:tc>
        <w:tc>
          <w:tcPr>
            <w:tcW w:w="824" w:type="pct"/>
            <w:tcBorders>
              <w:top w:val="nil"/>
              <w:left w:val="nil"/>
              <w:bottom w:val="single" w:color="auto" w:sz="4" w:space="0"/>
              <w:right w:val="single" w:color="auto" w:sz="4" w:space="0"/>
            </w:tcBorders>
            <w:noWrap/>
            <w:vAlign w:val="bottom"/>
          </w:tcPr>
          <w:p w14:paraId="0FBD2A07">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6041469D">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52CC6EB8">
            <w:pPr>
              <w:spacing w:after="0" w:line="240" w:lineRule="auto"/>
              <w:rPr>
                <w:rFonts w:ascii="Calibri" w:hAnsi="Calibri" w:eastAsia="Times New Roman" w:cs="Calibri"/>
                <w:color w:val="000000"/>
              </w:rPr>
            </w:pPr>
            <w:r>
              <w:rPr>
                <w:rFonts w:ascii="Calibri" w:hAnsi="Calibri" w:eastAsia="Times New Roman" w:cs="Calibri"/>
                <w:color w:val="000000"/>
              </w:rPr>
              <w:t>MITRENI</w:t>
            </w:r>
          </w:p>
        </w:tc>
        <w:tc>
          <w:tcPr>
            <w:tcW w:w="873" w:type="pct"/>
            <w:tcBorders>
              <w:top w:val="nil"/>
              <w:left w:val="nil"/>
              <w:bottom w:val="single" w:color="auto" w:sz="4" w:space="0"/>
              <w:right w:val="single" w:color="auto" w:sz="4" w:space="0"/>
            </w:tcBorders>
            <w:vAlign w:val="center"/>
          </w:tcPr>
          <w:p w14:paraId="07C07C89">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3663</w:t>
            </w:r>
          </w:p>
        </w:tc>
        <w:tc>
          <w:tcPr>
            <w:tcW w:w="830" w:type="pct"/>
            <w:tcBorders>
              <w:top w:val="nil"/>
              <w:left w:val="nil"/>
              <w:bottom w:val="single" w:color="auto" w:sz="4" w:space="0"/>
              <w:right w:val="single" w:color="auto" w:sz="4" w:space="0"/>
            </w:tcBorders>
            <w:noWrap/>
            <w:vAlign w:val="bottom"/>
          </w:tcPr>
          <w:p w14:paraId="7E7658A0">
            <w:pPr>
              <w:spacing w:after="0" w:line="240" w:lineRule="auto"/>
              <w:jc w:val="right"/>
              <w:rPr>
                <w:rFonts w:ascii="Calibri" w:hAnsi="Calibri" w:eastAsia="Times New Roman" w:cs="Calibri"/>
                <w:color w:val="000000"/>
              </w:rPr>
            </w:pPr>
            <w:r>
              <w:rPr>
                <w:rFonts w:ascii="Calibri" w:hAnsi="Calibri" w:eastAsia="Times New Roman" w:cs="Calibri"/>
                <w:color w:val="000000"/>
              </w:rPr>
              <w:t>28</w:t>
            </w:r>
          </w:p>
        </w:tc>
        <w:tc>
          <w:tcPr>
            <w:tcW w:w="1219" w:type="pct"/>
            <w:tcBorders>
              <w:top w:val="nil"/>
              <w:left w:val="nil"/>
              <w:bottom w:val="single" w:color="auto" w:sz="4" w:space="0"/>
              <w:right w:val="single" w:color="auto" w:sz="4" w:space="0"/>
            </w:tcBorders>
            <w:noWrap/>
            <w:vAlign w:val="bottom"/>
          </w:tcPr>
          <w:p w14:paraId="1D32EF8F">
            <w:pPr>
              <w:spacing w:after="0" w:line="240" w:lineRule="auto"/>
              <w:jc w:val="right"/>
              <w:rPr>
                <w:rFonts w:ascii="Calibri" w:hAnsi="Calibri" w:eastAsia="Times New Roman" w:cs="Calibri"/>
                <w:color w:val="000000"/>
              </w:rPr>
            </w:pPr>
            <w:r>
              <w:rPr>
                <w:rFonts w:ascii="Calibri" w:hAnsi="Calibri" w:eastAsia="Times New Roman" w:cs="Calibri"/>
                <w:color w:val="000000"/>
              </w:rPr>
              <w:t>1577</w:t>
            </w:r>
          </w:p>
        </w:tc>
        <w:tc>
          <w:tcPr>
            <w:tcW w:w="824" w:type="pct"/>
            <w:tcBorders>
              <w:top w:val="nil"/>
              <w:left w:val="nil"/>
              <w:bottom w:val="single" w:color="auto" w:sz="4" w:space="0"/>
              <w:right w:val="single" w:color="auto" w:sz="4" w:space="0"/>
            </w:tcBorders>
            <w:noWrap/>
            <w:vAlign w:val="bottom"/>
          </w:tcPr>
          <w:p w14:paraId="461CF71F">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377EE52">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433ED385">
            <w:pPr>
              <w:spacing w:after="0" w:line="240" w:lineRule="auto"/>
              <w:rPr>
                <w:rFonts w:ascii="Calibri" w:hAnsi="Calibri" w:eastAsia="Times New Roman" w:cs="Calibri"/>
                <w:color w:val="000000"/>
              </w:rPr>
            </w:pPr>
            <w:r>
              <w:rPr>
                <w:rFonts w:ascii="Calibri" w:hAnsi="Calibri" w:eastAsia="Times New Roman" w:cs="Calibri"/>
                <w:color w:val="000000"/>
              </w:rPr>
              <w:t>NANA</w:t>
            </w:r>
          </w:p>
        </w:tc>
        <w:tc>
          <w:tcPr>
            <w:tcW w:w="873" w:type="pct"/>
            <w:tcBorders>
              <w:top w:val="nil"/>
              <w:left w:val="nil"/>
              <w:bottom w:val="single" w:color="auto" w:sz="4" w:space="0"/>
              <w:right w:val="single" w:color="auto" w:sz="4" w:space="0"/>
            </w:tcBorders>
            <w:vAlign w:val="center"/>
          </w:tcPr>
          <w:p w14:paraId="5C457107">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2243</w:t>
            </w:r>
          </w:p>
        </w:tc>
        <w:tc>
          <w:tcPr>
            <w:tcW w:w="830" w:type="pct"/>
            <w:tcBorders>
              <w:top w:val="nil"/>
              <w:left w:val="nil"/>
              <w:bottom w:val="single" w:color="auto" w:sz="4" w:space="0"/>
              <w:right w:val="single" w:color="auto" w:sz="4" w:space="0"/>
            </w:tcBorders>
            <w:noWrap/>
            <w:vAlign w:val="bottom"/>
          </w:tcPr>
          <w:p w14:paraId="6F0DFFF8">
            <w:pPr>
              <w:spacing w:after="0" w:line="240" w:lineRule="auto"/>
              <w:jc w:val="right"/>
              <w:rPr>
                <w:rFonts w:ascii="Calibri" w:hAnsi="Calibri" w:eastAsia="Times New Roman" w:cs="Calibri"/>
                <w:color w:val="000000"/>
              </w:rPr>
            </w:pPr>
            <w:r>
              <w:rPr>
                <w:rFonts w:ascii="Calibri" w:hAnsi="Calibri" w:eastAsia="Times New Roman" w:cs="Calibri"/>
                <w:color w:val="000000"/>
              </w:rPr>
              <w:t>16</w:t>
            </w:r>
          </w:p>
        </w:tc>
        <w:tc>
          <w:tcPr>
            <w:tcW w:w="1219" w:type="pct"/>
            <w:tcBorders>
              <w:top w:val="nil"/>
              <w:left w:val="nil"/>
              <w:bottom w:val="single" w:color="auto" w:sz="4" w:space="0"/>
              <w:right w:val="single" w:color="auto" w:sz="4" w:space="0"/>
            </w:tcBorders>
            <w:noWrap/>
            <w:vAlign w:val="bottom"/>
          </w:tcPr>
          <w:p w14:paraId="0721B28D">
            <w:pPr>
              <w:spacing w:after="0" w:line="240" w:lineRule="auto"/>
              <w:jc w:val="right"/>
              <w:rPr>
                <w:rFonts w:ascii="Calibri" w:hAnsi="Calibri" w:eastAsia="Times New Roman" w:cs="Calibri"/>
                <w:color w:val="000000"/>
              </w:rPr>
            </w:pPr>
            <w:r>
              <w:rPr>
                <w:rFonts w:ascii="Calibri" w:hAnsi="Calibri" w:eastAsia="Times New Roman" w:cs="Calibri"/>
                <w:color w:val="000000"/>
              </w:rPr>
              <w:t>885</w:t>
            </w:r>
          </w:p>
        </w:tc>
        <w:tc>
          <w:tcPr>
            <w:tcW w:w="824" w:type="pct"/>
            <w:tcBorders>
              <w:top w:val="nil"/>
              <w:left w:val="nil"/>
              <w:bottom w:val="single" w:color="auto" w:sz="4" w:space="0"/>
              <w:right w:val="single" w:color="auto" w:sz="4" w:space="0"/>
            </w:tcBorders>
            <w:noWrap/>
            <w:vAlign w:val="bottom"/>
          </w:tcPr>
          <w:p w14:paraId="32CB7C9A">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1F83E552">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6AFE997A">
            <w:pPr>
              <w:spacing w:after="0" w:line="240" w:lineRule="auto"/>
              <w:rPr>
                <w:rFonts w:ascii="Calibri" w:hAnsi="Calibri" w:eastAsia="Times New Roman" w:cs="Calibri"/>
                <w:color w:val="000000"/>
              </w:rPr>
            </w:pPr>
            <w:r>
              <w:rPr>
                <w:rFonts w:ascii="Calibri" w:hAnsi="Calibri" w:eastAsia="Times New Roman" w:cs="Calibri"/>
                <w:color w:val="000000"/>
              </w:rPr>
              <w:t>PLATAREȘTI</w:t>
            </w:r>
          </w:p>
        </w:tc>
        <w:tc>
          <w:tcPr>
            <w:tcW w:w="873" w:type="pct"/>
            <w:tcBorders>
              <w:top w:val="nil"/>
              <w:left w:val="nil"/>
              <w:bottom w:val="single" w:color="auto" w:sz="4" w:space="0"/>
              <w:right w:val="single" w:color="auto" w:sz="4" w:space="0"/>
            </w:tcBorders>
            <w:vAlign w:val="center"/>
          </w:tcPr>
          <w:p w14:paraId="4452C76B">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3884</w:t>
            </w:r>
          </w:p>
        </w:tc>
        <w:tc>
          <w:tcPr>
            <w:tcW w:w="830" w:type="pct"/>
            <w:tcBorders>
              <w:top w:val="nil"/>
              <w:left w:val="nil"/>
              <w:bottom w:val="single" w:color="auto" w:sz="4" w:space="0"/>
              <w:right w:val="single" w:color="auto" w:sz="4" w:space="0"/>
            </w:tcBorders>
            <w:noWrap/>
            <w:vAlign w:val="bottom"/>
          </w:tcPr>
          <w:p w14:paraId="36B93581">
            <w:pPr>
              <w:spacing w:after="0" w:line="240" w:lineRule="auto"/>
              <w:jc w:val="right"/>
              <w:rPr>
                <w:rFonts w:ascii="Calibri" w:hAnsi="Calibri" w:eastAsia="Times New Roman" w:cs="Calibri"/>
                <w:color w:val="000000"/>
              </w:rPr>
            </w:pPr>
            <w:r>
              <w:rPr>
                <w:rFonts w:ascii="Calibri" w:hAnsi="Calibri" w:eastAsia="Times New Roman" w:cs="Calibri"/>
                <w:color w:val="000000"/>
              </w:rPr>
              <w:t>50</w:t>
            </w:r>
          </w:p>
        </w:tc>
        <w:tc>
          <w:tcPr>
            <w:tcW w:w="1219" w:type="pct"/>
            <w:tcBorders>
              <w:top w:val="nil"/>
              <w:left w:val="nil"/>
              <w:bottom w:val="single" w:color="auto" w:sz="4" w:space="0"/>
              <w:right w:val="single" w:color="auto" w:sz="4" w:space="0"/>
            </w:tcBorders>
            <w:noWrap/>
            <w:vAlign w:val="bottom"/>
          </w:tcPr>
          <w:p w14:paraId="7A466356">
            <w:pPr>
              <w:spacing w:after="0" w:line="240" w:lineRule="auto"/>
              <w:jc w:val="right"/>
              <w:rPr>
                <w:rFonts w:ascii="Calibri" w:hAnsi="Calibri" w:eastAsia="Times New Roman" w:cs="Calibri"/>
                <w:color w:val="000000"/>
              </w:rPr>
            </w:pPr>
            <w:r>
              <w:rPr>
                <w:rFonts w:ascii="Calibri" w:hAnsi="Calibri" w:eastAsia="Times New Roman" w:cs="Calibri"/>
                <w:color w:val="000000"/>
              </w:rPr>
              <w:t>1500</w:t>
            </w:r>
          </w:p>
        </w:tc>
        <w:tc>
          <w:tcPr>
            <w:tcW w:w="824" w:type="pct"/>
            <w:tcBorders>
              <w:top w:val="nil"/>
              <w:left w:val="nil"/>
              <w:bottom w:val="single" w:color="auto" w:sz="4" w:space="0"/>
              <w:right w:val="single" w:color="auto" w:sz="4" w:space="0"/>
            </w:tcBorders>
            <w:noWrap/>
            <w:vAlign w:val="bottom"/>
          </w:tcPr>
          <w:p w14:paraId="795DD366">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73C5CB0B">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2201389B">
            <w:pPr>
              <w:spacing w:after="0" w:line="240" w:lineRule="auto"/>
              <w:rPr>
                <w:rFonts w:ascii="Calibri" w:hAnsi="Calibri" w:eastAsia="Times New Roman" w:cs="Calibri"/>
                <w:color w:val="000000"/>
              </w:rPr>
            </w:pPr>
            <w:r>
              <w:rPr>
                <w:rFonts w:ascii="Calibri" w:hAnsi="Calibri" w:eastAsia="Times New Roman" w:cs="Calibri"/>
                <w:color w:val="000000"/>
              </w:rPr>
              <w:t>RADOVANU</w:t>
            </w:r>
          </w:p>
        </w:tc>
        <w:tc>
          <w:tcPr>
            <w:tcW w:w="873" w:type="pct"/>
            <w:tcBorders>
              <w:top w:val="nil"/>
              <w:left w:val="nil"/>
              <w:bottom w:val="single" w:color="auto" w:sz="4" w:space="0"/>
              <w:right w:val="single" w:color="auto" w:sz="4" w:space="0"/>
            </w:tcBorders>
            <w:vAlign w:val="center"/>
          </w:tcPr>
          <w:p w14:paraId="23E56688">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3628</w:t>
            </w:r>
          </w:p>
        </w:tc>
        <w:tc>
          <w:tcPr>
            <w:tcW w:w="830" w:type="pct"/>
            <w:tcBorders>
              <w:top w:val="nil"/>
              <w:left w:val="nil"/>
              <w:bottom w:val="single" w:color="auto" w:sz="4" w:space="0"/>
              <w:right w:val="single" w:color="auto" w:sz="4" w:space="0"/>
            </w:tcBorders>
            <w:noWrap/>
            <w:vAlign w:val="bottom"/>
          </w:tcPr>
          <w:p w14:paraId="329B292D">
            <w:pPr>
              <w:spacing w:after="0" w:line="240" w:lineRule="auto"/>
              <w:jc w:val="right"/>
              <w:rPr>
                <w:rFonts w:ascii="Calibri" w:hAnsi="Calibri" w:eastAsia="Times New Roman" w:cs="Calibri"/>
                <w:color w:val="000000"/>
              </w:rPr>
            </w:pPr>
            <w:r>
              <w:rPr>
                <w:rFonts w:ascii="Calibri" w:hAnsi="Calibri" w:eastAsia="Times New Roman" w:cs="Calibri"/>
                <w:color w:val="000000"/>
              </w:rPr>
              <w:t>102</w:t>
            </w:r>
          </w:p>
        </w:tc>
        <w:tc>
          <w:tcPr>
            <w:tcW w:w="1219" w:type="pct"/>
            <w:tcBorders>
              <w:top w:val="nil"/>
              <w:left w:val="nil"/>
              <w:bottom w:val="single" w:color="auto" w:sz="4" w:space="0"/>
              <w:right w:val="single" w:color="auto" w:sz="4" w:space="0"/>
            </w:tcBorders>
            <w:noWrap/>
            <w:vAlign w:val="bottom"/>
          </w:tcPr>
          <w:p w14:paraId="05877EEA">
            <w:pPr>
              <w:spacing w:after="0" w:line="240" w:lineRule="auto"/>
              <w:jc w:val="right"/>
              <w:rPr>
                <w:rFonts w:ascii="Calibri" w:hAnsi="Calibri" w:eastAsia="Times New Roman" w:cs="Calibri"/>
                <w:color w:val="000000"/>
              </w:rPr>
            </w:pPr>
            <w:r>
              <w:rPr>
                <w:rFonts w:ascii="Calibri" w:hAnsi="Calibri" w:eastAsia="Times New Roman" w:cs="Calibri"/>
                <w:color w:val="000000"/>
              </w:rPr>
              <w:t>1204</w:t>
            </w:r>
          </w:p>
        </w:tc>
        <w:tc>
          <w:tcPr>
            <w:tcW w:w="824" w:type="pct"/>
            <w:tcBorders>
              <w:top w:val="nil"/>
              <w:left w:val="nil"/>
              <w:bottom w:val="single" w:color="auto" w:sz="4" w:space="0"/>
              <w:right w:val="single" w:color="auto" w:sz="4" w:space="0"/>
            </w:tcBorders>
            <w:noWrap/>
            <w:vAlign w:val="bottom"/>
          </w:tcPr>
          <w:p w14:paraId="3A1C8923">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2317501D">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060B6235">
            <w:pPr>
              <w:spacing w:after="0" w:line="240" w:lineRule="auto"/>
              <w:rPr>
                <w:rFonts w:ascii="Calibri" w:hAnsi="Calibri" w:eastAsia="Times New Roman" w:cs="Calibri"/>
                <w:color w:val="000000"/>
              </w:rPr>
            </w:pPr>
            <w:r>
              <w:rPr>
                <w:rFonts w:ascii="Calibri" w:hAnsi="Calibri" w:eastAsia="Times New Roman" w:cs="Calibri"/>
                <w:color w:val="000000"/>
              </w:rPr>
              <w:t>ȘOLDANU</w:t>
            </w:r>
          </w:p>
        </w:tc>
        <w:tc>
          <w:tcPr>
            <w:tcW w:w="873" w:type="pct"/>
            <w:tcBorders>
              <w:top w:val="nil"/>
              <w:left w:val="nil"/>
              <w:bottom w:val="single" w:color="auto" w:sz="4" w:space="0"/>
              <w:right w:val="single" w:color="auto" w:sz="4" w:space="0"/>
            </w:tcBorders>
            <w:vAlign w:val="center"/>
          </w:tcPr>
          <w:p w14:paraId="7DC32C72">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3236</w:t>
            </w:r>
          </w:p>
        </w:tc>
        <w:tc>
          <w:tcPr>
            <w:tcW w:w="830" w:type="pct"/>
            <w:tcBorders>
              <w:top w:val="nil"/>
              <w:left w:val="nil"/>
              <w:bottom w:val="single" w:color="auto" w:sz="4" w:space="0"/>
              <w:right w:val="single" w:color="auto" w:sz="4" w:space="0"/>
            </w:tcBorders>
            <w:noWrap/>
            <w:vAlign w:val="bottom"/>
          </w:tcPr>
          <w:p w14:paraId="438CFD29">
            <w:pPr>
              <w:spacing w:after="0" w:line="240" w:lineRule="auto"/>
              <w:jc w:val="right"/>
              <w:rPr>
                <w:rFonts w:ascii="Calibri" w:hAnsi="Calibri" w:eastAsia="Times New Roman" w:cs="Calibri"/>
                <w:color w:val="000000"/>
              </w:rPr>
            </w:pPr>
            <w:r>
              <w:rPr>
                <w:rFonts w:ascii="Calibri" w:hAnsi="Calibri" w:eastAsia="Times New Roman" w:cs="Calibri"/>
                <w:color w:val="000000"/>
              </w:rPr>
              <w:t>67</w:t>
            </w:r>
          </w:p>
        </w:tc>
        <w:tc>
          <w:tcPr>
            <w:tcW w:w="1219" w:type="pct"/>
            <w:tcBorders>
              <w:top w:val="nil"/>
              <w:left w:val="nil"/>
              <w:bottom w:val="single" w:color="auto" w:sz="4" w:space="0"/>
              <w:right w:val="single" w:color="auto" w:sz="4" w:space="0"/>
            </w:tcBorders>
            <w:noWrap/>
            <w:vAlign w:val="bottom"/>
          </w:tcPr>
          <w:p w14:paraId="12D8EF87">
            <w:pPr>
              <w:spacing w:after="0" w:line="240" w:lineRule="auto"/>
              <w:jc w:val="right"/>
              <w:rPr>
                <w:rFonts w:ascii="Calibri" w:hAnsi="Calibri" w:eastAsia="Times New Roman" w:cs="Calibri"/>
                <w:color w:val="000000"/>
              </w:rPr>
            </w:pPr>
            <w:r>
              <w:rPr>
                <w:rFonts w:ascii="Calibri" w:hAnsi="Calibri" w:eastAsia="Times New Roman" w:cs="Calibri"/>
                <w:color w:val="000000"/>
              </w:rPr>
              <w:t>1310</w:t>
            </w:r>
          </w:p>
        </w:tc>
        <w:tc>
          <w:tcPr>
            <w:tcW w:w="824" w:type="pct"/>
            <w:tcBorders>
              <w:top w:val="nil"/>
              <w:left w:val="nil"/>
              <w:bottom w:val="single" w:color="auto" w:sz="4" w:space="0"/>
              <w:right w:val="single" w:color="auto" w:sz="4" w:space="0"/>
            </w:tcBorders>
            <w:noWrap/>
            <w:vAlign w:val="bottom"/>
          </w:tcPr>
          <w:p w14:paraId="2769DB85">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62A15090">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5069375C">
            <w:pPr>
              <w:spacing w:after="0" w:line="240" w:lineRule="auto"/>
              <w:rPr>
                <w:rFonts w:ascii="Calibri" w:hAnsi="Calibri" w:eastAsia="Times New Roman" w:cs="Calibri"/>
                <w:color w:val="000000"/>
              </w:rPr>
            </w:pPr>
            <w:r>
              <w:rPr>
                <w:rFonts w:ascii="Calibri" w:hAnsi="Calibri" w:eastAsia="Times New Roman" w:cs="Calibri"/>
                <w:color w:val="000000"/>
              </w:rPr>
              <w:t>SPANȚOV</w:t>
            </w:r>
          </w:p>
        </w:tc>
        <w:tc>
          <w:tcPr>
            <w:tcW w:w="873" w:type="pct"/>
            <w:tcBorders>
              <w:top w:val="nil"/>
              <w:left w:val="nil"/>
              <w:bottom w:val="single" w:color="auto" w:sz="4" w:space="0"/>
              <w:right w:val="single" w:color="auto" w:sz="4" w:space="0"/>
            </w:tcBorders>
            <w:vAlign w:val="center"/>
          </w:tcPr>
          <w:p w14:paraId="6F7DA18E">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4513</w:t>
            </w:r>
          </w:p>
        </w:tc>
        <w:tc>
          <w:tcPr>
            <w:tcW w:w="830" w:type="pct"/>
            <w:tcBorders>
              <w:top w:val="nil"/>
              <w:left w:val="nil"/>
              <w:bottom w:val="single" w:color="auto" w:sz="4" w:space="0"/>
              <w:right w:val="single" w:color="auto" w:sz="4" w:space="0"/>
            </w:tcBorders>
            <w:noWrap/>
            <w:vAlign w:val="bottom"/>
          </w:tcPr>
          <w:p w14:paraId="41ABBC52">
            <w:pPr>
              <w:spacing w:after="0" w:line="240" w:lineRule="auto"/>
              <w:jc w:val="right"/>
              <w:rPr>
                <w:rFonts w:ascii="Calibri" w:hAnsi="Calibri" w:eastAsia="Times New Roman" w:cs="Calibri"/>
                <w:color w:val="000000"/>
              </w:rPr>
            </w:pPr>
            <w:r>
              <w:rPr>
                <w:rFonts w:ascii="Calibri" w:hAnsi="Calibri" w:eastAsia="Times New Roman" w:cs="Calibri"/>
                <w:color w:val="000000"/>
              </w:rPr>
              <w:t>90</w:t>
            </w:r>
          </w:p>
        </w:tc>
        <w:tc>
          <w:tcPr>
            <w:tcW w:w="1219" w:type="pct"/>
            <w:tcBorders>
              <w:top w:val="nil"/>
              <w:left w:val="nil"/>
              <w:bottom w:val="single" w:color="auto" w:sz="4" w:space="0"/>
              <w:right w:val="single" w:color="auto" w:sz="4" w:space="0"/>
            </w:tcBorders>
            <w:noWrap/>
            <w:vAlign w:val="bottom"/>
          </w:tcPr>
          <w:p w14:paraId="746479D1">
            <w:pPr>
              <w:spacing w:after="0" w:line="240" w:lineRule="auto"/>
              <w:jc w:val="right"/>
              <w:rPr>
                <w:rFonts w:ascii="Calibri" w:hAnsi="Calibri" w:eastAsia="Times New Roman" w:cs="Calibri"/>
                <w:color w:val="000000"/>
              </w:rPr>
            </w:pPr>
            <w:r>
              <w:rPr>
                <w:rFonts w:ascii="Calibri" w:hAnsi="Calibri" w:eastAsia="Times New Roman" w:cs="Calibri"/>
                <w:color w:val="000000"/>
              </w:rPr>
              <w:t>1956</w:t>
            </w:r>
          </w:p>
        </w:tc>
        <w:tc>
          <w:tcPr>
            <w:tcW w:w="824" w:type="pct"/>
            <w:tcBorders>
              <w:top w:val="nil"/>
              <w:left w:val="nil"/>
              <w:bottom w:val="single" w:color="auto" w:sz="4" w:space="0"/>
              <w:right w:val="single" w:color="auto" w:sz="4" w:space="0"/>
            </w:tcBorders>
            <w:noWrap/>
            <w:vAlign w:val="bottom"/>
          </w:tcPr>
          <w:p w14:paraId="4DA23392">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14E1657F">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619C8D0F">
            <w:pPr>
              <w:spacing w:after="0" w:line="240" w:lineRule="auto"/>
              <w:rPr>
                <w:rFonts w:ascii="Calibri" w:hAnsi="Calibri" w:eastAsia="Times New Roman" w:cs="Calibri"/>
                <w:color w:val="000000"/>
              </w:rPr>
            </w:pPr>
            <w:r>
              <w:rPr>
                <w:rFonts w:ascii="Calibri" w:hAnsi="Calibri" w:eastAsia="Times New Roman" w:cs="Calibri"/>
                <w:color w:val="000000"/>
              </w:rPr>
              <w:t>ULMENI</w:t>
            </w:r>
          </w:p>
        </w:tc>
        <w:tc>
          <w:tcPr>
            <w:tcW w:w="873" w:type="pct"/>
            <w:tcBorders>
              <w:top w:val="nil"/>
              <w:left w:val="nil"/>
              <w:bottom w:val="single" w:color="auto" w:sz="4" w:space="0"/>
              <w:right w:val="single" w:color="auto" w:sz="4" w:space="0"/>
            </w:tcBorders>
            <w:vAlign w:val="center"/>
          </w:tcPr>
          <w:p w14:paraId="4DDC761A">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4462</w:t>
            </w:r>
          </w:p>
        </w:tc>
        <w:tc>
          <w:tcPr>
            <w:tcW w:w="830" w:type="pct"/>
            <w:tcBorders>
              <w:top w:val="nil"/>
              <w:left w:val="nil"/>
              <w:bottom w:val="single" w:color="auto" w:sz="4" w:space="0"/>
              <w:right w:val="single" w:color="auto" w:sz="4" w:space="0"/>
            </w:tcBorders>
            <w:noWrap/>
            <w:vAlign w:val="bottom"/>
          </w:tcPr>
          <w:p w14:paraId="1DABB4BD">
            <w:pPr>
              <w:spacing w:after="0" w:line="240" w:lineRule="auto"/>
              <w:jc w:val="right"/>
              <w:rPr>
                <w:rFonts w:ascii="Calibri" w:hAnsi="Calibri" w:eastAsia="Times New Roman" w:cs="Calibri"/>
                <w:color w:val="000000"/>
              </w:rPr>
            </w:pPr>
            <w:r>
              <w:rPr>
                <w:rFonts w:ascii="Calibri" w:hAnsi="Calibri" w:eastAsia="Times New Roman" w:cs="Calibri"/>
                <w:color w:val="000000"/>
              </w:rPr>
              <w:t>116</w:t>
            </w:r>
          </w:p>
        </w:tc>
        <w:tc>
          <w:tcPr>
            <w:tcW w:w="1219" w:type="pct"/>
            <w:tcBorders>
              <w:top w:val="nil"/>
              <w:left w:val="nil"/>
              <w:bottom w:val="single" w:color="auto" w:sz="4" w:space="0"/>
              <w:right w:val="single" w:color="auto" w:sz="4" w:space="0"/>
            </w:tcBorders>
            <w:noWrap/>
            <w:vAlign w:val="bottom"/>
          </w:tcPr>
          <w:p w14:paraId="5F4182B6">
            <w:pPr>
              <w:spacing w:after="0" w:line="240" w:lineRule="auto"/>
              <w:jc w:val="right"/>
              <w:rPr>
                <w:rFonts w:ascii="Calibri" w:hAnsi="Calibri" w:eastAsia="Times New Roman" w:cs="Calibri"/>
                <w:color w:val="000000"/>
              </w:rPr>
            </w:pPr>
            <w:r>
              <w:rPr>
                <w:rFonts w:ascii="Calibri" w:hAnsi="Calibri" w:eastAsia="Times New Roman" w:cs="Calibri"/>
                <w:color w:val="000000"/>
              </w:rPr>
              <w:t>1700</w:t>
            </w:r>
          </w:p>
        </w:tc>
        <w:tc>
          <w:tcPr>
            <w:tcW w:w="824" w:type="pct"/>
            <w:tcBorders>
              <w:top w:val="nil"/>
              <w:left w:val="nil"/>
              <w:bottom w:val="single" w:color="auto" w:sz="4" w:space="0"/>
              <w:right w:val="single" w:color="auto" w:sz="4" w:space="0"/>
            </w:tcBorders>
            <w:noWrap/>
            <w:vAlign w:val="bottom"/>
          </w:tcPr>
          <w:p w14:paraId="6F4067F7">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2A53BD08">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25FF68DE">
            <w:pPr>
              <w:spacing w:after="0" w:line="240" w:lineRule="auto"/>
              <w:rPr>
                <w:rFonts w:ascii="Calibri" w:hAnsi="Calibri" w:eastAsia="Times New Roman" w:cs="Calibri"/>
                <w:color w:val="000000"/>
              </w:rPr>
            </w:pPr>
            <w:r>
              <w:rPr>
                <w:rFonts w:ascii="Calibri" w:hAnsi="Calibri" w:eastAsia="Times New Roman" w:cs="Calibri"/>
                <w:color w:val="000000"/>
              </w:rPr>
              <w:t>VASILAȚI</w:t>
            </w:r>
          </w:p>
        </w:tc>
        <w:tc>
          <w:tcPr>
            <w:tcW w:w="873" w:type="pct"/>
            <w:tcBorders>
              <w:top w:val="nil"/>
              <w:left w:val="nil"/>
              <w:bottom w:val="single" w:color="auto" w:sz="4" w:space="0"/>
              <w:right w:val="single" w:color="auto" w:sz="4" w:space="0"/>
            </w:tcBorders>
            <w:vAlign w:val="center"/>
          </w:tcPr>
          <w:p w14:paraId="5266DB2C">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4205</w:t>
            </w:r>
          </w:p>
        </w:tc>
        <w:tc>
          <w:tcPr>
            <w:tcW w:w="830" w:type="pct"/>
            <w:tcBorders>
              <w:top w:val="nil"/>
              <w:left w:val="nil"/>
              <w:bottom w:val="single" w:color="auto" w:sz="4" w:space="0"/>
              <w:right w:val="single" w:color="auto" w:sz="4" w:space="0"/>
            </w:tcBorders>
            <w:noWrap/>
            <w:vAlign w:val="bottom"/>
          </w:tcPr>
          <w:p w14:paraId="4EF30E9C">
            <w:pPr>
              <w:spacing w:after="0" w:line="240" w:lineRule="auto"/>
              <w:jc w:val="right"/>
              <w:rPr>
                <w:rFonts w:ascii="Calibri" w:hAnsi="Calibri" w:eastAsia="Times New Roman" w:cs="Calibri"/>
                <w:color w:val="000000"/>
              </w:rPr>
            </w:pPr>
            <w:r>
              <w:rPr>
                <w:rFonts w:ascii="Calibri" w:hAnsi="Calibri" w:eastAsia="Times New Roman" w:cs="Calibri"/>
                <w:color w:val="000000"/>
              </w:rPr>
              <w:t>98</w:t>
            </w:r>
          </w:p>
        </w:tc>
        <w:tc>
          <w:tcPr>
            <w:tcW w:w="1219" w:type="pct"/>
            <w:tcBorders>
              <w:top w:val="nil"/>
              <w:left w:val="nil"/>
              <w:bottom w:val="single" w:color="auto" w:sz="4" w:space="0"/>
              <w:right w:val="single" w:color="auto" w:sz="4" w:space="0"/>
            </w:tcBorders>
            <w:noWrap/>
            <w:vAlign w:val="bottom"/>
          </w:tcPr>
          <w:p w14:paraId="5D845887">
            <w:pPr>
              <w:spacing w:after="0" w:line="240" w:lineRule="auto"/>
              <w:jc w:val="right"/>
              <w:rPr>
                <w:rFonts w:ascii="Calibri" w:hAnsi="Calibri" w:eastAsia="Times New Roman" w:cs="Calibri"/>
                <w:color w:val="000000"/>
              </w:rPr>
            </w:pPr>
            <w:r>
              <w:rPr>
                <w:rFonts w:ascii="Calibri" w:hAnsi="Calibri" w:eastAsia="Times New Roman" w:cs="Calibri"/>
                <w:color w:val="000000"/>
              </w:rPr>
              <w:t>1566</w:t>
            </w:r>
          </w:p>
        </w:tc>
        <w:tc>
          <w:tcPr>
            <w:tcW w:w="824" w:type="pct"/>
            <w:tcBorders>
              <w:top w:val="nil"/>
              <w:left w:val="nil"/>
              <w:bottom w:val="single" w:color="auto" w:sz="4" w:space="0"/>
              <w:right w:val="single" w:color="auto" w:sz="4" w:space="0"/>
            </w:tcBorders>
            <w:noWrap/>
            <w:vAlign w:val="bottom"/>
          </w:tcPr>
          <w:p w14:paraId="3945156D">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6B8EFB40">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6987ABDA">
            <w:pPr>
              <w:spacing w:after="0" w:line="240" w:lineRule="auto"/>
              <w:rPr>
                <w:rFonts w:ascii="Calibri" w:hAnsi="Calibri" w:eastAsia="Times New Roman" w:cs="Calibri"/>
                <w:b/>
                <w:bCs/>
                <w:color w:val="000000"/>
              </w:rPr>
            </w:pPr>
            <w:r>
              <w:rPr>
                <w:rFonts w:ascii="Calibri" w:hAnsi="Calibri" w:eastAsia="Times New Roman" w:cs="Calibri"/>
                <w:b/>
                <w:bCs/>
                <w:color w:val="000000"/>
              </w:rPr>
              <w:t>TOTAL RURAL</w:t>
            </w:r>
          </w:p>
        </w:tc>
        <w:tc>
          <w:tcPr>
            <w:tcW w:w="873" w:type="pct"/>
            <w:tcBorders>
              <w:top w:val="nil"/>
              <w:left w:val="nil"/>
              <w:bottom w:val="single" w:color="auto" w:sz="4" w:space="0"/>
              <w:right w:val="single" w:color="auto" w:sz="4" w:space="0"/>
            </w:tcBorders>
            <w:vAlign w:val="center"/>
          </w:tcPr>
          <w:p w14:paraId="14D8C322">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65151</w:t>
            </w:r>
          </w:p>
        </w:tc>
        <w:tc>
          <w:tcPr>
            <w:tcW w:w="830" w:type="pct"/>
            <w:tcBorders>
              <w:top w:val="nil"/>
              <w:left w:val="nil"/>
              <w:bottom w:val="single" w:color="auto" w:sz="4" w:space="0"/>
              <w:right w:val="single" w:color="auto" w:sz="4" w:space="0"/>
            </w:tcBorders>
            <w:noWrap/>
            <w:vAlign w:val="bottom"/>
          </w:tcPr>
          <w:p w14:paraId="5AC2A945">
            <w:pPr>
              <w:spacing w:after="0" w:line="240" w:lineRule="auto"/>
              <w:jc w:val="right"/>
              <w:rPr>
                <w:rFonts w:ascii="Calibri" w:hAnsi="Calibri" w:eastAsia="Times New Roman" w:cs="Calibri"/>
                <w:color w:val="000000"/>
              </w:rPr>
            </w:pPr>
            <w:r>
              <w:rPr>
                <w:rFonts w:ascii="Calibri" w:hAnsi="Calibri" w:eastAsia="Times New Roman" w:cs="Calibri"/>
                <w:color w:val="000000"/>
              </w:rPr>
              <w:t>1498</w:t>
            </w:r>
          </w:p>
        </w:tc>
        <w:tc>
          <w:tcPr>
            <w:tcW w:w="1219" w:type="pct"/>
            <w:tcBorders>
              <w:top w:val="nil"/>
              <w:left w:val="nil"/>
              <w:bottom w:val="single" w:color="auto" w:sz="4" w:space="0"/>
              <w:right w:val="single" w:color="auto" w:sz="4" w:space="0"/>
            </w:tcBorders>
            <w:noWrap/>
            <w:vAlign w:val="bottom"/>
          </w:tcPr>
          <w:p w14:paraId="78E4A590">
            <w:pPr>
              <w:spacing w:after="0" w:line="240" w:lineRule="auto"/>
              <w:jc w:val="right"/>
              <w:rPr>
                <w:rFonts w:ascii="Calibri" w:hAnsi="Calibri" w:eastAsia="Times New Roman" w:cs="Calibri"/>
                <w:color w:val="000000"/>
              </w:rPr>
            </w:pPr>
            <w:r>
              <w:rPr>
                <w:rFonts w:ascii="Calibri" w:hAnsi="Calibri" w:eastAsia="Times New Roman" w:cs="Calibri"/>
                <w:color w:val="000000"/>
              </w:rPr>
              <w:t>25274</w:t>
            </w:r>
          </w:p>
        </w:tc>
        <w:tc>
          <w:tcPr>
            <w:tcW w:w="824" w:type="pct"/>
            <w:tcBorders>
              <w:top w:val="nil"/>
              <w:left w:val="nil"/>
              <w:bottom w:val="single" w:color="auto" w:sz="4" w:space="0"/>
              <w:right w:val="single" w:color="auto" w:sz="4" w:space="0"/>
            </w:tcBorders>
            <w:noWrap/>
            <w:vAlign w:val="bottom"/>
          </w:tcPr>
          <w:p w14:paraId="76B07BEC">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37E72161">
        <w:tblPrEx>
          <w:tblCellMar>
            <w:top w:w="0" w:type="dxa"/>
            <w:left w:w="108" w:type="dxa"/>
            <w:bottom w:w="0" w:type="dxa"/>
            <w:right w:w="108" w:type="dxa"/>
          </w:tblCellMar>
        </w:tblPrEx>
        <w:trPr>
          <w:trHeight w:val="300" w:hRule="atLeast"/>
        </w:trPr>
        <w:tc>
          <w:tcPr>
            <w:tcW w:w="1253" w:type="pct"/>
            <w:tcBorders>
              <w:top w:val="nil"/>
              <w:left w:val="single" w:color="auto" w:sz="4" w:space="0"/>
              <w:bottom w:val="single" w:color="auto" w:sz="4" w:space="0"/>
              <w:right w:val="single" w:color="auto" w:sz="4" w:space="0"/>
            </w:tcBorders>
            <w:noWrap/>
            <w:vAlign w:val="bottom"/>
          </w:tcPr>
          <w:p w14:paraId="6749C374">
            <w:pPr>
              <w:spacing w:after="0" w:line="240" w:lineRule="auto"/>
              <w:rPr>
                <w:rFonts w:ascii="Calibri" w:hAnsi="Calibri" w:eastAsia="Times New Roman" w:cs="Calibri"/>
                <w:b/>
                <w:bCs/>
                <w:color w:val="000000"/>
              </w:rPr>
            </w:pPr>
            <w:r>
              <w:rPr>
                <w:rFonts w:ascii="Calibri" w:hAnsi="Calibri" w:eastAsia="Times New Roman" w:cs="Calibri"/>
                <w:b/>
                <w:bCs/>
                <w:color w:val="000000"/>
              </w:rPr>
              <w:t>TOTAL ZONA II</w:t>
            </w:r>
          </w:p>
        </w:tc>
        <w:tc>
          <w:tcPr>
            <w:tcW w:w="873" w:type="pct"/>
            <w:tcBorders>
              <w:top w:val="nil"/>
              <w:left w:val="nil"/>
              <w:bottom w:val="single" w:color="auto" w:sz="4" w:space="0"/>
              <w:right w:val="single" w:color="auto" w:sz="4" w:space="0"/>
            </w:tcBorders>
            <w:vAlign w:val="center"/>
          </w:tcPr>
          <w:p w14:paraId="13DC2710">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93820</w:t>
            </w:r>
          </w:p>
        </w:tc>
        <w:tc>
          <w:tcPr>
            <w:tcW w:w="830" w:type="pct"/>
            <w:tcBorders>
              <w:top w:val="nil"/>
              <w:left w:val="nil"/>
              <w:bottom w:val="single" w:color="auto" w:sz="4" w:space="0"/>
              <w:right w:val="single" w:color="auto" w:sz="4" w:space="0"/>
            </w:tcBorders>
            <w:vAlign w:val="center"/>
          </w:tcPr>
          <w:p w14:paraId="7FD35631">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2487</w:t>
            </w:r>
          </w:p>
        </w:tc>
        <w:tc>
          <w:tcPr>
            <w:tcW w:w="1219" w:type="pct"/>
            <w:tcBorders>
              <w:top w:val="nil"/>
              <w:left w:val="nil"/>
              <w:bottom w:val="single" w:color="auto" w:sz="4" w:space="0"/>
              <w:right w:val="single" w:color="auto" w:sz="4" w:space="0"/>
            </w:tcBorders>
            <w:vAlign w:val="center"/>
          </w:tcPr>
          <w:p w14:paraId="699E9DA5">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32571</w:t>
            </w:r>
          </w:p>
        </w:tc>
        <w:tc>
          <w:tcPr>
            <w:tcW w:w="824" w:type="pct"/>
            <w:tcBorders>
              <w:top w:val="nil"/>
              <w:left w:val="nil"/>
              <w:bottom w:val="single" w:color="auto" w:sz="4" w:space="0"/>
              <w:right w:val="single" w:color="auto" w:sz="4" w:space="0"/>
            </w:tcBorders>
            <w:vAlign w:val="center"/>
          </w:tcPr>
          <w:p w14:paraId="0512A8EC">
            <w:pPr>
              <w:spacing w:after="0" w:line="240" w:lineRule="auto"/>
              <w:jc w:val="right"/>
              <w:rPr>
                <w:rFonts w:ascii="Arial" w:hAnsi="Arial" w:eastAsia="Times New Roman" w:cs="Arial"/>
                <w:color w:val="333333"/>
                <w:sz w:val="18"/>
                <w:szCs w:val="18"/>
              </w:rPr>
            </w:pPr>
            <w:r>
              <w:rPr>
                <w:rFonts w:ascii="Arial" w:hAnsi="Arial" w:eastAsia="Times New Roman" w:cs="Arial"/>
                <w:color w:val="333333"/>
                <w:sz w:val="18"/>
                <w:szCs w:val="18"/>
              </w:rPr>
              <w:t>5731</w:t>
            </w:r>
          </w:p>
        </w:tc>
      </w:tr>
    </w:tbl>
    <w:p w14:paraId="575E1FFC">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2</w:t>
      </w:r>
      <w:r>
        <w:fldChar w:fldCharType="end"/>
      </w:r>
    </w:p>
    <w:p w14:paraId="7F59EF9D">
      <w:pPr>
        <w:rPr>
          <w:rFonts w:cstheme="majorHAnsi"/>
          <w:sz w:val="24"/>
          <w:szCs w:val="24"/>
        </w:rPr>
      </w:pPr>
    </w:p>
    <w:tbl>
      <w:tblPr>
        <w:tblStyle w:val="12"/>
        <w:tblW w:w="5000" w:type="pct"/>
        <w:tblInd w:w="0" w:type="dxa"/>
        <w:tblLayout w:type="autofit"/>
        <w:tblCellMar>
          <w:top w:w="0" w:type="dxa"/>
          <w:left w:w="108" w:type="dxa"/>
          <w:bottom w:w="0" w:type="dxa"/>
          <w:right w:w="108" w:type="dxa"/>
        </w:tblCellMar>
      </w:tblPr>
      <w:tblGrid>
        <w:gridCol w:w="6117"/>
        <w:gridCol w:w="4021"/>
      </w:tblGrid>
      <w:tr w14:paraId="321ED831">
        <w:tblPrEx>
          <w:tblCellMar>
            <w:top w:w="0" w:type="dxa"/>
            <w:left w:w="108" w:type="dxa"/>
            <w:bottom w:w="0" w:type="dxa"/>
            <w:right w:w="108" w:type="dxa"/>
          </w:tblCellMar>
        </w:tblPrEx>
        <w:trPr>
          <w:trHeight w:val="1200" w:hRule="atLeast"/>
        </w:trPr>
        <w:tc>
          <w:tcPr>
            <w:tcW w:w="3017" w:type="pct"/>
            <w:tcBorders>
              <w:top w:val="single" w:color="auto" w:sz="4" w:space="0"/>
              <w:left w:val="single" w:color="auto" w:sz="4" w:space="0"/>
              <w:bottom w:val="single" w:color="auto" w:sz="4" w:space="0"/>
              <w:right w:val="single" w:color="auto" w:sz="4" w:space="0"/>
            </w:tcBorders>
            <w:shd w:val="clear" w:color="000000" w:fill="DDEBF7"/>
            <w:vAlign w:val="center"/>
          </w:tcPr>
          <w:p w14:paraId="4DF03BBF">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xml:space="preserve">Aria de delegare </w:t>
            </w:r>
          </w:p>
        </w:tc>
        <w:tc>
          <w:tcPr>
            <w:tcW w:w="1983" w:type="pct"/>
            <w:tcBorders>
              <w:top w:val="single" w:color="auto" w:sz="4" w:space="0"/>
              <w:left w:val="nil"/>
              <w:bottom w:val="single" w:color="auto" w:sz="4" w:space="0"/>
              <w:right w:val="single" w:color="auto" w:sz="4" w:space="0"/>
            </w:tcBorders>
            <w:shd w:val="clear" w:color="000000" w:fill="DDEBF7"/>
            <w:vAlign w:val="center"/>
          </w:tcPr>
          <w:p w14:paraId="1430E070">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Distanta pana la ST Oltenita (km)</w:t>
            </w:r>
          </w:p>
        </w:tc>
      </w:tr>
      <w:tr w14:paraId="2C99BDAD">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6458AFC8">
            <w:pPr>
              <w:spacing w:after="0" w:line="240" w:lineRule="auto"/>
              <w:rPr>
                <w:rFonts w:ascii="Calibri" w:hAnsi="Calibri" w:eastAsia="Times New Roman" w:cs="Calibri"/>
                <w:color w:val="000000"/>
              </w:rPr>
            </w:pPr>
            <w:r>
              <w:rPr>
                <w:rFonts w:ascii="Calibri" w:hAnsi="Calibri" w:eastAsia="Times New Roman" w:cs="Calibri"/>
                <w:color w:val="000000"/>
              </w:rPr>
              <w:t xml:space="preserve">OLTENIŢA </w:t>
            </w:r>
          </w:p>
        </w:tc>
        <w:tc>
          <w:tcPr>
            <w:tcW w:w="1983" w:type="pct"/>
            <w:tcBorders>
              <w:top w:val="nil"/>
              <w:left w:val="nil"/>
              <w:bottom w:val="single" w:color="auto" w:sz="4" w:space="0"/>
              <w:right w:val="single" w:color="auto" w:sz="4" w:space="0"/>
            </w:tcBorders>
            <w:noWrap/>
            <w:vAlign w:val="bottom"/>
          </w:tcPr>
          <w:p w14:paraId="395C7FA5">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023EE02A">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210E5C6F">
            <w:pPr>
              <w:spacing w:after="0" w:line="240" w:lineRule="auto"/>
              <w:rPr>
                <w:rFonts w:ascii="Calibri" w:hAnsi="Calibri" w:eastAsia="Times New Roman" w:cs="Calibri"/>
                <w:color w:val="000000"/>
              </w:rPr>
            </w:pPr>
            <w:r>
              <w:rPr>
                <w:rFonts w:ascii="Calibri" w:hAnsi="Calibri" w:eastAsia="Times New Roman" w:cs="Calibri"/>
                <w:color w:val="000000"/>
              </w:rPr>
              <w:t>BUDEȘTI</w:t>
            </w:r>
          </w:p>
        </w:tc>
        <w:tc>
          <w:tcPr>
            <w:tcW w:w="1983" w:type="pct"/>
            <w:tcBorders>
              <w:top w:val="nil"/>
              <w:left w:val="nil"/>
              <w:bottom w:val="single" w:color="auto" w:sz="4" w:space="0"/>
              <w:right w:val="single" w:color="auto" w:sz="4" w:space="0"/>
            </w:tcBorders>
            <w:noWrap/>
            <w:vAlign w:val="bottom"/>
          </w:tcPr>
          <w:p w14:paraId="3EFCC5D9">
            <w:pPr>
              <w:spacing w:after="0" w:line="240" w:lineRule="auto"/>
              <w:jc w:val="right"/>
              <w:rPr>
                <w:rFonts w:ascii="Calibri" w:hAnsi="Calibri" w:eastAsia="Times New Roman" w:cs="Calibri"/>
                <w:color w:val="000000"/>
              </w:rPr>
            </w:pPr>
            <w:r>
              <w:rPr>
                <w:rFonts w:ascii="Calibri" w:hAnsi="Calibri" w:eastAsia="Times New Roman" w:cs="Calibri"/>
                <w:color w:val="000000"/>
              </w:rPr>
              <w:t>24</w:t>
            </w:r>
          </w:p>
        </w:tc>
      </w:tr>
      <w:tr w14:paraId="7CB586FD">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412A65ED">
            <w:pPr>
              <w:spacing w:after="0" w:line="240" w:lineRule="auto"/>
              <w:rPr>
                <w:rFonts w:ascii="Calibri" w:hAnsi="Calibri" w:eastAsia="Times New Roman" w:cs="Calibri"/>
                <w:b/>
                <w:bCs/>
                <w:color w:val="000000"/>
              </w:rPr>
            </w:pPr>
            <w:r>
              <w:rPr>
                <w:rFonts w:ascii="Calibri" w:hAnsi="Calibri" w:eastAsia="Times New Roman" w:cs="Calibri"/>
                <w:b/>
                <w:bCs/>
                <w:color w:val="000000"/>
              </w:rPr>
              <w:t>TOTAL URBAN</w:t>
            </w:r>
          </w:p>
        </w:tc>
        <w:tc>
          <w:tcPr>
            <w:tcW w:w="1983" w:type="pct"/>
            <w:tcBorders>
              <w:top w:val="nil"/>
              <w:left w:val="nil"/>
              <w:bottom w:val="single" w:color="auto" w:sz="4" w:space="0"/>
              <w:right w:val="single" w:color="auto" w:sz="4" w:space="0"/>
            </w:tcBorders>
            <w:noWrap/>
            <w:vAlign w:val="bottom"/>
          </w:tcPr>
          <w:p w14:paraId="1295178F">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09CFDE32">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5B088109">
            <w:pPr>
              <w:spacing w:after="0" w:line="240" w:lineRule="auto"/>
              <w:rPr>
                <w:rFonts w:ascii="Calibri" w:hAnsi="Calibri" w:eastAsia="Times New Roman" w:cs="Calibri"/>
                <w:color w:val="000000"/>
              </w:rPr>
            </w:pPr>
            <w:r>
              <w:rPr>
                <w:rFonts w:ascii="Calibri" w:hAnsi="Calibri" w:eastAsia="Times New Roman" w:cs="Calibri"/>
                <w:color w:val="000000"/>
              </w:rPr>
              <w:t>CASCIOARELE</w:t>
            </w:r>
          </w:p>
        </w:tc>
        <w:tc>
          <w:tcPr>
            <w:tcW w:w="1983" w:type="pct"/>
            <w:tcBorders>
              <w:top w:val="nil"/>
              <w:left w:val="nil"/>
              <w:bottom w:val="single" w:color="auto" w:sz="4" w:space="0"/>
              <w:right w:val="single" w:color="auto" w:sz="4" w:space="0"/>
            </w:tcBorders>
            <w:noWrap/>
            <w:vAlign w:val="bottom"/>
          </w:tcPr>
          <w:p w14:paraId="704B0A1D">
            <w:pPr>
              <w:spacing w:after="0" w:line="240" w:lineRule="auto"/>
              <w:jc w:val="right"/>
              <w:rPr>
                <w:rFonts w:ascii="Calibri" w:hAnsi="Calibri" w:eastAsia="Times New Roman" w:cs="Calibri"/>
                <w:color w:val="000000"/>
              </w:rPr>
            </w:pPr>
            <w:r>
              <w:rPr>
                <w:rFonts w:ascii="Calibri" w:hAnsi="Calibri" w:eastAsia="Times New Roman" w:cs="Calibri"/>
                <w:color w:val="000000"/>
              </w:rPr>
              <w:t>22</w:t>
            </w:r>
          </w:p>
        </w:tc>
      </w:tr>
      <w:tr w14:paraId="7CE13FD1">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068BC7C2">
            <w:pPr>
              <w:spacing w:after="0" w:line="240" w:lineRule="auto"/>
              <w:rPr>
                <w:rFonts w:ascii="Calibri" w:hAnsi="Calibri" w:eastAsia="Times New Roman" w:cs="Calibri"/>
                <w:color w:val="000000"/>
              </w:rPr>
            </w:pPr>
            <w:r>
              <w:rPr>
                <w:rFonts w:ascii="Calibri" w:hAnsi="Calibri" w:eastAsia="Times New Roman" w:cs="Calibri"/>
                <w:color w:val="000000"/>
              </w:rPr>
              <w:t>CHIRNOGI</w:t>
            </w:r>
          </w:p>
        </w:tc>
        <w:tc>
          <w:tcPr>
            <w:tcW w:w="1983" w:type="pct"/>
            <w:tcBorders>
              <w:top w:val="nil"/>
              <w:left w:val="nil"/>
              <w:bottom w:val="single" w:color="auto" w:sz="4" w:space="0"/>
              <w:right w:val="single" w:color="auto" w:sz="4" w:space="0"/>
            </w:tcBorders>
            <w:noWrap/>
            <w:vAlign w:val="bottom"/>
          </w:tcPr>
          <w:p w14:paraId="3B7B1BAB">
            <w:pPr>
              <w:spacing w:after="0" w:line="240" w:lineRule="auto"/>
              <w:jc w:val="right"/>
              <w:rPr>
                <w:rFonts w:ascii="Calibri" w:hAnsi="Calibri" w:eastAsia="Times New Roman" w:cs="Calibri"/>
                <w:color w:val="000000"/>
              </w:rPr>
            </w:pPr>
            <w:r>
              <w:rPr>
                <w:rFonts w:ascii="Calibri" w:hAnsi="Calibri" w:eastAsia="Times New Roman" w:cs="Calibri"/>
                <w:color w:val="000000"/>
              </w:rPr>
              <w:t>10</w:t>
            </w:r>
          </w:p>
        </w:tc>
      </w:tr>
      <w:tr w14:paraId="5FF79FAA">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685A26D1">
            <w:pPr>
              <w:spacing w:after="0" w:line="240" w:lineRule="auto"/>
              <w:rPr>
                <w:rFonts w:ascii="Calibri" w:hAnsi="Calibri" w:eastAsia="Times New Roman" w:cs="Calibri"/>
                <w:color w:val="000000"/>
              </w:rPr>
            </w:pPr>
            <w:r>
              <w:rPr>
                <w:rFonts w:ascii="Calibri" w:hAnsi="Calibri" w:eastAsia="Times New Roman" w:cs="Calibri"/>
                <w:color w:val="000000"/>
              </w:rPr>
              <w:t>CHISELET</w:t>
            </w:r>
          </w:p>
        </w:tc>
        <w:tc>
          <w:tcPr>
            <w:tcW w:w="1983" w:type="pct"/>
            <w:tcBorders>
              <w:top w:val="nil"/>
              <w:left w:val="nil"/>
              <w:bottom w:val="single" w:color="auto" w:sz="4" w:space="0"/>
              <w:right w:val="single" w:color="auto" w:sz="4" w:space="0"/>
            </w:tcBorders>
            <w:noWrap/>
            <w:vAlign w:val="bottom"/>
          </w:tcPr>
          <w:p w14:paraId="658FFD5C">
            <w:pPr>
              <w:spacing w:after="0" w:line="240" w:lineRule="auto"/>
              <w:jc w:val="right"/>
              <w:rPr>
                <w:rFonts w:ascii="Calibri" w:hAnsi="Calibri" w:eastAsia="Times New Roman" w:cs="Calibri"/>
                <w:color w:val="000000"/>
              </w:rPr>
            </w:pPr>
            <w:r>
              <w:rPr>
                <w:rFonts w:ascii="Calibri" w:hAnsi="Calibri" w:eastAsia="Times New Roman" w:cs="Calibri"/>
                <w:color w:val="000000"/>
              </w:rPr>
              <w:t>27</w:t>
            </w:r>
          </w:p>
        </w:tc>
      </w:tr>
      <w:tr w14:paraId="3105756D">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39B53684">
            <w:pPr>
              <w:spacing w:after="0" w:line="240" w:lineRule="auto"/>
              <w:rPr>
                <w:rFonts w:ascii="Calibri" w:hAnsi="Calibri" w:eastAsia="Times New Roman" w:cs="Calibri"/>
                <w:color w:val="000000"/>
              </w:rPr>
            </w:pPr>
            <w:r>
              <w:rPr>
                <w:rFonts w:ascii="Calibri" w:hAnsi="Calibri" w:eastAsia="Times New Roman" w:cs="Calibri"/>
                <w:color w:val="000000"/>
              </w:rPr>
              <w:t>CRIVAȚ</w:t>
            </w:r>
          </w:p>
        </w:tc>
        <w:tc>
          <w:tcPr>
            <w:tcW w:w="1983" w:type="pct"/>
            <w:tcBorders>
              <w:top w:val="nil"/>
              <w:left w:val="nil"/>
              <w:bottom w:val="single" w:color="auto" w:sz="4" w:space="0"/>
              <w:right w:val="single" w:color="auto" w:sz="4" w:space="0"/>
            </w:tcBorders>
            <w:noWrap/>
            <w:vAlign w:val="bottom"/>
          </w:tcPr>
          <w:p w14:paraId="77F94628">
            <w:pPr>
              <w:spacing w:after="0" w:line="240" w:lineRule="auto"/>
              <w:jc w:val="right"/>
              <w:rPr>
                <w:rFonts w:ascii="Calibri" w:hAnsi="Calibri" w:eastAsia="Times New Roman" w:cs="Calibri"/>
                <w:color w:val="000000"/>
              </w:rPr>
            </w:pPr>
            <w:r>
              <w:rPr>
                <w:rFonts w:ascii="Calibri" w:hAnsi="Calibri" w:eastAsia="Times New Roman" w:cs="Calibri"/>
                <w:color w:val="000000"/>
              </w:rPr>
              <w:t>26</w:t>
            </w:r>
          </w:p>
        </w:tc>
      </w:tr>
      <w:tr w14:paraId="6409FCAF">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3976AB0B">
            <w:pPr>
              <w:spacing w:after="0" w:line="240" w:lineRule="auto"/>
              <w:rPr>
                <w:rFonts w:ascii="Calibri" w:hAnsi="Calibri" w:eastAsia="Times New Roman" w:cs="Calibri"/>
                <w:color w:val="000000"/>
              </w:rPr>
            </w:pPr>
            <w:r>
              <w:rPr>
                <w:rFonts w:ascii="Calibri" w:hAnsi="Calibri" w:eastAsia="Times New Roman" w:cs="Calibri"/>
                <w:color w:val="000000"/>
              </w:rPr>
              <w:t>CURCANI</w:t>
            </w:r>
          </w:p>
        </w:tc>
        <w:tc>
          <w:tcPr>
            <w:tcW w:w="1983" w:type="pct"/>
            <w:tcBorders>
              <w:top w:val="nil"/>
              <w:left w:val="nil"/>
              <w:bottom w:val="single" w:color="auto" w:sz="4" w:space="0"/>
              <w:right w:val="single" w:color="auto" w:sz="4" w:space="0"/>
            </w:tcBorders>
            <w:noWrap/>
            <w:vAlign w:val="bottom"/>
          </w:tcPr>
          <w:p w14:paraId="188C93AC">
            <w:pPr>
              <w:spacing w:after="0" w:line="240" w:lineRule="auto"/>
              <w:jc w:val="right"/>
              <w:rPr>
                <w:rFonts w:ascii="Calibri" w:hAnsi="Calibri" w:eastAsia="Times New Roman" w:cs="Calibri"/>
                <w:color w:val="000000"/>
              </w:rPr>
            </w:pPr>
            <w:r>
              <w:rPr>
                <w:rFonts w:ascii="Calibri" w:hAnsi="Calibri" w:eastAsia="Times New Roman" w:cs="Calibri"/>
                <w:color w:val="000000"/>
              </w:rPr>
              <w:t>11</w:t>
            </w:r>
          </w:p>
        </w:tc>
      </w:tr>
      <w:tr w14:paraId="392CBB81">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6E2F9F30">
            <w:pPr>
              <w:spacing w:after="0" w:line="240" w:lineRule="auto"/>
              <w:rPr>
                <w:rFonts w:ascii="Calibri" w:hAnsi="Calibri" w:eastAsia="Times New Roman" w:cs="Calibri"/>
                <w:color w:val="000000"/>
              </w:rPr>
            </w:pPr>
            <w:r>
              <w:rPr>
                <w:rFonts w:ascii="Calibri" w:hAnsi="Calibri" w:eastAsia="Times New Roman" w:cs="Calibri"/>
                <w:color w:val="000000"/>
              </w:rPr>
              <w:t>FRUMUȘANI</w:t>
            </w:r>
          </w:p>
        </w:tc>
        <w:tc>
          <w:tcPr>
            <w:tcW w:w="1983" w:type="pct"/>
            <w:tcBorders>
              <w:top w:val="nil"/>
              <w:left w:val="nil"/>
              <w:bottom w:val="single" w:color="auto" w:sz="4" w:space="0"/>
              <w:right w:val="single" w:color="auto" w:sz="4" w:space="0"/>
            </w:tcBorders>
            <w:noWrap/>
            <w:vAlign w:val="bottom"/>
          </w:tcPr>
          <w:p w14:paraId="33FAD792">
            <w:pPr>
              <w:spacing w:after="0" w:line="240" w:lineRule="auto"/>
              <w:jc w:val="right"/>
              <w:rPr>
                <w:rFonts w:ascii="Calibri" w:hAnsi="Calibri" w:eastAsia="Times New Roman" w:cs="Calibri"/>
                <w:color w:val="000000"/>
              </w:rPr>
            </w:pPr>
            <w:r>
              <w:rPr>
                <w:rFonts w:ascii="Calibri" w:hAnsi="Calibri" w:eastAsia="Times New Roman" w:cs="Calibri"/>
                <w:color w:val="000000"/>
              </w:rPr>
              <w:t>36</w:t>
            </w:r>
          </w:p>
        </w:tc>
      </w:tr>
      <w:tr w14:paraId="46A9E99F">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042217F0">
            <w:pPr>
              <w:spacing w:after="0" w:line="240" w:lineRule="auto"/>
              <w:rPr>
                <w:rFonts w:ascii="Calibri" w:hAnsi="Calibri" w:eastAsia="Times New Roman" w:cs="Calibri"/>
                <w:color w:val="000000"/>
              </w:rPr>
            </w:pPr>
            <w:r>
              <w:rPr>
                <w:rFonts w:ascii="Calibri" w:hAnsi="Calibri" w:eastAsia="Times New Roman" w:cs="Calibri"/>
                <w:color w:val="000000"/>
              </w:rPr>
              <w:t>FUNDENI</w:t>
            </w:r>
          </w:p>
        </w:tc>
        <w:tc>
          <w:tcPr>
            <w:tcW w:w="1983" w:type="pct"/>
            <w:tcBorders>
              <w:top w:val="nil"/>
              <w:left w:val="nil"/>
              <w:bottom w:val="single" w:color="auto" w:sz="4" w:space="0"/>
              <w:right w:val="single" w:color="auto" w:sz="4" w:space="0"/>
            </w:tcBorders>
            <w:noWrap/>
            <w:vAlign w:val="bottom"/>
          </w:tcPr>
          <w:p w14:paraId="2AFCFE06">
            <w:pPr>
              <w:spacing w:after="0" w:line="240" w:lineRule="auto"/>
              <w:jc w:val="right"/>
              <w:rPr>
                <w:rFonts w:ascii="Calibri" w:hAnsi="Calibri" w:eastAsia="Times New Roman" w:cs="Calibri"/>
                <w:color w:val="000000"/>
              </w:rPr>
            </w:pPr>
            <w:r>
              <w:rPr>
                <w:rFonts w:ascii="Calibri" w:hAnsi="Calibri" w:eastAsia="Times New Roman" w:cs="Calibri"/>
                <w:color w:val="000000"/>
              </w:rPr>
              <w:t>43</w:t>
            </w:r>
          </w:p>
        </w:tc>
      </w:tr>
      <w:tr w14:paraId="5C5784FF">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7F745080">
            <w:pPr>
              <w:spacing w:after="0" w:line="240" w:lineRule="auto"/>
              <w:rPr>
                <w:rFonts w:ascii="Calibri" w:hAnsi="Calibri" w:eastAsia="Times New Roman" w:cs="Calibri"/>
                <w:color w:val="000000"/>
              </w:rPr>
            </w:pPr>
            <w:r>
              <w:rPr>
                <w:rFonts w:ascii="Calibri" w:hAnsi="Calibri" w:eastAsia="Times New Roman" w:cs="Calibri"/>
                <w:color w:val="000000"/>
              </w:rPr>
              <w:t>GALBINAȘI</w:t>
            </w:r>
          </w:p>
        </w:tc>
        <w:tc>
          <w:tcPr>
            <w:tcW w:w="1983" w:type="pct"/>
            <w:tcBorders>
              <w:top w:val="nil"/>
              <w:left w:val="nil"/>
              <w:bottom w:val="single" w:color="auto" w:sz="4" w:space="0"/>
              <w:right w:val="single" w:color="auto" w:sz="4" w:space="0"/>
            </w:tcBorders>
            <w:noWrap/>
            <w:vAlign w:val="bottom"/>
          </w:tcPr>
          <w:p w14:paraId="2C41333D">
            <w:pPr>
              <w:spacing w:after="0" w:line="240" w:lineRule="auto"/>
              <w:jc w:val="right"/>
              <w:rPr>
                <w:rFonts w:ascii="Calibri" w:hAnsi="Calibri" w:eastAsia="Times New Roman" w:cs="Calibri"/>
                <w:color w:val="000000"/>
              </w:rPr>
            </w:pPr>
            <w:r>
              <w:rPr>
                <w:rFonts w:ascii="Calibri" w:hAnsi="Calibri" w:eastAsia="Times New Roman" w:cs="Calibri"/>
                <w:color w:val="000000"/>
              </w:rPr>
              <w:t>32</w:t>
            </w:r>
          </w:p>
        </w:tc>
      </w:tr>
      <w:tr w14:paraId="22CAD49A">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249622AD">
            <w:pPr>
              <w:spacing w:after="0" w:line="240" w:lineRule="auto"/>
              <w:rPr>
                <w:rFonts w:ascii="Calibri" w:hAnsi="Calibri" w:eastAsia="Times New Roman" w:cs="Calibri"/>
                <w:color w:val="000000"/>
              </w:rPr>
            </w:pPr>
            <w:r>
              <w:rPr>
                <w:rFonts w:ascii="Calibri" w:hAnsi="Calibri" w:eastAsia="Times New Roman" w:cs="Calibri"/>
                <w:color w:val="000000"/>
              </w:rPr>
              <w:t>LUICA</w:t>
            </w:r>
          </w:p>
        </w:tc>
        <w:tc>
          <w:tcPr>
            <w:tcW w:w="1983" w:type="pct"/>
            <w:tcBorders>
              <w:top w:val="nil"/>
              <w:left w:val="nil"/>
              <w:bottom w:val="single" w:color="auto" w:sz="4" w:space="0"/>
              <w:right w:val="single" w:color="auto" w:sz="4" w:space="0"/>
            </w:tcBorders>
            <w:noWrap/>
            <w:vAlign w:val="bottom"/>
          </w:tcPr>
          <w:p w14:paraId="2EBCF9E0">
            <w:pPr>
              <w:spacing w:after="0" w:line="240" w:lineRule="auto"/>
              <w:jc w:val="right"/>
              <w:rPr>
                <w:rFonts w:ascii="Calibri" w:hAnsi="Calibri" w:eastAsia="Times New Roman" w:cs="Calibri"/>
                <w:color w:val="000000"/>
              </w:rPr>
            </w:pPr>
            <w:r>
              <w:rPr>
                <w:rFonts w:ascii="Calibri" w:hAnsi="Calibri" w:eastAsia="Times New Roman" w:cs="Calibri"/>
                <w:color w:val="000000"/>
              </w:rPr>
              <w:t>16</w:t>
            </w:r>
          </w:p>
        </w:tc>
      </w:tr>
      <w:tr w14:paraId="656F053E">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5A4AE3B2">
            <w:pPr>
              <w:spacing w:after="0" w:line="240" w:lineRule="auto"/>
              <w:rPr>
                <w:rFonts w:ascii="Calibri" w:hAnsi="Calibri" w:eastAsia="Times New Roman" w:cs="Calibri"/>
                <w:color w:val="000000"/>
              </w:rPr>
            </w:pPr>
            <w:r>
              <w:rPr>
                <w:rFonts w:ascii="Calibri" w:hAnsi="Calibri" w:eastAsia="Times New Roman" w:cs="Calibri"/>
                <w:color w:val="000000"/>
              </w:rPr>
              <w:t>MITRENI</w:t>
            </w:r>
          </w:p>
        </w:tc>
        <w:tc>
          <w:tcPr>
            <w:tcW w:w="1983" w:type="pct"/>
            <w:tcBorders>
              <w:top w:val="nil"/>
              <w:left w:val="nil"/>
              <w:bottom w:val="single" w:color="auto" w:sz="4" w:space="0"/>
              <w:right w:val="single" w:color="auto" w:sz="4" w:space="0"/>
            </w:tcBorders>
            <w:noWrap/>
            <w:vAlign w:val="bottom"/>
          </w:tcPr>
          <w:p w14:paraId="060E1602">
            <w:pPr>
              <w:spacing w:after="0" w:line="240" w:lineRule="auto"/>
              <w:jc w:val="right"/>
              <w:rPr>
                <w:rFonts w:ascii="Calibri" w:hAnsi="Calibri" w:eastAsia="Times New Roman" w:cs="Calibri"/>
                <w:color w:val="000000"/>
              </w:rPr>
            </w:pPr>
            <w:r>
              <w:rPr>
                <w:rFonts w:ascii="Calibri" w:hAnsi="Calibri" w:eastAsia="Times New Roman" w:cs="Calibri"/>
                <w:color w:val="000000"/>
              </w:rPr>
              <w:t>8</w:t>
            </w:r>
          </w:p>
        </w:tc>
      </w:tr>
      <w:tr w14:paraId="32D245C0">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6F291667">
            <w:pPr>
              <w:spacing w:after="0" w:line="240" w:lineRule="auto"/>
              <w:rPr>
                <w:rFonts w:ascii="Calibri" w:hAnsi="Calibri" w:eastAsia="Times New Roman" w:cs="Calibri"/>
                <w:color w:val="000000"/>
              </w:rPr>
            </w:pPr>
            <w:r>
              <w:rPr>
                <w:rFonts w:ascii="Calibri" w:hAnsi="Calibri" w:eastAsia="Times New Roman" w:cs="Calibri"/>
                <w:color w:val="000000"/>
              </w:rPr>
              <w:t>NANA</w:t>
            </w:r>
          </w:p>
        </w:tc>
        <w:tc>
          <w:tcPr>
            <w:tcW w:w="1983" w:type="pct"/>
            <w:tcBorders>
              <w:top w:val="nil"/>
              <w:left w:val="nil"/>
              <w:bottom w:val="single" w:color="auto" w:sz="4" w:space="0"/>
              <w:right w:val="single" w:color="auto" w:sz="4" w:space="0"/>
            </w:tcBorders>
            <w:noWrap/>
            <w:vAlign w:val="bottom"/>
          </w:tcPr>
          <w:p w14:paraId="164D696D">
            <w:pPr>
              <w:spacing w:after="0" w:line="240" w:lineRule="auto"/>
              <w:jc w:val="right"/>
              <w:rPr>
                <w:rFonts w:ascii="Calibri" w:hAnsi="Calibri" w:eastAsia="Times New Roman" w:cs="Calibri"/>
                <w:color w:val="000000"/>
              </w:rPr>
            </w:pPr>
            <w:r>
              <w:rPr>
                <w:rFonts w:ascii="Calibri" w:hAnsi="Calibri" w:eastAsia="Times New Roman" w:cs="Calibri"/>
                <w:color w:val="000000"/>
              </w:rPr>
              <w:t>21</w:t>
            </w:r>
          </w:p>
        </w:tc>
      </w:tr>
      <w:tr w14:paraId="7822FA0B">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47CAB7B5">
            <w:pPr>
              <w:spacing w:after="0" w:line="240" w:lineRule="auto"/>
              <w:rPr>
                <w:rFonts w:ascii="Calibri" w:hAnsi="Calibri" w:eastAsia="Times New Roman" w:cs="Calibri"/>
                <w:color w:val="000000"/>
              </w:rPr>
            </w:pPr>
            <w:r>
              <w:rPr>
                <w:rFonts w:ascii="Calibri" w:hAnsi="Calibri" w:eastAsia="Times New Roman" w:cs="Calibri"/>
                <w:color w:val="000000"/>
              </w:rPr>
              <w:t>PLATAREȘTI</w:t>
            </w:r>
          </w:p>
        </w:tc>
        <w:tc>
          <w:tcPr>
            <w:tcW w:w="1983" w:type="pct"/>
            <w:tcBorders>
              <w:top w:val="nil"/>
              <w:left w:val="nil"/>
              <w:bottom w:val="single" w:color="auto" w:sz="4" w:space="0"/>
              <w:right w:val="single" w:color="auto" w:sz="4" w:space="0"/>
            </w:tcBorders>
            <w:noWrap/>
            <w:vAlign w:val="bottom"/>
          </w:tcPr>
          <w:p w14:paraId="46F6763E">
            <w:pPr>
              <w:spacing w:after="0" w:line="240" w:lineRule="auto"/>
              <w:jc w:val="right"/>
              <w:rPr>
                <w:rFonts w:ascii="Calibri" w:hAnsi="Calibri" w:eastAsia="Times New Roman" w:cs="Calibri"/>
                <w:color w:val="000000"/>
              </w:rPr>
            </w:pPr>
            <w:r>
              <w:rPr>
                <w:rFonts w:ascii="Calibri" w:hAnsi="Calibri" w:eastAsia="Times New Roman" w:cs="Calibri"/>
                <w:color w:val="000000"/>
              </w:rPr>
              <w:t>40</w:t>
            </w:r>
          </w:p>
        </w:tc>
      </w:tr>
      <w:tr w14:paraId="694808DA">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70DF69CF">
            <w:pPr>
              <w:spacing w:after="0" w:line="240" w:lineRule="auto"/>
              <w:rPr>
                <w:rFonts w:ascii="Calibri" w:hAnsi="Calibri" w:eastAsia="Times New Roman" w:cs="Calibri"/>
                <w:color w:val="000000"/>
              </w:rPr>
            </w:pPr>
            <w:r>
              <w:rPr>
                <w:rFonts w:ascii="Calibri" w:hAnsi="Calibri" w:eastAsia="Times New Roman" w:cs="Calibri"/>
                <w:color w:val="000000"/>
              </w:rPr>
              <w:t>RADOVANU</w:t>
            </w:r>
          </w:p>
        </w:tc>
        <w:tc>
          <w:tcPr>
            <w:tcW w:w="1983" w:type="pct"/>
            <w:tcBorders>
              <w:top w:val="nil"/>
              <w:left w:val="nil"/>
              <w:bottom w:val="single" w:color="auto" w:sz="4" w:space="0"/>
              <w:right w:val="single" w:color="auto" w:sz="4" w:space="0"/>
            </w:tcBorders>
            <w:noWrap/>
            <w:vAlign w:val="bottom"/>
          </w:tcPr>
          <w:p w14:paraId="45EB271B">
            <w:pPr>
              <w:spacing w:after="0" w:line="240" w:lineRule="auto"/>
              <w:jc w:val="right"/>
              <w:rPr>
                <w:rFonts w:ascii="Calibri" w:hAnsi="Calibri" w:eastAsia="Times New Roman" w:cs="Calibri"/>
                <w:color w:val="000000"/>
              </w:rPr>
            </w:pPr>
            <w:r>
              <w:rPr>
                <w:rFonts w:ascii="Calibri" w:hAnsi="Calibri" w:eastAsia="Times New Roman" w:cs="Calibri"/>
                <w:color w:val="000000"/>
              </w:rPr>
              <w:t>21</w:t>
            </w:r>
          </w:p>
        </w:tc>
      </w:tr>
      <w:tr w14:paraId="5B68A9C1">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0B888F6E">
            <w:pPr>
              <w:spacing w:after="0" w:line="240" w:lineRule="auto"/>
              <w:rPr>
                <w:rFonts w:ascii="Calibri" w:hAnsi="Calibri" w:eastAsia="Times New Roman" w:cs="Calibri"/>
                <w:color w:val="000000"/>
              </w:rPr>
            </w:pPr>
            <w:r>
              <w:rPr>
                <w:rFonts w:ascii="Calibri" w:hAnsi="Calibri" w:eastAsia="Times New Roman" w:cs="Calibri"/>
                <w:color w:val="000000"/>
              </w:rPr>
              <w:t>ȘOLDANU</w:t>
            </w:r>
          </w:p>
        </w:tc>
        <w:tc>
          <w:tcPr>
            <w:tcW w:w="1983" w:type="pct"/>
            <w:tcBorders>
              <w:top w:val="nil"/>
              <w:left w:val="nil"/>
              <w:bottom w:val="single" w:color="auto" w:sz="4" w:space="0"/>
              <w:right w:val="single" w:color="auto" w:sz="4" w:space="0"/>
            </w:tcBorders>
            <w:noWrap/>
            <w:vAlign w:val="bottom"/>
          </w:tcPr>
          <w:p w14:paraId="10F32896">
            <w:pPr>
              <w:spacing w:after="0" w:line="240" w:lineRule="auto"/>
              <w:jc w:val="right"/>
              <w:rPr>
                <w:rFonts w:ascii="Calibri" w:hAnsi="Calibri" w:eastAsia="Times New Roman" w:cs="Calibri"/>
                <w:color w:val="000000"/>
              </w:rPr>
            </w:pPr>
            <w:r>
              <w:rPr>
                <w:rFonts w:ascii="Calibri" w:hAnsi="Calibri" w:eastAsia="Times New Roman" w:cs="Calibri"/>
                <w:color w:val="000000"/>
              </w:rPr>
              <w:t>17</w:t>
            </w:r>
          </w:p>
        </w:tc>
      </w:tr>
      <w:tr w14:paraId="6F337864">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594531D8">
            <w:pPr>
              <w:spacing w:after="0" w:line="240" w:lineRule="auto"/>
              <w:rPr>
                <w:rFonts w:ascii="Calibri" w:hAnsi="Calibri" w:eastAsia="Times New Roman" w:cs="Calibri"/>
                <w:color w:val="000000"/>
              </w:rPr>
            </w:pPr>
            <w:r>
              <w:rPr>
                <w:rFonts w:ascii="Calibri" w:hAnsi="Calibri" w:eastAsia="Times New Roman" w:cs="Calibri"/>
                <w:color w:val="000000"/>
              </w:rPr>
              <w:t>SPANȚOV</w:t>
            </w:r>
          </w:p>
        </w:tc>
        <w:tc>
          <w:tcPr>
            <w:tcW w:w="1983" w:type="pct"/>
            <w:tcBorders>
              <w:top w:val="nil"/>
              <w:left w:val="nil"/>
              <w:bottom w:val="single" w:color="auto" w:sz="4" w:space="0"/>
              <w:right w:val="single" w:color="auto" w:sz="4" w:space="0"/>
            </w:tcBorders>
            <w:noWrap/>
            <w:vAlign w:val="bottom"/>
          </w:tcPr>
          <w:p w14:paraId="4E96186A">
            <w:pPr>
              <w:spacing w:after="0" w:line="240" w:lineRule="auto"/>
              <w:jc w:val="right"/>
              <w:rPr>
                <w:rFonts w:ascii="Calibri" w:hAnsi="Calibri" w:eastAsia="Times New Roman" w:cs="Calibri"/>
                <w:color w:val="000000"/>
              </w:rPr>
            </w:pPr>
            <w:r>
              <w:rPr>
                <w:rFonts w:ascii="Calibri" w:hAnsi="Calibri" w:eastAsia="Times New Roman" w:cs="Calibri"/>
                <w:color w:val="000000"/>
              </w:rPr>
              <w:t>20</w:t>
            </w:r>
          </w:p>
        </w:tc>
      </w:tr>
      <w:tr w14:paraId="7887F449">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249E8506">
            <w:pPr>
              <w:spacing w:after="0" w:line="240" w:lineRule="auto"/>
              <w:rPr>
                <w:rFonts w:ascii="Calibri" w:hAnsi="Calibri" w:eastAsia="Times New Roman" w:cs="Calibri"/>
                <w:color w:val="000000"/>
              </w:rPr>
            </w:pPr>
            <w:r>
              <w:rPr>
                <w:rFonts w:ascii="Calibri" w:hAnsi="Calibri" w:eastAsia="Times New Roman" w:cs="Calibri"/>
                <w:color w:val="000000"/>
              </w:rPr>
              <w:t>ULMENI</w:t>
            </w:r>
          </w:p>
        </w:tc>
        <w:tc>
          <w:tcPr>
            <w:tcW w:w="1983" w:type="pct"/>
            <w:tcBorders>
              <w:top w:val="nil"/>
              <w:left w:val="nil"/>
              <w:bottom w:val="single" w:color="auto" w:sz="4" w:space="0"/>
              <w:right w:val="single" w:color="auto" w:sz="4" w:space="0"/>
            </w:tcBorders>
            <w:noWrap/>
            <w:vAlign w:val="bottom"/>
          </w:tcPr>
          <w:p w14:paraId="7061F1D9">
            <w:pPr>
              <w:spacing w:after="0" w:line="240" w:lineRule="auto"/>
              <w:jc w:val="right"/>
              <w:rPr>
                <w:rFonts w:ascii="Calibri" w:hAnsi="Calibri" w:eastAsia="Times New Roman" w:cs="Calibri"/>
                <w:color w:val="000000"/>
              </w:rPr>
            </w:pPr>
            <w:r>
              <w:rPr>
                <w:rFonts w:ascii="Calibri" w:hAnsi="Calibri" w:eastAsia="Times New Roman" w:cs="Calibri"/>
                <w:color w:val="000000"/>
              </w:rPr>
              <w:t>13</w:t>
            </w:r>
          </w:p>
        </w:tc>
      </w:tr>
      <w:tr w14:paraId="078EF0EF">
        <w:tblPrEx>
          <w:tblCellMar>
            <w:top w:w="0" w:type="dxa"/>
            <w:left w:w="108" w:type="dxa"/>
            <w:bottom w:w="0" w:type="dxa"/>
            <w:right w:w="108" w:type="dxa"/>
          </w:tblCellMar>
        </w:tblPrEx>
        <w:trPr>
          <w:trHeight w:val="300" w:hRule="atLeast"/>
        </w:trPr>
        <w:tc>
          <w:tcPr>
            <w:tcW w:w="3017" w:type="pct"/>
            <w:tcBorders>
              <w:top w:val="nil"/>
              <w:left w:val="single" w:color="auto" w:sz="4" w:space="0"/>
              <w:bottom w:val="single" w:color="auto" w:sz="4" w:space="0"/>
              <w:right w:val="single" w:color="auto" w:sz="4" w:space="0"/>
            </w:tcBorders>
            <w:noWrap/>
            <w:vAlign w:val="bottom"/>
          </w:tcPr>
          <w:p w14:paraId="12B38870">
            <w:pPr>
              <w:spacing w:after="0" w:line="240" w:lineRule="auto"/>
              <w:rPr>
                <w:rFonts w:ascii="Calibri" w:hAnsi="Calibri" w:eastAsia="Times New Roman" w:cs="Calibri"/>
                <w:color w:val="000000"/>
              </w:rPr>
            </w:pPr>
            <w:r>
              <w:rPr>
                <w:rFonts w:ascii="Calibri" w:hAnsi="Calibri" w:eastAsia="Times New Roman" w:cs="Calibri"/>
                <w:color w:val="000000"/>
              </w:rPr>
              <w:t>VASILAȚI</w:t>
            </w:r>
          </w:p>
        </w:tc>
        <w:tc>
          <w:tcPr>
            <w:tcW w:w="1983" w:type="pct"/>
            <w:tcBorders>
              <w:top w:val="nil"/>
              <w:left w:val="nil"/>
              <w:bottom w:val="single" w:color="auto" w:sz="4" w:space="0"/>
              <w:right w:val="single" w:color="auto" w:sz="4" w:space="0"/>
            </w:tcBorders>
            <w:noWrap/>
            <w:vAlign w:val="bottom"/>
          </w:tcPr>
          <w:p w14:paraId="0C85E42B">
            <w:pPr>
              <w:keepNext/>
              <w:spacing w:after="0" w:line="240" w:lineRule="auto"/>
              <w:jc w:val="right"/>
              <w:rPr>
                <w:rFonts w:ascii="Calibri" w:hAnsi="Calibri" w:eastAsia="Times New Roman" w:cs="Calibri"/>
                <w:color w:val="000000"/>
              </w:rPr>
            </w:pPr>
            <w:r>
              <w:rPr>
                <w:rFonts w:ascii="Calibri" w:hAnsi="Calibri" w:eastAsia="Times New Roman" w:cs="Calibri"/>
                <w:color w:val="000000"/>
              </w:rPr>
              <w:t>28</w:t>
            </w:r>
          </w:p>
        </w:tc>
      </w:tr>
    </w:tbl>
    <w:p w14:paraId="567A0FD0">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3</w:t>
      </w:r>
      <w:r>
        <w:fldChar w:fldCharType="end"/>
      </w:r>
    </w:p>
    <w:p w14:paraId="272A0814">
      <w:pPr>
        <w:rPr>
          <w:rFonts w:cstheme="majorHAnsi"/>
          <w:sz w:val="24"/>
          <w:szCs w:val="24"/>
        </w:rPr>
      </w:pPr>
    </w:p>
    <w:p w14:paraId="3CE0AABE">
      <w:pPr>
        <w:rPr>
          <w:rFonts w:asciiTheme="majorHAnsi" w:hAnsiTheme="majorHAnsi" w:eastAsiaTheme="majorEastAsia" w:cstheme="majorHAnsi"/>
          <w:b/>
          <w:bCs/>
          <w:sz w:val="24"/>
          <w:szCs w:val="24"/>
        </w:rPr>
      </w:pPr>
      <w:r>
        <w:rPr>
          <w:rFonts w:cstheme="majorHAnsi"/>
          <w:sz w:val="24"/>
          <w:szCs w:val="24"/>
        </w:rPr>
        <w:br w:type="page"/>
      </w:r>
    </w:p>
    <w:p w14:paraId="4D48C384">
      <w:pPr>
        <w:pStyle w:val="4"/>
        <w:spacing w:before="0" w:line="240" w:lineRule="auto"/>
        <w:rPr>
          <w:rFonts w:cstheme="majorHAnsi"/>
          <w:color w:val="auto"/>
          <w:sz w:val="24"/>
          <w:szCs w:val="24"/>
        </w:rPr>
      </w:pPr>
      <w:bookmarkStart w:id="7" w:name="_ANEXA_Nr._2"/>
      <w:bookmarkEnd w:id="7"/>
      <w:r>
        <w:rPr>
          <w:rFonts w:cstheme="majorHAnsi"/>
          <w:color w:val="auto"/>
          <w:sz w:val="24"/>
          <w:szCs w:val="24"/>
        </w:rPr>
        <w:t>ANEXA Nr. 2 la caietul de sarcini-</w:t>
      </w:r>
    </w:p>
    <w:p w14:paraId="70C07FB7">
      <w:pPr>
        <w:spacing w:after="0" w:line="240" w:lineRule="auto"/>
        <w:rPr>
          <w:rFonts w:eastAsia="Times New Roman" w:asciiTheme="majorHAnsi" w:hAnsiTheme="majorHAnsi" w:cstheme="majorHAnsi"/>
          <w:sz w:val="24"/>
          <w:szCs w:val="24"/>
        </w:rPr>
      </w:pPr>
    </w:p>
    <w:p w14:paraId="5BBFC12F">
      <w:pPr>
        <w:spacing w:after="0" w:line="240" w:lineRule="auto"/>
        <w:rPr>
          <w:rFonts w:eastAsia="Times New Roman" w:asciiTheme="majorHAnsi" w:hAnsiTheme="majorHAnsi" w:cstheme="majorHAnsi"/>
          <w:b/>
          <w:bCs/>
          <w:sz w:val="24"/>
          <w:szCs w:val="24"/>
        </w:rPr>
      </w:pPr>
      <w:r>
        <w:rPr>
          <w:rFonts w:eastAsia="Times New Roman" w:asciiTheme="majorHAnsi" w:hAnsiTheme="majorHAnsi" w:cstheme="majorHAnsi"/>
          <w:b/>
          <w:bCs/>
          <w:sz w:val="24"/>
          <w:szCs w:val="24"/>
        </w:rPr>
        <w:t>Cantităţi anuale de deşeuri menajere şi similare colectate din aria de delegare</w:t>
      </w:r>
    </w:p>
    <w:p w14:paraId="40F652F0">
      <w:pPr>
        <w:spacing w:after="0" w:line="240" w:lineRule="auto"/>
        <w:rPr>
          <w:rFonts w:asciiTheme="majorHAnsi" w:hAnsiTheme="majorHAnsi" w:cstheme="majorHAnsi"/>
          <w:sz w:val="24"/>
          <w:szCs w:val="24"/>
          <w:lang w:val="ro-RO" w:eastAsia="en-GB"/>
        </w:rPr>
      </w:pPr>
    </w:p>
    <w:tbl>
      <w:tblPr>
        <w:tblStyle w:val="12"/>
        <w:tblW w:w="6329" w:type="dxa"/>
        <w:tblInd w:w="0" w:type="dxa"/>
        <w:tblLayout w:type="autofit"/>
        <w:tblCellMar>
          <w:top w:w="0" w:type="dxa"/>
          <w:left w:w="108" w:type="dxa"/>
          <w:bottom w:w="0" w:type="dxa"/>
          <w:right w:w="108" w:type="dxa"/>
        </w:tblCellMar>
      </w:tblPr>
      <w:tblGrid>
        <w:gridCol w:w="1760"/>
        <w:gridCol w:w="960"/>
        <w:gridCol w:w="1120"/>
        <w:gridCol w:w="1000"/>
        <w:gridCol w:w="1489"/>
      </w:tblGrid>
      <w:tr w14:paraId="4B2B7299">
        <w:tblPrEx>
          <w:tblCellMar>
            <w:top w:w="0" w:type="dxa"/>
            <w:left w:w="108" w:type="dxa"/>
            <w:bottom w:w="0" w:type="dxa"/>
            <w:right w:w="108" w:type="dxa"/>
          </w:tblCellMar>
        </w:tblPrEx>
        <w:trPr>
          <w:trHeight w:val="300" w:hRule="atLeast"/>
        </w:trPr>
        <w:tc>
          <w:tcPr>
            <w:tcW w:w="1760" w:type="dxa"/>
            <w:tcBorders>
              <w:top w:val="single" w:color="auto" w:sz="4" w:space="0"/>
              <w:left w:val="single" w:color="auto" w:sz="4" w:space="0"/>
              <w:bottom w:val="single" w:color="auto" w:sz="4" w:space="0"/>
              <w:right w:val="single" w:color="auto" w:sz="4" w:space="0"/>
            </w:tcBorders>
            <w:shd w:val="clear" w:color="000000" w:fill="DDEBF7"/>
            <w:noWrap/>
            <w:vAlign w:val="bottom"/>
          </w:tcPr>
          <w:p w14:paraId="0943E47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960" w:type="dxa"/>
            <w:tcBorders>
              <w:top w:val="single" w:color="auto" w:sz="4" w:space="0"/>
              <w:left w:val="nil"/>
              <w:bottom w:val="single" w:color="auto" w:sz="4" w:space="0"/>
              <w:right w:val="single" w:color="auto" w:sz="4" w:space="0"/>
            </w:tcBorders>
            <w:shd w:val="clear" w:color="000000" w:fill="DDEBF7"/>
            <w:noWrap/>
            <w:vAlign w:val="bottom"/>
          </w:tcPr>
          <w:p w14:paraId="0C9FA62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120" w:type="dxa"/>
            <w:tcBorders>
              <w:top w:val="single" w:color="auto" w:sz="4" w:space="0"/>
              <w:left w:val="nil"/>
              <w:bottom w:val="single" w:color="auto" w:sz="4" w:space="0"/>
              <w:right w:val="single" w:color="auto" w:sz="4" w:space="0"/>
            </w:tcBorders>
            <w:shd w:val="clear" w:color="000000" w:fill="DDEBF7"/>
            <w:noWrap/>
            <w:vAlign w:val="bottom"/>
          </w:tcPr>
          <w:p w14:paraId="63B7187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Cantităţi de deşeuri colectate (tone/an) </w:t>
            </w:r>
          </w:p>
        </w:tc>
        <w:tc>
          <w:tcPr>
            <w:tcW w:w="1000" w:type="dxa"/>
            <w:tcBorders>
              <w:top w:val="single" w:color="auto" w:sz="4" w:space="0"/>
              <w:left w:val="nil"/>
              <w:bottom w:val="single" w:color="auto" w:sz="4" w:space="0"/>
              <w:right w:val="single" w:color="auto" w:sz="4" w:space="0"/>
            </w:tcBorders>
            <w:shd w:val="clear" w:color="000000" w:fill="DDEBF7"/>
            <w:noWrap/>
            <w:vAlign w:val="bottom"/>
          </w:tcPr>
          <w:p w14:paraId="02325A5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489" w:type="dxa"/>
            <w:tcBorders>
              <w:top w:val="single" w:color="auto" w:sz="4" w:space="0"/>
              <w:left w:val="nil"/>
              <w:bottom w:val="single" w:color="auto" w:sz="4" w:space="0"/>
              <w:right w:val="single" w:color="auto" w:sz="4" w:space="0"/>
            </w:tcBorders>
            <w:shd w:val="clear" w:color="000000" w:fill="DDEBF7"/>
            <w:noWrap/>
            <w:vAlign w:val="bottom"/>
          </w:tcPr>
          <w:p w14:paraId="60C0453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r>
      <w:tr w14:paraId="6D2ED36E">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shd w:val="clear" w:color="000000" w:fill="DDEBF7"/>
            <w:noWrap/>
            <w:vAlign w:val="bottom"/>
          </w:tcPr>
          <w:p w14:paraId="5CD8237C">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Aria de delegare</w:t>
            </w:r>
          </w:p>
        </w:tc>
        <w:tc>
          <w:tcPr>
            <w:tcW w:w="960" w:type="dxa"/>
            <w:tcBorders>
              <w:top w:val="nil"/>
              <w:left w:val="nil"/>
              <w:bottom w:val="single" w:color="auto" w:sz="4" w:space="0"/>
              <w:right w:val="single" w:color="auto" w:sz="4" w:space="0"/>
            </w:tcBorders>
            <w:shd w:val="clear" w:color="000000" w:fill="DDEBF7"/>
            <w:noWrap/>
            <w:vAlign w:val="bottom"/>
          </w:tcPr>
          <w:p w14:paraId="6AD625F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120" w:type="dxa"/>
            <w:tcBorders>
              <w:top w:val="nil"/>
              <w:left w:val="nil"/>
              <w:bottom w:val="single" w:color="auto" w:sz="4" w:space="0"/>
              <w:right w:val="single" w:color="auto" w:sz="4" w:space="0"/>
            </w:tcBorders>
            <w:shd w:val="clear" w:color="000000" w:fill="DDEBF7"/>
            <w:noWrap/>
            <w:vAlign w:val="bottom"/>
          </w:tcPr>
          <w:p w14:paraId="347B270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Menajere</w:t>
            </w:r>
          </w:p>
        </w:tc>
        <w:tc>
          <w:tcPr>
            <w:tcW w:w="1000" w:type="dxa"/>
            <w:tcBorders>
              <w:top w:val="nil"/>
              <w:left w:val="nil"/>
              <w:bottom w:val="single" w:color="auto" w:sz="4" w:space="0"/>
              <w:right w:val="single" w:color="auto" w:sz="4" w:space="0"/>
            </w:tcBorders>
            <w:shd w:val="clear" w:color="000000" w:fill="DDEBF7"/>
            <w:noWrap/>
            <w:vAlign w:val="bottom"/>
          </w:tcPr>
          <w:p w14:paraId="73944D1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Similare</w:t>
            </w:r>
          </w:p>
        </w:tc>
        <w:tc>
          <w:tcPr>
            <w:tcW w:w="1489" w:type="dxa"/>
            <w:tcBorders>
              <w:top w:val="nil"/>
              <w:left w:val="nil"/>
              <w:bottom w:val="single" w:color="auto" w:sz="4" w:space="0"/>
              <w:right w:val="single" w:color="auto" w:sz="4" w:space="0"/>
            </w:tcBorders>
            <w:shd w:val="clear" w:color="000000" w:fill="DDEBF7"/>
            <w:noWrap/>
            <w:vAlign w:val="bottom"/>
          </w:tcPr>
          <w:p w14:paraId="1B5D811C">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Municipale</w:t>
            </w:r>
          </w:p>
        </w:tc>
      </w:tr>
      <w:tr w14:paraId="7B32BBCA">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38720F0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ST Oltenita</w:t>
            </w:r>
          </w:p>
        </w:tc>
        <w:tc>
          <w:tcPr>
            <w:tcW w:w="960" w:type="dxa"/>
            <w:tcBorders>
              <w:top w:val="nil"/>
              <w:left w:val="nil"/>
              <w:bottom w:val="single" w:color="auto" w:sz="4" w:space="0"/>
              <w:right w:val="single" w:color="auto" w:sz="4" w:space="0"/>
            </w:tcBorders>
            <w:noWrap/>
            <w:vAlign w:val="bottom"/>
          </w:tcPr>
          <w:p w14:paraId="0AB696D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120" w:type="dxa"/>
            <w:tcBorders>
              <w:top w:val="nil"/>
              <w:left w:val="nil"/>
              <w:bottom w:val="single" w:color="auto" w:sz="4" w:space="0"/>
              <w:right w:val="single" w:color="auto" w:sz="4" w:space="0"/>
            </w:tcBorders>
            <w:noWrap/>
            <w:vAlign w:val="bottom"/>
          </w:tcPr>
          <w:p w14:paraId="19C6A60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000" w:type="dxa"/>
            <w:tcBorders>
              <w:top w:val="nil"/>
              <w:left w:val="nil"/>
              <w:bottom w:val="single" w:color="auto" w:sz="4" w:space="0"/>
              <w:right w:val="single" w:color="auto" w:sz="4" w:space="0"/>
            </w:tcBorders>
            <w:noWrap/>
            <w:vAlign w:val="bottom"/>
          </w:tcPr>
          <w:p w14:paraId="74DB48A8">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489" w:type="dxa"/>
            <w:tcBorders>
              <w:top w:val="nil"/>
              <w:left w:val="nil"/>
              <w:bottom w:val="single" w:color="auto" w:sz="4" w:space="0"/>
              <w:right w:val="single" w:color="auto" w:sz="4" w:space="0"/>
            </w:tcBorders>
            <w:noWrap/>
            <w:vAlign w:val="bottom"/>
          </w:tcPr>
          <w:p w14:paraId="1B7F3C2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r>
      <w:tr w14:paraId="746E14D3">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645B339C">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OLTENIŢA </w:t>
            </w:r>
          </w:p>
        </w:tc>
        <w:tc>
          <w:tcPr>
            <w:tcW w:w="960" w:type="dxa"/>
            <w:tcBorders>
              <w:top w:val="nil"/>
              <w:left w:val="nil"/>
              <w:bottom w:val="single" w:color="auto" w:sz="4" w:space="0"/>
              <w:right w:val="single" w:color="auto" w:sz="4" w:space="0"/>
            </w:tcBorders>
            <w:noWrap/>
            <w:vAlign w:val="bottom"/>
          </w:tcPr>
          <w:p w14:paraId="19D7D1F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Urban</w:t>
            </w:r>
          </w:p>
        </w:tc>
        <w:tc>
          <w:tcPr>
            <w:tcW w:w="1120" w:type="dxa"/>
            <w:tcBorders>
              <w:top w:val="nil"/>
              <w:left w:val="nil"/>
              <w:bottom w:val="single" w:color="auto" w:sz="4" w:space="0"/>
              <w:right w:val="single" w:color="auto" w:sz="4" w:space="0"/>
            </w:tcBorders>
            <w:noWrap/>
            <w:vAlign w:val="bottom"/>
          </w:tcPr>
          <w:p w14:paraId="079FF3D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6,562.70 </w:t>
            </w:r>
          </w:p>
        </w:tc>
        <w:tc>
          <w:tcPr>
            <w:tcW w:w="1000" w:type="dxa"/>
            <w:tcBorders>
              <w:top w:val="nil"/>
              <w:left w:val="nil"/>
              <w:bottom w:val="single" w:color="auto" w:sz="4" w:space="0"/>
              <w:right w:val="single" w:color="auto" w:sz="4" w:space="0"/>
            </w:tcBorders>
            <w:noWrap/>
            <w:vAlign w:val="bottom"/>
          </w:tcPr>
          <w:p w14:paraId="1E5933AD">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1412.19</w:t>
            </w:r>
          </w:p>
        </w:tc>
        <w:tc>
          <w:tcPr>
            <w:tcW w:w="1489" w:type="dxa"/>
            <w:tcBorders>
              <w:top w:val="nil"/>
              <w:left w:val="nil"/>
              <w:bottom w:val="single" w:color="auto" w:sz="4" w:space="0"/>
              <w:right w:val="single" w:color="auto" w:sz="4" w:space="0"/>
            </w:tcBorders>
            <w:noWrap/>
            <w:vAlign w:val="bottom"/>
          </w:tcPr>
          <w:p w14:paraId="5F2047C4">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7,974.89 </w:t>
            </w:r>
          </w:p>
        </w:tc>
      </w:tr>
      <w:tr w14:paraId="0AFB2EA9">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3E21CEB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BUDEȘTI</w:t>
            </w:r>
          </w:p>
        </w:tc>
        <w:tc>
          <w:tcPr>
            <w:tcW w:w="960" w:type="dxa"/>
            <w:tcBorders>
              <w:top w:val="nil"/>
              <w:left w:val="nil"/>
              <w:bottom w:val="single" w:color="auto" w:sz="4" w:space="0"/>
              <w:right w:val="single" w:color="auto" w:sz="4" w:space="0"/>
            </w:tcBorders>
            <w:noWrap/>
            <w:vAlign w:val="bottom"/>
          </w:tcPr>
          <w:p w14:paraId="3203802C">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Urban</w:t>
            </w:r>
          </w:p>
        </w:tc>
        <w:tc>
          <w:tcPr>
            <w:tcW w:w="1120" w:type="dxa"/>
            <w:tcBorders>
              <w:top w:val="nil"/>
              <w:left w:val="nil"/>
              <w:bottom w:val="single" w:color="auto" w:sz="4" w:space="0"/>
              <w:right w:val="single" w:color="auto" w:sz="4" w:space="0"/>
            </w:tcBorders>
            <w:noWrap/>
            <w:vAlign w:val="bottom"/>
          </w:tcPr>
          <w:p w14:paraId="4B58D4FA">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2,128.46 </w:t>
            </w:r>
          </w:p>
        </w:tc>
        <w:tc>
          <w:tcPr>
            <w:tcW w:w="1000" w:type="dxa"/>
            <w:tcBorders>
              <w:top w:val="nil"/>
              <w:left w:val="nil"/>
              <w:bottom w:val="single" w:color="auto" w:sz="4" w:space="0"/>
              <w:right w:val="single" w:color="auto" w:sz="4" w:space="0"/>
            </w:tcBorders>
            <w:noWrap/>
            <w:vAlign w:val="bottom"/>
          </w:tcPr>
          <w:p w14:paraId="29EF4F1E">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270.90</w:t>
            </w:r>
          </w:p>
        </w:tc>
        <w:tc>
          <w:tcPr>
            <w:tcW w:w="1489" w:type="dxa"/>
            <w:tcBorders>
              <w:top w:val="nil"/>
              <w:left w:val="nil"/>
              <w:bottom w:val="single" w:color="auto" w:sz="4" w:space="0"/>
              <w:right w:val="single" w:color="auto" w:sz="4" w:space="0"/>
            </w:tcBorders>
            <w:noWrap/>
            <w:vAlign w:val="bottom"/>
          </w:tcPr>
          <w:p w14:paraId="5CBAF2A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2,399.36 </w:t>
            </w:r>
          </w:p>
        </w:tc>
      </w:tr>
      <w:tr w14:paraId="17E70D8B">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6139BBE5">
            <w:pPr>
              <w:spacing w:after="0" w:line="240" w:lineRule="auto"/>
              <w:rPr>
                <w:rFonts w:ascii="Arial" w:hAnsi="Arial" w:eastAsia="Times New Roman" w:cs="Arial"/>
                <w:b/>
                <w:bCs/>
                <w:color w:val="000000"/>
                <w:sz w:val="20"/>
                <w:szCs w:val="20"/>
              </w:rPr>
            </w:pPr>
            <w:r>
              <w:rPr>
                <w:rFonts w:ascii="Arial" w:hAnsi="Arial" w:eastAsia="Times New Roman" w:cs="Arial"/>
                <w:b/>
                <w:bCs/>
                <w:color w:val="000000"/>
                <w:sz w:val="20"/>
                <w:szCs w:val="20"/>
              </w:rPr>
              <w:t>Total zona urbana</w:t>
            </w:r>
          </w:p>
        </w:tc>
        <w:tc>
          <w:tcPr>
            <w:tcW w:w="960" w:type="dxa"/>
            <w:tcBorders>
              <w:top w:val="nil"/>
              <w:left w:val="nil"/>
              <w:bottom w:val="single" w:color="auto" w:sz="4" w:space="0"/>
              <w:right w:val="single" w:color="auto" w:sz="4" w:space="0"/>
            </w:tcBorders>
            <w:noWrap/>
            <w:vAlign w:val="bottom"/>
          </w:tcPr>
          <w:p w14:paraId="7EEA2A5C">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120" w:type="dxa"/>
            <w:tcBorders>
              <w:top w:val="nil"/>
              <w:left w:val="nil"/>
              <w:bottom w:val="single" w:color="auto" w:sz="4" w:space="0"/>
              <w:right w:val="single" w:color="auto" w:sz="4" w:space="0"/>
            </w:tcBorders>
            <w:noWrap/>
            <w:vAlign w:val="bottom"/>
          </w:tcPr>
          <w:p w14:paraId="78681A6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8,691.16 </w:t>
            </w:r>
          </w:p>
        </w:tc>
        <w:tc>
          <w:tcPr>
            <w:tcW w:w="1000" w:type="dxa"/>
            <w:tcBorders>
              <w:top w:val="nil"/>
              <w:left w:val="nil"/>
              <w:bottom w:val="single" w:color="auto" w:sz="4" w:space="0"/>
              <w:right w:val="single" w:color="auto" w:sz="4" w:space="0"/>
            </w:tcBorders>
            <w:noWrap/>
            <w:vAlign w:val="bottom"/>
          </w:tcPr>
          <w:p w14:paraId="4CC91152">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1683.09</w:t>
            </w:r>
          </w:p>
        </w:tc>
        <w:tc>
          <w:tcPr>
            <w:tcW w:w="1489" w:type="dxa"/>
            <w:tcBorders>
              <w:top w:val="nil"/>
              <w:left w:val="nil"/>
              <w:bottom w:val="single" w:color="auto" w:sz="4" w:space="0"/>
              <w:right w:val="single" w:color="auto" w:sz="4" w:space="0"/>
            </w:tcBorders>
            <w:noWrap/>
            <w:vAlign w:val="bottom"/>
          </w:tcPr>
          <w:p w14:paraId="58AA4A0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10,374.25 </w:t>
            </w:r>
          </w:p>
        </w:tc>
      </w:tr>
      <w:tr w14:paraId="692D7245">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15FF51E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CASCIOARELE</w:t>
            </w:r>
          </w:p>
        </w:tc>
        <w:tc>
          <w:tcPr>
            <w:tcW w:w="960" w:type="dxa"/>
            <w:tcBorders>
              <w:top w:val="nil"/>
              <w:left w:val="nil"/>
              <w:bottom w:val="single" w:color="auto" w:sz="4" w:space="0"/>
              <w:right w:val="single" w:color="auto" w:sz="4" w:space="0"/>
            </w:tcBorders>
            <w:noWrap/>
            <w:vAlign w:val="bottom"/>
          </w:tcPr>
          <w:p w14:paraId="7EF604E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3F26E0AB">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250.14 </w:t>
            </w:r>
          </w:p>
        </w:tc>
        <w:tc>
          <w:tcPr>
            <w:tcW w:w="1000" w:type="dxa"/>
            <w:tcBorders>
              <w:top w:val="nil"/>
              <w:left w:val="nil"/>
              <w:bottom w:val="single" w:color="auto" w:sz="4" w:space="0"/>
              <w:right w:val="single" w:color="auto" w:sz="4" w:space="0"/>
            </w:tcBorders>
            <w:noWrap/>
            <w:vAlign w:val="bottom"/>
          </w:tcPr>
          <w:p w14:paraId="5185D65D">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15.01</w:t>
            </w:r>
          </w:p>
        </w:tc>
        <w:tc>
          <w:tcPr>
            <w:tcW w:w="1489" w:type="dxa"/>
            <w:tcBorders>
              <w:top w:val="nil"/>
              <w:left w:val="nil"/>
              <w:bottom w:val="single" w:color="auto" w:sz="4" w:space="0"/>
              <w:right w:val="single" w:color="auto" w:sz="4" w:space="0"/>
            </w:tcBorders>
            <w:noWrap/>
            <w:vAlign w:val="bottom"/>
          </w:tcPr>
          <w:p w14:paraId="167D8A4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265.15 </w:t>
            </w:r>
          </w:p>
        </w:tc>
      </w:tr>
      <w:tr w14:paraId="223B51D7">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0F85A3A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CHIRNOGI</w:t>
            </w:r>
          </w:p>
        </w:tc>
        <w:tc>
          <w:tcPr>
            <w:tcW w:w="960" w:type="dxa"/>
            <w:tcBorders>
              <w:top w:val="nil"/>
              <w:left w:val="nil"/>
              <w:bottom w:val="single" w:color="auto" w:sz="4" w:space="0"/>
              <w:right w:val="single" w:color="auto" w:sz="4" w:space="0"/>
            </w:tcBorders>
            <w:noWrap/>
            <w:vAlign w:val="bottom"/>
          </w:tcPr>
          <w:p w14:paraId="14E4D8D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2A5EDA3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911.82 </w:t>
            </w:r>
          </w:p>
        </w:tc>
        <w:tc>
          <w:tcPr>
            <w:tcW w:w="1000" w:type="dxa"/>
            <w:tcBorders>
              <w:top w:val="nil"/>
              <w:left w:val="nil"/>
              <w:bottom w:val="single" w:color="auto" w:sz="4" w:space="0"/>
              <w:right w:val="single" w:color="auto" w:sz="4" w:space="0"/>
            </w:tcBorders>
            <w:noWrap/>
            <w:vAlign w:val="bottom"/>
          </w:tcPr>
          <w:p w14:paraId="13E729DC">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166.93</w:t>
            </w:r>
          </w:p>
        </w:tc>
        <w:tc>
          <w:tcPr>
            <w:tcW w:w="1489" w:type="dxa"/>
            <w:tcBorders>
              <w:top w:val="nil"/>
              <w:left w:val="nil"/>
              <w:bottom w:val="single" w:color="auto" w:sz="4" w:space="0"/>
              <w:right w:val="single" w:color="auto" w:sz="4" w:space="0"/>
            </w:tcBorders>
            <w:noWrap/>
            <w:vAlign w:val="bottom"/>
          </w:tcPr>
          <w:p w14:paraId="263D8C47">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1,078.75 </w:t>
            </w:r>
          </w:p>
        </w:tc>
      </w:tr>
      <w:tr w14:paraId="652E648A">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58BF7AF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CHISELET</w:t>
            </w:r>
          </w:p>
        </w:tc>
        <w:tc>
          <w:tcPr>
            <w:tcW w:w="960" w:type="dxa"/>
            <w:tcBorders>
              <w:top w:val="nil"/>
              <w:left w:val="nil"/>
              <w:bottom w:val="single" w:color="auto" w:sz="4" w:space="0"/>
              <w:right w:val="single" w:color="auto" w:sz="4" w:space="0"/>
            </w:tcBorders>
            <w:noWrap/>
            <w:vAlign w:val="bottom"/>
          </w:tcPr>
          <w:p w14:paraId="44DD827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00E1F6AE">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539.50 </w:t>
            </w:r>
          </w:p>
        </w:tc>
        <w:tc>
          <w:tcPr>
            <w:tcW w:w="1000" w:type="dxa"/>
            <w:tcBorders>
              <w:top w:val="nil"/>
              <w:left w:val="nil"/>
              <w:bottom w:val="single" w:color="auto" w:sz="4" w:space="0"/>
              <w:right w:val="single" w:color="auto" w:sz="4" w:space="0"/>
            </w:tcBorders>
            <w:noWrap/>
            <w:vAlign w:val="bottom"/>
          </w:tcPr>
          <w:p w14:paraId="77C12B94">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15.26</w:t>
            </w:r>
          </w:p>
        </w:tc>
        <w:tc>
          <w:tcPr>
            <w:tcW w:w="1489" w:type="dxa"/>
            <w:tcBorders>
              <w:top w:val="nil"/>
              <w:left w:val="nil"/>
              <w:bottom w:val="single" w:color="auto" w:sz="4" w:space="0"/>
              <w:right w:val="single" w:color="auto" w:sz="4" w:space="0"/>
            </w:tcBorders>
            <w:noWrap/>
            <w:vAlign w:val="bottom"/>
          </w:tcPr>
          <w:p w14:paraId="48B1B9B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554.75 </w:t>
            </w:r>
          </w:p>
        </w:tc>
      </w:tr>
      <w:tr w14:paraId="1285844D">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3FD3F1C7">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CRIVAȚ</w:t>
            </w:r>
          </w:p>
        </w:tc>
        <w:tc>
          <w:tcPr>
            <w:tcW w:w="960" w:type="dxa"/>
            <w:tcBorders>
              <w:top w:val="nil"/>
              <w:left w:val="nil"/>
              <w:bottom w:val="single" w:color="auto" w:sz="4" w:space="0"/>
              <w:right w:val="single" w:color="auto" w:sz="4" w:space="0"/>
            </w:tcBorders>
            <w:noWrap/>
            <w:vAlign w:val="bottom"/>
          </w:tcPr>
          <w:p w14:paraId="40EF2B7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3264769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357.12 </w:t>
            </w:r>
          </w:p>
        </w:tc>
        <w:tc>
          <w:tcPr>
            <w:tcW w:w="1000" w:type="dxa"/>
            <w:tcBorders>
              <w:top w:val="nil"/>
              <w:left w:val="nil"/>
              <w:bottom w:val="single" w:color="auto" w:sz="4" w:space="0"/>
              <w:right w:val="single" w:color="auto" w:sz="4" w:space="0"/>
            </w:tcBorders>
            <w:noWrap/>
            <w:vAlign w:val="bottom"/>
          </w:tcPr>
          <w:p w14:paraId="53253A78">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6.95</w:t>
            </w:r>
          </w:p>
        </w:tc>
        <w:tc>
          <w:tcPr>
            <w:tcW w:w="1489" w:type="dxa"/>
            <w:tcBorders>
              <w:top w:val="nil"/>
              <w:left w:val="nil"/>
              <w:bottom w:val="single" w:color="auto" w:sz="4" w:space="0"/>
              <w:right w:val="single" w:color="auto" w:sz="4" w:space="0"/>
            </w:tcBorders>
            <w:noWrap/>
            <w:vAlign w:val="bottom"/>
          </w:tcPr>
          <w:p w14:paraId="5640E45C">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364.07 </w:t>
            </w:r>
          </w:p>
        </w:tc>
      </w:tr>
      <w:tr w14:paraId="6DABB8A9">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2731408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CURCANI</w:t>
            </w:r>
          </w:p>
        </w:tc>
        <w:tc>
          <w:tcPr>
            <w:tcW w:w="960" w:type="dxa"/>
            <w:tcBorders>
              <w:top w:val="nil"/>
              <w:left w:val="nil"/>
              <w:bottom w:val="single" w:color="auto" w:sz="4" w:space="0"/>
              <w:right w:val="single" w:color="auto" w:sz="4" w:space="0"/>
            </w:tcBorders>
            <w:noWrap/>
            <w:vAlign w:val="bottom"/>
          </w:tcPr>
          <w:p w14:paraId="2784A07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260C6B3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1,483.71 </w:t>
            </w:r>
          </w:p>
        </w:tc>
        <w:tc>
          <w:tcPr>
            <w:tcW w:w="1000" w:type="dxa"/>
            <w:tcBorders>
              <w:top w:val="nil"/>
              <w:left w:val="nil"/>
              <w:bottom w:val="single" w:color="auto" w:sz="4" w:space="0"/>
              <w:right w:val="single" w:color="auto" w:sz="4" w:space="0"/>
            </w:tcBorders>
            <w:noWrap/>
            <w:vAlign w:val="bottom"/>
          </w:tcPr>
          <w:p w14:paraId="4579039A">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131.16</w:t>
            </w:r>
          </w:p>
        </w:tc>
        <w:tc>
          <w:tcPr>
            <w:tcW w:w="1489" w:type="dxa"/>
            <w:tcBorders>
              <w:top w:val="nil"/>
              <w:left w:val="nil"/>
              <w:bottom w:val="single" w:color="auto" w:sz="4" w:space="0"/>
              <w:right w:val="single" w:color="auto" w:sz="4" w:space="0"/>
            </w:tcBorders>
            <w:noWrap/>
            <w:vAlign w:val="bottom"/>
          </w:tcPr>
          <w:p w14:paraId="4E8C0BC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1,614.87 </w:t>
            </w:r>
          </w:p>
        </w:tc>
      </w:tr>
      <w:tr w14:paraId="6BA669AE">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6FD82B8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FRUMUȘANI</w:t>
            </w:r>
          </w:p>
        </w:tc>
        <w:tc>
          <w:tcPr>
            <w:tcW w:w="960" w:type="dxa"/>
            <w:tcBorders>
              <w:top w:val="nil"/>
              <w:left w:val="nil"/>
              <w:bottom w:val="single" w:color="auto" w:sz="4" w:space="0"/>
              <w:right w:val="single" w:color="auto" w:sz="4" w:space="0"/>
            </w:tcBorders>
            <w:noWrap/>
            <w:vAlign w:val="bottom"/>
          </w:tcPr>
          <w:p w14:paraId="530A7E88">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54A512E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2,555.95 </w:t>
            </w:r>
          </w:p>
        </w:tc>
        <w:tc>
          <w:tcPr>
            <w:tcW w:w="1000" w:type="dxa"/>
            <w:tcBorders>
              <w:top w:val="nil"/>
              <w:left w:val="nil"/>
              <w:bottom w:val="single" w:color="auto" w:sz="4" w:space="0"/>
              <w:right w:val="single" w:color="auto" w:sz="4" w:space="0"/>
            </w:tcBorders>
            <w:noWrap/>
            <w:vAlign w:val="bottom"/>
          </w:tcPr>
          <w:p w14:paraId="5BD40109">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158.58</w:t>
            </w:r>
          </w:p>
        </w:tc>
        <w:tc>
          <w:tcPr>
            <w:tcW w:w="1489" w:type="dxa"/>
            <w:tcBorders>
              <w:top w:val="nil"/>
              <w:left w:val="nil"/>
              <w:bottom w:val="single" w:color="auto" w:sz="4" w:space="0"/>
              <w:right w:val="single" w:color="auto" w:sz="4" w:space="0"/>
            </w:tcBorders>
            <w:noWrap/>
            <w:vAlign w:val="bottom"/>
          </w:tcPr>
          <w:p w14:paraId="6F38A888">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2,714.53 </w:t>
            </w:r>
          </w:p>
        </w:tc>
      </w:tr>
      <w:tr w14:paraId="713083C8">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6A31373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FUNDENI</w:t>
            </w:r>
          </w:p>
        </w:tc>
        <w:tc>
          <w:tcPr>
            <w:tcW w:w="960" w:type="dxa"/>
            <w:tcBorders>
              <w:top w:val="nil"/>
              <w:left w:val="nil"/>
              <w:bottom w:val="single" w:color="auto" w:sz="4" w:space="0"/>
              <w:right w:val="single" w:color="auto" w:sz="4" w:space="0"/>
            </w:tcBorders>
            <w:noWrap/>
            <w:vAlign w:val="bottom"/>
          </w:tcPr>
          <w:p w14:paraId="7D200E5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51D25BB8">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1,700.55 </w:t>
            </w:r>
          </w:p>
        </w:tc>
        <w:tc>
          <w:tcPr>
            <w:tcW w:w="1000" w:type="dxa"/>
            <w:tcBorders>
              <w:top w:val="nil"/>
              <w:left w:val="nil"/>
              <w:bottom w:val="single" w:color="auto" w:sz="4" w:space="0"/>
              <w:right w:val="single" w:color="auto" w:sz="4" w:space="0"/>
            </w:tcBorders>
            <w:noWrap/>
            <w:vAlign w:val="bottom"/>
          </w:tcPr>
          <w:p w14:paraId="0E158C78">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170.05</w:t>
            </w:r>
          </w:p>
        </w:tc>
        <w:tc>
          <w:tcPr>
            <w:tcW w:w="1489" w:type="dxa"/>
            <w:tcBorders>
              <w:top w:val="nil"/>
              <w:left w:val="nil"/>
              <w:bottom w:val="single" w:color="auto" w:sz="4" w:space="0"/>
              <w:right w:val="single" w:color="auto" w:sz="4" w:space="0"/>
            </w:tcBorders>
            <w:noWrap/>
            <w:vAlign w:val="bottom"/>
          </w:tcPr>
          <w:p w14:paraId="6BBA9D4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1,870.60 </w:t>
            </w:r>
          </w:p>
        </w:tc>
      </w:tr>
      <w:tr w14:paraId="3E5CB2AD">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6D3C8B8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GALBINAȘI</w:t>
            </w:r>
          </w:p>
        </w:tc>
        <w:tc>
          <w:tcPr>
            <w:tcW w:w="960" w:type="dxa"/>
            <w:tcBorders>
              <w:top w:val="nil"/>
              <w:left w:val="nil"/>
              <w:bottom w:val="single" w:color="auto" w:sz="4" w:space="0"/>
              <w:right w:val="single" w:color="auto" w:sz="4" w:space="0"/>
            </w:tcBorders>
            <w:noWrap/>
            <w:vAlign w:val="bottom"/>
          </w:tcPr>
          <w:p w14:paraId="46C1042B">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75C9CEE4">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807.41 </w:t>
            </w:r>
          </w:p>
        </w:tc>
        <w:tc>
          <w:tcPr>
            <w:tcW w:w="1000" w:type="dxa"/>
            <w:tcBorders>
              <w:top w:val="nil"/>
              <w:left w:val="nil"/>
              <w:bottom w:val="single" w:color="auto" w:sz="4" w:space="0"/>
              <w:right w:val="single" w:color="auto" w:sz="4" w:space="0"/>
            </w:tcBorders>
            <w:noWrap/>
            <w:vAlign w:val="bottom"/>
          </w:tcPr>
          <w:p w14:paraId="5A1308E6">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55.37</w:t>
            </w:r>
          </w:p>
        </w:tc>
        <w:tc>
          <w:tcPr>
            <w:tcW w:w="1489" w:type="dxa"/>
            <w:tcBorders>
              <w:top w:val="nil"/>
              <w:left w:val="nil"/>
              <w:bottom w:val="single" w:color="auto" w:sz="4" w:space="0"/>
              <w:right w:val="single" w:color="auto" w:sz="4" w:space="0"/>
            </w:tcBorders>
            <w:noWrap/>
            <w:vAlign w:val="bottom"/>
          </w:tcPr>
          <w:p w14:paraId="2749340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862.79 </w:t>
            </w:r>
          </w:p>
        </w:tc>
      </w:tr>
      <w:tr w14:paraId="5D05D51E">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053F660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LUICA</w:t>
            </w:r>
          </w:p>
        </w:tc>
        <w:tc>
          <w:tcPr>
            <w:tcW w:w="960" w:type="dxa"/>
            <w:tcBorders>
              <w:top w:val="nil"/>
              <w:left w:val="nil"/>
              <w:bottom w:val="single" w:color="auto" w:sz="4" w:space="0"/>
              <w:right w:val="single" w:color="auto" w:sz="4" w:space="0"/>
            </w:tcBorders>
            <w:noWrap/>
            <w:vAlign w:val="bottom"/>
          </w:tcPr>
          <w:p w14:paraId="6C3AB3F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23173A97">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393.02 </w:t>
            </w:r>
          </w:p>
        </w:tc>
        <w:tc>
          <w:tcPr>
            <w:tcW w:w="1000" w:type="dxa"/>
            <w:tcBorders>
              <w:top w:val="nil"/>
              <w:left w:val="nil"/>
              <w:bottom w:val="single" w:color="auto" w:sz="4" w:space="0"/>
              <w:right w:val="single" w:color="auto" w:sz="4" w:space="0"/>
            </w:tcBorders>
            <w:noWrap/>
            <w:vAlign w:val="bottom"/>
          </w:tcPr>
          <w:p w14:paraId="4D2F7252">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10.78</w:t>
            </w:r>
          </w:p>
        </w:tc>
        <w:tc>
          <w:tcPr>
            <w:tcW w:w="1489" w:type="dxa"/>
            <w:tcBorders>
              <w:top w:val="nil"/>
              <w:left w:val="nil"/>
              <w:bottom w:val="single" w:color="auto" w:sz="4" w:space="0"/>
              <w:right w:val="single" w:color="auto" w:sz="4" w:space="0"/>
            </w:tcBorders>
            <w:noWrap/>
            <w:vAlign w:val="bottom"/>
          </w:tcPr>
          <w:p w14:paraId="304187DC">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403.80 </w:t>
            </w:r>
          </w:p>
        </w:tc>
      </w:tr>
      <w:tr w14:paraId="0FCE778A">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43CDC3B4">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MITRENI</w:t>
            </w:r>
          </w:p>
        </w:tc>
        <w:tc>
          <w:tcPr>
            <w:tcW w:w="960" w:type="dxa"/>
            <w:tcBorders>
              <w:top w:val="nil"/>
              <w:left w:val="nil"/>
              <w:bottom w:val="single" w:color="auto" w:sz="4" w:space="0"/>
              <w:right w:val="single" w:color="auto" w:sz="4" w:space="0"/>
            </w:tcBorders>
            <w:noWrap/>
            <w:vAlign w:val="bottom"/>
          </w:tcPr>
          <w:p w14:paraId="47D9A82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0413EEBB">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857.14 </w:t>
            </w:r>
          </w:p>
        </w:tc>
        <w:tc>
          <w:tcPr>
            <w:tcW w:w="1000" w:type="dxa"/>
            <w:tcBorders>
              <w:top w:val="nil"/>
              <w:left w:val="nil"/>
              <w:bottom w:val="single" w:color="auto" w:sz="4" w:space="0"/>
              <w:right w:val="single" w:color="auto" w:sz="4" w:space="0"/>
            </w:tcBorders>
            <w:noWrap/>
            <w:vAlign w:val="bottom"/>
          </w:tcPr>
          <w:p w14:paraId="0BBA2F43">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40.23</w:t>
            </w:r>
          </w:p>
        </w:tc>
        <w:tc>
          <w:tcPr>
            <w:tcW w:w="1489" w:type="dxa"/>
            <w:tcBorders>
              <w:top w:val="nil"/>
              <w:left w:val="nil"/>
              <w:bottom w:val="single" w:color="auto" w:sz="4" w:space="0"/>
              <w:right w:val="single" w:color="auto" w:sz="4" w:space="0"/>
            </w:tcBorders>
            <w:noWrap/>
            <w:vAlign w:val="bottom"/>
          </w:tcPr>
          <w:p w14:paraId="00B3E114">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897.37 </w:t>
            </w:r>
          </w:p>
        </w:tc>
      </w:tr>
      <w:tr w14:paraId="264DFD50">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7ECC903E">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NANA</w:t>
            </w:r>
          </w:p>
        </w:tc>
        <w:tc>
          <w:tcPr>
            <w:tcW w:w="960" w:type="dxa"/>
            <w:tcBorders>
              <w:top w:val="nil"/>
              <w:left w:val="nil"/>
              <w:bottom w:val="single" w:color="auto" w:sz="4" w:space="0"/>
              <w:right w:val="single" w:color="auto" w:sz="4" w:space="0"/>
            </w:tcBorders>
            <w:noWrap/>
            <w:vAlign w:val="bottom"/>
          </w:tcPr>
          <w:p w14:paraId="08C69F3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46D5ABA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379.07 </w:t>
            </w:r>
          </w:p>
        </w:tc>
        <w:tc>
          <w:tcPr>
            <w:tcW w:w="1000" w:type="dxa"/>
            <w:tcBorders>
              <w:top w:val="nil"/>
              <w:left w:val="nil"/>
              <w:bottom w:val="single" w:color="auto" w:sz="4" w:space="0"/>
              <w:right w:val="single" w:color="auto" w:sz="4" w:space="0"/>
            </w:tcBorders>
            <w:noWrap/>
            <w:vAlign w:val="bottom"/>
          </w:tcPr>
          <w:p w14:paraId="0E274737">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13.17</w:t>
            </w:r>
          </w:p>
        </w:tc>
        <w:tc>
          <w:tcPr>
            <w:tcW w:w="1489" w:type="dxa"/>
            <w:tcBorders>
              <w:top w:val="nil"/>
              <w:left w:val="nil"/>
              <w:bottom w:val="single" w:color="auto" w:sz="4" w:space="0"/>
              <w:right w:val="single" w:color="auto" w:sz="4" w:space="0"/>
            </w:tcBorders>
            <w:noWrap/>
            <w:vAlign w:val="bottom"/>
          </w:tcPr>
          <w:p w14:paraId="13E3D42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392.23 </w:t>
            </w:r>
          </w:p>
        </w:tc>
      </w:tr>
      <w:tr w14:paraId="61A5F172">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18FB9B3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PLATAREȘTI</w:t>
            </w:r>
          </w:p>
        </w:tc>
        <w:tc>
          <w:tcPr>
            <w:tcW w:w="960" w:type="dxa"/>
            <w:tcBorders>
              <w:top w:val="nil"/>
              <w:left w:val="nil"/>
              <w:bottom w:val="single" w:color="auto" w:sz="4" w:space="0"/>
              <w:right w:val="single" w:color="auto" w:sz="4" w:space="0"/>
            </w:tcBorders>
            <w:noWrap/>
            <w:vAlign w:val="bottom"/>
          </w:tcPr>
          <w:p w14:paraId="077D51F7">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6DBE15D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1,180.74 </w:t>
            </w:r>
          </w:p>
        </w:tc>
        <w:tc>
          <w:tcPr>
            <w:tcW w:w="1000" w:type="dxa"/>
            <w:tcBorders>
              <w:top w:val="nil"/>
              <w:left w:val="nil"/>
              <w:bottom w:val="single" w:color="auto" w:sz="4" w:space="0"/>
              <w:right w:val="single" w:color="auto" w:sz="4" w:space="0"/>
            </w:tcBorders>
            <w:noWrap/>
            <w:vAlign w:val="bottom"/>
          </w:tcPr>
          <w:p w14:paraId="3057EFC2">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75.18</w:t>
            </w:r>
          </w:p>
        </w:tc>
        <w:tc>
          <w:tcPr>
            <w:tcW w:w="1489" w:type="dxa"/>
            <w:tcBorders>
              <w:top w:val="nil"/>
              <w:left w:val="nil"/>
              <w:bottom w:val="single" w:color="auto" w:sz="4" w:space="0"/>
              <w:right w:val="single" w:color="auto" w:sz="4" w:space="0"/>
            </w:tcBorders>
            <w:noWrap/>
            <w:vAlign w:val="bottom"/>
          </w:tcPr>
          <w:p w14:paraId="3895B0A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1,255.92 </w:t>
            </w:r>
          </w:p>
        </w:tc>
      </w:tr>
      <w:tr w14:paraId="5DC2791F">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362C7DE7">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RADOVANU</w:t>
            </w:r>
          </w:p>
        </w:tc>
        <w:tc>
          <w:tcPr>
            <w:tcW w:w="960" w:type="dxa"/>
            <w:tcBorders>
              <w:top w:val="nil"/>
              <w:left w:val="nil"/>
              <w:bottom w:val="single" w:color="auto" w:sz="4" w:space="0"/>
              <w:right w:val="single" w:color="auto" w:sz="4" w:space="0"/>
            </w:tcBorders>
            <w:noWrap/>
            <w:vAlign w:val="bottom"/>
          </w:tcPr>
          <w:p w14:paraId="63E6D87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2A0A328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711.09 </w:t>
            </w:r>
          </w:p>
        </w:tc>
        <w:tc>
          <w:tcPr>
            <w:tcW w:w="1000" w:type="dxa"/>
            <w:tcBorders>
              <w:top w:val="nil"/>
              <w:left w:val="nil"/>
              <w:bottom w:val="single" w:color="auto" w:sz="4" w:space="0"/>
              <w:right w:val="single" w:color="auto" w:sz="4" w:space="0"/>
            </w:tcBorders>
            <w:noWrap/>
            <w:vAlign w:val="bottom"/>
          </w:tcPr>
          <w:p w14:paraId="64405554">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37.31</w:t>
            </w:r>
          </w:p>
        </w:tc>
        <w:tc>
          <w:tcPr>
            <w:tcW w:w="1489" w:type="dxa"/>
            <w:tcBorders>
              <w:top w:val="nil"/>
              <w:left w:val="nil"/>
              <w:bottom w:val="single" w:color="auto" w:sz="4" w:space="0"/>
              <w:right w:val="single" w:color="auto" w:sz="4" w:space="0"/>
            </w:tcBorders>
            <w:noWrap/>
            <w:vAlign w:val="bottom"/>
          </w:tcPr>
          <w:p w14:paraId="131668E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748.39 </w:t>
            </w:r>
          </w:p>
        </w:tc>
      </w:tr>
      <w:tr w14:paraId="230C8106">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08AD7DF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ȘOLDANU</w:t>
            </w:r>
          </w:p>
        </w:tc>
        <w:tc>
          <w:tcPr>
            <w:tcW w:w="960" w:type="dxa"/>
            <w:tcBorders>
              <w:top w:val="nil"/>
              <w:left w:val="nil"/>
              <w:bottom w:val="single" w:color="auto" w:sz="4" w:space="0"/>
              <w:right w:val="single" w:color="auto" w:sz="4" w:space="0"/>
            </w:tcBorders>
            <w:noWrap/>
            <w:vAlign w:val="bottom"/>
          </w:tcPr>
          <w:p w14:paraId="02C74A0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327080DB">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915.79 </w:t>
            </w:r>
          </w:p>
        </w:tc>
        <w:tc>
          <w:tcPr>
            <w:tcW w:w="1000" w:type="dxa"/>
            <w:tcBorders>
              <w:top w:val="nil"/>
              <w:left w:val="nil"/>
              <w:bottom w:val="single" w:color="auto" w:sz="4" w:space="0"/>
              <w:right w:val="single" w:color="auto" w:sz="4" w:space="0"/>
            </w:tcBorders>
            <w:noWrap/>
            <w:vAlign w:val="bottom"/>
          </w:tcPr>
          <w:p w14:paraId="210C2AE1">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24.64</w:t>
            </w:r>
          </w:p>
        </w:tc>
        <w:tc>
          <w:tcPr>
            <w:tcW w:w="1489" w:type="dxa"/>
            <w:tcBorders>
              <w:top w:val="nil"/>
              <w:left w:val="nil"/>
              <w:bottom w:val="single" w:color="auto" w:sz="4" w:space="0"/>
              <w:right w:val="single" w:color="auto" w:sz="4" w:space="0"/>
            </w:tcBorders>
            <w:noWrap/>
            <w:vAlign w:val="bottom"/>
          </w:tcPr>
          <w:p w14:paraId="6AD5B1A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940.43 </w:t>
            </w:r>
          </w:p>
        </w:tc>
      </w:tr>
      <w:tr w14:paraId="7BB4E32D">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31BE8FA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SPANȚOV</w:t>
            </w:r>
          </w:p>
        </w:tc>
        <w:tc>
          <w:tcPr>
            <w:tcW w:w="960" w:type="dxa"/>
            <w:tcBorders>
              <w:top w:val="nil"/>
              <w:left w:val="nil"/>
              <w:bottom w:val="single" w:color="auto" w:sz="4" w:space="0"/>
              <w:right w:val="single" w:color="auto" w:sz="4" w:space="0"/>
            </w:tcBorders>
            <w:noWrap/>
            <w:vAlign w:val="bottom"/>
          </w:tcPr>
          <w:p w14:paraId="769AF18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312FE64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821.37 </w:t>
            </w:r>
          </w:p>
        </w:tc>
        <w:tc>
          <w:tcPr>
            <w:tcW w:w="1000" w:type="dxa"/>
            <w:tcBorders>
              <w:top w:val="nil"/>
              <w:left w:val="nil"/>
              <w:bottom w:val="single" w:color="auto" w:sz="4" w:space="0"/>
              <w:right w:val="single" w:color="auto" w:sz="4" w:space="0"/>
            </w:tcBorders>
            <w:noWrap/>
            <w:vAlign w:val="bottom"/>
          </w:tcPr>
          <w:p w14:paraId="15A170AF">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16.79</w:t>
            </w:r>
          </w:p>
        </w:tc>
        <w:tc>
          <w:tcPr>
            <w:tcW w:w="1489" w:type="dxa"/>
            <w:tcBorders>
              <w:top w:val="nil"/>
              <w:left w:val="nil"/>
              <w:bottom w:val="single" w:color="auto" w:sz="4" w:space="0"/>
              <w:right w:val="single" w:color="auto" w:sz="4" w:space="0"/>
            </w:tcBorders>
            <w:noWrap/>
            <w:vAlign w:val="bottom"/>
          </w:tcPr>
          <w:p w14:paraId="6D6CA2F8">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838.16 </w:t>
            </w:r>
          </w:p>
        </w:tc>
      </w:tr>
      <w:tr w14:paraId="6CADA0AC">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657C2284">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ULMENI</w:t>
            </w:r>
          </w:p>
        </w:tc>
        <w:tc>
          <w:tcPr>
            <w:tcW w:w="960" w:type="dxa"/>
            <w:tcBorders>
              <w:top w:val="nil"/>
              <w:left w:val="nil"/>
              <w:bottom w:val="single" w:color="auto" w:sz="4" w:space="0"/>
              <w:right w:val="single" w:color="auto" w:sz="4" w:space="0"/>
            </w:tcBorders>
            <w:noWrap/>
            <w:vAlign w:val="bottom"/>
          </w:tcPr>
          <w:p w14:paraId="664514D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033C813A">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745.15 </w:t>
            </w:r>
          </w:p>
        </w:tc>
        <w:tc>
          <w:tcPr>
            <w:tcW w:w="1000" w:type="dxa"/>
            <w:tcBorders>
              <w:top w:val="nil"/>
              <w:left w:val="nil"/>
              <w:bottom w:val="single" w:color="auto" w:sz="4" w:space="0"/>
              <w:right w:val="single" w:color="auto" w:sz="4" w:space="0"/>
            </w:tcBorders>
            <w:noWrap/>
            <w:vAlign w:val="bottom"/>
          </w:tcPr>
          <w:p w14:paraId="433645BE">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52.15</w:t>
            </w:r>
          </w:p>
        </w:tc>
        <w:tc>
          <w:tcPr>
            <w:tcW w:w="1489" w:type="dxa"/>
            <w:tcBorders>
              <w:top w:val="nil"/>
              <w:left w:val="nil"/>
              <w:bottom w:val="single" w:color="auto" w:sz="4" w:space="0"/>
              <w:right w:val="single" w:color="auto" w:sz="4" w:space="0"/>
            </w:tcBorders>
            <w:noWrap/>
            <w:vAlign w:val="bottom"/>
          </w:tcPr>
          <w:p w14:paraId="141E624B">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797.30 </w:t>
            </w:r>
          </w:p>
        </w:tc>
      </w:tr>
      <w:tr w14:paraId="2CF9A8F0">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5BF9E6FC">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VASILAȚI</w:t>
            </w:r>
          </w:p>
        </w:tc>
        <w:tc>
          <w:tcPr>
            <w:tcW w:w="960" w:type="dxa"/>
            <w:tcBorders>
              <w:top w:val="nil"/>
              <w:left w:val="nil"/>
              <w:bottom w:val="single" w:color="auto" w:sz="4" w:space="0"/>
              <w:right w:val="single" w:color="auto" w:sz="4" w:space="0"/>
            </w:tcBorders>
            <w:noWrap/>
            <w:vAlign w:val="bottom"/>
          </w:tcPr>
          <w:p w14:paraId="1D1F3F2B">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52C7247E">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1,286.73 </w:t>
            </w:r>
          </w:p>
        </w:tc>
        <w:tc>
          <w:tcPr>
            <w:tcW w:w="1000" w:type="dxa"/>
            <w:tcBorders>
              <w:top w:val="nil"/>
              <w:left w:val="nil"/>
              <w:bottom w:val="single" w:color="auto" w:sz="4" w:space="0"/>
              <w:right w:val="single" w:color="auto" w:sz="4" w:space="0"/>
            </w:tcBorders>
            <w:noWrap/>
            <w:vAlign w:val="bottom"/>
          </w:tcPr>
          <w:p w14:paraId="3CCFE7BD">
            <w:pPr>
              <w:spacing w:after="0" w:line="240" w:lineRule="auto"/>
              <w:jc w:val="right"/>
              <w:rPr>
                <w:rFonts w:ascii="Arial" w:hAnsi="Arial" w:eastAsia="Times New Roman" w:cs="Arial"/>
                <w:color w:val="000000"/>
                <w:sz w:val="20"/>
                <w:szCs w:val="20"/>
              </w:rPr>
            </w:pPr>
            <w:r>
              <w:rPr>
                <w:rFonts w:ascii="Arial" w:hAnsi="Arial" w:eastAsia="Times New Roman" w:cs="Arial"/>
                <w:color w:val="000000"/>
                <w:sz w:val="20"/>
                <w:szCs w:val="20"/>
              </w:rPr>
              <w:t>67.08</w:t>
            </w:r>
          </w:p>
        </w:tc>
        <w:tc>
          <w:tcPr>
            <w:tcW w:w="1489" w:type="dxa"/>
            <w:tcBorders>
              <w:top w:val="nil"/>
              <w:left w:val="nil"/>
              <w:bottom w:val="single" w:color="auto" w:sz="4" w:space="0"/>
              <w:right w:val="single" w:color="auto" w:sz="4" w:space="0"/>
            </w:tcBorders>
            <w:noWrap/>
            <w:vAlign w:val="bottom"/>
          </w:tcPr>
          <w:p w14:paraId="0EFA221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1,353.81 </w:t>
            </w:r>
          </w:p>
        </w:tc>
      </w:tr>
      <w:tr w14:paraId="7890C736">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00D2D2F6">
            <w:pPr>
              <w:spacing w:after="0" w:line="240" w:lineRule="auto"/>
              <w:rPr>
                <w:rFonts w:ascii="Arial" w:hAnsi="Arial" w:eastAsia="Times New Roman" w:cs="Arial"/>
                <w:b/>
                <w:bCs/>
                <w:color w:val="000000"/>
                <w:sz w:val="20"/>
                <w:szCs w:val="20"/>
              </w:rPr>
            </w:pPr>
            <w:r>
              <w:rPr>
                <w:rFonts w:ascii="Arial" w:hAnsi="Arial" w:eastAsia="Times New Roman" w:cs="Arial"/>
                <w:b/>
                <w:bCs/>
                <w:color w:val="000000"/>
                <w:sz w:val="20"/>
                <w:szCs w:val="20"/>
              </w:rPr>
              <w:t>TOTAL RURAL</w:t>
            </w:r>
          </w:p>
        </w:tc>
        <w:tc>
          <w:tcPr>
            <w:tcW w:w="960" w:type="dxa"/>
            <w:tcBorders>
              <w:top w:val="nil"/>
              <w:left w:val="nil"/>
              <w:bottom w:val="single" w:color="auto" w:sz="4" w:space="0"/>
              <w:right w:val="single" w:color="auto" w:sz="4" w:space="0"/>
            </w:tcBorders>
            <w:noWrap/>
            <w:vAlign w:val="bottom"/>
          </w:tcPr>
          <w:p w14:paraId="32F3DDB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120" w:type="dxa"/>
            <w:tcBorders>
              <w:top w:val="nil"/>
              <w:left w:val="nil"/>
              <w:bottom w:val="single" w:color="auto" w:sz="4" w:space="0"/>
              <w:right w:val="single" w:color="auto" w:sz="4" w:space="0"/>
            </w:tcBorders>
            <w:noWrap/>
            <w:vAlign w:val="bottom"/>
          </w:tcPr>
          <w:p w14:paraId="508C9D3A">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15,896.28 </w:t>
            </w:r>
          </w:p>
        </w:tc>
        <w:tc>
          <w:tcPr>
            <w:tcW w:w="1000" w:type="dxa"/>
            <w:tcBorders>
              <w:top w:val="nil"/>
              <w:left w:val="nil"/>
              <w:bottom w:val="single" w:color="auto" w:sz="4" w:space="0"/>
              <w:right w:val="single" w:color="auto" w:sz="4" w:space="0"/>
            </w:tcBorders>
            <w:noWrap/>
            <w:vAlign w:val="bottom"/>
          </w:tcPr>
          <w:p w14:paraId="3D789BD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1,056.65 </w:t>
            </w:r>
          </w:p>
        </w:tc>
        <w:tc>
          <w:tcPr>
            <w:tcW w:w="1489" w:type="dxa"/>
            <w:tcBorders>
              <w:top w:val="nil"/>
              <w:left w:val="nil"/>
              <w:bottom w:val="single" w:color="auto" w:sz="4" w:space="0"/>
              <w:right w:val="single" w:color="auto" w:sz="4" w:space="0"/>
            </w:tcBorders>
            <w:noWrap/>
            <w:vAlign w:val="bottom"/>
          </w:tcPr>
          <w:p w14:paraId="56FE65B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16,952.93 </w:t>
            </w:r>
          </w:p>
        </w:tc>
      </w:tr>
      <w:tr w14:paraId="667DEC17">
        <w:tblPrEx>
          <w:tblCellMar>
            <w:top w:w="0" w:type="dxa"/>
            <w:left w:w="108" w:type="dxa"/>
            <w:bottom w:w="0" w:type="dxa"/>
            <w:right w:w="108" w:type="dxa"/>
          </w:tblCellMar>
        </w:tblPrEx>
        <w:trPr>
          <w:trHeight w:val="300" w:hRule="atLeast"/>
        </w:trPr>
        <w:tc>
          <w:tcPr>
            <w:tcW w:w="1760" w:type="dxa"/>
            <w:tcBorders>
              <w:top w:val="nil"/>
              <w:left w:val="nil"/>
              <w:bottom w:val="nil"/>
              <w:right w:val="nil"/>
            </w:tcBorders>
            <w:noWrap/>
            <w:vAlign w:val="bottom"/>
          </w:tcPr>
          <w:p w14:paraId="6537697C">
            <w:pPr>
              <w:spacing w:after="0" w:line="240" w:lineRule="auto"/>
              <w:rPr>
                <w:rFonts w:ascii="Arial" w:hAnsi="Arial" w:eastAsia="Times New Roman" w:cs="Arial"/>
                <w:color w:val="000000"/>
                <w:sz w:val="20"/>
                <w:szCs w:val="20"/>
              </w:rPr>
            </w:pPr>
          </w:p>
        </w:tc>
        <w:tc>
          <w:tcPr>
            <w:tcW w:w="960" w:type="dxa"/>
            <w:tcBorders>
              <w:top w:val="nil"/>
              <w:left w:val="nil"/>
              <w:bottom w:val="nil"/>
              <w:right w:val="nil"/>
            </w:tcBorders>
            <w:noWrap/>
            <w:vAlign w:val="bottom"/>
          </w:tcPr>
          <w:p w14:paraId="19D6B874">
            <w:pPr>
              <w:spacing w:after="0" w:line="240" w:lineRule="auto"/>
              <w:rPr>
                <w:rFonts w:ascii="Arial" w:hAnsi="Arial" w:eastAsia="Times New Roman" w:cs="Arial"/>
                <w:sz w:val="20"/>
                <w:szCs w:val="20"/>
              </w:rPr>
            </w:pPr>
          </w:p>
        </w:tc>
        <w:tc>
          <w:tcPr>
            <w:tcW w:w="1120" w:type="dxa"/>
            <w:tcBorders>
              <w:top w:val="nil"/>
              <w:left w:val="nil"/>
              <w:bottom w:val="nil"/>
              <w:right w:val="nil"/>
            </w:tcBorders>
            <w:noWrap/>
            <w:vAlign w:val="bottom"/>
          </w:tcPr>
          <w:p w14:paraId="5D6EFE06">
            <w:pPr>
              <w:spacing w:after="0" w:line="240" w:lineRule="auto"/>
              <w:rPr>
                <w:rFonts w:ascii="Arial" w:hAnsi="Arial" w:eastAsia="Times New Roman" w:cs="Arial"/>
                <w:sz w:val="20"/>
                <w:szCs w:val="20"/>
              </w:rPr>
            </w:pPr>
          </w:p>
        </w:tc>
        <w:tc>
          <w:tcPr>
            <w:tcW w:w="1000" w:type="dxa"/>
            <w:tcBorders>
              <w:top w:val="nil"/>
              <w:left w:val="nil"/>
              <w:bottom w:val="nil"/>
              <w:right w:val="nil"/>
            </w:tcBorders>
            <w:noWrap/>
            <w:vAlign w:val="bottom"/>
          </w:tcPr>
          <w:p w14:paraId="06141BC0">
            <w:pPr>
              <w:spacing w:after="0" w:line="240" w:lineRule="auto"/>
              <w:rPr>
                <w:rFonts w:ascii="Arial" w:hAnsi="Arial" w:eastAsia="Times New Roman" w:cs="Arial"/>
                <w:sz w:val="20"/>
                <w:szCs w:val="20"/>
              </w:rPr>
            </w:pPr>
          </w:p>
        </w:tc>
        <w:tc>
          <w:tcPr>
            <w:tcW w:w="1489" w:type="dxa"/>
            <w:tcBorders>
              <w:top w:val="nil"/>
              <w:left w:val="nil"/>
              <w:bottom w:val="nil"/>
              <w:right w:val="nil"/>
            </w:tcBorders>
            <w:noWrap/>
            <w:vAlign w:val="bottom"/>
          </w:tcPr>
          <w:p w14:paraId="4C7959FC">
            <w:pPr>
              <w:spacing w:after="0" w:line="240" w:lineRule="auto"/>
              <w:rPr>
                <w:rFonts w:ascii="Arial" w:hAnsi="Arial" w:eastAsia="Times New Roman" w:cs="Arial"/>
                <w:sz w:val="20"/>
                <w:szCs w:val="20"/>
              </w:rPr>
            </w:pPr>
          </w:p>
        </w:tc>
      </w:tr>
      <w:tr w14:paraId="12C65B88">
        <w:tblPrEx>
          <w:tblCellMar>
            <w:top w:w="0" w:type="dxa"/>
            <w:left w:w="108" w:type="dxa"/>
            <w:bottom w:w="0" w:type="dxa"/>
            <w:right w:w="108" w:type="dxa"/>
          </w:tblCellMar>
        </w:tblPrEx>
        <w:trPr>
          <w:trHeight w:val="300" w:hRule="atLeast"/>
        </w:trPr>
        <w:tc>
          <w:tcPr>
            <w:tcW w:w="1760" w:type="dxa"/>
            <w:tcBorders>
              <w:top w:val="single" w:color="auto" w:sz="4" w:space="0"/>
              <w:left w:val="single" w:color="auto" w:sz="4" w:space="0"/>
              <w:bottom w:val="single" w:color="auto" w:sz="4" w:space="0"/>
              <w:right w:val="single" w:color="auto" w:sz="4" w:space="0"/>
            </w:tcBorders>
            <w:noWrap/>
            <w:vAlign w:val="bottom"/>
          </w:tcPr>
          <w:p w14:paraId="07D71C8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Total contract</w:t>
            </w:r>
          </w:p>
        </w:tc>
        <w:tc>
          <w:tcPr>
            <w:tcW w:w="960" w:type="dxa"/>
            <w:tcBorders>
              <w:top w:val="single" w:color="auto" w:sz="4" w:space="0"/>
              <w:left w:val="nil"/>
              <w:bottom w:val="single" w:color="auto" w:sz="4" w:space="0"/>
              <w:right w:val="single" w:color="auto" w:sz="4" w:space="0"/>
            </w:tcBorders>
            <w:shd w:val="clear" w:color="000000" w:fill="DDEBF7"/>
            <w:noWrap/>
            <w:vAlign w:val="bottom"/>
          </w:tcPr>
          <w:p w14:paraId="626D34C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3609" w:type="dxa"/>
            <w:gridSpan w:val="3"/>
            <w:tcBorders>
              <w:top w:val="single" w:color="auto" w:sz="4" w:space="0"/>
              <w:left w:val="nil"/>
              <w:bottom w:val="single" w:color="auto" w:sz="4" w:space="0"/>
              <w:right w:val="single" w:color="auto" w:sz="4" w:space="0"/>
            </w:tcBorders>
            <w:shd w:val="clear" w:color="000000" w:fill="DDEBF7"/>
            <w:noWrap/>
            <w:vAlign w:val="bottom"/>
          </w:tcPr>
          <w:p w14:paraId="128EFE81">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Cantităţi de deşeuri colectate (tone/an) </w:t>
            </w:r>
          </w:p>
        </w:tc>
      </w:tr>
      <w:tr w14:paraId="464E79ED">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shd w:val="clear" w:color="000000" w:fill="DDEBF7"/>
            <w:noWrap/>
            <w:vAlign w:val="bottom"/>
          </w:tcPr>
          <w:p w14:paraId="5EB21A84">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Aria de delegare</w:t>
            </w:r>
          </w:p>
        </w:tc>
        <w:tc>
          <w:tcPr>
            <w:tcW w:w="960" w:type="dxa"/>
            <w:tcBorders>
              <w:top w:val="nil"/>
              <w:left w:val="nil"/>
              <w:bottom w:val="single" w:color="auto" w:sz="4" w:space="0"/>
              <w:right w:val="single" w:color="auto" w:sz="4" w:space="0"/>
            </w:tcBorders>
            <w:shd w:val="clear" w:color="000000" w:fill="DDEBF7"/>
            <w:noWrap/>
            <w:vAlign w:val="bottom"/>
          </w:tcPr>
          <w:p w14:paraId="71B016F0">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120" w:type="dxa"/>
            <w:tcBorders>
              <w:top w:val="nil"/>
              <w:left w:val="nil"/>
              <w:bottom w:val="single" w:color="auto" w:sz="4" w:space="0"/>
              <w:right w:val="single" w:color="auto" w:sz="4" w:space="0"/>
            </w:tcBorders>
            <w:shd w:val="clear" w:color="000000" w:fill="DDEBF7"/>
            <w:noWrap/>
            <w:vAlign w:val="bottom"/>
          </w:tcPr>
          <w:p w14:paraId="0B6CDEF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Menajere</w:t>
            </w:r>
          </w:p>
        </w:tc>
        <w:tc>
          <w:tcPr>
            <w:tcW w:w="1000" w:type="dxa"/>
            <w:tcBorders>
              <w:top w:val="nil"/>
              <w:left w:val="nil"/>
              <w:bottom w:val="single" w:color="auto" w:sz="4" w:space="0"/>
              <w:right w:val="single" w:color="auto" w:sz="4" w:space="0"/>
            </w:tcBorders>
            <w:shd w:val="clear" w:color="000000" w:fill="DDEBF7"/>
            <w:noWrap/>
            <w:vAlign w:val="bottom"/>
          </w:tcPr>
          <w:p w14:paraId="6AB355AB">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Similare</w:t>
            </w:r>
          </w:p>
        </w:tc>
        <w:tc>
          <w:tcPr>
            <w:tcW w:w="1489" w:type="dxa"/>
            <w:tcBorders>
              <w:top w:val="nil"/>
              <w:left w:val="nil"/>
              <w:bottom w:val="single" w:color="auto" w:sz="4" w:space="0"/>
              <w:right w:val="single" w:color="auto" w:sz="4" w:space="0"/>
            </w:tcBorders>
            <w:shd w:val="clear" w:color="000000" w:fill="DDEBF7"/>
            <w:noWrap/>
            <w:vAlign w:val="bottom"/>
          </w:tcPr>
          <w:p w14:paraId="7CEA5F14">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Municipale</w:t>
            </w:r>
          </w:p>
        </w:tc>
      </w:tr>
      <w:tr w14:paraId="34FFF757">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4BA8561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Zona urbana</w:t>
            </w:r>
          </w:p>
        </w:tc>
        <w:tc>
          <w:tcPr>
            <w:tcW w:w="960" w:type="dxa"/>
            <w:tcBorders>
              <w:top w:val="nil"/>
              <w:left w:val="nil"/>
              <w:bottom w:val="single" w:color="auto" w:sz="4" w:space="0"/>
              <w:right w:val="single" w:color="auto" w:sz="4" w:space="0"/>
            </w:tcBorders>
            <w:noWrap/>
            <w:vAlign w:val="bottom"/>
          </w:tcPr>
          <w:p w14:paraId="13FB4D6E">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Urban</w:t>
            </w:r>
          </w:p>
        </w:tc>
        <w:tc>
          <w:tcPr>
            <w:tcW w:w="1120" w:type="dxa"/>
            <w:tcBorders>
              <w:top w:val="nil"/>
              <w:left w:val="nil"/>
              <w:bottom w:val="single" w:color="auto" w:sz="4" w:space="0"/>
              <w:right w:val="single" w:color="auto" w:sz="4" w:space="0"/>
            </w:tcBorders>
            <w:noWrap/>
            <w:vAlign w:val="bottom"/>
          </w:tcPr>
          <w:p w14:paraId="2AD63AB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8,691.16 </w:t>
            </w:r>
          </w:p>
        </w:tc>
        <w:tc>
          <w:tcPr>
            <w:tcW w:w="1000" w:type="dxa"/>
            <w:tcBorders>
              <w:top w:val="nil"/>
              <w:left w:val="nil"/>
              <w:bottom w:val="single" w:color="auto" w:sz="4" w:space="0"/>
              <w:right w:val="single" w:color="auto" w:sz="4" w:space="0"/>
            </w:tcBorders>
            <w:noWrap/>
            <w:vAlign w:val="bottom"/>
          </w:tcPr>
          <w:p w14:paraId="779782CD">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1,683.09 </w:t>
            </w:r>
          </w:p>
        </w:tc>
        <w:tc>
          <w:tcPr>
            <w:tcW w:w="1489" w:type="dxa"/>
            <w:tcBorders>
              <w:top w:val="nil"/>
              <w:left w:val="nil"/>
              <w:bottom w:val="single" w:color="auto" w:sz="4" w:space="0"/>
              <w:right w:val="single" w:color="auto" w:sz="4" w:space="0"/>
            </w:tcBorders>
            <w:noWrap/>
            <w:vAlign w:val="bottom"/>
          </w:tcPr>
          <w:p w14:paraId="0A81EA2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10,374.25 </w:t>
            </w:r>
          </w:p>
        </w:tc>
      </w:tr>
      <w:tr w14:paraId="6A191763">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5AC0880A">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Zona rurala</w:t>
            </w:r>
          </w:p>
        </w:tc>
        <w:tc>
          <w:tcPr>
            <w:tcW w:w="960" w:type="dxa"/>
            <w:tcBorders>
              <w:top w:val="nil"/>
              <w:left w:val="nil"/>
              <w:bottom w:val="single" w:color="auto" w:sz="4" w:space="0"/>
              <w:right w:val="single" w:color="auto" w:sz="4" w:space="0"/>
            </w:tcBorders>
            <w:noWrap/>
            <w:vAlign w:val="bottom"/>
          </w:tcPr>
          <w:p w14:paraId="272FD3C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Rural</w:t>
            </w:r>
          </w:p>
        </w:tc>
        <w:tc>
          <w:tcPr>
            <w:tcW w:w="1120" w:type="dxa"/>
            <w:tcBorders>
              <w:top w:val="nil"/>
              <w:left w:val="nil"/>
              <w:bottom w:val="single" w:color="auto" w:sz="4" w:space="0"/>
              <w:right w:val="single" w:color="auto" w:sz="4" w:space="0"/>
            </w:tcBorders>
            <w:noWrap/>
            <w:vAlign w:val="bottom"/>
          </w:tcPr>
          <w:p w14:paraId="70DB7112">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15,896.28 </w:t>
            </w:r>
          </w:p>
        </w:tc>
        <w:tc>
          <w:tcPr>
            <w:tcW w:w="1000" w:type="dxa"/>
            <w:tcBorders>
              <w:top w:val="nil"/>
              <w:left w:val="nil"/>
              <w:bottom w:val="single" w:color="auto" w:sz="4" w:space="0"/>
              <w:right w:val="single" w:color="auto" w:sz="4" w:space="0"/>
            </w:tcBorders>
            <w:noWrap/>
            <w:vAlign w:val="bottom"/>
          </w:tcPr>
          <w:p w14:paraId="2D8DB733">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1,056.65 </w:t>
            </w:r>
          </w:p>
        </w:tc>
        <w:tc>
          <w:tcPr>
            <w:tcW w:w="1489" w:type="dxa"/>
            <w:tcBorders>
              <w:top w:val="nil"/>
              <w:left w:val="nil"/>
              <w:bottom w:val="single" w:color="auto" w:sz="4" w:space="0"/>
              <w:right w:val="single" w:color="auto" w:sz="4" w:space="0"/>
            </w:tcBorders>
            <w:noWrap/>
            <w:vAlign w:val="bottom"/>
          </w:tcPr>
          <w:p w14:paraId="30B9FC84">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16,952.93 </w:t>
            </w:r>
          </w:p>
        </w:tc>
      </w:tr>
      <w:tr w14:paraId="4AB802E3">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5FA31D16">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Total</w:t>
            </w:r>
          </w:p>
        </w:tc>
        <w:tc>
          <w:tcPr>
            <w:tcW w:w="960" w:type="dxa"/>
            <w:tcBorders>
              <w:top w:val="nil"/>
              <w:left w:val="nil"/>
              <w:bottom w:val="single" w:color="auto" w:sz="4" w:space="0"/>
              <w:right w:val="single" w:color="auto" w:sz="4" w:space="0"/>
            </w:tcBorders>
            <w:noWrap/>
            <w:vAlign w:val="bottom"/>
          </w:tcPr>
          <w:p w14:paraId="0F9FB2F5">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w:t>
            </w:r>
          </w:p>
        </w:tc>
        <w:tc>
          <w:tcPr>
            <w:tcW w:w="1120" w:type="dxa"/>
            <w:tcBorders>
              <w:top w:val="nil"/>
              <w:left w:val="nil"/>
              <w:bottom w:val="single" w:color="auto" w:sz="4" w:space="0"/>
              <w:right w:val="single" w:color="auto" w:sz="4" w:space="0"/>
            </w:tcBorders>
            <w:noWrap/>
            <w:vAlign w:val="bottom"/>
          </w:tcPr>
          <w:p w14:paraId="7CA10BEF">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24,587.45 </w:t>
            </w:r>
          </w:p>
        </w:tc>
        <w:tc>
          <w:tcPr>
            <w:tcW w:w="1000" w:type="dxa"/>
            <w:tcBorders>
              <w:top w:val="nil"/>
              <w:left w:val="nil"/>
              <w:bottom w:val="single" w:color="auto" w:sz="4" w:space="0"/>
              <w:right w:val="single" w:color="auto" w:sz="4" w:space="0"/>
            </w:tcBorders>
            <w:noWrap/>
            <w:vAlign w:val="bottom"/>
          </w:tcPr>
          <w:p w14:paraId="4953D319">
            <w:pPr>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2,739.73 </w:t>
            </w:r>
          </w:p>
        </w:tc>
        <w:tc>
          <w:tcPr>
            <w:tcW w:w="1489" w:type="dxa"/>
            <w:tcBorders>
              <w:top w:val="nil"/>
              <w:left w:val="nil"/>
              <w:bottom w:val="single" w:color="auto" w:sz="4" w:space="0"/>
              <w:right w:val="single" w:color="auto" w:sz="4" w:space="0"/>
            </w:tcBorders>
            <w:noWrap/>
            <w:vAlign w:val="bottom"/>
          </w:tcPr>
          <w:p w14:paraId="2FD648EA">
            <w:pPr>
              <w:keepNext/>
              <w:spacing w:after="0" w:line="240" w:lineRule="auto"/>
              <w:rPr>
                <w:rFonts w:ascii="Arial" w:hAnsi="Arial" w:eastAsia="Times New Roman" w:cs="Arial"/>
                <w:color w:val="000000"/>
                <w:sz w:val="20"/>
                <w:szCs w:val="20"/>
              </w:rPr>
            </w:pPr>
            <w:r>
              <w:rPr>
                <w:rFonts w:ascii="Arial" w:hAnsi="Arial" w:eastAsia="Times New Roman" w:cs="Arial"/>
                <w:color w:val="000000"/>
                <w:sz w:val="20"/>
                <w:szCs w:val="20"/>
              </w:rPr>
              <w:t xml:space="preserve">           27,327.18 </w:t>
            </w:r>
          </w:p>
        </w:tc>
      </w:tr>
    </w:tbl>
    <w:p w14:paraId="46FC1DD4">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4</w:t>
      </w:r>
      <w:r>
        <w:fldChar w:fldCharType="end"/>
      </w:r>
    </w:p>
    <w:p w14:paraId="3934F662">
      <w:r>
        <w:t>Impact SGR In Zona 2 anul 2025</w:t>
      </w:r>
    </w:p>
    <w:tbl>
      <w:tblPr>
        <w:tblStyle w:val="12"/>
        <w:tblW w:w="5000" w:type="pct"/>
        <w:tblInd w:w="0" w:type="dxa"/>
        <w:tblLayout w:type="autofit"/>
        <w:tblCellMar>
          <w:top w:w="0" w:type="dxa"/>
          <w:left w:w="108" w:type="dxa"/>
          <w:bottom w:w="0" w:type="dxa"/>
          <w:right w:w="108" w:type="dxa"/>
        </w:tblCellMar>
      </w:tblPr>
      <w:tblGrid>
        <w:gridCol w:w="1641"/>
        <w:gridCol w:w="2729"/>
        <w:gridCol w:w="1228"/>
        <w:gridCol w:w="1197"/>
        <w:gridCol w:w="1073"/>
        <w:gridCol w:w="1197"/>
        <w:gridCol w:w="1073"/>
      </w:tblGrid>
      <w:tr w14:paraId="5DFF08D4">
        <w:tblPrEx>
          <w:tblCellMar>
            <w:top w:w="0" w:type="dxa"/>
            <w:left w:w="108" w:type="dxa"/>
            <w:bottom w:w="0" w:type="dxa"/>
            <w:right w:w="108" w:type="dxa"/>
          </w:tblCellMar>
        </w:tblPrEx>
        <w:trPr>
          <w:trHeight w:val="300" w:hRule="atLeast"/>
        </w:trPr>
        <w:tc>
          <w:tcPr>
            <w:tcW w:w="1009" w:type="pct"/>
            <w:tcBorders>
              <w:top w:val="single" w:color="auto" w:sz="4" w:space="0"/>
              <w:left w:val="single" w:color="auto" w:sz="4" w:space="0"/>
              <w:bottom w:val="single" w:color="auto" w:sz="4" w:space="0"/>
              <w:right w:val="single" w:color="auto" w:sz="4" w:space="0"/>
            </w:tcBorders>
            <w:vAlign w:val="center"/>
          </w:tcPr>
          <w:p w14:paraId="41A6345A">
            <w:pPr>
              <w:spacing w:after="0" w:line="240" w:lineRule="auto"/>
              <w:rPr>
                <w:rFonts w:ascii="Arial" w:hAnsi="Arial" w:eastAsia="Times New Roman" w:cs="Arial"/>
                <w:b/>
                <w:bCs/>
                <w:color w:val="000000"/>
                <w:sz w:val="14"/>
                <w:szCs w:val="14"/>
              </w:rPr>
            </w:pPr>
            <w:r>
              <w:rPr>
                <w:rFonts w:ascii="Arial" w:hAnsi="Arial" w:eastAsia="Times New Roman" w:cs="Arial"/>
                <w:b/>
                <w:bCs/>
                <w:color w:val="000000"/>
                <w:sz w:val="14"/>
                <w:szCs w:val="14"/>
              </w:rPr>
              <w:t>Unitate administrativ-teritoriala</w:t>
            </w:r>
          </w:p>
        </w:tc>
        <w:tc>
          <w:tcPr>
            <w:tcW w:w="988" w:type="pct"/>
            <w:tcBorders>
              <w:top w:val="single" w:color="auto" w:sz="4" w:space="0"/>
              <w:left w:val="nil"/>
              <w:bottom w:val="single" w:color="auto" w:sz="4" w:space="0"/>
              <w:right w:val="single" w:color="auto" w:sz="4" w:space="0"/>
            </w:tcBorders>
            <w:noWrap/>
            <w:vAlign w:val="center"/>
          </w:tcPr>
          <w:p w14:paraId="2033373D">
            <w:pPr>
              <w:spacing w:after="0" w:line="240" w:lineRule="auto"/>
              <w:rPr>
                <w:rFonts w:ascii="Arial" w:hAnsi="Arial" w:eastAsia="Times New Roman" w:cs="Arial"/>
                <w:b/>
                <w:bCs/>
                <w:sz w:val="14"/>
                <w:szCs w:val="14"/>
              </w:rPr>
            </w:pPr>
            <w:r>
              <w:rPr>
                <w:rFonts w:ascii="Arial" w:hAnsi="Arial" w:eastAsia="Times New Roman" w:cs="Arial"/>
                <w:b/>
                <w:bCs/>
                <w:sz w:val="14"/>
                <w:szCs w:val="14"/>
              </w:rPr>
              <w:t>CANTITATE AMBALAJE RETURNATE</w:t>
            </w:r>
          </w:p>
        </w:tc>
        <w:tc>
          <w:tcPr>
            <w:tcW w:w="635" w:type="pct"/>
            <w:tcBorders>
              <w:top w:val="single" w:color="auto" w:sz="4" w:space="0"/>
              <w:left w:val="nil"/>
              <w:bottom w:val="single" w:color="auto" w:sz="4" w:space="0"/>
              <w:right w:val="single" w:color="auto" w:sz="4" w:space="0"/>
            </w:tcBorders>
            <w:noWrap/>
            <w:vAlign w:val="center"/>
          </w:tcPr>
          <w:p w14:paraId="67DAF121">
            <w:pPr>
              <w:spacing w:after="0" w:line="240" w:lineRule="auto"/>
              <w:rPr>
                <w:rFonts w:ascii="Arial" w:hAnsi="Arial" w:eastAsia="Times New Roman" w:cs="Arial"/>
                <w:b/>
                <w:bCs/>
                <w:sz w:val="14"/>
                <w:szCs w:val="14"/>
              </w:rPr>
            </w:pPr>
            <w:r>
              <w:rPr>
                <w:rFonts w:ascii="Arial" w:hAnsi="Arial" w:eastAsia="Times New Roman" w:cs="Arial"/>
                <w:b/>
                <w:bCs/>
                <w:sz w:val="14"/>
                <w:szCs w:val="14"/>
              </w:rPr>
              <w:t> </w:t>
            </w:r>
          </w:p>
        </w:tc>
        <w:tc>
          <w:tcPr>
            <w:tcW w:w="635" w:type="pct"/>
            <w:tcBorders>
              <w:top w:val="single" w:color="auto" w:sz="4" w:space="0"/>
              <w:left w:val="nil"/>
              <w:bottom w:val="single" w:color="auto" w:sz="4" w:space="0"/>
              <w:right w:val="single" w:color="auto" w:sz="4" w:space="0"/>
            </w:tcBorders>
            <w:noWrap/>
            <w:vAlign w:val="center"/>
          </w:tcPr>
          <w:p w14:paraId="55617440">
            <w:pPr>
              <w:spacing w:after="0" w:line="240" w:lineRule="auto"/>
              <w:rPr>
                <w:rFonts w:ascii="Arial" w:hAnsi="Arial" w:eastAsia="Times New Roman" w:cs="Arial"/>
                <w:b/>
                <w:bCs/>
                <w:sz w:val="14"/>
                <w:szCs w:val="14"/>
              </w:rPr>
            </w:pPr>
            <w:r>
              <w:rPr>
                <w:rFonts w:ascii="Arial" w:hAnsi="Arial" w:eastAsia="Times New Roman" w:cs="Arial"/>
                <w:b/>
                <w:bCs/>
                <w:sz w:val="14"/>
                <w:szCs w:val="14"/>
              </w:rPr>
              <w:t> </w:t>
            </w:r>
          </w:p>
        </w:tc>
        <w:tc>
          <w:tcPr>
            <w:tcW w:w="544" w:type="pct"/>
            <w:tcBorders>
              <w:top w:val="single" w:color="auto" w:sz="4" w:space="0"/>
              <w:left w:val="nil"/>
              <w:bottom w:val="single" w:color="auto" w:sz="4" w:space="0"/>
              <w:right w:val="single" w:color="auto" w:sz="4" w:space="0"/>
            </w:tcBorders>
            <w:noWrap/>
            <w:vAlign w:val="center"/>
          </w:tcPr>
          <w:p w14:paraId="16B59F5B">
            <w:pPr>
              <w:spacing w:after="0" w:line="240" w:lineRule="auto"/>
              <w:rPr>
                <w:rFonts w:ascii="Arial" w:hAnsi="Arial" w:eastAsia="Times New Roman" w:cs="Arial"/>
                <w:b/>
                <w:bCs/>
                <w:sz w:val="14"/>
                <w:szCs w:val="14"/>
              </w:rPr>
            </w:pPr>
            <w:r>
              <w:rPr>
                <w:rFonts w:ascii="Arial" w:hAnsi="Arial" w:eastAsia="Times New Roman" w:cs="Arial"/>
                <w:b/>
                <w:bCs/>
                <w:sz w:val="14"/>
                <w:szCs w:val="14"/>
              </w:rPr>
              <w:t> </w:t>
            </w:r>
          </w:p>
        </w:tc>
        <w:tc>
          <w:tcPr>
            <w:tcW w:w="635" w:type="pct"/>
            <w:tcBorders>
              <w:top w:val="single" w:color="auto" w:sz="4" w:space="0"/>
              <w:left w:val="nil"/>
              <w:bottom w:val="single" w:color="auto" w:sz="4" w:space="0"/>
              <w:right w:val="single" w:color="auto" w:sz="4" w:space="0"/>
            </w:tcBorders>
            <w:noWrap/>
            <w:vAlign w:val="center"/>
          </w:tcPr>
          <w:p w14:paraId="50AF334F">
            <w:pPr>
              <w:spacing w:after="0" w:line="240" w:lineRule="auto"/>
              <w:rPr>
                <w:rFonts w:ascii="Arial" w:hAnsi="Arial" w:eastAsia="Times New Roman" w:cs="Arial"/>
                <w:b/>
                <w:bCs/>
                <w:sz w:val="14"/>
                <w:szCs w:val="14"/>
              </w:rPr>
            </w:pPr>
            <w:r>
              <w:rPr>
                <w:rFonts w:ascii="Arial" w:hAnsi="Arial" w:eastAsia="Times New Roman" w:cs="Arial"/>
                <w:b/>
                <w:bCs/>
                <w:sz w:val="14"/>
                <w:szCs w:val="14"/>
              </w:rPr>
              <w:t> </w:t>
            </w:r>
          </w:p>
        </w:tc>
        <w:tc>
          <w:tcPr>
            <w:tcW w:w="554" w:type="pct"/>
            <w:tcBorders>
              <w:top w:val="single" w:color="auto" w:sz="4" w:space="0"/>
              <w:left w:val="nil"/>
              <w:bottom w:val="single" w:color="auto" w:sz="4" w:space="0"/>
              <w:right w:val="single" w:color="auto" w:sz="4" w:space="0"/>
            </w:tcBorders>
            <w:noWrap/>
            <w:vAlign w:val="center"/>
          </w:tcPr>
          <w:p w14:paraId="6C5041F3">
            <w:pPr>
              <w:spacing w:after="0" w:line="240" w:lineRule="auto"/>
              <w:rPr>
                <w:rFonts w:ascii="Arial" w:hAnsi="Arial" w:eastAsia="Times New Roman" w:cs="Arial"/>
                <w:b/>
                <w:bCs/>
                <w:sz w:val="14"/>
                <w:szCs w:val="14"/>
              </w:rPr>
            </w:pPr>
            <w:r>
              <w:rPr>
                <w:rFonts w:ascii="Arial" w:hAnsi="Arial" w:eastAsia="Times New Roman" w:cs="Arial"/>
                <w:b/>
                <w:bCs/>
                <w:sz w:val="14"/>
                <w:szCs w:val="14"/>
              </w:rPr>
              <w:t> </w:t>
            </w:r>
          </w:p>
        </w:tc>
      </w:tr>
      <w:tr w14:paraId="788A127F">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vAlign w:val="center"/>
          </w:tcPr>
          <w:p w14:paraId="1C02891B">
            <w:pPr>
              <w:spacing w:after="0" w:line="240" w:lineRule="auto"/>
              <w:rPr>
                <w:rFonts w:ascii="Arial" w:hAnsi="Arial" w:eastAsia="Times New Roman" w:cs="Arial"/>
                <w:b/>
                <w:bCs/>
                <w:color w:val="000000"/>
                <w:sz w:val="14"/>
                <w:szCs w:val="14"/>
              </w:rPr>
            </w:pPr>
            <w:r>
              <w:rPr>
                <w:rFonts w:ascii="Arial" w:hAnsi="Arial" w:eastAsia="Times New Roman" w:cs="Arial"/>
                <w:b/>
                <w:bCs/>
                <w:color w:val="000000"/>
                <w:sz w:val="14"/>
                <w:szCs w:val="14"/>
              </w:rPr>
              <w:t> </w:t>
            </w:r>
          </w:p>
        </w:tc>
        <w:tc>
          <w:tcPr>
            <w:tcW w:w="988" w:type="pct"/>
            <w:tcBorders>
              <w:top w:val="nil"/>
              <w:left w:val="nil"/>
              <w:bottom w:val="single" w:color="auto" w:sz="4" w:space="0"/>
              <w:right w:val="single" w:color="auto" w:sz="4" w:space="0"/>
            </w:tcBorders>
            <w:noWrap/>
            <w:vAlign w:val="center"/>
          </w:tcPr>
          <w:p w14:paraId="28528D5A">
            <w:pPr>
              <w:spacing w:after="0" w:line="240" w:lineRule="auto"/>
              <w:rPr>
                <w:rFonts w:ascii="Arial" w:hAnsi="Arial" w:eastAsia="Times New Roman" w:cs="Arial"/>
                <w:sz w:val="14"/>
                <w:szCs w:val="14"/>
              </w:rPr>
            </w:pPr>
            <w:r>
              <w:rPr>
                <w:rFonts w:ascii="Arial" w:hAnsi="Arial" w:eastAsia="Times New Roman" w:cs="Arial"/>
                <w:sz w:val="14"/>
                <w:szCs w:val="14"/>
              </w:rPr>
              <w:t>Plastic</w:t>
            </w:r>
          </w:p>
        </w:tc>
        <w:tc>
          <w:tcPr>
            <w:tcW w:w="635" w:type="pct"/>
            <w:tcBorders>
              <w:top w:val="nil"/>
              <w:left w:val="nil"/>
              <w:bottom w:val="single" w:color="auto" w:sz="4" w:space="0"/>
              <w:right w:val="single" w:color="auto" w:sz="4" w:space="0"/>
            </w:tcBorders>
            <w:noWrap/>
            <w:vAlign w:val="center"/>
          </w:tcPr>
          <w:p w14:paraId="0205868C">
            <w:pPr>
              <w:spacing w:after="0" w:line="240" w:lineRule="auto"/>
              <w:rPr>
                <w:rFonts w:ascii="Arial" w:hAnsi="Arial" w:eastAsia="Times New Roman" w:cs="Arial"/>
                <w:sz w:val="14"/>
                <w:szCs w:val="14"/>
              </w:rPr>
            </w:pPr>
            <w:r>
              <w:rPr>
                <w:rFonts w:ascii="Arial" w:hAnsi="Arial" w:eastAsia="Times New Roman" w:cs="Arial"/>
                <w:sz w:val="14"/>
                <w:szCs w:val="14"/>
              </w:rPr>
              <w:t> </w:t>
            </w:r>
          </w:p>
        </w:tc>
        <w:tc>
          <w:tcPr>
            <w:tcW w:w="635" w:type="pct"/>
            <w:tcBorders>
              <w:top w:val="nil"/>
              <w:left w:val="nil"/>
              <w:bottom w:val="single" w:color="auto" w:sz="4" w:space="0"/>
              <w:right w:val="single" w:color="auto" w:sz="4" w:space="0"/>
            </w:tcBorders>
            <w:noWrap/>
            <w:vAlign w:val="center"/>
          </w:tcPr>
          <w:p w14:paraId="29075BF6">
            <w:pPr>
              <w:spacing w:after="0" w:line="240" w:lineRule="auto"/>
              <w:rPr>
                <w:rFonts w:ascii="Arial" w:hAnsi="Arial" w:eastAsia="Times New Roman" w:cs="Arial"/>
                <w:sz w:val="14"/>
                <w:szCs w:val="14"/>
              </w:rPr>
            </w:pPr>
            <w:r>
              <w:rPr>
                <w:rFonts w:ascii="Arial" w:hAnsi="Arial" w:eastAsia="Times New Roman" w:cs="Arial"/>
                <w:sz w:val="14"/>
                <w:szCs w:val="14"/>
              </w:rPr>
              <w:t>Metal</w:t>
            </w:r>
          </w:p>
        </w:tc>
        <w:tc>
          <w:tcPr>
            <w:tcW w:w="544" w:type="pct"/>
            <w:tcBorders>
              <w:top w:val="nil"/>
              <w:left w:val="nil"/>
              <w:bottom w:val="single" w:color="auto" w:sz="4" w:space="0"/>
              <w:right w:val="single" w:color="auto" w:sz="4" w:space="0"/>
            </w:tcBorders>
            <w:noWrap/>
            <w:vAlign w:val="center"/>
          </w:tcPr>
          <w:p w14:paraId="1A5FC191">
            <w:pPr>
              <w:spacing w:after="0" w:line="240" w:lineRule="auto"/>
              <w:rPr>
                <w:rFonts w:ascii="Arial" w:hAnsi="Arial" w:eastAsia="Times New Roman" w:cs="Arial"/>
                <w:sz w:val="14"/>
                <w:szCs w:val="14"/>
              </w:rPr>
            </w:pPr>
            <w:r>
              <w:rPr>
                <w:rFonts w:ascii="Arial" w:hAnsi="Arial" w:eastAsia="Times New Roman" w:cs="Arial"/>
                <w:sz w:val="14"/>
                <w:szCs w:val="14"/>
              </w:rPr>
              <w:t> </w:t>
            </w:r>
          </w:p>
        </w:tc>
        <w:tc>
          <w:tcPr>
            <w:tcW w:w="635" w:type="pct"/>
            <w:tcBorders>
              <w:top w:val="nil"/>
              <w:left w:val="nil"/>
              <w:bottom w:val="single" w:color="auto" w:sz="4" w:space="0"/>
              <w:right w:val="single" w:color="auto" w:sz="4" w:space="0"/>
            </w:tcBorders>
            <w:noWrap/>
            <w:vAlign w:val="center"/>
          </w:tcPr>
          <w:p w14:paraId="66918FF2">
            <w:pPr>
              <w:spacing w:after="0" w:line="240" w:lineRule="auto"/>
              <w:rPr>
                <w:rFonts w:ascii="Arial" w:hAnsi="Arial" w:eastAsia="Times New Roman" w:cs="Arial"/>
                <w:sz w:val="14"/>
                <w:szCs w:val="14"/>
              </w:rPr>
            </w:pPr>
            <w:r>
              <w:rPr>
                <w:rFonts w:ascii="Arial" w:hAnsi="Arial" w:eastAsia="Times New Roman" w:cs="Arial"/>
                <w:sz w:val="14"/>
                <w:szCs w:val="14"/>
              </w:rPr>
              <w:t>Sticla</w:t>
            </w:r>
          </w:p>
        </w:tc>
        <w:tc>
          <w:tcPr>
            <w:tcW w:w="554" w:type="pct"/>
            <w:tcBorders>
              <w:top w:val="nil"/>
              <w:left w:val="nil"/>
              <w:bottom w:val="single" w:color="auto" w:sz="4" w:space="0"/>
              <w:right w:val="single" w:color="auto" w:sz="4" w:space="0"/>
            </w:tcBorders>
            <w:noWrap/>
            <w:vAlign w:val="center"/>
          </w:tcPr>
          <w:p w14:paraId="794C208F">
            <w:pPr>
              <w:spacing w:after="0" w:line="240" w:lineRule="auto"/>
              <w:rPr>
                <w:rFonts w:ascii="Arial" w:hAnsi="Arial" w:eastAsia="Times New Roman" w:cs="Arial"/>
                <w:sz w:val="14"/>
                <w:szCs w:val="14"/>
              </w:rPr>
            </w:pPr>
            <w:r>
              <w:rPr>
                <w:rFonts w:ascii="Arial" w:hAnsi="Arial" w:eastAsia="Times New Roman" w:cs="Arial"/>
                <w:sz w:val="14"/>
                <w:szCs w:val="14"/>
              </w:rPr>
              <w:t> </w:t>
            </w:r>
          </w:p>
        </w:tc>
      </w:tr>
      <w:tr w14:paraId="288E104E">
        <w:tblPrEx>
          <w:tblCellMar>
            <w:top w:w="0" w:type="dxa"/>
            <w:left w:w="108" w:type="dxa"/>
            <w:bottom w:w="0" w:type="dxa"/>
            <w:right w:w="108" w:type="dxa"/>
          </w:tblCellMar>
        </w:tblPrEx>
        <w:trPr>
          <w:trHeight w:val="315" w:hRule="atLeast"/>
        </w:trPr>
        <w:tc>
          <w:tcPr>
            <w:tcW w:w="1009" w:type="pct"/>
            <w:tcBorders>
              <w:top w:val="nil"/>
              <w:left w:val="single" w:color="auto" w:sz="4" w:space="0"/>
              <w:bottom w:val="single" w:color="auto" w:sz="4" w:space="0"/>
              <w:right w:val="single" w:color="auto" w:sz="4" w:space="0"/>
            </w:tcBorders>
            <w:vAlign w:val="center"/>
          </w:tcPr>
          <w:p w14:paraId="63F47869">
            <w:pPr>
              <w:spacing w:after="0" w:line="240" w:lineRule="auto"/>
              <w:rPr>
                <w:rFonts w:ascii="Arial" w:hAnsi="Arial" w:eastAsia="Times New Roman" w:cs="Arial"/>
                <w:b/>
                <w:bCs/>
                <w:color w:val="000000"/>
                <w:sz w:val="14"/>
                <w:szCs w:val="14"/>
              </w:rPr>
            </w:pPr>
            <w:r>
              <w:rPr>
                <w:rFonts w:ascii="Arial" w:hAnsi="Arial" w:eastAsia="Times New Roman" w:cs="Arial"/>
                <w:b/>
                <w:bCs/>
                <w:color w:val="000000"/>
                <w:sz w:val="14"/>
                <w:szCs w:val="14"/>
              </w:rPr>
              <w:t> </w:t>
            </w:r>
          </w:p>
        </w:tc>
        <w:tc>
          <w:tcPr>
            <w:tcW w:w="988" w:type="pct"/>
            <w:tcBorders>
              <w:top w:val="nil"/>
              <w:left w:val="nil"/>
              <w:bottom w:val="single" w:color="auto" w:sz="4" w:space="0"/>
              <w:right w:val="single" w:color="auto" w:sz="4" w:space="0"/>
            </w:tcBorders>
            <w:noWrap/>
            <w:vAlign w:val="center"/>
          </w:tcPr>
          <w:p w14:paraId="34BC521A">
            <w:pPr>
              <w:spacing w:after="0" w:line="240" w:lineRule="auto"/>
              <w:jc w:val="center"/>
              <w:rPr>
                <w:rFonts w:ascii="Arial" w:hAnsi="Arial" w:eastAsia="Times New Roman" w:cs="Arial"/>
                <w:b/>
                <w:bCs/>
                <w:sz w:val="14"/>
                <w:szCs w:val="14"/>
              </w:rPr>
            </w:pPr>
            <w:r>
              <w:rPr>
                <w:rFonts w:ascii="Arial" w:hAnsi="Arial" w:eastAsia="Times New Roman" w:cs="Arial"/>
                <w:b/>
                <w:bCs/>
                <w:sz w:val="14"/>
                <w:szCs w:val="14"/>
              </w:rPr>
              <w:t>Buc</w:t>
            </w:r>
          </w:p>
        </w:tc>
        <w:tc>
          <w:tcPr>
            <w:tcW w:w="635" w:type="pct"/>
            <w:tcBorders>
              <w:top w:val="nil"/>
              <w:left w:val="nil"/>
              <w:bottom w:val="single" w:color="auto" w:sz="4" w:space="0"/>
              <w:right w:val="single" w:color="auto" w:sz="4" w:space="0"/>
            </w:tcBorders>
            <w:noWrap/>
            <w:vAlign w:val="center"/>
          </w:tcPr>
          <w:p w14:paraId="37A66FE2">
            <w:pPr>
              <w:spacing w:after="0" w:line="240" w:lineRule="auto"/>
              <w:jc w:val="center"/>
              <w:rPr>
                <w:rFonts w:ascii="Arial" w:hAnsi="Arial" w:eastAsia="Times New Roman" w:cs="Arial"/>
                <w:b/>
                <w:bCs/>
                <w:sz w:val="14"/>
                <w:szCs w:val="14"/>
              </w:rPr>
            </w:pPr>
            <w:r>
              <w:rPr>
                <w:rFonts w:ascii="Arial" w:hAnsi="Arial" w:eastAsia="Times New Roman" w:cs="Arial"/>
                <w:b/>
                <w:bCs/>
                <w:sz w:val="14"/>
                <w:szCs w:val="14"/>
              </w:rPr>
              <w:t>Kg</w:t>
            </w:r>
          </w:p>
        </w:tc>
        <w:tc>
          <w:tcPr>
            <w:tcW w:w="635" w:type="pct"/>
            <w:tcBorders>
              <w:top w:val="nil"/>
              <w:left w:val="nil"/>
              <w:bottom w:val="single" w:color="auto" w:sz="4" w:space="0"/>
              <w:right w:val="single" w:color="auto" w:sz="4" w:space="0"/>
            </w:tcBorders>
            <w:noWrap/>
            <w:vAlign w:val="center"/>
          </w:tcPr>
          <w:p w14:paraId="071F1309">
            <w:pPr>
              <w:spacing w:after="0" w:line="240" w:lineRule="auto"/>
              <w:jc w:val="center"/>
              <w:rPr>
                <w:rFonts w:ascii="Arial" w:hAnsi="Arial" w:eastAsia="Times New Roman" w:cs="Arial"/>
                <w:b/>
                <w:bCs/>
                <w:sz w:val="14"/>
                <w:szCs w:val="14"/>
              </w:rPr>
            </w:pPr>
            <w:r>
              <w:rPr>
                <w:rFonts w:ascii="Arial" w:hAnsi="Arial" w:eastAsia="Times New Roman" w:cs="Arial"/>
                <w:b/>
                <w:bCs/>
                <w:sz w:val="14"/>
                <w:szCs w:val="14"/>
              </w:rPr>
              <w:t>Buc</w:t>
            </w:r>
          </w:p>
        </w:tc>
        <w:tc>
          <w:tcPr>
            <w:tcW w:w="544" w:type="pct"/>
            <w:tcBorders>
              <w:top w:val="nil"/>
              <w:left w:val="nil"/>
              <w:bottom w:val="single" w:color="auto" w:sz="4" w:space="0"/>
              <w:right w:val="single" w:color="auto" w:sz="4" w:space="0"/>
            </w:tcBorders>
            <w:noWrap/>
            <w:vAlign w:val="center"/>
          </w:tcPr>
          <w:p w14:paraId="4E2A0341">
            <w:pPr>
              <w:spacing w:after="0" w:line="240" w:lineRule="auto"/>
              <w:jc w:val="center"/>
              <w:rPr>
                <w:rFonts w:ascii="Arial" w:hAnsi="Arial" w:eastAsia="Times New Roman" w:cs="Arial"/>
                <w:b/>
                <w:bCs/>
                <w:sz w:val="14"/>
                <w:szCs w:val="14"/>
              </w:rPr>
            </w:pPr>
            <w:r>
              <w:rPr>
                <w:rFonts w:ascii="Arial" w:hAnsi="Arial" w:eastAsia="Times New Roman" w:cs="Arial"/>
                <w:b/>
                <w:bCs/>
                <w:sz w:val="14"/>
                <w:szCs w:val="14"/>
              </w:rPr>
              <w:t>Kg</w:t>
            </w:r>
          </w:p>
        </w:tc>
        <w:tc>
          <w:tcPr>
            <w:tcW w:w="635" w:type="pct"/>
            <w:tcBorders>
              <w:top w:val="nil"/>
              <w:left w:val="nil"/>
              <w:bottom w:val="single" w:color="auto" w:sz="4" w:space="0"/>
              <w:right w:val="single" w:color="auto" w:sz="4" w:space="0"/>
            </w:tcBorders>
            <w:noWrap/>
            <w:vAlign w:val="center"/>
          </w:tcPr>
          <w:p w14:paraId="3CCBBD4A">
            <w:pPr>
              <w:spacing w:after="0" w:line="240" w:lineRule="auto"/>
              <w:jc w:val="center"/>
              <w:rPr>
                <w:rFonts w:ascii="Arial" w:hAnsi="Arial" w:eastAsia="Times New Roman" w:cs="Arial"/>
                <w:b/>
                <w:bCs/>
                <w:sz w:val="14"/>
                <w:szCs w:val="14"/>
              </w:rPr>
            </w:pPr>
            <w:r>
              <w:rPr>
                <w:rFonts w:ascii="Arial" w:hAnsi="Arial" w:eastAsia="Times New Roman" w:cs="Arial"/>
                <w:b/>
                <w:bCs/>
                <w:sz w:val="14"/>
                <w:szCs w:val="14"/>
              </w:rPr>
              <w:t>Buc</w:t>
            </w:r>
          </w:p>
        </w:tc>
        <w:tc>
          <w:tcPr>
            <w:tcW w:w="554" w:type="pct"/>
            <w:tcBorders>
              <w:top w:val="nil"/>
              <w:left w:val="nil"/>
              <w:bottom w:val="single" w:color="auto" w:sz="4" w:space="0"/>
              <w:right w:val="single" w:color="auto" w:sz="4" w:space="0"/>
            </w:tcBorders>
            <w:noWrap/>
            <w:vAlign w:val="center"/>
          </w:tcPr>
          <w:p w14:paraId="6F299034">
            <w:pPr>
              <w:spacing w:after="0" w:line="240" w:lineRule="auto"/>
              <w:jc w:val="center"/>
              <w:rPr>
                <w:rFonts w:ascii="Arial" w:hAnsi="Arial" w:eastAsia="Times New Roman" w:cs="Arial"/>
                <w:b/>
                <w:bCs/>
                <w:sz w:val="14"/>
                <w:szCs w:val="14"/>
              </w:rPr>
            </w:pPr>
            <w:r>
              <w:rPr>
                <w:rFonts w:ascii="Arial" w:hAnsi="Arial" w:eastAsia="Times New Roman" w:cs="Arial"/>
                <w:b/>
                <w:bCs/>
                <w:sz w:val="14"/>
                <w:szCs w:val="14"/>
              </w:rPr>
              <w:t>Kg</w:t>
            </w:r>
          </w:p>
        </w:tc>
      </w:tr>
      <w:tr w14:paraId="5138FE5E">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6D144C1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Oltenița</w:t>
            </w:r>
          </w:p>
        </w:tc>
        <w:tc>
          <w:tcPr>
            <w:tcW w:w="988" w:type="pct"/>
            <w:tcBorders>
              <w:top w:val="nil"/>
              <w:left w:val="nil"/>
              <w:bottom w:val="single" w:color="auto" w:sz="4" w:space="0"/>
              <w:right w:val="single" w:color="auto" w:sz="4" w:space="0"/>
            </w:tcBorders>
            <w:noWrap/>
            <w:vAlign w:val="bottom"/>
          </w:tcPr>
          <w:p w14:paraId="3EB7DA55">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4,974,318.00 </w:t>
            </w:r>
          </w:p>
        </w:tc>
        <w:tc>
          <w:tcPr>
            <w:tcW w:w="635" w:type="pct"/>
            <w:tcBorders>
              <w:top w:val="nil"/>
              <w:left w:val="nil"/>
              <w:bottom w:val="single" w:color="auto" w:sz="4" w:space="0"/>
              <w:right w:val="single" w:color="auto" w:sz="4" w:space="0"/>
            </w:tcBorders>
            <w:noWrap/>
            <w:vAlign w:val="bottom"/>
          </w:tcPr>
          <w:p w14:paraId="2E3FCFEA">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166,864.74 </w:t>
            </w:r>
          </w:p>
        </w:tc>
        <w:tc>
          <w:tcPr>
            <w:tcW w:w="635" w:type="pct"/>
            <w:tcBorders>
              <w:top w:val="nil"/>
              <w:left w:val="nil"/>
              <w:bottom w:val="single" w:color="auto" w:sz="4" w:space="0"/>
              <w:right w:val="single" w:color="auto" w:sz="4" w:space="0"/>
            </w:tcBorders>
            <w:noWrap/>
            <w:vAlign w:val="bottom"/>
          </w:tcPr>
          <w:p w14:paraId="6118001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2,373,821.00 </w:t>
            </w:r>
          </w:p>
        </w:tc>
        <w:tc>
          <w:tcPr>
            <w:tcW w:w="544" w:type="pct"/>
            <w:tcBorders>
              <w:top w:val="nil"/>
              <w:left w:val="nil"/>
              <w:bottom w:val="single" w:color="auto" w:sz="4" w:space="0"/>
              <w:right w:val="single" w:color="auto" w:sz="4" w:space="0"/>
            </w:tcBorders>
            <w:noWrap/>
            <w:vAlign w:val="bottom"/>
          </w:tcPr>
          <w:p w14:paraId="70C8B2D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31,778.70 </w:t>
            </w:r>
          </w:p>
        </w:tc>
        <w:tc>
          <w:tcPr>
            <w:tcW w:w="635" w:type="pct"/>
            <w:tcBorders>
              <w:top w:val="nil"/>
              <w:left w:val="nil"/>
              <w:bottom w:val="single" w:color="auto" w:sz="4" w:space="0"/>
              <w:right w:val="single" w:color="auto" w:sz="4" w:space="0"/>
            </w:tcBorders>
            <w:noWrap/>
            <w:vAlign w:val="bottom"/>
          </w:tcPr>
          <w:p w14:paraId="5E81FAA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2,222,686.00 </w:t>
            </w:r>
          </w:p>
        </w:tc>
        <w:tc>
          <w:tcPr>
            <w:tcW w:w="554" w:type="pct"/>
            <w:tcBorders>
              <w:top w:val="nil"/>
              <w:left w:val="nil"/>
              <w:bottom w:val="single" w:color="auto" w:sz="4" w:space="0"/>
              <w:right w:val="single" w:color="auto" w:sz="4" w:space="0"/>
            </w:tcBorders>
            <w:noWrap/>
            <w:vAlign w:val="bottom"/>
          </w:tcPr>
          <w:p w14:paraId="3B79F857">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573,401.32 </w:t>
            </w:r>
          </w:p>
        </w:tc>
      </w:tr>
      <w:tr w14:paraId="05D2193D">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1283310C">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Budești</w:t>
            </w:r>
          </w:p>
        </w:tc>
        <w:tc>
          <w:tcPr>
            <w:tcW w:w="988" w:type="pct"/>
            <w:tcBorders>
              <w:top w:val="nil"/>
              <w:left w:val="nil"/>
              <w:bottom w:val="single" w:color="auto" w:sz="4" w:space="0"/>
              <w:right w:val="single" w:color="auto" w:sz="4" w:space="0"/>
            </w:tcBorders>
            <w:noWrap/>
            <w:vAlign w:val="bottom"/>
          </w:tcPr>
          <w:p w14:paraId="4DFD451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1,590,323.00 </w:t>
            </w:r>
          </w:p>
        </w:tc>
        <w:tc>
          <w:tcPr>
            <w:tcW w:w="635" w:type="pct"/>
            <w:tcBorders>
              <w:top w:val="nil"/>
              <w:left w:val="nil"/>
              <w:bottom w:val="single" w:color="auto" w:sz="4" w:space="0"/>
              <w:right w:val="single" w:color="auto" w:sz="4" w:space="0"/>
            </w:tcBorders>
            <w:noWrap/>
            <w:vAlign w:val="bottom"/>
          </w:tcPr>
          <w:p w14:paraId="08516CB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55,553.94 </w:t>
            </w:r>
          </w:p>
        </w:tc>
        <w:tc>
          <w:tcPr>
            <w:tcW w:w="635" w:type="pct"/>
            <w:tcBorders>
              <w:top w:val="nil"/>
              <w:left w:val="nil"/>
              <w:bottom w:val="single" w:color="auto" w:sz="4" w:space="0"/>
              <w:right w:val="single" w:color="auto" w:sz="4" w:space="0"/>
            </w:tcBorders>
            <w:noWrap/>
            <w:vAlign w:val="bottom"/>
          </w:tcPr>
          <w:p w14:paraId="36C5442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750,564.00 </w:t>
            </w:r>
          </w:p>
        </w:tc>
        <w:tc>
          <w:tcPr>
            <w:tcW w:w="544" w:type="pct"/>
            <w:tcBorders>
              <w:top w:val="nil"/>
              <w:left w:val="nil"/>
              <w:bottom w:val="single" w:color="auto" w:sz="4" w:space="0"/>
              <w:right w:val="single" w:color="auto" w:sz="4" w:space="0"/>
            </w:tcBorders>
            <w:noWrap/>
            <w:vAlign w:val="bottom"/>
          </w:tcPr>
          <w:p w14:paraId="48D4A6E5">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10,040.04 </w:t>
            </w:r>
          </w:p>
        </w:tc>
        <w:tc>
          <w:tcPr>
            <w:tcW w:w="635" w:type="pct"/>
            <w:tcBorders>
              <w:top w:val="nil"/>
              <w:left w:val="nil"/>
              <w:bottom w:val="single" w:color="auto" w:sz="4" w:space="0"/>
              <w:right w:val="single" w:color="auto" w:sz="4" w:space="0"/>
            </w:tcBorders>
            <w:noWrap/>
            <w:vAlign w:val="bottom"/>
          </w:tcPr>
          <w:p w14:paraId="21137C6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724,576.00 </w:t>
            </w:r>
          </w:p>
        </w:tc>
        <w:tc>
          <w:tcPr>
            <w:tcW w:w="554" w:type="pct"/>
            <w:tcBorders>
              <w:top w:val="nil"/>
              <w:left w:val="nil"/>
              <w:bottom w:val="single" w:color="auto" w:sz="4" w:space="0"/>
              <w:right w:val="single" w:color="auto" w:sz="4" w:space="0"/>
            </w:tcBorders>
            <w:noWrap/>
            <w:vAlign w:val="bottom"/>
          </w:tcPr>
          <w:p w14:paraId="039853C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192,722.76 </w:t>
            </w:r>
          </w:p>
        </w:tc>
      </w:tr>
      <w:tr w14:paraId="62492C78">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681EF1E1">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Căscioarele</w:t>
            </w:r>
          </w:p>
        </w:tc>
        <w:tc>
          <w:tcPr>
            <w:tcW w:w="988" w:type="pct"/>
            <w:tcBorders>
              <w:top w:val="nil"/>
              <w:left w:val="nil"/>
              <w:bottom w:val="single" w:color="auto" w:sz="4" w:space="0"/>
              <w:right w:val="single" w:color="auto" w:sz="4" w:space="0"/>
            </w:tcBorders>
            <w:noWrap/>
            <w:vAlign w:val="bottom"/>
          </w:tcPr>
          <w:p w14:paraId="063231D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635" w:type="pct"/>
            <w:tcBorders>
              <w:top w:val="nil"/>
              <w:left w:val="nil"/>
              <w:bottom w:val="single" w:color="auto" w:sz="4" w:space="0"/>
              <w:right w:val="single" w:color="auto" w:sz="4" w:space="0"/>
            </w:tcBorders>
            <w:noWrap/>
            <w:vAlign w:val="bottom"/>
          </w:tcPr>
          <w:p w14:paraId="4EAEA43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635" w:type="pct"/>
            <w:tcBorders>
              <w:top w:val="nil"/>
              <w:left w:val="nil"/>
              <w:bottom w:val="single" w:color="auto" w:sz="4" w:space="0"/>
              <w:right w:val="single" w:color="auto" w:sz="4" w:space="0"/>
            </w:tcBorders>
            <w:noWrap/>
            <w:vAlign w:val="bottom"/>
          </w:tcPr>
          <w:p w14:paraId="1CDE20FB">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544" w:type="pct"/>
            <w:tcBorders>
              <w:top w:val="nil"/>
              <w:left w:val="nil"/>
              <w:bottom w:val="single" w:color="auto" w:sz="4" w:space="0"/>
              <w:right w:val="single" w:color="auto" w:sz="4" w:space="0"/>
            </w:tcBorders>
            <w:noWrap/>
            <w:vAlign w:val="bottom"/>
          </w:tcPr>
          <w:p w14:paraId="10A3F89B">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635" w:type="pct"/>
            <w:tcBorders>
              <w:top w:val="nil"/>
              <w:left w:val="nil"/>
              <w:bottom w:val="single" w:color="auto" w:sz="4" w:space="0"/>
              <w:right w:val="single" w:color="auto" w:sz="4" w:space="0"/>
            </w:tcBorders>
            <w:noWrap/>
            <w:vAlign w:val="bottom"/>
          </w:tcPr>
          <w:p w14:paraId="7D85075B">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554" w:type="pct"/>
            <w:tcBorders>
              <w:top w:val="nil"/>
              <w:left w:val="nil"/>
              <w:bottom w:val="single" w:color="auto" w:sz="4" w:space="0"/>
              <w:right w:val="single" w:color="auto" w:sz="4" w:space="0"/>
            </w:tcBorders>
            <w:noWrap/>
            <w:vAlign w:val="bottom"/>
          </w:tcPr>
          <w:p w14:paraId="73781EF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r>
      <w:tr w14:paraId="55AB5520">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2C3BD4BB">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Chirnogi</w:t>
            </w:r>
          </w:p>
        </w:tc>
        <w:tc>
          <w:tcPr>
            <w:tcW w:w="988" w:type="pct"/>
            <w:tcBorders>
              <w:top w:val="nil"/>
              <w:left w:val="nil"/>
              <w:bottom w:val="single" w:color="auto" w:sz="4" w:space="0"/>
              <w:right w:val="single" w:color="auto" w:sz="4" w:space="0"/>
            </w:tcBorders>
            <w:noWrap/>
            <w:vAlign w:val="bottom"/>
          </w:tcPr>
          <w:p w14:paraId="0E5CDB4F">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659,165.00 </w:t>
            </w:r>
          </w:p>
        </w:tc>
        <w:tc>
          <w:tcPr>
            <w:tcW w:w="635" w:type="pct"/>
            <w:tcBorders>
              <w:top w:val="nil"/>
              <w:left w:val="nil"/>
              <w:bottom w:val="single" w:color="auto" w:sz="4" w:space="0"/>
              <w:right w:val="single" w:color="auto" w:sz="4" w:space="0"/>
            </w:tcBorders>
            <w:noWrap/>
            <w:vAlign w:val="bottom"/>
          </w:tcPr>
          <w:p w14:paraId="1B56233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22,407.91 </w:t>
            </w:r>
          </w:p>
        </w:tc>
        <w:tc>
          <w:tcPr>
            <w:tcW w:w="635" w:type="pct"/>
            <w:tcBorders>
              <w:top w:val="nil"/>
              <w:left w:val="nil"/>
              <w:bottom w:val="single" w:color="auto" w:sz="4" w:space="0"/>
              <w:right w:val="single" w:color="auto" w:sz="4" w:space="0"/>
            </w:tcBorders>
            <w:noWrap/>
            <w:vAlign w:val="bottom"/>
          </w:tcPr>
          <w:p w14:paraId="5291D3B0">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285,837.00 </w:t>
            </w:r>
          </w:p>
        </w:tc>
        <w:tc>
          <w:tcPr>
            <w:tcW w:w="544" w:type="pct"/>
            <w:tcBorders>
              <w:top w:val="nil"/>
              <w:left w:val="nil"/>
              <w:bottom w:val="single" w:color="auto" w:sz="4" w:space="0"/>
              <w:right w:val="single" w:color="auto" w:sz="4" w:space="0"/>
            </w:tcBorders>
            <w:noWrap/>
            <w:vAlign w:val="bottom"/>
          </w:tcPr>
          <w:p w14:paraId="3F72F78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3,641.49 </w:t>
            </w:r>
          </w:p>
        </w:tc>
        <w:tc>
          <w:tcPr>
            <w:tcW w:w="635" w:type="pct"/>
            <w:tcBorders>
              <w:top w:val="nil"/>
              <w:left w:val="nil"/>
              <w:bottom w:val="single" w:color="auto" w:sz="4" w:space="0"/>
              <w:right w:val="single" w:color="auto" w:sz="4" w:space="0"/>
            </w:tcBorders>
            <w:noWrap/>
            <w:vAlign w:val="bottom"/>
          </w:tcPr>
          <w:p w14:paraId="388FDCA7">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248,727.00 </w:t>
            </w:r>
          </w:p>
        </w:tc>
        <w:tc>
          <w:tcPr>
            <w:tcW w:w="554" w:type="pct"/>
            <w:tcBorders>
              <w:top w:val="nil"/>
              <w:left w:val="nil"/>
              <w:bottom w:val="single" w:color="auto" w:sz="4" w:space="0"/>
              <w:right w:val="single" w:color="auto" w:sz="4" w:space="0"/>
            </w:tcBorders>
            <w:noWrap/>
            <w:vAlign w:val="bottom"/>
          </w:tcPr>
          <w:p w14:paraId="0210B2E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62,958.41 </w:t>
            </w:r>
          </w:p>
        </w:tc>
      </w:tr>
      <w:tr w14:paraId="7914A4FA">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28EDA257">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Chiselet</w:t>
            </w:r>
          </w:p>
        </w:tc>
        <w:tc>
          <w:tcPr>
            <w:tcW w:w="988" w:type="pct"/>
            <w:tcBorders>
              <w:top w:val="nil"/>
              <w:left w:val="nil"/>
              <w:bottom w:val="single" w:color="auto" w:sz="4" w:space="0"/>
              <w:right w:val="single" w:color="auto" w:sz="4" w:space="0"/>
            </w:tcBorders>
            <w:noWrap/>
            <w:vAlign w:val="bottom"/>
          </w:tcPr>
          <w:p w14:paraId="3F79BBCC">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90,135.00 </w:t>
            </w:r>
          </w:p>
        </w:tc>
        <w:tc>
          <w:tcPr>
            <w:tcW w:w="635" w:type="pct"/>
            <w:tcBorders>
              <w:top w:val="nil"/>
              <w:left w:val="nil"/>
              <w:bottom w:val="single" w:color="auto" w:sz="4" w:space="0"/>
              <w:right w:val="single" w:color="auto" w:sz="4" w:space="0"/>
            </w:tcBorders>
            <w:noWrap/>
            <w:vAlign w:val="bottom"/>
          </w:tcPr>
          <w:p w14:paraId="3C2652E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3,010.15 </w:t>
            </w:r>
          </w:p>
        </w:tc>
        <w:tc>
          <w:tcPr>
            <w:tcW w:w="635" w:type="pct"/>
            <w:tcBorders>
              <w:top w:val="nil"/>
              <w:left w:val="nil"/>
              <w:bottom w:val="single" w:color="auto" w:sz="4" w:space="0"/>
              <w:right w:val="single" w:color="auto" w:sz="4" w:space="0"/>
            </w:tcBorders>
            <w:noWrap/>
            <w:vAlign w:val="bottom"/>
          </w:tcPr>
          <w:p w14:paraId="25485BCA">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42,733.00 </w:t>
            </w:r>
          </w:p>
        </w:tc>
        <w:tc>
          <w:tcPr>
            <w:tcW w:w="544" w:type="pct"/>
            <w:tcBorders>
              <w:top w:val="nil"/>
              <w:left w:val="nil"/>
              <w:bottom w:val="single" w:color="auto" w:sz="4" w:space="0"/>
              <w:right w:val="single" w:color="auto" w:sz="4" w:space="0"/>
            </w:tcBorders>
            <w:noWrap/>
            <w:vAlign w:val="bottom"/>
          </w:tcPr>
          <w:p w14:paraId="63F61A5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844.63 </w:t>
            </w:r>
          </w:p>
        </w:tc>
        <w:tc>
          <w:tcPr>
            <w:tcW w:w="635" w:type="pct"/>
            <w:tcBorders>
              <w:top w:val="nil"/>
              <w:left w:val="nil"/>
              <w:bottom w:val="single" w:color="auto" w:sz="4" w:space="0"/>
              <w:right w:val="single" w:color="auto" w:sz="4" w:space="0"/>
            </w:tcBorders>
            <w:noWrap/>
            <w:vAlign w:val="bottom"/>
          </w:tcPr>
          <w:p w14:paraId="735E54A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32,024.00 </w:t>
            </w:r>
          </w:p>
        </w:tc>
        <w:tc>
          <w:tcPr>
            <w:tcW w:w="554" w:type="pct"/>
            <w:tcBorders>
              <w:top w:val="nil"/>
              <w:left w:val="nil"/>
              <w:bottom w:val="single" w:color="auto" w:sz="4" w:space="0"/>
              <w:right w:val="single" w:color="auto" w:sz="4" w:space="0"/>
            </w:tcBorders>
            <w:noWrap/>
            <w:vAlign w:val="bottom"/>
          </w:tcPr>
          <w:p w14:paraId="04E24F9B">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7,604.36 </w:t>
            </w:r>
          </w:p>
        </w:tc>
      </w:tr>
      <w:tr w14:paraId="749CF9EA">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280A097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Crivăț</w:t>
            </w:r>
          </w:p>
        </w:tc>
        <w:tc>
          <w:tcPr>
            <w:tcW w:w="988" w:type="pct"/>
            <w:tcBorders>
              <w:top w:val="nil"/>
              <w:left w:val="nil"/>
              <w:bottom w:val="single" w:color="auto" w:sz="4" w:space="0"/>
              <w:right w:val="single" w:color="auto" w:sz="4" w:space="0"/>
            </w:tcBorders>
            <w:noWrap/>
            <w:vAlign w:val="bottom"/>
          </w:tcPr>
          <w:p w14:paraId="241959B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635" w:type="pct"/>
            <w:tcBorders>
              <w:top w:val="nil"/>
              <w:left w:val="nil"/>
              <w:bottom w:val="single" w:color="auto" w:sz="4" w:space="0"/>
              <w:right w:val="single" w:color="auto" w:sz="4" w:space="0"/>
            </w:tcBorders>
            <w:noWrap/>
            <w:vAlign w:val="bottom"/>
          </w:tcPr>
          <w:p w14:paraId="7B93B29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635" w:type="pct"/>
            <w:tcBorders>
              <w:top w:val="nil"/>
              <w:left w:val="nil"/>
              <w:bottom w:val="single" w:color="auto" w:sz="4" w:space="0"/>
              <w:right w:val="single" w:color="auto" w:sz="4" w:space="0"/>
            </w:tcBorders>
            <w:noWrap/>
            <w:vAlign w:val="bottom"/>
          </w:tcPr>
          <w:p w14:paraId="6C38623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544" w:type="pct"/>
            <w:tcBorders>
              <w:top w:val="nil"/>
              <w:left w:val="nil"/>
              <w:bottom w:val="single" w:color="auto" w:sz="4" w:space="0"/>
              <w:right w:val="single" w:color="auto" w:sz="4" w:space="0"/>
            </w:tcBorders>
            <w:noWrap/>
            <w:vAlign w:val="bottom"/>
          </w:tcPr>
          <w:p w14:paraId="4A1DAE54">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635" w:type="pct"/>
            <w:tcBorders>
              <w:top w:val="nil"/>
              <w:left w:val="nil"/>
              <w:bottom w:val="single" w:color="auto" w:sz="4" w:space="0"/>
              <w:right w:val="single" w:color="auto" w:sz="4" w:space="0"/>
            </w:tcBorders>
            <w:noWrap/>
            <w:vAlign w:val="bottom"/>
          </w:tcPr>
          <w:p w14:paraId="6FB5A334">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554" w:type="pct"/>
            <w:tcBorders>
              <w:top w:val="nil"/>
              <w:left w:val="nil"/>
              <w:bottom w:val="single" w:color="auto" w:sz="4" w:space="0"/>
              <w:right w:val="single" w:color="auto" w:sz="4" w:space="0"/>
            </w:tcBorders>
            <w:noWrap/>
            <w:vAlign w:val="bottom"/>
          </w:tcPr>
          <w:p w14:paraId="2643082A">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r>
      <w:tr w14:paraId="791E1D69">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452C6ADC">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Curcani</w:t>
            </w:r>
          </w:p>
        </w:tc>
        <w:tc>
          <w:tcPr>
            <w:tcW w:w="988" w:type="pct"/>
            <w:tcBorders>
              <w:top w:val="nil"/>
              <w:left w:val="nil"/>
              <w:bottom w:val="single" w:color="auto" w:sz="4" w:space="0"/>
              <w:right w:val="single" w:color="auto" w:sz="4" w:space="0"/>
            </w:tcBorders>
            <w:noWrap/>
            <w:vAlign w:val="bottom"/>
          </w:tcPr>
          <w:p w14:paraId="540C66A4">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3,504.00 </w:t>
            </w:r>
          </w:p>
        </w:tc>
        <w:tc>
          <w:tcPr>
            <w:tcW w:w="635" w:type="pct"/>
            <w:tcBorders>
              <w:top w:val="nil"/>
              <w:left w:val="nil"/>
              <w:bottom w:val="single" w:color="auto" w:sz="4" w:space="0"/>
              <w:right w:val="single" w:color="auto" w:sz="4" w:space="0"/>
            </w:tcBorders>
            <w:noWrap/>
            <w:vAlign w:val="bottom"/>
          </w:tcPr>
          <w:p w14:paraId="7ACA90EB">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119.53 </w:t>
            </w:r>
          </w:p>
        </w:tc>
        <w:tc>
          <w:tcPr>
            <w:tcW w:w="635" w:type="pct"/>
            <w:tcBorders>
              <w:top w:val="nil"/>
              <w:left w:val="nil"/>
              <w:bottom w:val="single" w:color="auto" w:sz="4" w:space="0"/>
              <w:right w:val="single" w:color="auto" w:sz="4" w:space="0"/>
            </w:tcBorders>
            <w:noWrap/>
            <w:vAlign w:val="bottom"/>
          </w:tcPr>
          <w:p w14:paraId="4826846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2,159.00 </w:t>
            </w:r>
          </w:p>
        </w:tc>
        <w:tc>
          <w:tcPr>
            <w:tcW w:w="544" w:type="pct"/>
            <w:tcBorders>
              <w:top w:val="nil"/>
              <w:left w:val="nil"/>
              <w:bottom w:val="single" w:color="auto" w:sz="4" w:space="0"/>
              <w:right w:val="single" w:color="auto" w:sz="4" w:space="0"/>
            </w:tcBorders>
            <w:noWrap/>
            <w:vAlign w:val="bottom"/>
          </w:tcPr>
          <w:p w14:paraId="08B3299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65.47 </w:t>
            </w:r>
          </w:p>
        </w:tc>
        <w:tc>
          <w:tcPr>
            <w:tcW w:w="635" w:type="pct"/>
            <w:tcBorders>
              <w:top w:val="nil"/>
              <w:left w:val="nil"/>
              <w:bottom w:val="single" w:color="auto" w:sz="4" w:space="0"/>
              <w:right w:val="single" w:color="auto" w:sz="4" w:space="0"/>
            </w:tcBorders>
            <w:noWrap/>
            <w:vAlign w:val="bottom"/>
          </w:tcPr>
          <w:p w14:paraId="5C4F06C1">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2,235.00 </w:t>
            </w:r>
          </w:p>
        </w:tc>
        <w:tc>
          <w:tcPr>
            <w:tcW w:w="554" w:type="pct"/>
            <w:tcBorders>
              <w:top w:val="nil"/>
              <w:left w:val="nil"/>
              <w:bottom w:val="single" w:color="auto" w:sz="4" w:space="0"/>
              <w:right w:val="single" w:color="auto" w:sz="4" w:space="0"/>
            </w:tcBorders>
            <w:noWrap/>
            <w:vAlign w:val="bottom"/>
          </w:tcPr>
          <w:p w14:paraId="5EC2FAD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553.84 </w:t>
            </w:r>
          </w:p>
        </w:tc>
      </w:tr>
      <w:tr w14:paraId="3543627E">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135B4965">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Frumușani</w:t>
            </w:r>
          </w:p>
        </w:tc>
        <w:tc>
          <w:tcPr>
            <w:tcW w:w="988" w:type="pct"/>
            <w:tcBorders>
              <w:top w:val="nil"/>
              <w:left w:val="nil"/>
              <w:bottom w:val="single" w:color="auto" w:sz="4" w:space="0"/>
              <w:right w:val="single" w:color="auto" w:sz="4" w:space="0"/>
            </w:tcBorders>
            <w:noWrap/>
            <w:vAlign w:val="bottom"/>
          </w:tcPr>
          <w:p w14:paraId="301B721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600,361.00 </w:t>
            </w:r>
          </w:p>
        </w:tc>
        <w:tc>
          <w:tcPr>
            <w:tcW w:w="635" w:type="pct"/>
            <w:tcBorders>
              <w:top w:val="nil"/>
              <w:left w:val="nil"/>
              <w:bottom w:val="single" w:color="auto" w:sz="4" w:space="0"/>
              <w:right w:val="single" w:color="auto" w:sz="4" w:space="0"/>
            </w:tcBorders>
            <w:noWrap/>
            <w:vAlign w:val="bottom"/>
          </w:tcPr>
          <w:p w14:paraId="27F4EAB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21,078.12 </w:t>
            </w:r>
          </w:p>
        </w:tc>
        <w:tc>
          <w:tcPr>
            <w:tcW w:w="635" w:type="pct"/>
            <w:tcBorders>
              <w:top w:val="nil"/>
              <w:left w:val="nil"/>
              <w:bottom w:val="single" w:color="auto" w:sz="4" w:space="0"/>
              <w:right w:val="single" w:color="auto" w:sz="4" w:space="0"/>
            </w:tcBorders>
            <w:noWrap/>
            <w:vAlign w:val="bottom"/>
          </w:tcPr>
          <w:p w14:paraId="79DD732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296,913.00 </w:t>
            </w:r>
          </w:p>
        </w:tc>
        <w:tc>
          <w:tcPr>
            <w:tcW w:w="544" w:type="pct"/>
            <w:tcBorders>
              <w:top w:val="nil"/>
              <w:left w:val="nil"/>
              <w:bottom w:val="single" w:color="auto" w:sz="4" w:space="0"/>
              <w:right w:val="single" w:color="auto" w:sz="4" w:space="0"/>
            </w:tcBorders>
            <w:noWrap/>
            <w:vAlign w:val="bottom"/>
          </w:tcPr>
          <w:p w14:paraId="3F98797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4,002.77 </w:t>
            </w:r>
          </w:p>
        </w:tc>
        <w:tc>
          <w:tcPr>
            <w:tcW w:w="635" w:type="pct"/>
            <w:tcBorders>
              <w:top w:val="nil"/>
              <w:left w:val="nil"/>
              <w:bottom w:val="single" w:color="auto" w:sz="4" w:space="0"/>
              <w:right w:val="single" w:color="auto" w:sz="4" w:space="0"/>
            </w:tcBorders>
            <w:noWrap/>
            <w:vAlign w:val="bottom"/>
          </w:tcPr>
          <w:p w14:paraId="577978D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298,982.00 </w:t>
            </w:r>
          </w:p>
        </w:tc>
        <w:tc>
          <w:tcPr>
            <w:tcW w:w="554" w:type="pct"/>
            <w:tcBorders>
              <w:top w:val="nil"/>
              <w:left w:val="nil"/>
              <w:bottom w:val="single" w:color="auto" w:sz="4" w:space="0"/>
              <w:right w:val="single" w:color="auto" w:sz="4" w:space="0"/>
            </w:tcBorders>
            <w:noWrap/>
            <w:vAlign w:val="bottom"/>
          </w:tcPr>
          <w:p w14:paraId="6A1EA8EC">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81,339.66 </w:t>
            </w:r>
          </w:p>
        </w:tc>
      </w:tr>
      <w:tr w14:paraId="33955892">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75263FC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Fundeni</w:t>
            </w:r>
          </w:p>
        </w:tc>
        <w:tc>
          <w:tcPr>
            <w:tcW w:w="988" w:type="pct"/>
            <w:tcBorders>
              <w:top w:val="nil"/>
              <w:left w:val="nil"/>
              <w:bottom w:val="single" w:color="auto" w:sz="4" w:space="0"/>
              <w:right w:val="single" w:color="auto" w:sz="4" w:space="0"/>
            </w:tcBorders>
            <w:noWrap/>
            <w:vAlign w:val="bottom"/>
          </w:tcPr>
          <w:p w14:paraId="576ABF57">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417,703.00 </w:t>
            </w:r>
          </w:p>
        </w:tc>
        <w:tc>
          <w:tcPr>
            <w:tcW w:w="635" w:type="pct"/>
            <w:tcBorders>
              <w:top w:val="nil"/>
              <w:left w:val="nil"/>
              <w:bottom w:val="single" w:color="auto" w:sz="4" w:space="0"/>
              <w:right w:val="single" w:color="auto" w:sz="4" w:space="0"/>
            </w:tcBorders>
            <w:noWrap/>
            <w:vAlign w:val="bottom"/>
          </w:tcPr>
          <w:p w14:paraId="353B500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14,580.38 </w:t>
            </w:r>
          </w:p>
        </w:tc>
        <w:tc>
          <w:tcPr>
            <w:tcW w:w="635" w:type="pct"/>
            <w:tcBorders>
              <w:top w:val="nil"/>
              <w:left w:val="nil"/>
              <w:bottom w:val="single" w:color="auto" w:sz="4" w:space="0"/>
              <w:right w:val="single" w:color="auto" w:sz="4" w:space="0"/>
            </w:tcBorders>
            <w:noWrap/>
            <w:vAlign w:val="bottom"/>
          </w:tcPr>
          <w:p w14:paraId="3F7A448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159,069.00 </w:t>
            </w:r>
          </w:p>
        </w:tc>
        <w:tc>
          <w:tcPr>
            <w:tcW w:w="544" w:type="pct"/>
            <w:tcBorders>
              <w:top w:val="nil"/>
              <w:left w:val="nil"/>
              <w:bottom w:val="single" w:color="auto" w:sz="4" w:space="0"/>
              <w:right w:val="single" w:color="auto" w:sz="4" w:space="0"/>
            </w:tcBorders>
            <w:noWrap/>
            <w:vAlign w:val="bottom"/>
          </w:tcPr>
          <w:p w14:paraId="50A3F86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1,925.32 </w:t>
            </w:r>
          </w:p>
        </w:tc>
        <w:tc>
          <w:tcPr>
            <w:tcW w:w="635" w:type="pct"/>
            <w:tcBorders>
              <w:top w:val="nil"/>
              <w:left w:val="nil"/>
              <w:bottom w:val="single" w:color="auto" w:sz="4" w:space="0"/>
              <w:right w:val="single" w:color="auto" w:sz="4" w:space="0"/>
            </w:tcBorders>
            <w:noWrap/>
            <w:vAlign w:val="bottom"/>
          </w:tcPr>
          <w:p w14:paraId="3D7CC5C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180,608.00 </w:t>
            </w:r>
          </w:p>
        </w:tc>
        <w:tc>
          <w:tcPr>
            <w:tcW w:w="554" w:type="pct"/>
            <w:tcBorders>
              <w:top w:val="nil"/>
              <w:left w:val="nil"/>
              <w:bottom w:val="single" w:color="auto" w:sz="4" w:space="0"/>
              <w:right w:val="single" w:color="auto" w:sz="4" w:space="0"/>
            </w:tcBorders>
            <w:noWrap/>
            <w:vAlign w:val="bottom"/>
          </w:tcPr>
          <w:p w14:paraId="76BC5EFF">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50,777.66 </w:t>
            </w:r>
          </w:p>
        </w:tc>
      </w:tr>
      <w:tr w14:paraId="5E847EC0">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03739D4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Gălbinași</w:t>
            </w:r>
          </w:p>
        </w:tc>
        <w:tc>
          <w:tcPr>
            <w:tcW w:w="988" w:type="pct"/>
            <w:tcBorders>
              <w:top w:val="nil"/>
              <w:left w:val="nil"/>
              <w:bottom w:val="single" w:color="auto" w:sz="4" w:space="0"/>
              <w:right w:val="single" w:color="auto" w:sz="4" w:space="0"/>
            </w:tcBorders>
            <w:noWrap/>
            <w:vAlign w:val="bottom"/>
          </w:tcPr>
          <w:p w14:paraId="056658A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692,900.00 </w:t>
            </w:r>
          </w:p>
        </w:tc>
        <w:tc>
          <w:tcPr>
            <w:tcW w:w="635" w:type="pct"/>
            <w:tcBorders>
              <w:top w:val="nil"/>
              <w:left w:val="nil"/>
              <w:bottom w:val="single" w:color="auto" w:sz="4" w:space="0"/>
              <w:right w:val="single" w:color="auto" w:sz="4" w:space="0"/>
            </w:tcBorders>
            <w:noWrap/>
            <w:vAlign w:val="bottom"/>
          </w:tcPr>
          <w:p w14:paraId="4263FC0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24,047.69 </w:t>
            </w:r>
          </w:p>
        </w:tc>
        <w:tc>
          <w:tcPr>
            <w:tcW w:w="635" w:type="pct"/>
            <w:tcBorders>
              <w:top w:val="nil"/>
              <w:left w:val="nil"/>
              <w:bottom w:val="single" w:color="auto" w:sz="4" w:space="0"/>
              <w:right w:val="single" w:color="auto" w:sz="4" w:space="0"/>
            </w:tcBorders>
            <w:noWrap/>
            <w:vAlign w:val="bottom"/>
          </w:tcPr>
          <w:p w14:paraId="10C8479A">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309,238.00 </w:t>
            </w:r>
          </w:p>
        </w:tc>
        <w:tc>
          <w:tcPr>
            <w:tcW w:w="544" w:type="pct"/>
            <w:tcBorders>
              <w:top w:val="nil"/>
              <w:left w:val="nil"/>
              <w:bottom w:val="single" w:color="auto" w:sz="4" w:space="0"/>
              <w:right w:val="single" w:color="auto" w:sz="4" w:space="0"/>
            </w:tcBorders>
            <w:noWrap/>
            <w:vAlign w:val="bottom"/>
          </w:tcPr>
          <w:p w14:paraId="6E6F951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3,519.64 </w:t>
            </w:r>
          </w:p>
        </w:tc>
        <w:tc>
          <w:tcPr>
            <w:tcW w:w="635" w:type="pct"/>
            <w:tcBorders>
              <w:top w:val="nil"/>
              <w:left w:val="nil"/>
              <w:bottom w:val="single" w:color="auto" w:sz="4" w:space="0"/>
              <w:right w:val="single" w:color="auto" w:sz="4" w:space="0"/>
            </w:tcBorders>
            <w:noWrap/>
            <w:vAlign w:val="bottom"/>
          </w:tcPr>
          <w:p w14:paraId="49B88640">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315,514.00 </w:t>
            </w:r>
          </w:p>
        </w:tc>
        <w:tc>
          <w:tcPr>
            <w:tcW w:w="554" w:type="pct"/>
            <w:tcBorders>
              <w:top w:val="nil"/>
              <w:left w:val="nil"/>
              <w:bottom w:val="single" w:color="auto" w:sz="4" w:space="0"/>
              <w:right w:val="single" w:color="auto" w:sz="4" w:space="0"/>
            </w:tcBorders>
            <w:noWrap/>
            <w:vAlign w:val="bottom"/>
          </w:tcPr>
          <w:p w14:paraId="470323E2">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85,800.37 </w:t>
            </w:r>
          </w:p>
        </w:tc>
      </w:tr>
      <w:tr w14:paraId="6090B339">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1BFF69F0">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Luica</w:t>
            </w:r>
          </w:p>
        </w:tc>
        <w:tc>
          <w:tcPr>
            <w:tcW w:w="988" w:type="pct"/>
            <w:tcBorders>
              <w:top w:val="nil"/>
              <w:left w:val="nil"/>
              <w:bottom w:val="single" w:color="auto" w:sz="4" w:space="0"/>
              <w:right w:val="single" w:color="auto" w:sz="4" w:space="0"/>
            </w:tcBorders>
            <w:noWrap/>
            <w:vAlign w:val="bottom"/>
          </w:tcPr>
          <w:p w14:paraId="308FDC07">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635" w:type="pct"/>
            <w:tcBorders>
              <w:top w:val="nil"/>
              <w:left w:val="nil"/>
              <w:bottom w:val="single" w:color="auto" w:sz="4" w:space="0"/>
              <w:right w:val="single" w:color="auto" w:sz="4" w:space="0"/>
            </w:tcBorders>
            <w:noWrap/>
            <w:vAlign w:val="bottom"/>
          </w:tcPr>
          <w:p w14:paraId="19F8C91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635" w:type="pct"/>
            <w:tcBorders>
              <w:top w:val="nil"/>
              <w:left w:val="nil"/>
              <w:bottom w:val="single" w:color="auto" w:sz="4" w:space="0"/>
              <w:right w:val="single" w:color="auto" w:sz="4" w:space="0"/>
            </w:tcBorders>
            <w:noWrap/>
            <w:vAlign w:val="bottom"/>
          </w:tcPr>
          <w:p w14:paraId="78475B4F">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544" w:type="pct"/>
            <w:tcBorders>
              <w:top w:val="nil"/>
              <w:left w:val="nil"/>
              <w:bottom w:val="single" w:color="auto" w:sz="4" w:space="0"/>
              <w:right w:val="single" w:color="auto" w:sz="4" w:space="0"/>
            </w:tcBorders>
            <w:noWrap/>
            <w:vAlign w:val="bottom"/>
          </w:tcPr>
          <w:p w14:paraId="6486CB60">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635" w:type="pct"/>
            <w:tcBorders>
              <w:top w:val="nil"/>
              <w:left w:val="nil"/>
              <w:bottom w:val="single" w:color="auto" w:sz="4" w:space="0"/>
              <w:right w:val="single" w:color="auto" w:sz="4" w:space="0"/>
            </w:tcBorders>
            <w:noWrap/>
            <w:vAlign w:val="bottom"/>
          </w:tcPr>
          <w:p w14:paraId="22350E7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c>
          <w:tcPr>
            <w:tcW w:w="554" w:type="pct"/>
            <w:tcBorders>
              <w:top w:val="nil"/>
              <w:left w:val="nil"/>
              <w:bottom w:val="single" w:color="auto" w:sz="4" w:space="0"/>
              <w:right w:val="single" w:color="auto" w:sz="4" w:space="0"/>
            </w:tcBorders>
            <w:noWrap/>
            <w:vAlign w:val="bottom"/>
          </w:tcPr>
          <w:p w14:paraId="68780CD2">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   </w:t>
            </w:r>
          </w:p>
        </w:tc>
      </w:tr>
      <w:tr w14:paraId="3D1D094D">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2A3870D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Mitreni</w:t>
            </w:r>
          </w:p>
        </w:tc>
        <w:tc>
          <w:tcPr>
            <w:tcW w:w="988" w:type="pct"/>
            <w:tcBorders>
              <w:top w:val="nil"/>
              <w:left w:val="nil"/>
              <w:bottom w:val="single" w:color="auto" w:sz="4" w:space="0"/>
              <w:right w:val="single" w:color="auto" w:sz="4" w:space="0"/>
            </w:tcBorders>
            <w:noWrap/>
            <w:vAlign w:val="bottom"/>
          </w:tcPr>
          <w:p w14:paraId="524EC25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237,460.00 </w:t>
            </w:r>
          </w:p>
        </w:tc>
        <w:tc>
          <w:tcPr>
            <w:tcW w:w="635" w:type="pct"/>
            <w:tcBorders>
              <w:top w:val="nil"/>
              <w:left w:val="nil"/>
              <w:bottom w:val="single" w:color="auto" w:sz="4" w:space="0"/>
              <w:right w:val="single" w:color="auto" w:sz="4" w:space="0"/>
            </w:tcBorders>
            <w:noWrap/>
            <w:vAlign w:val="bottom"/>
          </w:tcPr>
          <w:p w14:paraId="3282B80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8,203.52 </w:t>
            </w:r>
          </w:p>
        </w:tc>
        <w:tc>
          <w:tcPr>
            <w:tcW w:w="635" w:type="pct"/>
            <w:tcBorders>
              <w:top w:val="nil"/>
              <w:left w:val="nil"/>
              <w:bottom w:val="single" w:color="auto" w:sz="4" w:space="0"/>
              <w:right w:val="single" w:color="auto" w:sz="4" w:space="0"/>
            </w:tcBorders>
            <w:noWrap/>
            <w:vAlign w:val="bottom"/>
          </w:tcPr>
          <w:p w14:paraId="5BDAF3BB">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111,151.00 </w:t>
            </w:r>
          </w:p>
        </w:tc>
        <w:tc>
          <w:tcPr>
            <w:tcW w:w="544" w:type="pct"/>
            <w:tcBorders>
              <w:top w:val="nil"/>
              <w:left w:val="nil"/>
              <w:bottom w:val="single" w:color="auto" w:sz="4" w:space="0"/>
              <w:right w:val="single" w:color="auto" w:sz="4" w:space="0"/>
            </w:tcBorders>
            <w:noWrap/>
            <w:vAlign w:val="bottom"/>
          </w:tcPr>
          <w:p w14:paraId="79C52B31">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1,414.64 </w:t>
            </w:r>
          </w:p>
        </w:tc>
        <w:tc>
          <w:tcPr>
            <w:tcW w:w="635" w:type="pct"/>
            <w:tcBorders>
              <w:top w:val="nil"/>
              <w:left w:val="nil"/>
              <w:bottom w:val="single" w:color="auto" w:sz="4" w:space="0"/>
              <w:right w:val="single" w:color="auto" w:sz="4" w:space="0"/>
            </w:tcBorders>
            <w:noWrap/>
            <w:vAlign w:val="bottom"/>
          </w:tcPr>
          <w:p w14:paraId="1C16E3F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101,034.00 </w:t>
            </w:r>
          </w:p>
        </w:tc>
        <w:tc>
          <w:tcPr>
            <w:tcW w:w="554" w:type="pct"/>
            <w:tcBorders>
              <w:top w:val="nil"/>
              <w:left w:val="nil"/>
              <w:bottom w:val="single" w:color="auto" w:sz="4" w:space="0"/>
              <w:right w:val="single" w:color="auto" w:sz="4" w:space="0"/>
            </w:tcBorders>
            <w:noWrap/>
            <w:vAlign w:val="bottom"/>
          </w:tcPr>
          <w:p w14:paraId="353493F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25,806.42 </w:t>
            </w:r>
          </w:p>
        </w:tc>
      </w:tr>
      <w:tr w14:paraId="4D060A29">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1DFAAD0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Nana</w:t>
            </w:r>
          </w:p>
        </w:tc>
        <w:tc>
          <w:tcPr>
            <w:tcW w:w="988" w:type="pct"/>
            <w:tcBorders>
              <w:top w:val="nil"/>
              <w:left w:val="nil"/>
              <w:bottom w:val="single" w:color="auto" w:sz="4" w:space="0"/>
              <w:right w:val="single" w:color="auto" w:sz="4" w:space="0"/>
            </w:tcBorders>
            <w:noWrap/>
            <w:vAlign w:val="bottom"/>
          </w:tcPr>
          <w:p w14:paraId="34CBFDF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24,570.00 </w:t>
            </w:r>
          </w:p>
        </w:tc>
        <w:tc>
          <w:tcPr>
            <w:tcW w:w="635" w:type="pct"/>
            <w:tcBorders>
              <w:top w:val="nil"/>
              <w:left w:val="nil"/>
              <w:bottom w:val="single" w:color="auto" w:sz="4" w:space="0"/>
              <w:right w:val="single" w:color="auto" w:sz="4" w:space="0"/>
            </w:tcBorders>
            <w:noWrap/>
            <w:vAlign w:val="bottom"/>
          </w:tcPr>
          <w:p w14:paraId="10DBD211">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915.18 </w:t>
            </w:r>
          </w:p>
        </w:tc>
        <w:tc>
          <w:tcPr>
            <w:tcW w:w="635" w:type="pct"/>
            <w:tcBorders>
              <w:top w:val="nil"/>
              <w:left w:val="nil"/>
              <w:bottom w:val="single" w:color="auto" w:sz="4" w:space="0"/>
              <w:right w:val="single" w:color="auto" w:sz="4" w:space="0"/>
            </w:tcBorders>
            <w:noWrap/>
            <w:vAlign w:val="bottom"/>
          </w:tcPr>
          <w:p w14:paraId="5C169304">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9,461.00 </w:t>
            </w:r>
          </w:p>
        </w:tc>
        <w:tc>
          <w:tcPr>
            <w:tcW w:w="544" w:type="pct"/>
            <w:tcBorders>
              <w:top w:val="nil"/>
              <w:left w:val="nil"/>
              <w:bottom w:val="single" w:color="auto" w:sz="4" w:space="0"/>
              <w:right w:val="single" w:color="auto" w:sz="4" w:space="0"/>
            </w:tcBorders>
            <w:noWrap/>
            <w:vAlign w:val="bottom"/>
          </w:tcPr>
          <w:p w14:paraId="6912ED2C">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180.13 </w:t>
            </w:r>
          </w:p>
        </w:tc>
        <w:tc>
          <w:tcPr>
            <w:tcW w:w="635" w:type="pct"/>
            <w:tcBorders>
              <w:top w:val="nil"/>
              <w:left w:val="nil"/>
              <w:bottom w:val="single" w:color="auto" w:sz="4" w:space="0"/>
              <w:right w:val="single" w:color="auto" w:sz="4" w:space="0"/>
            </w:tcBorders>
            <w:noWrap/>
            <w:vAlign w:val="bottom"/>
          </w:tcPr>
          <w:p w14:paraId="1621A055">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15,367.00 </w:t>
            </w:r>
          </w:p>
        </w:tc>
        <w:tc>
          <w:tcPr>
            <w:tcW w:w="554" w:type="pct"/>
            <w:tcBorders>
              <w:top w:val="nil"/>
              <w:left w:val="nil"/>
              <w:bottom w:val="single" w:color="auto" w:sz="4" w:space="0"/>
              <w:right w:val="single" w:color="auto" w:sz="4" w:space="0"/>
            </w:tcBorders>
            <w:noWrap/>
            <w:vAlign w:val="bottom"/>
          </w:tcPr>
          <w:p w14:paraId="23108D3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3,838.85 </w:t>
            </w:r>
          </w:p>
        </w:tc>
      </w:tr>
      <w:tr w14:paraId="0CD0D2F5">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7BC0B3E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Plătărești</w:t>
            </w:r>
          </w:p>
        </w:tc>
        <w:tc>
          <w:tcPr>
            <w:tcW w:w="988" w:type="pct"/>
            <w:tcBorders>
              <w:top w:val="nil"/>
              <w:left w:val="nil"/>
              <w:bottom w:val="single" w:color="auto" w:sz="4" w:space="0"/>
              <w:right w:val="single" w:color="auto" w:sz="4" w:space="0"/>
            </w:tcBorders>
            <w:noWrap/>
            <w:vAlign w:val="bottom"/>
          </w:tcPr>
          <w:p w14:paraId="2AC2FCD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278,102.00 </w:t>
            </w:r>
          </w:p>
        </w:tc>
        <w:tc>
          <w:tcPr>
            <w:tcW w:w="635" w:type="pct"/>
            <w:tcBorders>
              <w:top w:val="nil"/>
              <w:left w:val="nil"/>
              <w:bottom w:val="single" w:color="auto" w:sz="4" w:space="0"/>
              <w:right w:val="single" w:color="auto" w:sz="4" w:space="0"/>
            </w:tcBorders>
            <w:noWrap/>
            <w:vAlign w:val="bottom"/>
          </w:tcPr>
          <w:p w14:paraId="156B70A5">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10,034.89 </w:t>
            </w:r>
          </w:p>
        </w:tc>
        <w:tc>
          <w:tcPr>
            <w:tcW w:w="635" w:type="pct"/>
            <w:tcBorders>
              <w:top w:val="nil"/>
              <w:left w:val="nil"/>
              <w:bottom w:val="single" w:color="auto" w:sz="4" w:space="0"/>
              <w:right w:val="single" w:color="auto" w:sz="4" w:space="0"/>
            </w:tcBorders>
            <w:noWrap/>
            <w:vAlign w:val="bottom"/>
          </w:tcPr>
          <w:p w14:paraId="55CD32EC">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116,509.00 </w:t>
            </w:r>
          </w:p>
        </w:tc>
        <w:tc>
          <w:tcPr>
            <w:tcW w:w="544" w:type="pct"/>
            <w:tcBorders>
              <w:top w:val="nil"/>
              <w:left w:val="nil"/>
              <w:bottom w:val="single" w:color="auto" w:sz="4" w:space="0"/>
              <w:right w:val="single" w:color="auto" w:sz="4" w:space="0"/>
            </w:tcBorders>
            <w:noWrap/>
            <w:vAlign w:val="bottom"/>
          </w:tcPr>
          <w:p w14:paraId="3C275E6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2,127.57 </w:t>
            </w:r>
          </w:p>
        </w:tc>
        <w:tc>
          <w:tcPr>
            <w:tcW w:w="635" w:type="pct"/>
            <w:tcBorders>
              <w:top w:val="nil"/>
              <w:left w:val="nil"/>
              <w:bottom w:val="single" w:color="auto" w:sz="4" w:space="0"/>
              <w:right w:val="single" w:color="auto" w:sz="4" w:space="0"/>
            </w:tcBorders>
            <w:noWrap/>
            <w:vAlign w:val="bottom"/>
          </w:tcPr>
          <w:p w14:paraId="4D5E5B81">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140,014.00 </w:t>
            </w:r>
          </w:p>
        </w:tc>
        <w:tc>
          <w:tcPr>
            <w:tcW w:w="554" w:type="pct"/>
            <w:tcBorders>
              <w:top w:val="nil"/>
              <w:left w:val="nil"/>
              <w:bottom w:val="single" w:color="auto" w:sz="4" w:space="0"/>
              <w:right w:val="single" w:color="auto" w:sz="4" w:space="0"/>
            </w:tcBorders>
            <w:noWrap/>
            <w:vAlign w:val="bottom"/>
          </w:tcPr>
          <w:p w14:paraId="37E950E2">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36,540.75 </w:t>
            </w:r>
          </w:p>
        </w:tc>
      </w:tr>
      <w:tr w14:paraId="4373392A">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4239C73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Radovanu</w:t>
            </w:r>
          </w:p>
        </w:tc>
        <w:tc>
          <w:tcPr>
            <w:tcW w:w="988" w:type="pct"/>
            <w:tcBorders>
              <w:top w:val="nil"/>
              <w:left w:val="nil"/>
              <w:bottom w:val="single" w:color="auto" w:sz="4" w:space="0"/>
              <w:right w:val="single" w:color="auto" w:sz="4" w:space="0"/>
            </w:tcBorders>
            <w:noWrap/>
            <w:vAlign w:val="bottom"/>
          </w:tcPr>
          <w:p w14:paraId="3D9C440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310,862.00 </w:t>
            </w:r>
          </w:p>
        </w:tc>
        <w:tc>
          <w:tcPr>
            <w:tcW w:w="635" w:type="pct"/>
            <w:tcBorders>
              <w:top w:val="nil"/>
              <w:left w:val="nil"/>
              <w:bottom w:val="single" w:color="auto" w:sz="4" w:space="0"/>
              <w:right w:val="single" w:color="auto" w:sz="4" w:space="0"/>
            </w:tcBorders>
            <w:noWrap/>
            <w:vAlign w:val="bottom"/>
          </w:tcPr>
          <w:p w14:paraId="2EEA791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10,755.41 </w:t>
            </w:r>
          </w:p>
        </w:tc>
        <w:tc>
          <w:tcPr>
            <w:tcW w:w="635" w:type="pct"/>
            <w:tcBorders>
              <w:top w:val="nil"/>
              <w:left w:val="nil"/>
              <w:bottom w:val="single" w:color="auto" w:sz="4" w:space="0"/>
              <w:right w:val="single" w:color="auto" w:sz="4" w:space="0"/>
            </w:tcBorders>
            <w:noWrap/>
            <w:vAlign w:val="bottom"/>
          </w:tcPr>
          <w:p w14:paraId="74352CB1">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160,792.00 </w:t>
            </w:r>
          </w:p>
        </w:tc>
        <w:tc>
          <w:tcPr>
            <w:tcW w:w="544" w:type="pct"/>
            <w:tcBorders>
              <w:top w:val="nil"/>
              <w:left w:val="nil"/>
              <w:bottom w:val="single" w:color="auto" w:sz="4" w:space="0"/>
              <w:right w:val="single" w:color="auto" w:sz="4" w:space="0"/>
            </w:tcBorders>
            <w:noWrap/>
            <w:vAlign w:val="bottom"/>
          </w:tcPr>
          <w:p w14:paraId="3700765E">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2,044.61 </w:t>
            </w:r>
          </w:p>
        </w:tc>
        <w:tc>
          <w:tcPr>
            <w:tcW w:w="635" w:type="pct"/>
            <w:tcBorders>
              <w:top w:val="nil"/>
              <w:left w:val="nil"/>
              <w:bottom w:val="single" w:color="auto" w:sz="4" w:space="0"/>
              <w:right w:val="single" w:color="auto" w:sz="4" w:space="0"/>
            </w:tcBorders>
            <w:noWrap/>
            <w:vAlign w:val="bottom"/>
          </w:tcPr>
          <w:p w14:paraId="27C9B590">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142,649.00 </w:t>
            </w:r>
          </w:p>
        </w:tc>
        <w:tc>
          <w:tcPr>
            <w:tcW w:w="554" w:type="pct"/>
            <w:tcBorders>
              <w:top w:val="nil"/>
              <w:left w:val="nil"/>
              <w:bottom w:val="single" w:color="auto" w:sz="4" w:space="0"/>
              <w:right w:val="single" w:color="auto" w:sz="4" w:space="0"/>
            </w:tcBorders>
            <w:noWrap/>
            <w:vAlign w:val="bottom"/>
          </w:tcPr>
          <w:p w14:paraId="00471EBF">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36,470.07 </w:t>
            </w:r>
          </w:p>
        </w:tc>
      </w:tr>
      <w:tr w14:paraId="4DA10489">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3664C771">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Șoldanu</w:t>
            </w:r>
          </w:p>
        </w:tc>
        <w:tc>
          <w:tcPr>
            <w:tcW w:w="988" w:type="pct"/>
            <w:tcBorders>
              <w:top w:val="nil"/>
              <w:left w:val="nil"/>
              <w:bottom w:val="single" w:color="auto" w:sz="4" w:space="0"/>
              <w:right w:val="single" w:color="auto" w:sz="4" w:space="0"/>
            </w:tcBorders>
            <w:noWrap/>
            <w:vAlign w:val="bottom"/>
          </w:tcPr>
          <w:p w14:paraId="53441157">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219,270.00 </w:t>
            </w:r>
          </w:p>
        </w:tc>
        <w:tc>
          <w:tcPr>
            <w:tcW w:w="635" w:type="pct"/>
            <w:tcBorders>
              <w:top w:val="nil"/>
              <w:left w:val="nil"/>
              <w:bottom w:val="single" w:color="auto" w:sz="4" w:space="0"/>
              <w:right w:val="single" w:color="auto" w:sz="4" w:space="0"/>
            </w:tcBorders>
            <w:noWrap/>
            <w:vAlign w:val="bottom"/>
          </w:tcPr>
          <w:p w14:paraId="755A27E5">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7,833.05 </w:t>
            </w:r>
          </w:p>
        </w:tc>
        <w:tc>
          <w:tcPr>
            <w:tcW w:w="635" w:type="pct"/>
            <w:tcBorders>
              <w:top w:val="nil"/>
              <w:left w:val="nil"/>
              <w:bottom w:val="single" w:color="auto" w:sz="4" w:space="0"/>
              <w:right w:val="single" w:color="auto" w:sz="4" w:space="0"/>
            </w:tcBorders>
            <w:noWrap/>
            <w:vAlign w:val="bottom"/>
          </w:tcPr>
          <w:p w14:paraId="1EB96E9C">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106,550.00 </w:t>
            </w:r>
          </w:p>
        </w:tc>
        <w:tc>
          <w:tcPr>
            <w:tcW w:w="544" w:type="pct"/>
            <w:tcBorders>
              <w:top w:val="nil"/>
              <w:left w:val="nil"/>
              <w:bottom w:val="single" w:color="auto" w:sz="4" w:space="0"/>
              <w:right w:val="single" w:color="auto" w:sz="4" w:space="0"/>
            </w:tcBorders>
            <w:noWrap/>
            <w:vAlign w:val="bottom"/>
          </w:tcPr>
          <w:p w14:paraId="4AD5183C">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1,287.33 </w:t>
            </w:r>
          </w:p>
        </w:tc>
        <w:tc>
          <w:tcPr>
            <w:tcW w:w="635" w:type="pct"/>
            <w:tcBorders>
              <w:top w:val="nil"/>
              <w:left w:val="nil"/>
              <w:bottom w:val="single" w:color="auto" w:sz="4" w:space="0"/>
              <w:right w:val="single" w:color="auto" w:sz="4" w:space="0"/>
            </w:tcBorders>
            <w:noWrap/>
            <w:vAlign w:val="bottom"/>
          </w:tcPr>
          <w:p w14:paraId="6C0F8D2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134,001.00 </w:t>
            </w:r>
          </w:p>
        </w:tc>
        <w:tc>
          <w:tcPr>
            <w:tcW w:w="554" w:type="pct"/>
            <w:tcBorders>
              <w:top w:val="nil"/>
              <w:left w:val="nil"/>
              <w:bottom w:val="single" w:color="auto" w:sz="4" w:space="0"/>
              <w:right w:val="single" w:color="auto" w:sz="4" w:space="0"/>
            </w:tcBorders>
            <w:noWrap/>
            <w:vAlign w:val="bottom"/>
          </w:tcPr>
          <w:p w14:paraId="2BA75628">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34,348.53 </w:t>
            </w:r>
          </w:p>
        </w:tc>
      </w:tr>
      <w:tr w14:paraId="4CE35A49">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3537EAF7">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Spanțov</w:t>
            </w:r>
          </w:p>
        </w:tc>
        <w:tc>
          <w:tcPr>
            <w:tcW w:w="988" w:type="pct"/>
            <w:tcBorders>
              <w:top w:val="nil"/>
              <w:left w:val="nil"/>
              <w:bottom w:val="single" w:color="auto" w:sz="4" w:space="0"/>
              <w:right w:val="single" w:color="auto" w:sz="4" w:space="0"/>
            </w:tcBorders>
            <w:noWrap/>
            <w:vAlign w:val="bottom"/>
          </w:tcPr>
          <w:p w14:paraId="3D3DCE7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3,970.00 </w:t>
            </w:r>
          </w:p>
        </w:tc>
        <w:tc>
          <w:tcPr>
            <w:tcW w:w="635" w:type="pct"/>
            <w:tcBorders>
              <w:top w:val="nil"/>
              <w:left w:val="nil"/>
              <w:bottom w:val="single" w:color="auto" w:sz="4" w:space="0"/>
              <w:right w:val="single" w:color="auto" w:sz="4" w:space="0"/>
            </w:tcBorders>
            <w:noWrap/>
            <w:vAlign w:val="bottom"/>
          </w:tcPr>
          <w:p w14:paraId="0727533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105.62 </w:t>
            </w:r>
          </w:p>
        </w:tc>
        <w:tc>
          <w:tcPr>
            <w:tcW w:w="635" w:type="pct"/>
            <w:tcBorders>
              <w:top w:val="nil"/>
              <w:left w:val="nil"/>
              <w:bottom w:val="single" w:color="auto" w:sz="4" w:space="0"/>
              <w:right w:val="single" w:color="auto" w:sz="4" w:space="0"/>
            </w:tcBorders>
            <w:noWrap/>
            <w:vAlign w:val="bottom"/>
          </w:tcPr>
          <w:p w14:paraId="0AAF9170">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1,127.00 </w:t>
            </w:r>
          </w:p>
        </w:tc>
        <w:tc>
          <w:tcPr>
            <w:tcW w:w="544" w:type="pct"/>
            <w:tcBorders>
              <w:top w:val="nil"/>
              <w:left w:val="nil"/>
              <w:bottom w:val="single" w:color="auto" w:sz="4" w:space="0"/>
              <w:right w:val="single" w:color="auto" w:sz="4" w:space="0"/>
            </w:tcBorders>
            <w:noWrap/>
            <w:vAlign w:val="bottom"/>
          </w:tcPr>
          <w:p w14:paraId="0C6B3B3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32.24 </w:t>
            </w:r>
          </w:p>
        </w:tc>
        <w:tc>
          <w:tcPr>
            <w:tcW w:w="635" w:type="pct"/>
            <w:tcBorders>
              <w:top w:val="nil"/>
              <w:left w:val="nil"/>
              <w:bottom w:val="single" w:color="auto" w:sz="4" w:space="0"/>
              <w:right w:val="single" w:color="auto" w:sz="4" w:space="0"/>
            </w:tcBorders>
            <w:noWrap/>
            <w:vAlign w:val="bottom"/>
          </w:tcPr>
          <w:p w14:paraId="08CBC2C4">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2,157.00 </w:t>
            </w:r>
          </w:p>
        </w:tc>
        <w:tc>
          <w:tcPr>
            <w:tcW w:w="554" w:type="pct"/>
            <w:tcBorders>
              <w:top w:val="nil"/>
              <w:left w:val="nil"/>
              <w:bottom w:val="single" w:color="auto" w:sz="4" w:space="0"/>
              <w:right w:val="single" w:color="auto" w:sz="4" w:space="0"/>
            </w:tcBorders>
            <w:noWrap/>
            <w:vAlign w:val="bottom"/>
          </w:tcPr>
          <w:p w14:paraId="0BFB9081">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570.08 </w:t>
            </w:r>
          </w:p>
        </w:tc>
      </w:tr>
      <w:tr w14:paraId="543FF1C1">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490B8FEA">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Ulmeni</w:t>
            </w:r>
          </w:p>
        </w:tc>
        <w:tc>
          <w:tcPr>
            <w:tcW w:w="988" w:type="pct"/>
            <w:tcBorders>
              <w:top w:val="nil"/>
              <w:left w:val="nil"/>
              <w:bottom w:val="single" w:color="auto" w:sz="4" w:space="0"/>
              <w:right w:val="single" w:color="auto" w:sz="4" w:space="0"/>
            </w:tcBorders>
            <w:noWrap/>
            <w:vAlign w:val="bottom"/>
          </w:tcPr>
          <w:p w14:paraId="5B9CE557">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314,446.00 </w:t>
            </w:r>
          </w:p>
        </w:tc>
        <w:tc>
          <w:tcPr>
            <w:tcW w:w="635" w:type="pct"/>
            <w:tcBorders>
              <w:top w:val="nil"/>
              <w:left w:val="nil"/>
              <w:bottom w:val="single" w:color="auto" w:sz="4" w:space="0"/>
              <w:right w:val="single" w:color="auto" w:sz="4" w:space="0"/>
            </w:tcBorders>
            <w:noWrap/>
            <w:vAlign w:val="bottom"/>
          </w:tcPr>
          <w:p w14:paraId="2D17129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10,559.95 </w:t>
            </w:r>
          </w:p>
        </w:tc>
        <w:tc>
          <w:tcPr>
            <w:tcW w:w="635" w:type="pct"/>
            <w:tcBorders>
              <w:top w:val="nil"/>
              <w:left w:val="nil"/>
              <w:bottom w:val="single" w:color="auto" w:sz="4" w:space="0"/>
              <w:right w:val="single" w:color="auto" w:sz="4" w:space="0"/>
            </w:tcBorders>
            <w:noWrap/>
            <w:vAlign w:val="bottom"/>
          </w:tcPr>
          <w:p w14:paraId="69304E51">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157,575.00 </w:t>
            </w:r>
          </w:p>
        </w:tc>
        <w:tc>
          <w:tcPr>
            <w:tcW w:w="544" w:type="pct"/>
            <w:tcBorders>
              <w:top w:val="nil"/>
              <w:left w:val="nil"/>
              <w:bottom w:val="single" w:color="auto" w:sz="4" w:space="0"/>
              <w:right w:val="single" w:color="auto" w:sz="4" w:space="0"/>
            </w:tcBorders>
            <w:noWrap/>
            <w:vAlign w:val="bottom"/>
          </w:tcPr>
          <w:p w14:paraId="7D396D1D">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2,016.40 </w:t>
            </w:r>
          </w:p>
        </w:tc>
        <w:tc>
          <w:tcPr>
            <w:tcW w:w="635" w:type="pct"/>
            <w:tcBorders>
              <w:top w:val="nil"/>
              <w:left w:val="nil"/>
              <w:bottom w:val="single" w:color="auto" w:sz="4" w:space="0"/>
              <w:right w:val="single" w:color="auto" w:sz="4" w:space="0"/>
            </w:tcBorders>
            <w:noWrap/>
            <w:vAlign w:val="bottom"/>
          </w:tcPr>
          <w:p w14:paraId="1F1BDCC3">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111,793.00 </w:t>
            </w:r>
          </w:p>
        </w:tc>
        <w:tc>
          <w:tcPr>
            <w:tcW w:w="554" w:type="pct"/>
            <w:tcBorders>
              <w:top w:val="nil"/>
              <w:left w:val="nil"/>
              <w:bottom w:val="single" w:color="auto" w:sz="4" w:space="0"/>
              <w:right w:val="single" w:color="auto" w:sz="4" w:space="0"/>
            </w:tcBorders>
            <w:noWrap/>
            <w:vAlign w:val="bottom"/>
          </w:tcPr>
          <w:p w14:paraId="0AF0D59F">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28,741.70 </w:t>
            </w:r>
          </w:p>
        </w:tc>
      </w:tr>
      <w:tr w14:paraId="0C7A4B1E">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342A4D6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Vasilați</w:t>
            </w:r>
          </w:p>
        </w:tc>
        <w:tc>
          <w:tcPr>
            <w:tcW w:w="988" w:type="pct"/>
            <w:tcBorders>
              <w:top w:val="nil"/>
              <w:left w:val="nil"/>
              <w:bottom w:val="single" w:color="auto" w:sz="4" w:space="0"/>
              <w:right w:val="single" w:color="auto" w:sz="4" w:space="0"/>
            </w:tcBorders>
            <w:noWrap/>
            <w:vAlign w:val="bottom"/>
          </w:tcPr>
          <w:p w14:paraId="55E875E2">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159,229.00 </w:t>
            </w:r>
          </w:p>
        </w:tc>
        <w:tc>
          <w:tcPr>
            <w:tcW w:w="635" w:type="pct"/>
            <w:tcBorders>
              <w:top w:val="nil"/>
              <w:left w:val="nil"/>
              <w:bottom w:val="single" w:color="auto" w:sz="4" w:space="0"/>
              <w:right w:val="single" w:color="auto" w:sz="4" w:space="0"/>
            </w:tcBorders>
            <w:noWrap/>
            <w:vAlign w:val="bottom"/>
          </w:tcPr>
          <w:p w14:paraId="51FF368B">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5,640.24 </w:t>
            </w:r>
          </w:p>
        </w:tc>
        <w:tc>
          <w:tcPr>
            <w:tcW w:w="635" w:type="pct"/>
            <w:tcBorders>
              <w:top w:val="nil"/>
              <w:left w:val="nil"/>
              <w:bottom w:val="single" w:color="auto" w:sz="4" w:space="0"/>
              <w:right w:val="single" w:color="auto" w:sz="4" w:space="0"/>
            </w:tcBorders>
            <w:noWrap/>
            <w:vAlign w:val="bottom"/>
          </w:tcPr>
          <w:p w14:paraId="46DC4B5C">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78,326.00 </w:t>
            </w:r>
          </w:p>
        </w:tc>
        <w:tc>
          <w:tcPr>
            <w:tcW w:w="544" w:type="pct"/>
            <w:tcBorders>
              <w:top w:val="nil"/>
              <w:left w:val="nil"/>
              <w:bottom w:val="single" w:color="auto" w:sz="4" w:space="0"/>
              <w:right w:val="single" w:color="auto" w:sz="4" w:space="0"/>
            </w:tcBorders>
            <w:noWrap/>
            <w:vAlign w:val="bottom"/>
          </w:tcPr>
          <w:p w14:paraId="0C43F299">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885.85 </w:t>
            </w:r>
          </w:p>
        </w:tc>
        <w:tc>
          <w:tcPr>
            <w:tcW w:w="635" w:type="pct"/>
            <w:tcBorders>
              <w:top w:val="nil"/>
              <w:left w:val="nil"/>
              <w:bottom w:val="single" w:color="auto" w:sz="4" w:space="0"/>
              <w:right w:val="single" w:color="auto" w:sz="4" w:space="0"/>
            </w:tcBorders>
            <w:noWrap/>
            <w:vAlign w:val="bottom"/>
          </w:tcPr>
          <w:p w14:paraId="25BE99D2">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70,578.00 </w:t>
            </w:r>
          </w:p>
        </w:tc>
        <w:tc>
          <w:tcPr>
            <w:tcW w:w="554" w:type="pct"/>
            <w:tcBorders>
              <w:top w:val="nil"/>
              <w:left w:val="nil"/>
              <w:bottom w:val="single" w:color="auto" w:sz="4" w:space="0"/>
              <w:right w:val="single" w:color="auto" w:sz="4" w:space="0"/>
            </w:tcBorders>
            <w:noWrap/>
            <w:vAlign w:val="bottom"/>
          </w:tcPr>
          <w:p w14:paraId="1C1FD6A5">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xml:space="preserve">     19,538.10 </w:t>
            </w:r>
          </w:p>
        </w:tc>
      </w:tr>
      <w:tr w14:paraId="2A350F33">
        <w:tblPrEx>
          <w:tblCellMar>
            <w:top w:w="0" w:type="dxa"/>
            <w:left w:w="108" w:type="dxa"/>
            <w:bottom w:w="0" w:type="dxa"/>
            <w:right w:w="108" w:type="dxa"/>
          </w:tblCellMar>
        </w:tblPrEx>
        <w:trPr>
          <w:trHeight w:val="300" w:hRule="atLeast"/>
        </w:trPr>
        <w:tc>
          <w:tcPr>
            <w:tcW w:w="1009" w:type="pct"/>
            <w:tcBorders>
              <w:top w:val="nil"/>
              <w:left w:val="single" w:color="auto" w:sz="4" w:space="0"/>
              <w:bottom w:val="single" w:color="auto" w:sz="4" w:space="0"/>
              <w:right w:val="single" w:color="auto" w:sz="4" w:space="0"/>
            </w:tcBorders>
            <w:noWrap/>
            <w:vAlign w:val="bottom"/>
          </w:tcPr>
          <w:p w14:paraId="4AA062D6">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Total [tone]</w:t>
            </w:r>
          </w:p>
        </w:tc>
        <w:tc>
          <w:tcPr>
            <w:tcW w:w="988" w:type="pct"/>
            <w:tcBorders>
              <w:top w:val="nil"/>
              <w:left w:val="nil"/>
              <w:bottom w:val="single" w:color="auto" w:sz="4" w:space="0"/>
              <w:right w:val="single" w:color="auto" w:sz="4" w:space="0"/>
            </w:tcBorders>
            <w:noWrap/>
            <w:vAlign w:val="bottom"/>
          </w:tcPr>
          <w:p w14:paraId="05FC9AA4">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w:t>
            </w:r>
          </w:p>
        </w:tc>
        <w:tc>
          <w:tcPr>
            <w:tcW w:w="635" w:type="pct"/>
            <w:tcBorders>
              <w:top w:val="nil"/>
              <w:left w:val="nil"/>
              <w:bottom w:val="single" w:color="auto" w:sz="4" w:space="0"/>
              <w:right w:val="single" w:color="auto" w:sz="4" w:space="0"/>
            </w:tcBorders>
            <w:noWrap/>
            <w:vAlign w:val="bottom"/>
          </w:tcPr>
          <w:p w14:paraId="46C53276">
            <w:pPr>
              <w:spacing w:after="0" w:line="240" w:lineRule="auto"/>
              <w:rPr>
                <w:rFonts w:ascii="Arial" w:hAnsi="Arial" w:eastAsia="Times New Roman" w:cs="Arial"/>
                <w:b/>
                <w:bCs/>
                <w:color w:val="000000"/>
                <w:sz w:val="14"/>
                <w:szCs w:val="14"/>
              </w:rPr>
            </w:pPr>
            <w:r>
              <w:rPr>
                <w:rFonts w:ascii="Arial" w:hAnsi="Arial" w:eastAsia="Times New Roman" w:cs="Arial"/>
                <w:b/>
                <w:bCs/>
                <w:color w:val="000000"/>
                <w:sz w:val="14"/>
                <w:szCs w:val="14"/>
              </w:rPr>
              <w:t xml:space="preserve">               361.71 </w:t>
            </w:r>
          </w:p>
        </w:tc>
        <w:tc>
          <w:tcPr>
            <w:tcW w:w="635" w:type="pct"/>
            <w:tcBorders>
              <w:top w:val="nil"/>
              <w:left w:val="nil"/>
              <w:bottom w:val="single" w:color="auto" w:sz="4" w:space="0"/>
              <w:right w:val="single" w:color="auto" w:sz="4" w:space="0"/>
            </w:tcBorders>
            <w:noWrap/>
            <w:vAlign w:val="bottom"/>
          </w:tcPr>
          <w:p w14:paraId="162DAB24">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w:t>
            </w:r>
          </w:p>
        </w:tc>
        <w:tc>
          <w:tcPr>
            <w:tcW w:w="544" w:type="pct"/>
            <w:tcBorders>
              <w:top w:val="nil"/>
              <w:left w:val="nil"/>
              <w:bottom w:val="single" w:color="auto" w:sz="4" w:space="0"/>
              <w:right w:val="single" w:color="auto" w:sz="4" w:space="0"/>
            </w:tcBorders>
            <w:noWrap/>
            <w:vAlign w:val="bottom"/>
          </w:tcPr>
          <w:p w14:paraId="710B487C">
            <w:pPr>
              <w:spacing w:after="0" w:line="240" w:lineRule="auto"/>
              <w:rPr>
                <w:rFonts w:ascii="Arial" w:hAnsi="Arial" w:eastAsia="Times New Roman" w:cs="Arial"/>
                <w:b/>
                <w:bCs/>
                <w:color w:val="000000"/>
                <w:sz w:val="14"/>
                <w:szCs w:val="14"/>
              </w:rPr>
            </w:pPr>
            <w:r>
              <w:rPr>
                <w:rFonts w:ascii="Arial" w:hAnsi="Arial" w:eastAsia="Times New Roman" w:cs="Arial"/>
                <w:b/>
                <w:bCs/>
                <w:color w:val="000000"/>
                <w:sz w:val="14"/>
                <w:szCs w:val="14"/>
              </w:rPr>
              <w:t xml:space="preserve">             65.81 </w:t>
            </w:r>
          </w:p>
        </w:tc>
        <w:tc>
          <w:tcPr>
            <w:tcW w:w="635" w:type="pct"/>
            <w:tcBorders>
              <w:top w:val="nil"/>
              <w:left w:val="nil"/>
              <w:bottom w:val="single" w:color="auto" w:sz="4" w:space="0"/>
              <w:right w:val="single" w:color="auto" w:sz="4" w:space="0"/>
            </w:tcBorders>
            <w:noWrap/>
            <w:vAlign w:val="bottom"/>
          </w:tcPr>
          <w:p w14:paraId="58E8B707">
            <w:pPr>
              <w:spacing w:after="0" w:line="240" w:lineRule="auto"/>
              <w:rPr>
                <w:rFonts w:ascii="Arial" w:hAnsi="Arial" w:eastAsia="Times New Roman" w:cs="Arial"/>
                <w:color w:val="000000"/>
                <w:sz w:val="14"/>
                <w:szCs w:val="14"/>
              </w:rPr>
            </w:pPr>
            <w:r>
              <w:rPr>
                <w:rFonts w:ascii="Arial" w:hAnsi="Arial" w:eastAsia="Times New Roman" w:cs="Arial"/>
                <w:color w:val="000000"/>
                <w:sz w:val="14"/>
                <w:szCs w:val="14"/>
              </w:rPr>
              <w:t> </w:t>
            </w:r>
          </w:p>
        </w:tc>
        <w:tc>
          <w:tcPr>
            <w:tcW w:w="554" w:type="pct"/>
            <w:tcBorders>
              <w:top w:val="nil"/>
              <w:left w:val="nil"/>
              <w:bottom w:val="single" w:color="auto" w:sz="4" w:space="0"/>
              <w:right w:val="single" w:color="auto" w:sz="4" w:space="0"/>
            </w:tcBorders>
            <w:noWrap/>
            <w:vAlign w:val="bottom"/>
          </w:tcPr>
          <w:p w14:paraId="72C27CA7">
            <w:pPr>
              <w:keepNext/>
              <w:spacing w:after="0" w:line="240" w:lineRule="auto"/>
              <w:rPr>
                <w:rFonts w:ascii="Arial" w:hAnsi="Arial" w:eastAsia="Times New Roman" w:cs="Arial"/>
                <w:b/>
                <w:bCs/>
                <w:color w:val="000000"/>
                <w:sz w:val="14"/>
                <w:szCs w:val="14"/>
              </w:rPr>
            </w:pPr>
            <w:r>
              <w:rPr>
                <w:rFonts w:ascii="Arial" w:hAnsi="Arial" w:eastAsia="Times New Roman" w:cs="Arial"/>
                <w:b/>
                <w:bCs/>
                <w:color w:val="000000"/>
                <w:sz w:val="14"/>
                <w:szCs w:val="14"/>
              </w:rPr>
              <w:t xml:space="preserve">       1,241.01 </w:t>
            </w:r>
          </w:p>
        </w:tc>
      </w:tr>
    </w:tbl>
    <w:p w14:paraId="66B535DD">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5</w:t>
      </w:r>
      <w:r>
        <w:fldChar w:fldCharType="end"/>
      </w:r>
      <w:r>
        <w:t xml:space="preserve"> </w:t>
      </w:r>
    </w:p>
    <w:p w14:paraId="13006650">
      <w:pPr>
        <w:spacing w:after="0" w:line="240" w:lineRule="auto"/>
        <w:rPr>
          <w:rFonts w:ascii="Calibri" w:hAnsi="Calibri" w:eastAsia="Times New Roman" w:cs="Calibri"/>
          <w:color w:val="000000"/>
        </w:rPr>
      </w:pPr>
    </w:p>
    <w:tbl>
      <w:tblPr>
        <w:tblStyle w:val="12"/>
        <w:tblW w:w="8245" w:type="dxa"/>
        <w:tblInd w:w="0" w:type="dxa"/>
        <w:tblLayout w:type="autofit"/>
        <w:tblCellMar>
          <w:top w:w="0" w:type="dxa"/>
          <w:left w:w="108" w:type="dxa"/>
          <w:bottom w:w="0" w:type="dxa"/>
          <w:right w:w="108" w:type="dxa"/>
        </w:tblCellMar>
      </w:tblPr>
      <w:tblGrid>
        <w:gridCol w:w="4960"/>
        <w:gridCol w:w="1460"/>
        <w:gridCol w:w="1825"/>
      </w:tblGrid>
      <w:tr w14:paraId="46ADC058">
        <w:tblPrEx>
          <w:tblCellMar>
            <w:top w:w="0" w:type="dxa"/>
            <w:left w:w="108" w:type="dxa"/>
            <w:bottom w:w="0" w:type="dxa"/>
            <w:right w:w="108" w:type="dxa"/>
          </w:tblCellMar>
        </w:tblPrEx>
        <w:trPr>
          <w:trHeight w:val="300" w:hRule="atLeast"/>
        </w:trPr>
        <w:tc>
          <w:tcPr>
            <w:tcW w:w="4960" w:type="dxa"/>
            <w:tcBorders>
              <w:top w:val="single" w:color="auto" w:sz="4" w:space="0"/>
              <w:left w:val="single" w:color="auto" w:sz="4" w:space="0"/>
              <w:bottom w:val="single" w:color="auto" w:sz="4" w:space="0"/>
              <w:right w:val="single" w:color="auto" w:sz="4" w:space="0"/>
            </w:tcBorders>
            <w:shd w:val="clear" w:color="000000" w:fill="DDEBF7"/>
            <w:noWrap/>
            <w:vAlign w:val="bottom"/>
          </w:tcPr>
          <w:p w14:paraId="2810C6A4">
            <w:pPr>
              <w:spacing w:after="0" w:line="240" w:lineRule="auto"/>
              <w:rPr>
                <w:rFonts w:ascii="Calibri" w:hAnsi="Calibri" w:eastAsia="Times New Roman" w:cs="Calibri"/>
                <w:b/>
                <w:bCs/>
                <w:color w:val="000000"/>
              </w:rPr>
            </w:pPr>
            <w:r>
              <w:rPr>
                <w:rFonts w:ascii="Calibri" w:hAnsi="Calibri" w:eastAsia="Times New Roman" w:cs="Calibri"/>
                <w:b/>
                <w:bCs/>
                <w:color w:val="000000"/>
              </w:rPr>
              <w:t>Deșeuri din construcții și desființări de la populație</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26A1447E">
            <w:pPr>
              <w:spacing w:after="0" w:line="240" w:lineRule="auto"/>
              <w:rPr>
                <w:rFonts w:ascii="Calibri" w:hAnsi="Calibri" w:eastAsia="Times New Roman" w:cs="Calibri"/>
                <w:color w:val="000000"/>
              </w:rPr>
            </w:pPr>
            <w:r>
              <w:rPr>
                <w:rFonts w:ascii="Calibri" w:hAnsi="Calibri" w:eastAsia="Times New Roman" w:cs="Calibri"/>
                <w:color w:val="000000"/>
              </w:rPr>
              <w:t xml:space="preserve"> [t/an] </w:t>
            </w:r>
          </w:p>
        </w:tc>
        <w:tc>
          <w:tcPr>
            <w:tcW w:w="1825" w:type="dxa"/>
            <w:tcBorders>
              <w:top w:val="single" w:color="auto" w:sz="4" w:space="0"/>
              <w:left w:val="nil"/>
              <w:bottom w:val="single" w:color="auto" w:sz="4" w:space="0"/>
              <w:right w:val="single" w:color="auto" w:sz="4" w:space="0"/>
            </w:tcBorders>
            <w:shd w:val="clear" w:color="000000" w:fill="DDEBF7"/>
            <w:noWrap/>
            <w:vAlign w:val="center"/>
          </w:tcPr>
          <w:p w14:paraId="13CD511F">
            <w:pPr>
              <w:spacing w:after="0" w:line="240" w:lineRule="auto"/>
              <w:jc w:val="center"/>
              <w:rPr>
                <w:rFonts w:ascii="Calibri" w:hAnsi="Calibri" w:eastAsia="Times New Roman" w:cs="Calibri"/>
                <w:b/>
                <w:bCs/>
                <w:color w:val="000000"/>
              </w:rPr>
            </w:pPr>
            <w:r>
              <w:rPr>
                <w:rFonts w:ascii="Calibri" w:hAnsi="Calibri" w:eastAsia="Times New Roman" w:cs="Calibri"/>
                <w:b/>
                <w:bCs/>
                <w:color w:val="000000"/>
              </w:rPr>
              <w:t>Prognoza 2026</w:t>
            </w:r>
          </w:p>
        </w:tc>
      </w:tr>
      <w:tr w14:paraId="2FA5366F">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12B8BEA6">
            <w:pPr>
              <w:spacing w:after="0" w:line="240" w:lineRule="auto"/>
              <w:rPr>
                <w:rFonts w:ascii="Calibri" w:hAnsi="Calibri" w:eastAsia="Times New Roman" w:cs="Calibri"/>
                <w:color w:val="000000"/>
              </w:rPr>
            </w:pPr>
            <w:r>
              <w:rPr>
                <w:rFonts w:ascii="Calibri" w:hAnsi="Calibri" w:eastAsia="Times New Roman" w:cs="Calibri"/>
                <w:color w:val="000000"/>
              </w:rPr>
              <w:t xml:space="preserve"> Total </w:t>
            </w:r>
          </w:p>
        </w:tc>
        <w:tc>
          <w:tcPr>
            <w:tcW w:w="1460" w:type="dxa"/>
            <w:tcBorders>
              <w:top w:val="nil"/>
              <w:left w:val="nil"/>
              <w:bottom w:val="single" w:color="auto" w:sz="4" w:space="0"/>
              <w:right w:val="single" w:color="auto" w:sz="4" w:space="0"/>
            </w:tcBorders>
            <w:noWrap/>
            <w:vAlign w:val="bottom"/>
          </w:tcPr>
          <w:p w14:paraId="54768F24">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25" w:type="dxa"/>
            <w:tcBorders>
              <w:top w:val="nil"/>
              <w:left w:val="nil"/>
              <w:bottom w:val="single" w:color="auto" w:sz="4" w:space="0"/>
              <w:right w:val="single" w:color="auto" w:sz="4" w:space="0"/>
            </w:tcBorders>
            <w:noWrap/>
            <w:vAlign w:val="bottom"/>
          </w:tcPr>
          <w:p w14:paraId="635E31B1">
            <w:pPr>
              <w:spacing w:after="0" w:line="240" w:lineRule="auto"/>
              <w:rPr>
                <w:rFonts w:ascii="Calibri" w:hAnsi="Calibri" w:eastAsia="Times New Roman" w:cs="Calibri"/>
                <w:color w:val="000000"/>
              </w:rPr>
            </w:pPr>
            <w:r>
              <w:rPr>
                <w:rFonts w:ascii="Calibri" w:hAnsi="Calibri" w:eastAsia="Times New Roman" w:cs="Calibri"/>
                <w:color w:val="000000"/>
              </w:rPr>
              <w:t xml:space="preserve">                    1,082.00 </w:t>
            </w:r>
          </w:p>
        </w:tc>
      </w:tr>
      <w:tr w14:paraId="47C2D6CA">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7025FFB6">
            <w:pPr>
              <w:spacing w:after="0" w:line="240" w:lineRule="auto"/>
              <w:rPr>
                <w:rFonts w:ascii="Calibri" w:hAnsi="Calibri" w:eastAsia="Times New Roman" w:cs="Calibri"/>
                <w:color w:val="000000"/>
              </w:rPr>
            </w:pPr>
            <w:r>
              <w:rPr>
                <w:rFonts w:ascii="Calibri" w:hAnsi="Calibri" w:eastAsia="Times New Roman" w:cs="Calibri"/>
                <w:color w:val="000000"/>
              </w:rPr>
              <w:t xml:space="preserve"> Rata de capturare </w:t>
            </w:r>
          </w:p>
        </w:tc>
        <w:tc>
          <w:tcPr>
            <w:tcW w:w="1460" w:type="dxa"/>
            <w:tcBorders>
              <w:top w:val="nil"/>
              <w:left w:val="nil"/>
              <w:bottom w:val="single" w:color="auto" w:sz="4" w:space="0"/>
              <w:right w:val="single" w:color="auto" w:sz="4" w:space="0"/>
            </w:tcBorders>
            <w:noWrap/>
            <w:vAlign w:val="bottom"/>
          </w:tcPr>
          <w:p w14:paraId="7CCFDC94">
            <w:pPr>
              <w:spacing w:after="0" w:line="240" w:lineRule="auto"/>
              <w:rPr>
                <w:rFonts w:ascii="Calibri" w:hAnsi="Calibri" w:eastAsia="Times New Roman" w:cs="Calibri"/>
                <w:color w:val="000000"/>
              </w:rPr>
            </w:pPr>
            <w:r>
              <w:rPr>
                <w:rFonts w:ascii="Calibri" w:hAnsi="Calibri" w:eastAsia="Times New Roman" w:cs="Calibri"/>
                <w:color w:val="000000"/>
              </w:rPr>
              <w:t xml:space="preserve"> [%] </w:t>
            </w:r>
          </w:p>
        </w:tc>
        <w:tc>
          <w:tcPr>
            <w:tcW w:w="1825" w:type="dxa"/>
            <w:tcBorders>
              <w:top w:val="nil"/>
              <w:left w:val="nil"/>
              <w:bottom w:val="single" w:color="auto" w:sz="4" w:space="0"/>
              <w:right w:val="single" w:color="auto" w:sz="4" w:space="0"/>
            </w:tcBorders>
            <w:noWrap/>
            <w:vAlign w:val="bottom"/>
          </w:tcPr>
          <w:p w14:paraId="4D4E1685">
            <w:pPr>
              <w:spacing w:after="0" w:line="240" w:lineRule="auto"/>
              <w:rPr>
                <w:rFonts w:ascii="Calibri" w:hAnsi="Calibri" w:eastAsia="Times New Roman" w:cs="Calibri"/>
                <w:color w:val="000000"/>
              </w:rPr>
            </w:pPr>
            <w:r>
              <w:rPr>
                <w:rFonts w:ascii="Calibri" w:hAnsi="Calibri" w:eastAsia="Times New Roman" w:cs="Calibri"/>
                <w:color w:val="000000"/>
              </w:rPr>
              <w:t xml:space="preserve">                          70.00 </w:t>
            </w:r>
          </w:p>
        </w:tc>
      </w:tr>
      <w:tr w14:paraId="6C8CF145">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18B6E17F">
            <w:pPr>
              <w:spacing w:after="0" w:line="240" w:lineRule="auto"/>
              <w:rPr>
                <w:rFonts w:ascii="Calibri" w:hAnsi="Calibri" w:eastAsia="Times New Roman" w:cs="Calibri"/>
                <w:color w:val="000000"/>
              </w:rPr>
            </w:pPr>
            <w:r>
              <w:rPr>
                <w:rFonts w:ascii="Calibri" w:hAnsi="Calibri" w:eastAsia="Times New Roman" w:cs="Calibri"/>
                <w:color w:val="000000"/>
              </w:rPr>
              <w:t xml:space="preserve"> Cantitate colectata separat </w:t>
            </w:r>
          </w:p>
        </w:tc>
        <w:tc>
          <w:tcPr>
            <w:tcW w:w="1460" w:type="dxa"/>
            <w:tcBorders>
              <w:top w:val="nil"/>
              <w:left w:val="nil"/>
              <w:bottom w:val="single" w:color="auto" w:sz="4" w:space="0"/>
              <w:right w:val="single" w:color="auto" w:sz="4" w:space="0"/>
            </w:tcBorders>
            <w:noWrap/>
            <w:vAlign w:val="bottom"/>
          </w:tcPr>
          <w:p w14:paraId="3AF57E02">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76EFE764">
            <w:pPr>
              <w:spacing w:after="0" w:line="240" w:lineRule="auto"/>
              <w:rPr>
                <w:rFonts w:ascii="Calibri" w:hAnsi="Calibri" w:eastAsia="Times New Roman" w:cs="Calibri"/>
                <w:color w:val="000000"/>
              </w:rPr>
            </w:pPr>
            <w:r>
              <w:rPr>
                <w:rFonts w:ascii="Calibri" w:hAnsi="Calibri" w:eastAsia="Times New Roman" w:cs="Calibri"/>
                <w:color w:val="000000"/>
              </w:rPr>
              <w:t xml:space="preserve">                       757.40 </w:t>
            </w:r>
          </w:p>
        </w:tc>
      </w:tr>
      <w:tr w14:paraId="34C804BD">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7610CD56">
            <w:pPr>
              <w:spacing w:after="0" w:line="240" w:lineRule="auto"/>
              <w:rPr>
                <w:rFonts w:ascii="Verdana" w:hAnsi="Verdana" w:eastAsia="Times New Roman" w:cs="Calibri"/>
                <w:color w:val="000000"/>
                <w:sz w:val="18"/>
                <w:szCs w:val="18"/>
              </w:rPr>
            </w:pPr>
            <w:r>
              <w:rPr>
                <w:rFonts w:ascii="Verdana" w:hAnsi="Verdana" w:eastAsia="Times New Roman" w:cs="Calibri"/>
                <w:color w:val="000000"/>
                <w:sz w:val="18"/>
                <w:szCs w:val="18"/>
              </w:rPr>
              <w:t xml:space="preserve"> Tratare în vederea valorificării  </w:t>
            </w:r>
          </w:p>
        </w:tc>
        <w:tc>
          <w:tcPr>
            <w:tcW w:w="1460" w:type="dxa"/>
            <w:tcBorders>
              <w:top w:val="nil"/>
              <w:left w:val="nil"/>
              <w:bottom w:val="single" w:color="auto" w:sz="4" w:space="0"/>
              <w:right w:val="single" w:color="auto" w:sz="4" w:space="0"/>
            </w:tcBorders>
            <w:noWrap/>
            <w:vAlign w:val="bottom"/>
          </w:tcPr>
          <w:p w14:paraId="7DA26462">
            <w:pPr>
              <w:spacing w:after="0" w:line="240" w:lineRule="auto"/>
              <w:rPr>
                <w:rFonts w:ascii="Calibri" w:hAnsi="Calibri" w:eastAsia="Times New Roman" w:cs="Calibri"/>
                <w:color w:val="000000"/>
              </w:rPr>
            </w:pPr>
            <w:r>
              <w:rPr>
                <w:rFonts w:ascii="Calibri" w:hAnsi="Calibri" w:eastAsia="Times New Roman" w:cs="Calibri"/>
                <w:color w:val="000000"/>
              </w:rPr>
              <w:t xml:space="preserve"> [%] </w:t>
            </w:r>
          </w:p>
        </w:tc>
        <w:tc>
          <w:tcPr>
            <w:tcW w:w="1825" w:type="dxa"/>
            <w:tcBorders>
              <w:top w:val="nil"/>
              <w:left w:val="nil"/>
              <w:bottom w:val="single" w:color="auto" w:sz="4" w:space="0"/>
              <w:right w:val="single" w:color="auto" w:sz="4" w:space="0"/>
            </w:tcBorders>
            <w:noWrap/>
            <w:vAlign w:val="bottom"/>
          </w:tcPr>
          <w:p w14:paraId="59F20573">
            <w:pPr>
              <w:spacing w:after="0" w:line="240" w:lineRule="auto"/>
              <w:rPr>
                <w:rFonts w:ascii="Calibri" w:hAnsi="Calibri" w:eastAsia="Times New Roman" w:cs="Calibri"/>
                <w:color w:val="000000"/>
              </w:rPr>
            </w:pPr>
            <w:r>
              <w:rPr>
                <w:rFonts w:ascii="Calibri" w:hAnsi="Calibri" w:eastAsia="Times New Roman" w:cs="Calibri"/>
                <w:color w:val="000000"/>
              </w:rPr>
              <w:t xml:space="preserve">                          70.00 </w:t>
            </w:r>
          </w:p>
        </w:tc>
      </w:tr>
      <w:tr w14:paraId="00A639E7">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786A9914">
            <w:pPr>
              <w:spacing w:after="0" w:line="240" w:lineRule="auto"/>
              <w:rPr>
                <w:rFonts w:ascii="Calibri" w:hAnsi="Calibri" w:eastAsia="Times New Roman" w:cs="Calibri"/>
                <w:color w:val="000000"/>
              </w:rPr>
            </w:pPr>
            <w:r>
              <w:rPr>
                <w:rFonts w:ascii="Calibri" w:hAnsi="Calibri" w:eastAsia="Times New Roman" w:cs="Calibri"/>
                <w:color w:val="000000"/>
              </w:rPr>
              <w:t xml:space="preserve"> Cantitate tratata pentru valorificare </w:t>
            </w:r>
          </w:p>
        </w:tc>
        <w:tc>
          <w:tcPr>
            <w:tcW w:w="1460" w:type="dxa"/>
            <w:tcBorders>
              <w:top w:val="nil"/>
              <w:left w:val="nil"/>
              <w:bottom w:val="single" w:color="auto" w:sz="4" w:space="0"/>
              <w:right w:val="single" w:color="auto" w:sz="4" w:space="0"/>
            </w:tcBorders>
            <w:noWrap/>
            <w:vAlign w:val="bottom"/>
          </w:tcPr>
          <w:p w14:paraId="2C7F8CFA">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25" w:type="dxa"/>
            <w:tcBorders>
              <w:top w:val="nil"/>
              <w:left w:val="nil"/>
              <w:bottom w:val="single" w:color="auto" w:sz="4" w:space="0"/>
              <w:right w:val="single" w:color="auto" w:sz="4" w:space="0"/>
            </w:tcBorders>
            <w:noWrap/>
            <w:vAlign w:val="bottom"/>
          </w:tcPr>
          <w:p w14:paraId="34501E46">
            <w:pPr>
              <w:spacing w:after="0" w:line="240" w:lineRule="auto"/>
              <w:rPr>
                <w:rFonts w:ascii="Calibri" w:hAnsi="Calibri" w:eastAsia="Times New Roman" w:cs="Calibri"/>
                <w:color w:val="000000"/>
              </w:rPr>
            </w:pPr>
            <w:r>
              <w:rPr>
                <w:rFonts w:ascii="Calibri" w:hAnsi="Calibri" w:eastAsia="Times New Roman" w:cs="Calibri"/>
                <w:color w:val="000000"/>
              </w:rPr>
              <w:t xml:space="preserve">                       530.18 </w:t>
            </w:r>
          </w:p>
        </w:tc>
      </w:tr>
      <w:tr w14:paraId="2546499B">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0407F790">
            <w:pPr>
              <w:spacing w:after="0" w:line="240" w:lineRule="auto"/>
              <w:rPr>
                <w:rFonts w:ascii="Calibri" w:hAnsi="Calibri" w:eastAsia="Times New Roman" w:cs="Calibri"/>
                <w:color w:val="000000"/>
              </w:rPr>
            </w:pPr>
            <w:r>
              <w:rPr>
                <w:rFonts w:ascii="Calibri" w:hAnsi="Calibri" w:eastAsia="Times New Roman" w:cs="Calibri"/>
                <w:color w:val="000000"/>
              </w:rPr>
              <w:t xml:space="preserve"> Cantitate eliminata prin depozitare </w:t>
            </w:r>
          </w:p>
        </w:tc>
        <w:tc>
          <w:tcPr>
            <w:tcW w:w="1460" w:type="dxa"/>
            <w:tcBorders>
              <w:top w:val="nil"/>
              <w:left w:val="nil"/>
              <w:bottom w:val="single" w:color="auto" w:sz="4" w:space="0"/>
              <w:right w:val="single" w:color="auto" w:sz="4" w:space="0"/>
            </w:tcBorders>
            <w:noWrap/>
            <w:vAlign w:val="bottom"/>
          </w:tcPr>
          <w:p w14:paraId="40B0FBF9">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25" w:type="dxa"/>
            <w:tcBorders>
              <w:top w:val="nil"/>
              <w:left w:val="nil"/>
              <w:bottom w:val="single" w:color="auto" w:sz="4" w:space="0"/>
              <w:right w:val="single" w:color="auto" w:sz="4" w:space="0"/>
            </w:tcBorders>
            <w:noWrap/>
            <w:vAlign w:val="bottom"/>
          </w:tcPr>
          <w:p w14:paraId="60BF4852">
            <w:pPr>
              <w:keepNext/>
              <w:spacing w:after="0" w:line="240" w:lineRule="auto"/>
              <w:rPr>
                <w:rFonts w:ascii="Calibri" w:hAnsi="Calibri" w:eastAsia="Times New Roman" w:cs="Calibri"/>
                <w:color w:val="000000"/>
              </w:rPr>
            </w:pPr>
            <w:r>
              <w:rPr>
                <w:rFonts w:ascii="Calibri" w:hAnsi="Calibri" w:eastAsia="Times New Roman" w:cs="Calibri"/>
                <w:color w:val="000000"/>
              </w:rPr>
              <w:t xml:space="preserve">                       227.22 </w:t>
            </w:r>
          </w:p>
        </w:tc>
      </w:tr>
    </w:tbl>
    <w:p w14:paraId="4B6E04A1">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6</w:t>
      </w:r>
      <w:r>
        <w:fldChar w:fldCharType="end"/>
      </w:r>
    </w:p>
    <w:p w14:paraId="623BA6B9"/>
    <w:p w14:paraId="037455DD"/>
    <w:tbl>
      <w:tblPr>
        <w:tblStyle w:val="12"/>
        <w:tblW w:w="8245" w:type="dxa"/>
        <w:tblInd w:w="0" w:type="dxa"/>
        <w:tblLayout w:type="autofit"/>
        <w:tblCellMar>
          <w:top w:w="0" w:type="dxa"/>
          <w:left w:w="108" w:type="dxa"/>
          <w:bottom w:w="0" w:type="dxa"/>
          <w:right w:w="108" w:type="dxa"/>
        </w:tblCellMar>
      </w:tblPr>
      <w:tblGrid>
        <w:gridCol w:w="4960"/>
        <w:gridCol w:w="1460"/>
        <w:gridCol w:w="1825"/>
      </w:tblGrid>
      <w:tr w14:paraId="63404FF3">
        <w:tblPrEx>
          <w:tblCellMar>
            <w:top w:w="0" w:type="dxa"/>
            <w:left w:w="108" w:type="dxa"/>
            <w:bottom w:w="0" w:type="dxa"/>
            <w:right w:w="108" w:type="dxa"/>
          </w:tblCellMar>
        </w:tblPrEx>
        <w:trPr>
          <w:trHeight w:val="300" w:hRule="atLeast"/>
        </w:trPr>
        <w:tc>
          <w:tcPr>
            <w:tcW w:w="4960" w:type="dxa"/>
            <w:tcBorders>
              <w:top w:val="single" w:color="auto" w:sz="4" w:space="0"/>
              <w:left w:val="single" w:color="auto" w:sz="4" w:space="0"/>
              <w:bottom w:val="single" w:color="auto" w:sz="4" w:space="0"/>
              <w:right w:val="single" w:color="auto" w:sz="4" w:space="0"/>
            </w:tcBorders>
            <w:shd w:val="clear" w:color="000000" w:fill="DDEBF7"/>
            <w:noWrap/>
            <w:vAlign w:val="bottom"/>
          </w:tcPr>
          <w:p w14:paraId="58F217C5">
            <w:pPr>
              <w:spacing w:after="0" w:line="240" w:lineRule="auto"/>
              <w:rPr>
                <w:rFonts w:ascii="Calibri" w:hAnsi="Calibri" w:eastAsia="Times New Roman" w:cs="Calibri"/>
                <w:color w:val="000000"/>
              </w:rPr>
            </w:pPr>
            <w:r>
              <w:rPr>
                <w:rFonts w:ascii="Calibri" w:hAnsi="Calibri" w:eastAsia="Times New Roman" w:cs="Calibri"/>
                <w:color w:val="000000"/>
              </w:rPr>
              <w:t>Textile</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5A86B96E">
            <w:pPr>
              <w:spacing w:after="0" w:line="240" w:lineRule="auto"/>
              <w:rPr>
                <w:rFonts w:ascii="Calibri" w:hAnsi="Calibri" w:eastAsia="Times New Roman" w:cs="Calibri"/>
                <w:color w:val="000000"/>
              </w:rPr>
            </w:pPr>
            <w:r>
              <w:rPr>
                <w:rFonts w:ascii="Calibri" w:hAnsi="Calibri" w:eastAsia="Times New Roman" w:cs="Calibri"/>
                <w:color w:val="000000"/>
              </w:rPr>
              <w:t>UM</w:t>
            </w:r>
          </w:p>
        </w:tc>
        <w:tc>
          <w:tcPr>
            <w:tcW w:w="1825" w:type="dxa"/>
            <w:tcBorders>
              <w:top w:val="single" w:color="auto" w:sz="4" w:space="0"/>
              <w:left w:val="nil"/>
              <w:bottom w:val="single" w:color="auto" w:sz="4" w:space="0"/>
              <w:right w:val="single" w:color="auto" w:sz="4" w:space="0"/>
            </w:tcBorders>
            <w:shd w:val="clear" w:color="000000" w:fill="DDEBF7"/>
            <w:noWrap/>
            <w:vAlign w:val="center"/>
          </w:tcPr>
          <w:p w14:paraId="7D849B22">
            <w:pPr>
              <w:spacing w:after="0" w:line="240" w:lineRule="auto"/>
              <w:jc w:val="center"/>
              <w:rPr>
                <w:rFonts w:ascii="Calibri" w:hAnsi="Calibri" w:eastAsia="Times New Roman" w:cs="Calibri"/>
                <w:b/>
                <w:bCs/>
                <w:color w:val="000000"/>
              </w:rPr>
            </w:pPr>
            <w:r>
              <w:rPr>
                <w:rFonts w:ascii="Calibri" w:hAnsi="Calibri" w:eastAsia="Times New Roman" w:cs="Calibri"/>
                <w:b/>
                <w:bCs/>
                <w:color w:val="000000"/>
              </w:rPr>
              <w:t>Prognoza 2026</w:t>
            </w:r>
          </w:p>
        </w:tc>
      </w:tr>
      <w:tr w14:paraId="7269FA64">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35480CFF">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shd w:val="clear" w:color="000000" w:fill="DDEBF7"/>
            <w:noWrap/>
            <w:vAlign w:val="bottom"/>
          </w:tcPr>
          <w:p w14:paraId="282765CF">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25" w:type="dxa"/>
            <w:tcBorders>
              <w:top w:val="nil"/>
              <w:left w:val="nil"/>
              <w:bottom w:val="single" w:color="auto" w:sz="4" w:space="0"/>
              <w:right w:val="single" w:color="auto" w:sz="4" w:space="0"/>
            </w:tcBorders>
            <w:noWrap/>
            <w:vAlign w:val="bottom"/>
          </w:tcPr>
          <w:p w14:paraId="0A798181">
            <w:pPr>
              <w:spacing w:after="0" w:line="240" w:lineRule="auto"/>
              <w:rPr>
                <w:rFonts w:ascii="Calibri" w:hAnsi="Calibri" w:eastAsia="Times New Roman" w:cs="Calibri"/>
                <w:color w:val="000000"/>
              </w:rPr>
            </w:pPr>
            <w:r>
              <w:rPr>
                <w:rFonts w:ascii="Calibri" w:hAnsi="Calibri" w:eastAsia="Times New Roman" w:cs="Calibri"/>
                <w:color w:val="000000"/>
              </w:rPr>
              <w:t xml:space="preserve">                       245.28 </w:t>
            </w:r>
          </w:p>
        </w:tc>
      </w:tr>
      <w:tr w14:paraId="57415C4D">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66B7C7EF">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337E148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06E69727">
            <w:pPr>
              <w:spacing w:after="0" w:line="240" w:lineRule="auto"/>
              <w:rPr>
                <w:rFonts w:ascii="Calibri" w:hAnsi="Calibri" w:eastAsia="Times New Roman" w:cs="Calibri"/>
                <w:color w:val="000000"/>
              </w:rPr>
            </w:pPr>
            <w:r>
              <w:rPr>
                <w:rFonts w:ascii="Calibri" w:hAnsi="Calibri" w:eastAsia="Times New Roman" w:cs="Calibri"/>
                <w:color w:val="000000"/>
              </w:rPr>
              <w:t xml:space="preserve">                          14.18 </w:t>
            </w:r>
          </w:p>
        </w:tc>
      </w:tr>
      <w:tr w14:paraId="39717106">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017EEB77">
            <w:pPr>
              <w:spacing w:after="0" w:line="240" w:lineRule="auto"/>
              <w:rPr>
                <w:rFonts w:ascii="Verdana" w:hAnsi="Verdana" w:eastAsia="Times New Roman" w:cs="Calibri"/>
                <w:b/>
                <w:bCs/>
                <w:color w:val="000000"/>
                <w:sz w:val="18"/>
                <w:szCs w:val="18"/>
              </w:rPr>
            </w:pPr>
            <w:r>
              <w:rPr>
                <w:rFonts w:ascii="Verdana" w:hAnsi="Verdana" w:eastAsia="Times New Roman" w:cs="Calibri"/>
                <w:b/>
                <w:bCs/>
                <w:color w:val="000000"/>
                <w:sz w:val="18"/>
                <w:szCs w:val="18"/>
              </w:rPr>
              <w:t>Total generat</w:t>
            </w:r>
          </w:p>
        </w:tc>
        <w:tc>
          <w:tcPr>
            <w:tcW w:w="1460" w:type="dxa"/>
            <w:tcBorders>
              <w:top w:val="nil"/>
              <w:left w:val="nil"/>
              <w:bottom w:val="single" w:color="auto" w:sz="4" w:space="0"/>
              <w:right w:val="single" w:color="auto" w:sz="4" w:space="0"/>
            </w:tcBorders>
            <w:noWrap/>
            <w:vAlign w:val="bottom"/>
          </w:tcPr>
          <w:p w14:paraId="7D1BE082">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3180E8D8">
            <w:pPr>
              <w:spacing w:after="0" w:line="240" w:lineRule="auto"/>
              <w:rPr>
                <w:rFonts w:ascii="Calibri" w:hAnsi="Calibri" w:eastAsia="Times New Roman" w:cs="Calibri"/>
                <w:color w:val="000000"/>
              </w:rPr>
            </w:pPr>
            <w:r>
              <w:rPr>
                <w:rFonts w:ascii="Calibri" w:hAnsi="Calibri" w:eastAsia="Times New Roman" w:cs="Calibri"/>
                <w:color w:val="000000"/>
              </w:rPr>
              <w:t xml:space="preserve">                       259.46 </w:t>
            </w:r>
          </w:p>
        </w:tc>
      </w:tr>
      <w:tr w14:paraId="01D238EC">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5009C2C1">
            <w:pPr>
              <w:spacing w:after="0" w:line="240" w:lineRule="auto"/>
              <w:rPr>
                <w:rFonts w:ascii="Calibri" w:hAnsi="Calibri" w:eastAsia="Times New Roman" w:cs="Calibri"/>
                <w:color w:val="000000"/>
              </w:rPr>
            </w:pPr>
            <w:r>
              <w:rPr>
                <w:rFonts w:ascii="Calibri" w:hAnsi="Calibri" w:eastAsia="Times New Roman" w:cs="Calibri"/>
                <w:color w:val="000000"/>
              </w:rPr>
              <w:t>Rata de capturare</w:t>
            </w:r>
          </w:p>
        </w:tc>
        <w:tc>
          <w:tcPr>
            <w:tcW w:w="1460" w:type="dxa"/>
            <w:tcBorders>
              <w:top w:val="nil"/>
              <w:left w:val="nil"/>
              <w:bottom w:val="single" w:color="auto" w:sz="4" w:space="0"/>
              <w:right w:val="single" w:color="auto" w:sz="4" w:space="0"/>
            </w:tcBorders>
            <w:noWrap/>
            <w:vAlign w:val="bottom"/>
          </w:tcPr>
          <w:p w14:paraId="21813C35">
            <w:pPr>
              <w:spacing w:after="0" w:line="240" w:lineRule="auto"/>
              <w:rPr>
                <w:rFonts w:ascii="Calibri" w:hAnsi="Calibri" w:eastAsia="Times New Roman" w:cs="Calibri"/>
                <w:color w:val="000000"/>
              </w:rPr>
            </w:pPr>
            <w:r>
              <w:rPr>
                <w:rFonts w:ascii="Calibri" w:hAnsi="Calibri" w:eastAsia="Times New Roman" w:cs="Calibri"/>
                <w:color w:val="000000"/>
              </w:rPr>
              <w:t>[%]</w:t>
            </w:r>
          </w:p>
        </w:tc>
        <w:tc>
          <w:tcPr>
            <w:tcW w:w="1825" w:type="dxa"/>
            <w:tcBorders>
              <w:top w:val="nil"/>
              <w:left w:val="nil"/>
              <w:bottom w:val="single" w:color="auto" w:sz="4" w:space="0"/>
              <w:right w:val="single" w:color="auto" w:sz="4" w:space="0"/>
            </w:tcBorders>
            <w:noWrap/>
            <w:vAlign w:val="bottom"/>
          </w:tcPr>
          <w:p w14:paraId="75EF8BC7">
            <w:pPr>
              <w:spacing w:after="0" w:line="240" w:lineRule="auto"/>
              <w:jc w:val="right"/>
              <w:rPr>
                <w:rFonts w:ascii="Calibri" w:hAnsi="Calibri" w:eastAsia="Times New Roman" w:cs="Calibri"/>
                <w:color w:val="000000"/>
              </w:rPr>
            </w:pPr>
            <w:r>
              <w:rPr>
                <w:rFonts w:ascii="Calibri" w:hAnsi="Calibri" w:eastAsia="Times New Roman" w:cs="Calibri"/>
                <w:color w:val="000000"/>
              </w:rPr>
              <w:t>30</w:t>
            </w:r>
          </w:p>
        </w:tc>
      </w:tr>
      <w:tr w14:paraId="1BE0A7B9">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78DE714D">
            <w:pPr>
              <w:spacing w:after="0" w:line="240" w:lineRule="auto"/>
              <w:rPr>
                <w:rFonts w:ascii="Calibri" w:hAnsi="Calibri" w:eastAsia="Times New Roman" w:cs="Calibri"/>
                <w:color w:val="000000"/>
              </w:rPr>
            </w:pPr>
            <w:r>
              <w:rPr>
                <w:rFonts w:ascii="Calibri" w:hAnsi="Calibri" w:eastAsia="Times New Roman" w:cs="Calibri"/>
                <w:color w:val="000000"/>
              </w:rPr>
              <w:t>Cantitate colectata separat</w:t>
            </w:r>
          </w:p>
        </w:tc>
        <w:tc>
          <w:tcPr>
            <w:tcW w:w="1460" w:type="dxa"/>
            <w:tcBorders>
              <w:top w:val="nil"/>
              <w:left w:val="nil"/>
              <w:bottom w:val="single" w:color="auto" w:sz="4" w:space="0"/>
              <w:right w:val="single" w:color="auto" w:sz="4" w:space="0"/>
            </w:tcBorders>
            <w:noWrap/>
            <w:vAlign w:val="bottom"/>
          </w:tcPr>
          <w:p w14:paraId="08AD8054">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0320C98C">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2BBCE826">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148F2FF7">
            <w:pPr>
              <w:spacing w:after="0" w:line="240" w:lineRule="auto"/>
              <w:rPr>
                <w:rFonts w:ascii="Calibri" w:hAnsi="Calibri" w:eastAsia="Times New Roman" w:cs="Calibri"/>
                <w:color w:val="000000"/>
              </w:rPr>
            </w:pPr>
            <w:r>
              <w:rPr>
                <w:rFonts w:ascii="Calibri" w:hAnsi="Calibri" w:eastAsia="Times New Roman" w:cs="Calibri"/>
                <w:color w:val="000000"/>
              </w:rPr>
              <w:t>Textile colectate separat</w:t>
            </w:r>
          </w:p>
        </w:tc>
        <w:tc>
          <w:tcPr>
            <w:tcW w:w="1460" w:type="dxa"/>
            <w:tcBorders>
              <w:top w:val="nil"/>
              <w:left w:val="nil"/>
              <w:bottom w:val="single" w:color="auto" w:sz="4" w:space="0"/>
              <w:right w:val="single" w:color="auto" w:sz="4" w:space="0"/>
            </w:tcBorders>
            <w:noWrap/>
            <w:vAlign w:val="bottom"/>
          </w:tcPr>
          <w:p w14:paraId="542FD35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49CBD526">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2A356A44">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0922CF60">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177A59FD">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4BDAF6A8">
            <w:pPr>
              <w:spacing w:after="0" w:line="240" w:lineRule="auto"/>
              <w:rPr>
                <w:rFonts w:ascii="Calibri" w:hAnsi="Calibri" w:eastAsia="Times New Roman" w:cs="Calibri"/>
                <w:color w:val="000000"/>
              </w:rPr>
            </w:pPr>
            <w:r>
              <w:rPr>
                <w:rFonts w:ascii="Calibri" w:hAnsi="Calibri" w:eastAsia="Times New Roman" w:cs="Calibri"/>
                <w:color w:val="000000"/>
              </w:rPr>
              <w:t xml:space="preserve">                          73.58 </w:t>
            </w:r>
          </w:p>
        </w:tc>
      </w:tr>
      <w:tr w14:paraId="621DF453">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5E3A875F">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06682B1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6549FA8E">
            <w:pPr>
              <w:spacing w:after="0" w:line="240" w:lineRule="auto"/>
              <w:rPr>
                <w:rFonts w:ascii="Calibri" w:hAnsi="Calibri" w:eastAsia="Times New Roman" w:cs="Calibri"/>
                <w:color w:val="000000"/>
              </w:rPr>
            </w:pPr>
            <w:r>
              <w:rPr>
                <w:rFonts w:ascii="Calibri" w:hAnsi="Calibri" w:eastAsia="Times New Roman" w:cs="Calibri"/>
                <w:color w:val="000000"/>
              </w:rPr>
              <w:t xml:space="preserve">                            4.25 </w:t>
            </w:r>
          </w:p>
        </w:tc>
      </w:tr>
      <w:tr w14:paraId="7362FE1C">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3232ECB8">
            <w:pPr>
              <w:spacing w:after="0" w:line="240" w:lineRule="auto"/>
              <w:jc w:val="right"/>
              <w:rPr>
                <w:rFonts w:ascii="Calibri" w:hAnsi="Calibri" w:eastAsia="Times New Roman" w:cs="Calibri"/>
                <w:color w:val="000000"/>
              </w:rPr>
            </w:pPr>
            <w:r>
              <w:rPr>
                <w:rFonts w:ascii="Calibri" w:hAnsi="Calibri" w:eastAsia="Times New Roman" w:cs="Calibri"/>
                <w:color w:val="000000"/>
              </w:rPr>
              <w:t>Total colectat</w:t>
            </w:r>
          </w:p>
        </w:tc>
        <w:tc>
          <w:tcPr>
            <w:tcW w:w="1460" w:type="dxa"/>
            <w:tcBorders>
              <w:top w:val="nil"/>
              <w:left w:val="nil"/>
              <w:bottom w:val="single" w:color="auto" w:sz="4" w:space="0"/>
              <w:right w:val="single" w:color="auto" w:sz="4" w:space="0"/>
            </w:tcBorders>
            <w:noWrap/>
            <w:vAlign w:val="bottom"/>
          </w:tcPr>
          <w:p w14:paraId="66B01D24">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0D5AE72A">
            <w:pPr>
              <w:keepNext/>
              <w:spacing w:after="0" w:line="240" w:lineRule="auto"/>
              <w:rPr>
                <w:rFonts w:ascii="Calibri" w:hAnsi="Calibri" w:eastAsia="Times New Roman" w:cs="Calibri"/>
                <w:color w:val="000000"/>
              </w:rPr>
            </w:pPr>
            <w:r>
              <w:rPr>
                <w:rFonts w:ascii="Calibri" w:hAnsi="Calibri" w:eastAsia="Times New Roman" w:cs="Calibri"/>
                <w:color w:val="000000"/>
              </w:rPr>
              <w:t xml:space="preserve">                          77.84 </w:t>
            </w:r>
          </w:p>
        </w:tc>
      </w:tr>
    </w:tbl>
    <w:p w14:paraId="1C6EED69">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7</w:t>
      </w:r>
      <w:r>
        <w:fldChar w:fldCharType="end"/>
      </w:r>
    </w:p>
    <w:p w14:paraId="01E553D8"/>
    <w:tbl>
      <w:tblPr>
        <w:tblStyle w:val="12"/>
        <w:tblW w:w="8200" w:type="dxa"/>
        <w:tblInd w:w="0" w:type="dxa"/>
        <w:tblLayout w:type="autofit"/>
        <w:tblCellMar>
          <w:top w:w="0" w:type="dxa"/>
          <w:left w:w="108" w:type="dxa"/>
          <w:bottom w:w="0" w:type="dxa"/>
          <w:right w:w="108" w:type="dxa"/>
        </w:tblCellMar>
      </w:tblPr>
      <w:tblGrid>
        <w:gridCol w:w="4895"/>
        <w:gridCol w:w="1460"/>
        <w:gridCol w:w="1845"/>
      </w:tblGrid>
      <w:tr w14:paraId="77AA9414">
        <w:tblPrEx>
          <w:tblCellMar>
            <w:top w:w="0" w:type="dxa"/>
            <w:left w:w="108" w:type="dxa"/>
            <w:bottom w:w="0" w:type="dxa"/>
            <w:right w:w="108" w:type="dxa"/>
          </w:tblCellMar>
        </w:tblPrEx>
        <w:trPr>
          <w:trHeight w:val="300" w:hRule="atLeast"/>
        </w:trPr>
        <w:tc>
          <w:tcPr>
            <w:tcW w:w="4895" w:type="dxa"/>
            <w:tcBorders>
              <w:top w:val="single" w:color="auto" w:sz="4" w:space="0"/>
              <w:left w:val="single" w:color="auto" w:sz="4" w:space="0"/>
              <w:bottom w:val="single" w:color="auto" w:sz="4" w:space="0"/>
              <w:right w:val="single" w:color="auto" w:sz="4" w:space="0"/>
            </w:tcBorders>
            <w:vAlign w:val="center"/>
          </w:tcPr>
          <w:p w14:paraId="342F01E9">
            <w:pPr>
              <w:spacing w:after="0" w:line="240" w:lineRule="auto"/>
              <w:rPr>
                <w:rFonts w:ascii="Verdana" w:hAnsi="Verdana" w:eastAsia="Times New Roman" w:cs="Calibri"/>
                <w:b/>
                <w:bCs/>
                <w:color w:val="000000"/>
                <w:sz w:val="18"/>
                <w:szCs w:val="18"/>
              </w:rPr>
            </w:pPr>
            <w:r>
              <w:rPr>
                <w:rFonts w:ascii="Verdana" w:hAnsi="Verdana" w:eastAsia="Times New Roman" w:cs="Calibri"/>
                <w:b/>
                <w:bCs/>
                <w:color w:val="000000"/>
                <w:sz w:val="18"/>
                <w:szCs w:val="18"/>
              </w:rPr>
              <w:t>Periculoase din municipale</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0A692921">
            <w:pPr>
              <w:spacing w:after="0" w:line="240" w:lineRule="auto"/>
              <w:rPr>
                <w:rFonts w:ascii="Calibri" w:hAnsi="Calibri" w:eastAsia="Times New Roman" w:cs="Calibri"/>
                <w:color w:val="000000"/>
              </w:rPr>
            </w:pPr>
            <w:r>
              <w:rPr>
                <w:rFonts w:ascii="Calibri" w:hAnsi="Calibri" w:eastAsia="Times New Roman" w:cs="Calibri"/>
                <w:color w:val="000000"/>
              </w:rPr>
              <w:t>UM</w:t>
            </w:r>
          </w:p>
        </w:tc>
        <w:tc>
          <w:tcPr>
            <w:tcW w:w="1845" w:type="dxa"/>
            <w:tcBorders>
              <w:top w:val="single" w:color="auto" w:sz="4" w:space="0"/>
              <w:left w:val="nil"/>
              <w:bottom w:val="single" w:color="auto" w:sz="4" w:space="0"/>
              <w:right w:val="single" w:color="auto" w:sz="4" w:space="0"/>
            </w:tcBorders>
            <w:shd w:val="clear" w:color="000000" w:fill="DDEBF7"/>
            <w:noWrap/>
            <w:vAlign w:val="center"/>
          </w:tcPr>
          <w:p w14:paraId="7F5B9686">
            <w:pPr>
              <w:spacing w:after="0" w:line="240" w:lineRule="auto"/>
              <w:jc w:val="center"/>
              <w:rPr>
                <w:rFonts w:ascii="Calibri" w:hAnsi="Calibri" w:eastAsia="Times New Roman" w:cs="Calibri"/>
                <w:b/>
                <w:bCs/>
                <w:color w:val="000000"/>
              </w:rPr>
            </w:pPr>
            <w:r>
              <w:rPr>
                <w:rFonts w:ascii="Calibri" w:hAnsi="Calibri" w:eastAsia="Times New Roman" w:cs="Calibri"/>
                <w:b/>
                <w:bCs/>
                <w:color w:val="000000"/>
              </w:rPr>
              <w:t>Prognoza 2026</w:t>
            </w:r>
          </w:p>
        </w:tc>
      </w:tr>
      <w:tr w14:paraId="4C8F5734">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65FFB7C7">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shd w:val="clear" w:color="000000" w:fill="DDEBF7"/>
            <w:noWrap/>
            <w:vAlign w:val="bottom"/>
          </w:tcPr>
          <w:p w14:paraId="1E3A3885">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45" w:type="dxa"/>
            <w:tcBorders>
              <w:top w:val="nil"/>
              <w:left w:val="nil"/>
              <w:bottom w:val="single" w:color="auto" w:sz="4" w:space="0"/>
              <w:right w:val="single" w:color="auto" w:sz="4" w:space="0"/>
            </w:tcBorders>
            <w:noWrap/>
            <w:vAlign w:val="bottom"/>
          </w:tcPr>
          <w:p w14:paraId="3A96F705">
            <w:pPr>
              <w:spacing w:after="0" w:line="240" w:lineRule="auto"/>
              <w:rPr>
                <w:rFonts w:ascii="Calibri" w:hAnsi="Calibri" w:eastAsia="Times New Roman" w:cs="Calibri"/>
                <w:color w:val="000000"/>
              </w:rPr>
            </w:pPr>
            <w:r>
              <w:rPr>
                <w:rFonts w:ascii="Calibri" w:hAnsi="Calibri" w:eastAsia="Times New Roman" w:cs="Calibri"/>
                <w:color w:val="000000"/>
              </w:rPr>
              <w:t xml:space="preserve">                          33.28 </w:t>
            </w:r>
          </w:p>
        </w:tc>
      </w:tr>
      <w:tr w14:paraId="56C49E66">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32113E4F">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5A901D1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65B7C9C6">
            <w:pPr>
              <w:spacing w:after="0" w:line="240" w:lineRule="auto"/>
              <w:rPr>
                <w:rFonts w:ascii="Calibri" w:hAnsi="Calibri" w:eastAsia="Times New Roman" w:cs="Calibri"/>
                <w:color w:val="000000"/>
              </w:rPr>
            </w:pPr>
            <w:r>
              <w:rPr>
                <w:rFonts w:ascii="Calibri" w:hAnsi="Calibri" w:eastAsia="Times New Roman" w:cs="Calibri"/>
                <w:color w:val="000000"/>
              </w:rPr>
              <w:t xml:space="preserve">                            3.05 </w:t>
            </w:r>
          </w:p>
        </w:tc>
      </w:tr>
      <w:tr w14:paraId="065B4736">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4FFD975B">
            <w:pPr>
              <w:spacing w:after="0" w:line="240" w:lineRule="auto"/>
              <w:rPr>
                <w:rFonts w:ascii="Verdana" w:hAnsi="Verdana" w:eastAsia="Times New Roman" w:cs="Calibri"/>
                <w:b/>
                <w:bCs/>
                <w:color w:val="000000"/>
                <w:sz w:val="18"/>
                <w:szCs w:val="18"/>
              </w:rPr>
            </w:pPr>
            <w:r>
              <w:rPr>
                <w:rFonts w:ascii="Verdana" w:hAnsi="Verdana" w:eastAsia="Times New Roman" w:cs="Calibri"/>
                <w:b/>
                <w:bCs/>
                <w:color w:val="000000"/>
                <w:sz w:val="18"/>
                <w:szCs w:val="18"/>
              </w:rPr>
              <w:t>Total generat</w:t>
            </w:r>
          </w:p>
        </w:tc>
        <w:tc>
          <w:tcPr>
            <w:tcW w:w="1460" w:type="dxa"/>
            <w:tcBorders>
              <w:top w:val="nil"/>
              <w:left w:val="nil"/>
              <w:bottom w:val="single" w:color="auto" w:sz="4" w:space="0"/>
              <w:right w:val="single" w:color="auto" w:sz="4" w:space="0"/>
            </w:tcBorders>
            <w:noWrap/>
            <w:vAlign w:val="bottom"/>
          </w:tcPr>
          <w:p w14:paraId="4EA451E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10E6EE93">
            <w:pPr>
              <w:spacing w:after="0" w:line="240" w:lineRule="auto"/>
              <w:rPr>
                <w:rFonts w:ascii="Calibri" w:hAnsi="Calibri" w:eastAsia="Times New Roman" w:cs="Calibri"/>
                <w:color w:val="000000"/>
              </w:rPr>
            </w:pPr>
            <w:r>
              <w:rPr>
                <w:rFonts w:ascii="Calibri" w:hAnsi="Calibri" w:eastAsia="Times New Roman" w:cs="Calibri"/>
                <w:color w:val="000000"/>
              </w:rPr>
              <w:t xml:space="preserve">                          36.33 </w:t>
            </w:r>
          </w:p>
        </w:tc>
      </w:tr>
      <w:tr w14:paraId="5D4F5138">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noWrap/>
            <w:vAlign w:val="bottom"/>
          </w:tcPr>
          <w:p w14:paraId="76C792DE">
            <w:pPr>
              <w:spacing w:after="0" w:line="240" w:lineRule="auto"/>
              <w:rPr>
                <w:rFonts w:ascii="Calibri" w:hAnsi="Calibri" w:eastAsia="Times New Roman" w:cs="Calibri"/>
                <w:color w:val="000000"/>
              </w:rPr>
            </w:pPr>
            <w:r>
              <w:rPr>
                <w:rFonts w:ascii="Calibri" w:hAnsi="Calibri" w:eastAsia="Times New Roman" w:cs="Calibri"/>
                <w:color w:val="000000"/>
              </w:rPr>
              <w:t>Rata de capturare</w:t>
            </w:r>
          </w:p>
        </w:tc>
        <w:tc>
          <w:tcPr>
            <w:tcW w:w="1460" w:type="dxa"/>
            <w:tcBorders>
              <w:top w:val="nil"/>
              <w:left w:val="nil"/>
              <w:bottom w:val="single" w:color="auto" w:sz="4" w:space="0"/>
              <w:right w:val="single" w:color="auto" w:sz="4" w:space="0"/>
            </w:tcBorders>
            <w:noWrap/>
            <w:vAlign w:val="bottom"/>
          </w:tcPr>
          <w:p w14:paraId="615A4DF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606D547E">
            <w:pPr>
              <w:spacing w:after="0" w:line="240" w:lineRule="auto"/>
              <w:rPr>
                <w:rFonts w:ascii="Calibri" w:hAnsi="Calibri" w:eastAsia="Times New Roman" w:cs="Calibri"/>
                <w:color w:val="000000"/>
              </w:rPr>
            </w:pPr>
            <w:r>
              <w:rPr>
                <w:rFonts w:ascii="Calibri" w:hAnsi="Calibri" w:eastAsia="Times New Roman" w:cs="Calibri"/>
                <w:color w:val="000000"/>
              </w:rPr>
              <w:t xml:space="preserve">                                50 </w:t>
            </w:r>
          </w:p>
        </w:tc>
      </w:tr>
      <w:tr w14:paraId="40651C96">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noWrap/>
            <w:vAlign w:val="bottom"/>
          </w:tcPr>
          <w:p w14:paraId="46EBBD51">
            <w:pPr>
              <w:spacing w:after="0" w:line="240" w:lineRule="auto"/>
              <w:rPr>
                <w:rFonts w:ascii="Calibri" w:hAnsi="Calibri" w:eastAsia="Times New Roman" w:cs="Calibri"/>
                <w:color w:val="000000"/>
              </w:rPr>
            </w:pPr>
            <w:r>
              <w:rPr>
                <w:rFonts w:ascii="Calibri" w:hAnsi="Calibri" w:eastAsia="Times New Roman" w:cs="Calibri"/>
                <w:color w:val="000000"/>
              </w:rPr>
              <w:t>Cantitate colectata separat</w:t>
            </w:r>
          </w:p>
        </w:tc>
        <w:tc>
          <w:tcPr>
            <w:tcW w:w="1460" w:type="dxa"/>
            <w:tcBorders>
              <w:top w:val="nil"/>
              <w:left w:val="nil"/>
              <w:bottom w:val="single" w:color="auto" w:sz="4" w:space="0"/>
              <w:right w:val="single" w:color="auto" w:sz="4" w:space="0"/>
            </w:tcBorders>
            <w:noWrap/>
            <w:vAlign w:val="bottom"/>
          </w:tcPr>
          <w:p w14:paraId="5CCA9C7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63E0C151">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786A47A7">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0206905F">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50DD32E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50F59537">
            <w:pPr>
              <w:spacing w:after="0" w:line="240" w:lineRule="auto"/>
              <w:rPr>
                <w:rFonts w:ascii="Calibri" w:hAnsi="Calibri" w:eastAsia="Times New Roman" w:cs="Calibri"/>
                <w:color w:val="000000"/>
              </w:rPr>
            </w:pPr>
            <w:r>
              <w:rPr>
                <w:rFonts w:ascii="Calibri" w:hAnsi="Calibri" w:eastAsia="Times New Roman" w:cs="Calibri"/>
                <w:color w:val="000000"/>
              </w:rPr>
              <w:t xml:space="preserve">                          16.64 </w:t>
            </w:r>
          </w:p>
        </w:tc>
      </w:tr>
      <w:tr w14:paraId="7F8FC333">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204BC85B">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16521A1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66C06FD9">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FA56C77">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noWrap/>
            <w:vAlign w:val="bottom"/>
          </w:tcPr>
          <w:p w14:paraId="494086E5">
            <w:pPr>
              <w:spacing w:after="0" w:line="240" w:lineRule="auto"/>
              <w:jc w:val="right"/>
              <w:rPr>
                <w:rFonts w:ascii="Calibri" w:hAnsi="Calibri" w:eastAsia="Times New Roman" w:cs="Calibri"/>
                <w:color w:val="000000"/>
              </w:rPr>
            </w:pPr>
            <w:r>
              <w:rPr>
                <w:rFonts w:ascii="Calibri" w:hAnsi="Calibri" w:eastAsia="Times New Roman" w:cs="Calibri"/>
                <w:color w:val="000000"/>
              </w:rPr>
              <w:t>Total colectat</w:t>
            </w:r>
          </w:p>
        </w:tc>
        <w:tc>
          <w:tcPr>
            <w:tcW w:w="1460" w:type="dxa"/>
            <w:tcBorders>
              <w:top w:val="nil"/>
              <w:left w:val="nil"/>
              <w:bottom w:val="single" w:color="auto" w:sz="4" w:space="0"/>
              <w:right w:val="single" w:color="auto" w:sz="4" w:space="0"/>
            </w:tcBorders>
            <w:noWrap/>
            <w:vAlign w:val="bottom"/>
          </w:tcPr>
          <w:p w14:paraId="4B83D35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1B4F6369">
            <w:pPr>
              <w:keepNext/>
              <w:spacing w:after="0" w:line="240" w:lineRule="auto"/>
              <w:rPr>
                <w:rFonts w:ascii="Calibri" w:hAnsi="Calibri" w:eastAsia="Times New Roman" w:cs="Calibri"/>
                <w:color w:val="000000"/>
              </w:rPr>
            </w:pPr>
            <w:r>
              <w:rPr>
                <w:rFonts w:ascii="Calibri" w:hAnsi="Calibri" w:eastAsia="Times New Roman" w:cs="Calibri"/>
                <w:color w:val="000000"/>
              </w:rPr>
              <w:t xml:space="preserve">                          18.17 </w:t>
            </w:r>
          </w:p>
        </w:tc>
      </w:tr>
    </w:tbl>
    <w:p w14:paraId="627438B5">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8</w:t>
      </w:r>
      <w:r>
        <w:fldChar w:fldCharType="end"/>
      </w:r>
    </w:p>
    <w:p w14:paraId="758BC6D8"/>
    <w:tbl>
      <w:tblPr>
        <w:tblStyle w:val="12"/>
        <w:tblW w:w="8200" w:type="dxa"/>
        <w:tblInd w:w="0" w:type="dxa"/>
        <w:tblLayout w:type="autofit"/>
        <w:tblCellMar>
          <w:top w:w="0" w:type="dxa"/>
          <w:left w:w="108" w:type="dxa"/>
          <w:bottom w:w="0" w:type="dxa"/>
          <w:right w:w="108" w:type="dxa"/>
        </w:tblCellMar>
      </w:tblPr>
      <w:tblGrid>
        <w:gridCol w:w="4895"/>
        <w:gridCol w:w="1460"/>
        <w:gridCol w:w="1845"/>
      </w:tblGrid>
      <w:tr w14:paraId="6BD83523">
        <w:tblPrEx>
          <w:tblCellMar>
            <w:top w:w="0" w:type="dxa"/>
            <w:left w:w="108" w:type="dxa"/>
            <w:bottom w:w="0" w:type="dxa"/>
            <w:right w:w="108" w:type="dxa"/>
          </w:tblCellMar>
        </w:tblPrEx>
        <w:trPr>
          <w:trHeight w:val="300" w:hRule="atLeast"/>
        </w:trPr>
        <w:tc>
          <w:tcPr>
            <w:tcW w:w="4895" w:type="dxa"/>
            <w:tcBorders>
              <w:top w:val="single" w:color="auto" w:sz="4" w:space="0"/>
              <w:left w:val="single" w:color="auto" w:sz="4" w:space="0"/>
              <w:bottom w:val="single" w:color="auto" w:sz="4" w:space="0"/>
              <w:right w:val="single" w:color="auto" w:sz="4" w:space="0"/>
            </w:tcBorders>
            <w:vAlign w:val="center"/>
          </w:tcPr>
          <w:p w14:paraId="7AB90B19">
            <w:pPr>
              <w:spacing w:after="0" w:line="240" w:lineRule="auto"/>
              <w:rPr>
                <w:rFonts w:ascii="Verdana" w:hAnsi="Verdana" w:eastAsia="Times New Roman" w:cs="Calibri"/>
                <w:b/>
                <w:bCs/>
                <w:color w:val="000000"/>
                <w:sz w:val="18"/>
                <w:szCs w:val="18"/>
              </w:rPr>
            </w:pPr>
            <w:r>
              <w:rPr>
                <w:rFonts w:ascii="Verdana" w:hAnsi="Verdana" w:eastAsia="Times New Roman" w:cs="Calibri"/>
                <w:b/>
                <w:bCs/>
                <w:color w:val="000000"/>
                <w:sz w:val="18"/>
                <w:szCs w:val="18"/>
              </w:rPr>
              <w:t>Deseuri voluminoase</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27EBB778">
            <w:pPr>
              <w:spacing w:after="0" w:line="240" w:lineRule="auto"/>
              <w:rPr>
                <w:rFonts w:ascii="Calibri" w:hAnsi="Calibri" w:eastAsia="Times New Roman" w:cs="Calibri"/>
                <w:color w:val="000000"/>
              </w:rPr>
            </w:pPr>
            <w:r>
              <w:rPr>
                <w:rFonts w:ascii="Calibri" w:hAnsi="Calibri" w:eastAsia="Times New Roman" w:cs="Calibri"/>
                <w:color w:val="000000"/>
              </w:rPr>
              <w:t>UM</w:t>
            </w:r>
          </w:p>
        </w:tc>
        <w:tc>
          <w:tcPr>
            <w:tcW w:w="1845" w:type="dxa"/>
            <w:tcBorders>
              <w:top w:val="single" w:color="auto" w:sz="4" w:space="0"/>
              <w:left w:val="nil"/>
              <w:bottom w:val="single" w:color="auto" w:sz="4" w:space="0"/>
              <w:right w:val="single" w:color="auto" w:sz="4" w:space="0"/>
            </w:tcBorders>
            <w:shd w:val="clear" w:color="000000" w:fill="DDEBF7"/>
            <w:noWrap/>
            <w:vAlign w:val="center"/>
          </w:tcPr>
          <w:p w14:paraId="18EA33F6">
            <w:pPr>
              <w:spacing w:after="0" w:line="240" w:lineRule="auto"/>
              <w:jc w:val="center"/>
              <w:rPr>
                <w:rFonts w:ascii="Calibri" w:hAnsi="Calibri" w:eastAsia="Times New Roman" w:cs="Calibri"/>
                <w:b/>
                <w:bCs/>
                <w:color w:val="000000"/>
              </w:rPr>
            </w:pPr>
            <w:r>
              <w:rPr>
                <w:rFonts w:ascii="Calibri" w:hAnsi="Calibri" w:eastAsia="Times New Roman" w:cs="Calibri"/>
                <w:b/>
                <w:bCs/>
                <w:color w:val="000000"/>
              </w:rPr>
              <w:t>Prognoza 2026</w:t>
            </w:r>
          </w:p>
        </w:tc>
      </w:tr>
      <w:tr w14:paraId="52470935">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607B7893">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7BCD78CA">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149FD1F9">
            <w:pPr>
              <w:spacing w:after="0" w:line="240" w:lineRule="auto"/>
              <w:rPr>
                <w:rFonts w:ascii="Calibri" w:hAnsi="Calibri" w:eastAsia="Times New Roman" w:cs="Calibri"/>
                <w:color w:val="000000"/>
              </w:rPr>
            </w:pPr>
            <w:r>
              <w:rPr>
                <w:rFonts w:ascii="Calibri" w:hAnsi="Calibri" w:eastAsia="Times New Roman" w:cs="Calibri"/>
                <w:color w:val="000000"/>
              </w:rPr>
              <w:t xml:space="preserve">                          86.06 </w:t>
            </w:r>
          </w:p>
        </w:tc>
      </w:tr>
      <w:tr w14:paraId="381FBE60">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0A392899">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4DD7301A">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535D29F7">
            <w:pPr>
              <w:spacing w:after="0" w:line="240" w:lineRule="auto"/>
              <w:rPr>
                <w:rFonts w:ascii="Calibri" w:hAnsi="Calibri" w:eastAsia="Times New Roman" w:cs="Calibri"/>
                <w:color w:val="000000"/>
              </w:rPr>
            </w:pPr>
            <w:r>
              <w:rPr>
                <w:rFonts w:ascii="Calibri" w:hAnsi="Calibri" w:eastAsia="Times New Roman" w:cs="Calibri"/>
                <w:color w:val="000000"/>
              </w:rPr>
              <w:t xml:space="preserve">                            9.59 </w:t>
            </w:r>
          </w:p>
        </w:tc>
      </w:tr>
      <w:tr w14:paraId="119BC93C">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34D733F4">
            <w:pPr>
              <w:spacing w:after="0" w:line="240" w:lineRule="auto"/>
              <w:rPr>
                <w:rFonts w:ascii="Verdana" w:hAnsi="Verdana" w:eastAsia="Times New Roman" w:cs="Calibri"/>
                <w:b/>
                <w:bCs/>
                <w:color w:val="000000"/>
                <w:sz w:val="18"/>
                <w:szCs w:val="18"/>
              </w:rPr>
            </w:pPr>
            <w:r>
              <w:rPr>
                <w:rFonts w:ascii="Verdana" w:hAnsi="Verdana" w:eastAsia="Times New Roman" w:cs="Calibri"/>
                <w:b/>
                <w:bCs/>
                <w:color w:val="000000"/>
                <w:sz w:val="18"/>
                <w:szCs w:val="18"/>
              </w:rPr>
              <w:t>Total generat</w:t>
            </w:r>
          </w:p>
        </w:tc>
        <w:tc>
          <w:tcPr>
            <w:tcW w:w="1460" w:type="dxa"/>
            <w:tcBorders>
              <w:top w:val="nil"/>
              <w:left w:val="nil"/>
              <w:bottom w:val="single" w:color="auto" w:sz="4" w:space="0"/>
              <w:right w:val="single" w:color="auto" w:sz="4" w:space="0"/>
            </w:tcBorders>
            <w:noWrap/>
            <w:vAlign w:val="bottom"/>
          </w:tcPr>
          <w:p w14:paraId="3EF0F1A1">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45" w:type="dxa"/>
            <w:tcBorders>
              <w:top w:val="nil"/>
              <w:left w:val="nil"/>
              <w:bottom w:val="single" w:color="auto" w:sz="4" w:space="0"/>
              <w:right w:val="single" w:color="auto" w:sz="4" w:space="0"/>
            </w:tcBorders>
            <w:noWrap/>
            <w:vAlign w:val="bottom"/>
          </w:tcPr>
          <w:p w14:paraId="3C728D19">
            <w:pPr>
              <w:spacing w:after="0" w:line="240" w:lineRule="auto"/>
              <w:rPr>
                <w:rFonts w:ascii="Calibri" w:hAnsi="Calibri" w:eastAsia="Times New Roman" w:cs="Calibri"/>
                <w:color w:val="000000"/>
              </w:rPr>
            </w:pPr>
            <w:r>
              <w:rPr>
                <w:rFonts w:ascii="Calibri" w:hAnsi="Calibri" w:eastAsia="Times New Roman" w:cs="Calibri"/>
                <w:color w:val="000000"/>
              </w:rPr>
              <w:t xml:space="preserve">                          95.65 </w:t>
            </w:r>
          </w:p>
        </w:tc>
      </w:tr>
      <w:tr w14:paraId="049F0D92">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noWrap/>
            <w:vAlign w:val="bottom"/>
          </w:tcPr>
          <w:p w14:paraId="2083AB69">
            <w:pPr>
              <w:spacing w:after="0" w:line="240" w:lineRule="auto"/>
              <w:rPr>
                <w:rFonts w:ascii="Calibri" w:hAnsi="Calibri" w:eastAsia="Times New Roman" w:cs="Calibri"/>
                <w:color w:val="000000"/>
              </w:rPr>
            </w:pPr>
            <w:r>
              <w:rPr>
                <w:rFonts w:ascii="Calibri" w:hAnsi="Calibri" w:eastAsia="Times New Roman" w:cs="Calibri"/>
                <w:color w:val="000000"/>
              </w:rPr>
              <w:t>Rata de capturare</w:t>
            </w:r>
          </w:p>
        </w:tc>
        <w:tc>
          <w:tcPr>
            <w:tcW w:w="1460" w:type="dxa"/>
            <w:tcBorders>
              <w:top w:val="nil"/>
              <w:left w:val="nil"/>
              <w:bottom w:val="single" w:color="auto" w:sz="4" w:space="0"/>
              <w:right w:val="single" w:color="auto" w:sz="4" w:space="0"/>
            </w:tcBorders>
            <w:noWrap/>
            <w:vAlign w:val="bottom"/>
          </w:tcPr>
          <w:p w14:paraId="76539FDA">
            <w:pPr>
              <w:spacing w:after="0" w:line="240" w:lineRule="auto"/>
              <w:rPr>
                <w:rFonts w:ascii="Calibri" w:hAnsi="Calibri" w:eastAsia="Times New Roman" w:cs="Calibri"/>
                <w:color w:val="000000"/>
              </w:rPr>
            </w:pPr>
            <w:r>
              <w:rPr>
                <w:rFonts w:ascii="Calibri" w:hAnsi="Calibri" w:eastAsia="Times New Roman" w:cs="Calibri"/>
                <w:color w:val="000000"/>
              </w:rPr>
              <w:t>[%]</w:t>
            </w:r>
          </w:p>
        </w:tc>
        <w:tc>
          <w:tcPr>
            <w:tcW w:w="1845" w:type="dxa"/>
            <w:tcBorders>
              <w:top w:val="nil"/>
              <w:left w:val="nil"/>
              <w:bottom w:val="single" w:color="auto" w:sz="4" w:space="0"/>
              <w:right w:val="single" w:color="auto" w:sz="4" w:space="0"/>
            </w:tcBorders>
            <w:noWrap/>
            <w:vAlign w:val="bottom"/>
          </w:tcPr>
          <w:p w14:paraId="01285DB1">
            <w:pPr>
              <w:spacing w:after="0" w:line="240" w:lineRule="auto"/>
              <w:rPr>
                <w:rFonts w:ascii="Calibri" w:hAnsi="Calibri" w:eastAsia="Times New Roman" w:cs="Calibri"/>
                <w:color w:val="000000"/>
              </w:rPr>
            </w:pPr>
            <w:r>
              <w:rPr>
                <w:rFonts w:ascii="Calibri" w:hAnsi="Calibri" w:eastAsia="Times New Roman" w:cs="Calibri"/>
                <w:color w:val="000000"/>
              </w:rPr>
              <w:t xml:space="preserve">                                50 </w:t>
            </w:r>
          </w:p>
        </w:tc>
      </w:tr>
      <w:tr w14:paraId="1771C6DC">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noWrap/>
            <w:vAlign w:val="bottom"/>
          </w:tcPr>
          <w:p w14:paraId="64D84B57">
            <w:pPr>
              <w:spacing w:after="0" w:line="240" w:lineRule="auto"/>
              <w:rPr>
                <w:rFonts w:ascii="Calibri" w:hAnsi="Calibri" w:eastAsia="Times New Roman" w:cs="Calibri"/>
                <w:color w:val="000000"/>
              </w:rPr>
            </w:pPr>
            <w:r>
              <w:rPr>
                <w:rFonts w:ascii="Calibri" w:hAnsi="Calibri" w:eastAsia="Times New Roman" w:cs="Calibri"/>
                <w:color w:val="000000"/>
              </w:rPr>
              <w:t>Cantitate colectata separat</w:t>
            </w:r>
          </w:p>
        </w:tc>
        <w:tc>
          <w:tcPr>
            <w:tcW w:w="1460" w:type="dxa"/>
            <w:tcBorders>
              <w:top w:val="nil"/>
              <w:left w:val="nil"/>
              <w:bottom w:val="single" w:color="auto" w:sz="4" w:space="0"/>
              <w:right w:val="single" w:color="auto" w:sz="4" w:space="0"/>
            </w:tcBorders>
            <w:noWrap/>
            <w:vAlign w:val="bottom"/>
          </w:tcPr>
          <w:p w14:paraId="58CF41D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45" w:type="dxa"/>
            <w:tcBorders>
              <w:top w:val="nil"/>
              <w:left w:val="nil"/>
              <w:bottom w:val="single" w:color="auto" w:sz="4" w:space="0"/>
              <w:right w:val="single" w:color="auto" w:sz="4" w:space="0"/>
            </w:tcBorders>
            <w:noWrap/>
            <w:vAlign w:val="bottom"/>
          </w:tcPr>
          <w:p w14:paraId="221EECDE">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10B3A614">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02E6A0F8">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64BA02AA">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45" w:type="dxa"/>
            <w:tcBorders>
              <w:top w:val="nil"/>
              <w:left w:val="nil"/>
              <w:bottom w:val="single" w:color="auto" w:sz="4" w:space="0"/>
              <w:right w:val="single" w:color="auto" w:sz="4" w:space="0"/>
            </w:tcBorders>
            <w:noWrap/>
            <w:vAlign w:val="bottom"/>
          </w:tcPr>
          <w:p w14:paraId="4F0512EB">
            <w:pPr>
              <w:spacing w:after="0" w:line="240" w:lineRule="auto"/>
              <w:rPr>
                <w:rFonts w:ascii="Calibri" w:hAnsi="Calibri" w:eastAsia="Times New Roman" w:cs="Calibri"/>
                <w:color w:val="000000"/>
              </w:rPr>
            </w:pPr>
            <w:r>
              <w:rPr>
                <w:rFonts w:ascii="Calibri" w:hAnsi="Calibri" w:eastAsia="Times New Roman" w:cs="Calibri"/>
                <w:color w:val="000000"/>
              </w:rPr>
              <w:t xml:space="preserve">                          43.03 </w:t>
            </w:r>
          </w:p>
        </w:tc>
      </w:tr>
      <w:tr w14:paraId="5942BC49">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vAlign w:val="center"/>
          </w:tcPr>
          <w:p w14:paraId="56F70589">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5D9C426B">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45" w:type="dxa"/>
            <w:tcBorders>
              <w:top w:val="nil"/>
              <w:left w:val="nil"/>
              <w:bottom w:val="single" w:color="auto" w:sz="4" w:space="0"/>
              <w:right w:val="single" w:color="auto" w:sz="4" w:space="0"/>
            </w:tcBorders>
            <w:noWrap/>
            <w:vAlign w:val="bottom"/>
          </w:tcPr>
          <w:p w14:paraId="4EACE10E">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65ED9D0">
        <w:tblPrEx>
          <w:tblCellMar>
            <w:top w:w="0" w:type="dxa"/>
            <w:left w:w="108" w:type="dxa"/>
            <w:bottom w:w="0" w:type="dxa"/>
            <w:right w:w="108" w:type="dxa"/>
          </w:tblCellMar>
        </w:tblPrEx>
        <w:trPr>
          <w:trHeight w:val="300" w:hRule="atLeast"/>
        </w:trPr>
        <w:tc>
          <w:tcPr>
            <w:tcW w:w="4895" w:type="dxa"/>
            <w:tcBorders>
              <w:top w:val="nil"/>
              <w:left w:val="single" w:color="auto" w:sz="4" w:space="0"/>
              <w:bottom w:val="single" w:color="auto" w:sz="4" w:space="0"/>
              <w:right w:val="single" w:color="auto" w:sz="4" w:space="0"/>
            </w:tcBorders>
            <w:noWrap/>
            <w:vAlign w:val="bottom"/>
          </w:tcPr>
          <w:p w14:paraId="703E336E">
            <w:pPr>
              <w:spacing w:after="0" w:line="240" w:lineRule="auto"/>
              <w:jc w:val="right"/>
              <w:rPr>
                <w:rFonts w:ascii="Calibri" w:hAnsi="Calibri" w:eastAsia="Times New Roman" w:cs="Calibri"/>
                <w:color w:val="000000"/>
              </w:rPr>
            </w:pPr>
            <w:r>
              <w:rPr>
                <w:rFonts w:ascii="Calibri" w:hAnsi="Calibri" w:eastAsia="Times New Roman" w:cs="Calibri"/>
                <w:color w:val="000000"/>
              </w:rPr>
              <w:t>Total colectat</w:t>
            </w:r>
          </w:p>
        </w:tc>
        <w:tc>
          <w:tcPr>
            <w:tcW w:w="1460" w:type="dxa"/>
            <w:tcBorders>
              <w:top w:val="nil"/>
              <w:left w:val="nil"/>
              <w:bottom w:val="single" w:color="auto" w:sz="4" w:space="0"/>
              <w:right w:val="single" w:color="auto" w:sz="4" w:space="0"/>
            </w:tcBorders>
            <w:noWrap/>
            <w:vAlign w:val="bottom"/>
          </w:tcPr>
          <w:p w14:paraId="1D47E6EB">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45" w:type="dxa"/>
            <w:tcBorders>
              <w:top w:val="nil"/>
              <w:left w:val="nil"/>
              <w:bottom w:val="single" w:color="auto" w:sz="4" w:space="0"/>
              <w:right w:val="single" w:color="auto" w:sz="4" w:space="0"/>
            </w:tcBorders>
            <w:noWrap/>
            <w:vAlign w:val="bottom"/>
          </w:tcPr>
          <w:p w14:paraId="6A7284D5">
            <w:pPr>
              <w:keepNext/>
              <w:spacing w:after="0" w:line="240" w:lineRule="auto"/>
              <w:rPr>
                <w:rFonts w:ascii="Calibri" w:hAnsi="Calibri" w:eastAsia="Times New Roman" w:cs="Calibri"/>
                <w:color w:val="000000"/>
              </w:rPr>
            </w:pPr>
            <w:r>
              <w:rPr>
                <w:rFonts w:ascii="Calibri" w:hAnsi="Calibri" w:eastAsia="Times New Roman" w:cs="Calibri"/>
                <w:color w:val="000000"/>
              </w:rPr>
              <w:t xml:space="preserve">                          47.82 </w:t>
            </w:r>
          </w:p>
        </w:tc>
      </w:tr>
    </w:tbl>
    <w:p w14:paraId="6BB2E187">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9</w:t>
      </w:r>
      <w:r>
        <w:fldChar w:fldCharType="end"/>
      </w:r>
    </w:p>
    <w:p w14:paraId="579C5A2D"/>
    <w:tbl>
      <w:tblPr>
        <w:tblStyle w:val="12"/>
        <w:tblW w:w="8233" w:type="dxa"/>
        <w:tblInd w:w="0" w:type="dxa"/>
        <w:tblLayout w:type="autofit"/>
        <w:tblCellMar>
          <w:top w:w="0" w:type="dxa"/>
          <w:left w:w="108" w:type="dxa"/>
          <w:bottom w:w="0" w:type="dxa"/>
          <w:right w:w="108" w:type="dxa"/>
        </w:tblCellMar>
      </w:tblPr>
      <w:tblGrid>
        <w:gridCol w:w="4960"/>
        <w:gridCol w:w="1460"/>
        <w:gridCol w:w="1813"/>
      </w:tblGrid>
      <w:tr w14:paraId="5530908C">
        <w:tblPrEx>
          <w:tblCellMar>
            <w:top w:w="0" w:type="dxa"/>
            <w:left w:w="108" w:type="dxa"/>
            <w:bottom w:w="0" w:type="dxa"/>
            <w:right w:w="108" w:type="dxa"/>
          </w:tblCellMar>
        </w:tblPrEx>
        <w:trPr>
          <w:trHeight w:val="300" w:hRule="atLeast"/>
        </w:trPr>
        <w:tc>
          <w:tcPr>
            <w:tcW w:w="4960" w:type="dxa"/>
            <w:tcBorders>
              <w:top w:val="single" w:color="auto" w:sz="4" w:space="0"/>
              <w:left w:val="single" w:color="auto" w:sz="4" w:space="0"/>
              <w:bottom w:val="single" w:color="auto" w:sz="4" w:space="0"/>
              <w:right w:val="single" w:color="auto" w:sz="4" w:space="0"/>
            </w:tcBorders>
            <w:noWrap/>
            <w:vAlign w:val="bottom"/>
          </w:tcPr>
          <w:p w14:paraId="2ACDFAE0">
            <w:pPr>
              <w:spacing w:after="0" w:line="240" w:lineRule="auto"/>
              <w:rPr>
                <w:rFonts w:ascii="Calibri" w:hAnsi="Calibri" w:eastAsia="Times New Roman" w:cs="Calibri"/>
                <w:color w:val="000000"/>
              </w:rPr>
            </w:pPr>
            <w:r>
              <w:rPr>
                <w:rFonts w:ascii="Calibri" w:hAnsi="Calibri" w:eastAsia="Times New Roman" w:cs="Calibri"/>
                <w:color w:val="000000"/>
              </w:rPr>
              <w:t>Biodeseuri generate</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3B1E2C6E">
            <w:pPr>
              <w:spacing w:after="0" w:line="240" w:lineRule="auto"/>
              <w:rPr>
                <w:rFonts w:ascii="Calibri" w:hAnsi="Calibri" w:eastAsia="Times New Roman" w:cs="Calibri"/>
                <w:color w:val="000000"/>
              </w:rPr>
            </w:pPr>
            <w:r>
              <w:rPr>
                <w:rFonts w:ascii="Calibri" w:hAnsi="Calibri" w:eastAsia="Times New Roman" w:cs="Calibri"/>
                <w:color w:val="000000"/>
              </w:rPr>
              <w:t>UM</w:t>
            </w:r>
          </w:p>
        </w:tc>
        <w:tc>
          <w:tcPr>
            <w:tcW w:w="1813" w:type="dxa"/>
            <w:tcBorders>
              <w:top w:val="single" w:color="auto" w:sz="4" w:space="0"/>
              <w:left w:val="nil"/>
              <w:bottom w:val="single" w:color="auto" w:sz="4" w:space="0"/>
              <w:right w:val="single" w:color="auto" w:sz="4" w:space="0"/>
            </w:tcBorders>
            <w:shd w:val="clear" w:color="000000" w:fill="DDEBF7"/>
            <w:noWrap/>
            <w:vAlign w:val="center"/>
          </w:tcPr>
          <w:p w14:paraId="0F9B55A0">
            <w:pPr>
              <w:spacing w:after="0" w:line="240" w:lineRule="auto"/>
              <w:jc w:val="center"/>
              <w:rPr>
                <w:rFonts w:ascii="Calibri" w:hAnsi="Calibri" w:eastAsia="Times New Roman" w:cs="Calibri"/>
                <w:b/>
                <w:bCs/>
                <w:color w:val="000000"/>
              </w:rPr>
            </w:pPr>
            <w:r>
              <w:rPr>
                <w:rFonts w:ascii="Calibri" w:hAnsi="Calibri" w:eastAsia="Times New Roman" w:cs="Calibri"/>
                <w:b/>
                <w:bCs/>
                <w:color w:val="000000"/>
              </w:rPr>
              <w:t>Prognoza 2026</w:t>
            </w:r>
          </w:p>
        </w:tc>
      </w:tr>
      <w:tr w14:paraId="72EE9004">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43263841">
            <w:pPr>
              <w:spacing w:after="0" w:line="240" w:lineRule="auto"/>
              <w:rPr>
                <w:rFonts w:ascii="Calibri" w:hAnsi="Calibri" w:eastAsia="Times New Roman" w:cs="Calibri"/>
                <w:color w:val="000000"/>
              </w:rPr>
            </w:pPr>
            <w:r>
              <w:rPr>
                <w:rFonts w:ascii="Calibri" w:hAnsi="Calibri" w:eastAsia="Times New Roman" w:cs="Calibri"/>
                <w:color w:val="000000"/>
              </w:rPr>
              <w:t>Rata de captura</w:t>
            </w:r>
          </w:p>
        </w:tc>
        <w:tc>
          <w:tcPr>
            <w:tcW w:w="1460" w:type="dxa"/>
            <w:tcBorders>
              <w:top w:val="nil"/>
              <w:left w:val="nil"/>
              <w:bottom w:val="single" w:color="auto" w:sz="4" w:space="0"/>
              <w:right w:val="single" w:color="auto" w:sz="4" w:space="0"/>
            </w:tcBorders>
            <w:noWrap/>
            <w:vAlign w:val="bottom"/>
          </w:tcPr>
          <w:p w14:paraId="2C48F6F2">
            <w:pPr>
              <w:spacing w:after="0" w:line="240" w:lineRule="auto"/>
              <w:rPr>
                <w:rFonts w:ascii="Calibri" w:hAnsi="Calibri" w:eastAsia="Times New Roman" w:cs="Calibri"/>
                <w:color w:val="000000"/>
              </w:rPr>
            </w:pPr>
            <w:r>
              <w:rPr>
                <w:rFonts w:ascii="Calibri" w:hAnsi="Calibri" w:eastAsia="Times New Roman" w:cs="Calibri"/>
                <w:color w:val="000000"/>
              </w:rPr>
              <w:t>[%]</w:t>
            </w:r>
          </w:p>
        </w:tc>
        <w:tc>
          <w:tcPr>
            <w:tcW w:w="1813" w:type="dxa"/>
            <w:tcBorders>
              <w:top w:val="nil"/>
              <w:left w:val="nil"/>
              <w:bottom w:val="single" w:color="auto" w:sz="4" w:space="0"/>
              <w:right w:val="single" w:color="auto" w:sz="4" w:space="0"/>
            </w:tcBorders>
            <w:noWrap/>
            <w:vAlign w:val="bottom"/>
          </w:tcPr>
          <w:p w14:paraId="063679E2">
            <w:pPr>
              <w:spacing w:after="0" w:line="240" w:lineRule="auto"/>
              <w:jc w:val="right"/>
              <w:rPr>
                <w:rFonts w:ascii="Calibri" w:hAnsi="Calibri" w:eastAsia="Times New Roman" w:cs="Calibri"/>
                <w:color w:val="000000"/>
              </w:rPr>
            </w:pPr>
            <w:r>
              <w:rPr>
                <w:rFonts w:ascii="Calibri" w:hAnsi="Calibri" w:eastAsia="Times New Roman" w:cs="Calibri"/>
                <w:color w:val="000000"/>
              </w:rPr>
              <w:t>50</w:t>
            </w:r>
          </w:p>
        </w:tc>
      </w:tr>
      <w:tr w14:paraId="2CDFBA05">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4517DD24">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3F8B994D">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13" w:type="dxa"/>
            <w:tcBorders>
              <w:top w:val="nil"/>
              <w:left w:val="nil"/>
              <w:bottom w:val="single" w:color="auto" w:sz="4" w:space="0"/>
              <w:right w:val="single" w:color="auto" w:sz="4" w:space="0"/>
            </w:tcBorders>
            <w:noWrap/>
            <w:vAlign w:val="bottom"/>
          </w:tcPr>
          <w:p w14:paraId="6984F60A">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2AC76208">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1DF02A3C">
            <w:pPr>
              <w:spacing w:after="0" w:line="240" w:lineRule="auto"/>
              <w:jc w:val="right"/>
              <w:rPr>
                <w:rFonts w:ascii="Verdana" w:hAnsi="Verdana" w:eastAsia="Times New Roman" w:cs="Calibri"/>
                <w:i/>
                <w:iCs/>
                <w:color w:val="000000"/>
                <w:sz w:val="18"/>
                <w:szCs w:val="18"/>
              </w:rPr>
            </w:pPr>
            <w:r>
              <w:rPr>
                <w:rFonts w:ascii="Verdana" w:hAnsi="Verdana" w:eastAsia="Times New Roman" w:cs="Calibri"/>
                <w:i/>
                <w:iCs/>
                <w:color w:val="000000"/>
                <w:sz w:val="18"/>
                <w:szCs w:val="18"/>
              </w:rPr>
              <w:t>Urban</w:t>
            </w:r>
          </w:p>
        </w:tc>
        <w:tc>
          <w:tcPr>
            <w:tcW w:w="1460" w:type="dxa"/>
            <w:tcBorders>
              <w:top w:val="nil"/>
              <w:left w:val="nil"/>
              <w:bottom w:val="single" w:color="auto" w:sz="4" w:space="0"/>
              <w:right w:val="single" w:color="auto" w:sz="4" w:space="0"/>
            </w:tcBorders>
            <w:noWrap/>
            <w:vAlign w:val="bottom"/>
          </w:tcPr>
          <w:p w14:paraId="2191002A">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13" w:type="dxa"/>
            <w:tcBorders>
              <w:top w:val="nil"/>
              <w:left w:val="nil"/>
              <w:bottom w:val="single" w:color="auto" w:sz="4" w:space="0"/>
              <w:right w:val="single" w:color="auto" w:sz="4" w:space="0"/>
            </w:tcBorders>
            <w:noWrap/>
            <w:vAlign w:val="bottom"/>
          </w:tcPr>
          <w:p w14:paraId="52BFFFDB">
            <w:pPr>
              <w:spacing w:after="0" w:line="240" w:lineRule="auto"/>
              <w:rPr>
                <w:rFonts w:ascii="Calibri" w:hAnsi="Calibri" w:eastAsia="Times New Roman" w:cs="Calibri"/>
                <w:color w:val="000000"/>
              </w:rPr>
            </w:pPr>
            <w:r>
              <w:rPr>
                <w:rFonts w:ascii="Calibri" w:hAnsi="Calibri" w:eastAsia="Times New Roman" w:cs="Calibri"/>
                <w:color w:val="000000"/>
              </w:rPr>
              <w:t xml:space="preserve">                    2,674.49 </w:t>
            </w:r>
          </w:p>
        </w:tc>
      </w:tr>
      <w:tr w14:paraId="15F2C4A7">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3E088ED8">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695CC850">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13" w:type="dxa"/>
            <w:tcBorders>
              <w:top w:val="nil"/>
              <w:left w:val="nil"/>
              <w:bottom w:val="single" w:color="auto" w:sz="4" w:space="0"/>
              <w:right w:val="single" w:color="auto" w:sz="4" w:space="0"/>
            </w:tcBorders>
            <w:noWrap/>
            <w:vAlign w:val="bottom"/>
          </w:tcPr>
          <w:p w14:paraId="277D88B8">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0A12519C">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1D6EEAED">
            <w:pPr>
              <w:spacing w:after="0" w:line="240" w:lineRule="auto"/>
              <w:jc w:val="right"/>
              <w:rPr>
                <w:rFonts w:ascii="Verdana" w:hAnsi="Verdana" w:eastAsia="Times New Roman" w:cs="Calibri"/>
                <w:i/>
                <w:iCs/>
                <w:color w:val="000000"/>
                <w:sz w:val="18"/>
                <w:szCs w:val="18"/>
              </w:rPr>
            </w:pPr>
            <w:r>
              <w:rPr>
                <w:rFonts w:ascii="Verdana" w:hAnsi="Verdana" w:eastAsia="Times New Roman" w:cs="Calibri"/>
                <w:i/>
                <w:iCs/>
                <w:color w:val="000000"/>
                <w:sz w:val="18"/>
                <w:szCs w:val="18"/>
              </w:rPr>
              <w:t>Urban</w:t>
            </w:r>
          </w:p>
        </w:tc>
        <w:tc>
          <w:tcPr>
            <w:tcW w:w="1460" w:type="dxa"/>
            <w:tcBorders>
              <w:top w:val="nil"/>
              <w:left w:val="nil"/>
              <w:bottom w:val="single" w:color="auto" w:sz="4" w:space="0"/>
              <w:right w:val="single" w:color="auto" w:sz="4" w:space="0"/>
            </w:tcBorders>
            <w:noWrap/>
            <w:vAlign w:val="bottom"/>
          </w:tcPr>
          <w:p w14:paraId="433738AD">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13" w:type="dxa"/>
            <w:tcBorders>
              <w:top w:val="nil"/>
              <w:left w:val="nil"/>
              <w:bottom w:val="single" w:color="auto" w:sz="4" w:space="0"/>
              <w:right w:val="single" w:color="auto" w:sz="4" w:space="0"/>
            </w:tcBorders>
            <w:noWrap/>
            <w:vAlign w:val="bottom"/>
          </w:tcPr>
          <w:p w14:paraId="38860FA0">
            <w:pPr>
              <w:spacing w:after="0" w:line="240" w:lineRule="auto"/>
              <w:rPr>
                <w:rFonts w:ascii="Calibri" w:hAnsi="Calibri" w:eastAsia="Times New Roman" w:cs="Calibri"/>
                <w:color w:val="000000"/>
              </w:rPr>
            </w:pPr>
            <w:r>
              <w:rPr>
                <w:rFonts w:ascii="Calibri" w:hAnsi="Calibri" w:eastAsia="Times New Roman" w:cs="Calibri"/>
                <w:color w:val="000000"/>
              </w:rPr>
              <w:t xml:space="preserve">                       519.23 </w:t>
            </w:r>
          </w:p>
        </w:tc>
      </w:tr>
      <w:tr w14:paraId="6367F59E">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7BD17109">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Piețe</w:t>
            </w:r>
          </w:p>
        </w:tc>
        <w:tc>
          <w:tcPr>
            <w:tcW w:w="1460" w:type="dxa"/>
            <w:tcBorders>
              <w:top w:val="nil"/>
              <w:left w:val="nil"/>
              <w:bottom w:val="single" w:color="auto" w:sz="4" w:space="0"/>
              <w:right w:val="single" w:color="auto" w:sz="4" w:space="0"/>
            </w:tcBorders>
            <w:noWrap/>
            <w:vAlign w:val="bottom"/>
          </w:tcPr>
          <w:p w14:paraId="2CEA5C4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13" w:type="dxa"/>
            <w:tcBorders>
              <w:top w:val="nil"/>
              <w:left w:val="nil"/>
              <w:bottom w:val="single" w:color="auto" w:sz="4" w:space="0"/>
              <w:right w:val="single" w:color="auto" w:sz="4" w:space="0"/>
            </w:tcBorders>
            <w:noWrap/>
            <w:vAlign w:val="bottom"/>
          </w:tcPr>
          <w:p w14:paraId="35E3134B">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1036880A">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2646924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460" w:type="dxa"/>
            <w:tcBorders>
              <w:top w:val="nil"/>
              <w:left w:val="nil"/>
              <w:bottom w:val="single" w:color="auto" w:sz="4" w:space="0"/>
              <w:right w:val="single" w:color="auto" w:sz="4" w:space="0"/>
            </w:tcBorders>
            <w:noWrap/>
            <w:vAlign w:val="bottom"/>
          </w:tcPr>
          <w:p w14:paraId="7C668C80">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13" w:type="dxa"/>
            <w:tcBorders>
              <w:top w:val="nil"/>
              <w:left w:val="nil"/>
              <w:bottom w:val="single" w:color="auto" w:sz="4" w:space="0"/>
              <w:right w:val="single" w:color="auto" w:sz="4" w:space="0"/>
            </w:tcBorders>
            <w:noWrap/>
            <w:vAlign w:val="bottom"/>
          </w:tcPr>
          <w:p w14:paraId="0528FB1F">
            <w:pPr>
              <w:spacing w:after="0" w:line="240" w:lineRule="auto"/>
              <w:rPr>
                <w:rFonts w:ascii="Calibri" w:hAnsi="Calibri" w:eastAsia="Times New Roman" w:cs="Calibri"/>
                <w:color w:val="000000"/>
              </w:rPr>
            </w:pPr>
            <w:r>
              <w:rPr>
                <w:rFonts w:ascii="Calibri" w:hAnsi="Calibri" w:eastAsia="Times New Roman" w:cs="Calibri"/>
                <w:color w:val="000000"/>
              </w:rPr>
              <w:t xml:space="preserve">                            7.76 </w:t>
            </w:r>
          </w:p>
        </w:tc>
      </w:tr>
      <w:tr w14:paraId="76198879">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170DAED1">
            <w:pPr>
              <w:spacing w:after="0" w:line="240" w:lineRule="auto"/>
              <w:rPr>
                <w:rFonts w:ascii="Calibri" w:hAnsi="Calibri" w:eastAsia="Times New Roman" w:cs="Calibri"/>
                <w:color w:val="000000"/>
              </w:rPr>
            </w:pPr>
            <w:r>
              <w:rPr>
                <w:rFonts w:ascii="Calibri" w:hAnsi="Calibri" w:eastAsia="Times New Roman" w:cs="Calibri"/>
                <w:color w:val="000000"/>
              </w:rPr>
              <w:t>Total</w:t>
            </w:r>
          </w:p>
        </w:tc>
        <w:tc>
          <w:tcPr>
            <w:tcW w:w="1460" w:type="dxa"/>
            <w:tcBorders>
              <w:top w:val="nil"/>
              <w:left w:val="nil"/>
              <w:bottom w:val="single" w:color="auto" w:sz="4" w:space="0"/>
              <w:right w:val="single" w:color="auto" w:sz="4" w:space="0"/>
            </w:tcBorders>
            <w:noWrap/>
            <w:vAlign w:val="bottom"/>
          </w:tcPr>
          <w:p w14:paraId="02F850D6">
            <w:pPr>
              <w:spacing w:after="0" w:line="240" w:lineRule="auto"/>
              <w:rPr>
                <w:rFonts w:ascii="Calibri" w:hAnsi="Calibri" w:eastAsia="Times New Roman" w:cs="Calibri"/>
                <w:color w:val="000000"/>
              </w:rPr>
            </w:pPr>
            <w:r>
              <w:rPr>
                <w:rFonts w:ascii="Calibri" w:hAnsi="Calibri" w:eastAsia="Times New Roman" w:cs="Calibri"/>
                <w:color w:val="000000"/>
              </w:rPr>
              <w:t>[t/an]</w:t>
            </w:r>
          </w:p>
        </w:tc>
        <w:tc>
          <w:tcPr>
            <w:tcW w:w="1813" w:type="dxa"/>
            <w:tcBorders>
              <w:top w:val="nil"/>
              <w:left w:val="nil"/>
              <w:bottom w:val="single" w:color="auto" w:sz="4" w:space="0"/>
              <w:right w:val="single" w:color="auto" w:sz="4" w:space="0"/>
            </w:tcBorders>
            <w:noWrap/>
            <w:vAlign w:val="bottom"/>
          </w:tcPr>
          <w:p w14:paraId="0B41CB1B">
            <w:pPr>
              <w:keepNext/>
              <w:spacing w:after="0" w:line="240" w:lineRule="auto"/>
              <w:rPr>
                <w:rFonts w:ascii="Calibri" w:hAnsi="Calibri" w:eastAsia="Times New Roman" w:cs="Calibri"/>
                <w:color w:val="000000"/>
              </w:rPr>
            </w:pPr>
            <w:r>
              <w:rPr>
                <w:rFonts w:ascii="Calibri" w:hAnsi="Calibri" w:eastAsia="Times New Roman" w:cs="Calibri"/>
                <w:color w:val="000000"/>
              </w:rPr>
              <w:t xml:space="preserve">                    3,201.49 </w:t>
            </w:r>
          </w:p>
        </w:tc>
      </w:tr>
    </w:tbl>
    <w:p w14:paraId="38DFBAA2">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10</w:t>
      </w:r>
      <w:r>
        <w:fldChar w:fldCharType="end"/>
      </w:r>
    </w:p>
    <w:p w14:paraId="2CAB8322"/>
    <w:tbl>
      <w:tblPr>
        <w:tblStyle w:val="12"/>
        <w:tblW w:w="8245" w:type="dxa"/>
        <w:tblInd w:w="0" w:type="dxa"/>
        <w:tblLayout w:type="autofit"/>
        <w:tblCellMar>
          <w:top w:w="0" w:type="dxa"/>
          <w:left w:w="108" w:type="dxa"/>
          <w:bottom w:w="0" w:type="dxa"/>
          <w:right w:w="108" w:type="dxa"/>
        </w:tblCellMar>
      </w:tblPr>
      <w:tblGrid>
        <w:gridCol w:w="4960"/>
        <w:gridCol w:w="1460"/>
        <w:gridCol w:w="1825"/>
      </w:tblGrid>
      <w:tr w14:paraId="6EEAEF7F">
        <w:tblPrEx>
          <w:tblCellMar>
            <w:top w:w="0" w:type="dxa"/>
            <w:left w:w="108" w:type="dxa"/>
            <w:bottom w:w="0" w:type="dxa"/>
            <w:right w:w="108" w:type="dxa"/>
          </w:tblCellMar>
        </w:tblPrEx>
        <w:trPr>
          <w:trHeight w:val="300" w:hRule="atLeast"/>
        </w:trPr>
        <w:tc>
          <w:tcPr>
            <w:tcW w:w="4960" w:type="dxa"/>
            <w:tcBorders>
              <w:top w:val="single" w:color="auto" w:sz="4" w:space="0"/>
              <w:left w:val="single" w:color="auto" w:sz="4" w:space="0"/>
              <w:bottom w:val="single" w:color="auto" w:sz="4" w:space="0"/>
              <w:right w:val="single" w:color="auto" w:sz="4" w:space="0"/>
            </w:tcBorders>
            <w:noWrap/>
            <w:vAlign w:val="bottom"/>
          </w:tcPr>
          <w:p w14:paraId="109453BA">
            <w:pPr>
              <w:spacing w:after="0" w:line="240" w:lineRule="auto"/>
              <w:rPr>
                <w:rFonts w:ascii="Calibri" w:hAnsi="Calibri" w:eastAsia="Times New Roman" w:cs="Calibri"/>
                <w:color w:val="000000"/>
              </w:rPr>
            </w:pPr>
            <w:r>
              <w:rPr>
                <w:rFonts w:ascii="Calibri" w:hAnsi="Calibri" w:eastAsia="Times New Roman" w:cs="Calibri"/>
                <w:color w:val="000000"/>
              </w:rPr>
              <w:t>Deseuri municipale abandonate</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255CB939">
            <w:pPr>
              <w:spacing w:after="0" w:line="240" w:lineRule="auto"/>
              <w:rPr>
                <w:rFonts w:ascii="Calibri" w:hAnsi="Calibri" w:eastAsia="Times New Roman" w:cs="Calibri"/>
                <w:color w:val="000000"/>
              </w:rPr>
            </w:pPr>
            <w:r>
              <w:rPr>
                <w:rFonts w:ascii="Calibri" w:hAnsi="Calibri" w:eastAsia="Times New Roman" w:cs="Calibri"/>
                <w:color w:val="000000"/>
              </w:rPr>
              <w:t>UM</w:t>
            </w:r>
          </w:p>
        </w:tc>
        <w:tc>
          <w:tcPr>
            <w:tcW w:w="1825" w:type="dxa"/>
            <w:tcBorders>
              <w:top w:val="single" w:color="auto" w:sz="4" w:space="0"/>
              <w:left w:val="nil"/>
              <w:bottom w:val="single" w:color="auto" w:sz="4" w:space="0"/>
              <w:right w:val="single" w:color="auto" w:sz="4" w:space="0"/>
            </w:tcBorders>
            <w:shd w:val="clear" w:color="000000" w:fill="DDEBF7"/>
            <w:noWrap/>
            <w:vAlign w:val="center"/>
          </w:tcPr>
          <w:p w14:paraId="713A9173">
            <w:pPr>
              <w:spacing w:after="0" w:line="240" w:lineRule="auto"/>
              <w:jc w:val="center"/>
              <w:rPr>
                <w:rFonts w:ascii="Calibri" w:hAnsi="Calibri" w:eastAsia="Times New Roman" w:cs="Calibri"/>
                <w:b/>
                <w:bCs/>
                <w:color w:val="000000"/>
              </w:rPr>
            </w:pPr>
            <w:r>
              <w:rPr>
                <w:rFonts w:ascii="Calibri" w:hAnsi="Calibri" w:eastAsia="Times New Roman" w:cs="Calibri"/>
                <w:b/>
                <w:bCs/>
                <w:color w:val="000000"/>
              </w:rPr>
              <w:t>Prognoza 2026</w:t>
            </w:r>
          </w:p>
        </w:tc>
      </w:tr>
      <w:tr w14:paraId="0C41BC05">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45F2CBC1">
            <w:pPr>
              <w:spacing w:after="0" w:line="240" w:lineRule="auto"/>
              <w:rPr>
                <w:rFonts w:ascii="Calibri" w:hAnsi="Calibri" w:eastAsia="Times New Roman" w:cs="Calibri"/>
                <w:color w:val="000000"/>
              </w:rPr>
            </w:pPr>
            <w:r>
              <w:rPr>
                <w:rFonts w:ascii="Calibri" w:hAnsi="Calibri" w:eastAsia="Times New Roman" w:cs="Calibri"/>
                <w:color w:val="000000"/>
              </w:rPr>
              <w:t>Deseuri reziduale menajere abandonate</w:t>
            </w:r>
          </w:p>
        </w:tc>
        <w:tc>
          <w:tcPr>
            <w:tcW w:w="1460" w:type="dxa"/>
            <w:tcBorders>
              <w:top w:val="nil"/>
              <w:left w:val="nil"/>
              <w:bottom w:val="single" w:color="auto" w:sz="4" w:space="0"/>
              <w:right w:val="single" w:color="auto" w:sz="4" w:space="0"/>
            </w:tcBorders>
            <w:noWrap/>
            <w:vAlign w:val="bottom"/>
          </w:tcPr>
          <w:p w14:paraId="0E7F854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4D27D5CB">
            <w:pPr>
              <w:spacing w:after="0" w:line="240" w:lineRule="auto"/>
              <w:rPr>
                <w:rFonts w:ascii="Calibri" w:hAnsi="Calibri" w:eastAsia="Times New Roman" w:cs="Calibri"/>
                <w:color w:val="000000"/>
              </w:rPr>
            </w:pPr>
            <w:r>
              <w:rPr>
                <w:rFonts w:ascii="Calibri" w:hAnsi="Calibri" w:eastAsia="Times New Roman" w:cs="Calibri"/>
                <w:color w:val="000000"/>
              </w:rPr>
              <w:t xml:space="preserve">                       918.77 </w:t>
            </w:r>
          </w:p>
        </w:tc>
      </w:tr>
      <w:tr w14:paraId="216444B2">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50D6B52D">
            <w:pPr>
              <w:spacing w:after="0" w:line="240" w:lineRule="auto"/>
              <w:rPr>
                <w:rFonts w:ascii="Calibri" w:hAnsi="Calibri" w:eastAsia="Times New Roman" w:cs="Calibri"/>
                <w:color w:val="000000"/>
              </w:rPr>
            </w:pPr>
            <w:r>
              <w:rPr>
                <w:rFonts w:ascii="Calibri" w:hAnsi="Calibri" w:eastAsia="Times New Roman" w:cs="Calibri"/>
                <w:color w:val="000000"/>
              </w:rPr>
              <w:t>Deseuri reziduale similare abandonate</w:t>
            </w:r>
          </w:p>
        </w:tc>
        <w:tc>
          <w:tcPr>
            <w:tcW w:w="1460" w:type="dxa"/>
            <w:tcBorders>
              <w:top w:val="nil"/>
              <w:left w:val="nil"/>
              <w:bottom w:val="single" w:color="auto" w:sz="4" w:space="0"/>
              <w:right w:val="single" w:color="auto" w:sz="4" w:space="0"/>
            </w:tcBorders>
            <w:noWrap/>
            <w:vAlign w:val="bottom"/>
          </w:tcPr>
          <w:p w14:paraId="57F1636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627E4685">
            <w:pPr>
              <w:spacing w:after="0" w:line="240" w:lineRule="auto"/>
              <w:rPr>
                <w:rFonts w:ascii="Calibri" w:hAnsi="Calibri" w:eastAsia="Times New Roman" w:cs="Calibri"/>
                <w:color w:val="000000"/>
              </w:rPr>
            </w:pPr>
            <w:r>
              <w:rPr>
                <w:rFonts w:ascii="Calibri" w:hAnsi="Calibri" w:eastAsia="Times New Roman" w:cs="Calibri"/>
                <w:color w:val="000000"/>
              </w:rPr>
              <w:t xml:space="preserve">                          46.88 </w:t>
            </w:r>
          </w:p>
        </w:tc>
      </w:tr>
      <w:tr w14:paraId="53D1D2F0">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1EAC151E">
            <w:pPr>
              <w:spacing w:after="0" w:line="240" w:lineRule="auto"/>
              <w:jc w:val="right"/>
              <w:rPr>
                <w:rFonts w:ascii="Calibri" w:hAnsi="Calibri" w:eastAsia="Times New Roman" w:cs="Calibri"/>
                <w:color w:val="000000"/>
              </w:rPr>
            </w:pPr>
            <w:r>
              <w:rPr>
                <w:rFonts w:ascii="Calibri" w:hAnsi="Calibri" w:eastAsia="Times New Roman" w:cs="Calibri"/>
                <w:color w:val="000000"/>
              </w:rPr>
              <w:t>Total</w:t>
            </w:r>
          </w:p>
        </w:tc>
        <w:tc>
          <w:tcPr>
            <w:tcW w:w="1460" w:type="dxa"/>
            <w:tcBorders>
              <w:top w:val="nil"/>
              <w:left w:val="nil"/>
              <w:bottom w:val="single" w:color="auto" w:sz="4" w:space="0"/>
              <w:right w:val="single" w:color="auto" w:sz="4" w:space="0"/>
            </w:tcBorders>
            <w:noWrap/>
            <w:vAlign w:val="bottom"/>
          </w:tcPr>
          <w:p w14:paraId="4AB2D912">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4A3E51B8">
            <w:pPr>
              <w:keepNext/>
              <w:spacing w:after="0" w:line="240" w:lineRule="auto"/>
              <w:rPr>
                <w:rFonts w:ascii="Calibri" w:hAnsi="Calibri" w:eastAsia="Times New Roman" w:cs="Calibri"/>
                <w:color w:val="000000"/>
              </w:rPr>
            </w:pPr>
            <w:r>
              <w:rPr>
                <w:rFonts w:ascii="Calibri" w:hAnsi="Calibri" w:eastAsia="Times New Roman" w:cs="Calibri"/>
                <w:color w:val="000000"/>
              </w:rPr>
              <w:t xml:space="preserve">                       965.66 </w:t>
            </w:r>
          </w:p>
        </w:tc>
      </w:tr>
    </w:tbl>
    <w:p w14:paraId="0764EB51">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11</w:t>
      </w:r>
      <w:r>
        <w:fldChar w:fldCharType="end"/>
      </w:r>
    </w:p>
    <w:p w14:paraId="1BFF94A0"/>
    <w:tbl>
      <w:tblPr>
        <w:tblStyle w:val="12"/>
        <w:tblW w:w="8233" w:type="dxa"/>
        <w:tblInd w:w="0" w:type="dxa"/>
        <w:tblLayout w:type="autofit"/>
        <w:tblCellMar>
          <w:top w:w="0" w:type="dxa"/>
          <w:left w:w="108" w:type="dxa"/>
          <w:bottom w:w="0" w:type="dxa"/>
          <w:right w:w="108" w:type="dxa"/>
        </w:tblCellMar>
      </w:tblPr>
      <w:tblGrid>
        <w:gridCol w:w="4960"/>
        <w:gridCol w:w="1460"/>
        <w:gridCol w:w="1813"/>
      </w:tblGrid>
      <w:tr w14:paraId="55356B03">
        <w:tblPrEx>
          <w:tblCellMar>
            <w:top w:w="0" w:type="dxa"/>
            <w:left w:w="108" w:type="dxa"/>
            <w:bottom w:w="0" w:type="dxa"/>
            <w:right w:w="108" w:type="dxa"/>
          </w:tblCellMar>
        </w:tblPrEx>
        <w:trPr>
          <w:trHeight w:val="300" w:hRule="atLeast"/>
        </w:trPr>
        <w:tc>
          <w:tcPr>
            <w:tcW w:w="4960" w:type="dxa"/>
            <w:tcBorders>
              <w:top w:val="single" w:color="auto" w:sz="4" w:space="0"/>
              <w:left w:val="single" w:color="auto" w:sz="4" w:space="0"/>
              <w:bottom w:val="single" w:color="auto" w:sz="4" w:space="0"/>
              <w:right w:val="single" w:color="auto" w:sz="4" w:space="0"/>
            </w:tcBorders>
            <w:noWrap/>
            <w:vAlign w:val="bottom"/>
          </w:tcPr>
          <w:p w14:paraId="6C0C3605">
            <w:pPr>
              <w:spacing w:after="0" w:line="240" w:lineRule="auto"/>
              <w:rPr>
                <w:rFonts w:ascii="Calibri" w:hAnsi="Calibri" w:eastAsia="Times New Roman" w:cs="Calibri"/>
                <w:color w:val="000000"/>
              </w:rPr>
            </w:pPr>
            <w:r>
              <w:rPr>
                <w:rFonts w:ascii="Calibri" w:hAnsi="Calibri" w:eastAsia="Times New Roman" w:cs="Calibri"/>
                <w:color w:val="000000"/>
              </w:rPr>
              <w:t>Deseuri voluminoase "la cerere"</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2B815E78">
            <w:pPr>
              <w:spacing w:after="0" w:line="240" w:lineRule="auto"/>
              <w:rPr>
                <w:rFonts w:ascii="Calibri" w:hAnsi="Calibri" w:eastAsia="Times New Roman" w:cs="Calibri"/>
                <w:color w:val="000000"/>
              </w:rPr>
            </w:pPr>
            <w:r>
              <w:rPr>
                <w:rFonts w:ascii="Calibri" w:hAnsi="Calibri" w:eastAsia="Times New Roman" w:cs="Calibri"/>
                <w:color w:val="000000"/>
              </w:rPr>
              <w:t>UM</w:t>
            </w:r>
          </w:p>
        </w:tc>
        <w:tc>
          <w:tcPr>
            <w:tcW w:w="1813" w:type="dxa"/>
            <w:tcBorders>
              <w:top w:val="single" w:color="auto" w:sz="4" w:space="0"/>
              <w:left w:val="nil"/>
              <w:bottom w:val="single" w:color="auto" w:sz="4" w:space="0"/>
              <w:right w:val="single" w:color="auto" w:sz="4" w:space="0"/>
            </w:tcBorders>
            <w:shd w:val="clear" w:color="000000" w:fill="DDEBF7"/>
            <w:noWrap/>
            <w:vAlign w:val="center"/>
          </w:tcPr>
          <w:p w14:paraId="1D11F6CA">
            <w:pPr>
              <w:spacing w:after="0" w:line="240" w:lineRule="auto"/>
              <w:jc w:val="center"/>
              <w:rPr>
                <w:rFonts w:ascii="Calibri" w:hAnsi="Calibri" w:eastAsia="Times New Roman" w:cs="Calibri"/>
                <w:b/>
                <w:bCs/>
                <w:color w:val="000000"/>
              </w:rPr>
            </w:pPr>
            <w:r>
              <w:rPr>
                <w:rFonts w:ascii="Calibri" w:hAnsi="Calibri" w:eastAsia="Times New Roman" w:cs="Calibri"/>
                <w:b/>
                <w:bCs/>
                <w:color w:val="000000"/>
              </w:rPr>
              <w:t>Prognoza 2026</w:t>
            </w:r>
          </w:p>
        </w:tc>
      </w:tr>
      <w:tr w14:paraId="075ACA50">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7D5744CD">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17F7703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13" w:type="dxa"/>
            <w:tcBorders>
              <w:top w:val="nil"/>
              <w:left w:val="nil"/>
              <w:bottom w:val="single" w:color="auto" w:sz="4" w:space="0"/>
              <w:right w:val="single" w:color="auto" w:sz="4" w:space="0"/>
            </w:tcBorders>
            <w:noWrap/>
            <w:vAlign w:val="bottom"/>
          </w:tcPr>
          <w:p w14:paraId="0A981498">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06C60237">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4110104A">
            <w:pPr>
              <w:spacing w:after="0" w:line="240" w:lineRule="auto"/>
              <w:jc w:val="right"/>
              <w:rPr>
                <w:rFonts w:ascii="Calibri" w:hAnsi="Calibri" w:eastAsia="Times New Roman" w:cs="Calibri"/>
                <w:color w:val="000000"/>
              </w:rPr>
            </w:pPr>
            <w:r>
              <w:rPr>
                <w:rFonts w:ascii="Calibri" w:hAnsi="Calibri" w:eastAsia="Times New Roman" w:cs="Calibri"/>
                <w:color w:val="000000"/>
              </w:rPr>
              <w:t>Urban</w:t>
            </w:r>
          </w:p>
        </w:tc>
        <w:tc>
          <w:tcPr>
            <w:tcW w:w="1460" w:type="dxa"/>
            <w:tcBorders>
              <w:top w:val="nil"/>
              <w:left w:val="nil"/>
              <w:bottom w:val="single" w:color="auto" w:sz="4" w:space="0"/>
              <w:right w:val="single" w:color="auto" w:sz="4" w:space="0"/>
            </w:tcBorders>
            <w:noWrap/>
            <w:vAlign w:val="bottom"/>
          </w:tcPr>
          <w:p w14:paraId="204DCDB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13" w:type="dxa"/>
            <w:tcBorders>
              <w:top w:val="nil"/>
              <w:left w:val="nil"/>
              <w:bottom w:val="single" w:color="auto" w:sz="4" w:space="0"/>
              <w:right w:val="single" w:color="auto" w:sz="4" w:space="0"/>
            </w:tcBorders>
            <w:noWrap/>
            <w:vAlign w:val="bottom"/>
          </w:tcPr>
          <w:p w14:paraId="63D89481">
            <w:pPr>
              <w:spacing w:after="0" w:line="240" w:lineRule="auto"/>
              <w:rPr>
                <w:rFonts w:ascii="Calibri" w:hAnsi="Calibri" w:eastAsia="Times New Roman" w:cs="Calibri"/>
                <w:color w:val="000000"/>
              </w:rPr>
            </w:pPr>
            <w:r>
              <w:rPr>
                <w:rFonts w:ascii="Calibri" w:hAnsi="Calibri" w:eastAsia="Times New Roman" w:cs="Calibri"/>
                <w:color w:val="000000"/>
              </w:rPr>
              <w:t xml:space="preserve">                            3.04 </w:t>
            </w:r>
          </w:p>
        </w:tc>
      </w:tr>
      <w:tr w14:paraId="39240509">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754FBA4A">
            <w:pPr>
              <w:spacing w:after="0" w:line="240" w:lineRule="auto"/>
              <w:jc w:val="right"/>
              <w:rPr>
                <w:rFonts w:ascii="Calibri" w:hAnsi="Calibri" w:eastAsia="Times New Roman" w:cs="Calibri"/>
                <w:color w:val="000000"/>
              </w:rPr>
            </w:pPr>
            <w:r>
              <w:rPr>
                <w:rFonts w:ascii="Calibri" w:hAnsi="Calibri" w:eastAsia="Times New Roman" w:cs="Calibri"/>
                <w:color w:val="000000"/>
              </w:rPr>
              <w:t>Rural</w:t>
            </w:r>
          </w:p>
        </w:tc>
        <w:tc>
          <w:tcPr>
            <w:tcW w:w="1460" w:type="dxa"/>
            <w:tcBorders>
              <w:top w:val="nil"/>
              <w:left w:val="nil"/>
              <w:bottom w:val="single" w:color="auto" w:sz="4" w:space="0"/>
              <w:right w:val="single" w:color="auto" w:sz="4" w:space="0"/>
            </w:tcBorders>
            <w:noWrap/>
            <w:vAlign w:val="bottom"/>
          </w:tcPr>
          <w:p w14:paraId="0EAA9F9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13" w:type="dxa"/>
            <w:tcBorders>
              <w:top w:val="nil"/>
              <w:left w:val="nil"/>
              <w:bottom w:val="single" w:color="auto" w:sz="4" w:space="0"/>
              <w:right w:val="single" w:color="auto" w:sz="4" w:space="0"/>
            </w:tcBorders>
            <w:noWrap/>
            <w:vAlign w:val="bottom"/>
          </w:tcPr>
          <w:p w14:paraId="42B87317">
            <w:pPr>
              <w:spacing w:after="0" w:line="240" w:lineRule="auto"/>
              <w:rPr>
                <w:rFonts w:ascii="Calibri" w:hAnsi="Calibri" w:eastAsia="Times New Roman" w:cs="Calibri"/>
                <w:color w:val="000000"/>
              </w:rPr>
            </w:pPr>
            <w:r>
              <w:rPr>
                <w:rFonts w:ascii="Calibri" w:hAnsi="Calibri" w:eastAsia="Times New Roman" w:cs="Calibri"/>
                <w:color w:val="000000"/>
              </w:rPr>
              <w:t xml:space="preserve">                            4.17 </w:t>
            </w:r>
          </w:p>
        </w:tc>
      </w:tr>
      <w:tr w14:paraId="150217C8">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35E1EF48">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37A55BC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13" w:type="dxa"/>
            <w:tcBorders>
              <w:top w:val="nil"/>
              <w:left w:val="nil"/>
              <w:bottom w:val="single" w:color="auto" w:sz="4" w:space="0"/>
              <w:right w:val="single" w:color="auto" w:sz="4" w:space="0"/>
            </w:tcBorders>
            <w:noWrap/>
            <w:vAlign w:val="bottom"/>
          </w:tcPr>
          <w:p w14:paraId="5DBF7541">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0BB95F16">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0C570CFB">
            <w:pPr>
              <w:spacing w:after="0" w:line="240" w:lineRule="auto"/>
              <w:jc w:val="right"/>
              <w:rPr>
                <w:rFonts w:ascii="Calibri" w:hAnsi="Calibri" w:eastAsia="Times New Roman" w:cs="Calibri"/>
                <w:color w:val="000000"/>
              </w:rPr>
            </w:pPr>
            <w:r>
              <w:rPr>
                <w:rFonts w:ascii="Calibri" w:hAnsi="Calibri" w:eastAsia="Times New Roman" w:cs="Calibri"/>
                <w:color w:val="000000"/>
              </w:rPr>
              <w:t>Urban</w:t>
            </w:r>
          </w:p>
        </w:tc>
        <w:tc>
          <w:tcPr>
            <w:tcW w:w="1460" w:type="dxa"/>
            <w:tcBorders>
              <w:top w:val="nil"/>
              <w:left w:val="nil"/>
              <w:bottom w:val="single" w:color="auto" w:sz="4" w:space="0"/>
              <w:right w:val="single" w:color="auto" w:sz="4" w:space="0"/>
            </w:tcBorders>
            <w:noWrap/>
            <w:vAlign w:val="bottom"/>
          </w:tcPr>
          <w:p w14:paraId="0299AAF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13" w:type="dxa"/>
            <w:tcBorders>
              <w:top w:val="nil"/>
              <w:left w:val="nil"/>
              <w:bottom w:val="single" w:color="auto" w:sz="4" w:space="0"/>
              <w:right w:val="single" w:color="auto" w:sz="4" w:space="0"/>
            </w:tcBorders>
            <w:noWrap/>
            <w:vAlign w:val="bottom"/>
          </w:tcPr>
          <w:p w14:paraId="5C3F840A">
            <w:pPr>
              <w:spacing w:after="0" w:line="240" w:lineRule="auto"/>
              <w:rPr>
                <w:rFonts w:ascii="Calibri" w:hAnsi="Calibri" w:eastAsia="Times New Roman" w:cs="Calibri"/>
                <w:color w:val="000000"/>
              </w:rPr>
            </w:pPr>
            <w:r>
              <w:rPr>
                <w:rFonts w:ascii="Calibri" w:hAnsi="Calibri" w:eastAsia="Times New Roman" w:cs="Calibri"/>
                <w:color w:val="000000"/>
              </w:rPr>
              <w:t xml:space="preserve">                            0.59 </w:t>
            </w:r>
          </w:p>
        </w:tc>
      </w:tr>
      <w:tr w14:paraId="0E921F73">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6181853D">
            <w:pPr>
              <w:spacing w:after="0" w:line="240" w:lineRule="auto"/>
              <w:jc w:val="right"/>
              <w:rPr>
                <w:rFonts w:ascii="Calibri" w:hAnsi="Calibri" w:eastAsia="Times New Roman" w:cs="Calibri"/>
                <w:color w:val="000000"/>
              </w:rPr>
            </w:pPr>
            <w:r>
              <w:rPr>
                <w:rFonts w:ascii="Calibri" w:hAnsi="Calibri" w:eastAsia="Times New Roman" w:cs="Calibri"/>
                <w:color w:val="000000"/>
              </w:rPr>
              <w:t>Rural</w:t>
            </w:r>
          </w:p>
        </w:tc>
        <w:tc>
          <w:tcPr>
            <w:tcW w:w="1460" w:type="dxa"/>
            <w:tcBorders>
              <w:top w:val="nil"/>
              <w:left w:val="nil"/>
              <w:bottom w:val="single" w:color="auto" w:sz="4" w:space="0"/>
              <w:right w:val="single" w:color="auto" w:sz="4" w:space="0"/>
            </w:tcBorders>
            <w:noWrap/>
            <w:vAlign w:val="bottom"/>
          </w:tcPr>
          <w:p w14:paraId="40E1627B">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13" w:type="dxa"/>
            <w:tcBorders>
              <w:top w:val="nil"/>
              <w:left w:val="nil"/>
              <w:bottom w:val="single" w:color="auto" w:sz="4" w:space="0"/>
              <w:right w:val="single" w:color="auto" w:sz="4" w:space="0"/>
            </w:tcBorders>
            <w:noWrap/>
            <w:vAlign w:val="bottom"/>
          </w:tcPr>
          <w:p w14:paraId="218BE30D">
            <w:pPr>
              <w:spacing w:after="0" w:line="240" w:lineRule="auto"/>
              <w:rPr>
                <w:rFonts w:ascii="Calibri" w:hAnsi="Calibri" w:eastAsia="Times New Roman" w:cs="Calibri"/>
                <w:color w:val="000000"/>
              </w:rPr>
            </w:pPr>
            <w:r>
              <w:rPr>
                <w:rFonts w:ascii="Calibri" w:hAnsi="Calibri" w:eastAsia="Times New Roman" w:cs="Calibri"/>
                <w:color w:val="000000"/>
              </w:rPr>
              <w:t xml:space="preserve">                            0.28 </w:t>
            </w:r>
          </w:p>
        </w:tc>
      </w:tr>
      <w:tr w14:paraId="1E16E768">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16CD3B52">
            <w:pPr>
              <w:spacing w:after="0" w:line="240" w:lineRule="auto"/>
              <w:jc w:val="right"/>
              <w:rPr>
                <w:rFonts w:ascii="Calibri" w:hAnsi="Calibri" w:eastAsia="Times New Roman" w:cs="Calibri"/>
                <w:color w:val="000000"/>
              </w:rPr>
            </w:pPr>
            <w:r>
              <w:rPr>
                <w:rFonts w:ascii="Calibri" w:hAnsi="Calibri" w:eastAsia="Times New Roman" w:cs="Calibri"/>
                <w:color w:val="000000"/>
              </w:rPr>
              <w:t>Total colectat</w:t>
            </w:r>
          </w:p>
        </w:tc>
        <w:tc>
          <w:tcPr>
            <w:tcW w:w="1460" w:type="dxa"/>
            <w:tcBorders>
              <w:top w:val="nil"/>
              <w:left w:val="nil"/>
              <w:bottom w:val="single" w:color="auto" w:sz="4" w:space="0"/>
              <w:right w:val="single" w:color="auto" w:sz="4" w:space="0"/>
            </w:tcBorders>
            <w:noWrap/>
            <w:vAlign w:val="bottom"/>
          </w:tcPr>
          <w:p w14:paraId="5A6989A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13" w:type="dxa"/>
            <w:tcBorders>
              <w:top w:val="nil"/>
              <w:left w:val="nil"/>
              <w:bottom w:val="single" w:color="auto" w:sz="4" w:space="0"/>
              <w:right w:val="single" w:color="auto" w:sz="4" w:space="0"/>
            </w:tcBorders>
            <w:noWrap/>
            <w:vAlign w:val="bottom"/>
          </w:tcPr>
          <w:p w14:paraId="1DD20BAE">
            <w:pPr>
              <w:keepNext/>
              <w:spacing w:after="0" w:line="240" w:lineRule="auto"/>
              <w:rPr>
                <w:rFonts w:ascii="Calibri" w:hAnsi="Calibri" w:eastAsia="Times New Roman" w:cs="Calibri"/>
                <w:color w:val="000000"/>
              </w:rPr>
            </w:pPr>
            <w:r>
              <w:rPr>
                <w:rFonts w:ascii="Calibri" w:hAnsi="Calibri" w:eastAsia="Times New Roman" w:cs="Calibri"/>
                <w:color w:val="000000"/>
              </w:rPr>
              <w:t xml:space="preserve">                            8.08 </w:t>
            </w:r>
          </w:p>
        </w:tc>
      </w:tr>
    </w:tbl>
    <w:p w14:paraId="00B23705">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12</w:t>
      </w:r>
      <w:r>
        <w:fldChar w:fldCharType="end"/>
      </w:r>
    </w:p>
    <w:p w14:paraId="0FE6E0AC"/>
    <w:tbl>
      <w:tblPr>
        <w:tblStyle w:val="12"/>
        <w:tblW w:w="8245" w:type="dxa"/>
        <w:tblInd w:w="0" w:type="dxa"/>
        <w:tblLayout w:type="autofit"/>
        <w:tblCellMar>
          <w:top w:w="0" w:type="dxa"/>
          <w:left w:w="108" w:type="dxa"/>
          <w:bottom w:w="0" w:type="dxa"/>
          <w:right w:w="108" w:type="dxa"/>
        </w:tblCellMar>
      </w:tblPr>
      <w:tblGrid>
        <w:gridCol w:w="4960"/>
        <w:gridCol w:w="1460"/>
        <w:gridCol w:w="1825"/>
      </w:tblGrid>
      <w:tr w14:paraId="4CD05455">
        <w:tblPrEx>
          <w:tblCellMar>
            <w:top w:w="0" w:type="dxa"/>
            <w:left w:w="108" w:type="dxa"/>
            <w:bottom w:w="0" w:type="dxa"/>
            <w:right w:w="108" w:type="dxa"/>
          </w:tblCellMar>
        </w:tblPrEx>
        <w:trPr>
          <w:trHeight w:val="300" w:hRule="atLeast"/>
        </w:trPr>
        <w:tc>
          <w:tcPr>
            <w:tcW w:w="4960" w:type="dxa"/>
            <w:tcBorders>
              <w:top w:val="single" w:color="auto" w:sz="4" w:space="0"/>
              <w:left w:val="single" w:color="auto" w:sz="4" w:space="0"/>
              <w:bottom w:val="single" w:color="auto" w:sz="4" w:space="0"/>
              <w:right w:val="single" w:color="auto" w:sz="4" w:space="0"/>
            </w:tcBorders>
            <w:noWrap/>
            <w:vAlign w:val="bottom"/>
          </w:tcPr>
          <w:p w14:paraId="7AA37C8A">
            <w:pPr>
              <w:spacing w:after="0" w:line="240" w:lineRule="auto"/>
              <w:rPr>
                <w:rFonts w:ascii="Calibri" w:hAnsi="Calibri" w:eastAsia="Times New Roman" w:cs="Calibri"/>
                <w:color w:val="000000"/>
              </w:rPr>
            </w:pPr>
            <w:r>
              <w:rPr>
                <w:rFonts w:ascii="Calibri" w:hAnsi="Calibri" w:eastAsia="Times New Roman" w:cs="Calibri"/>
                <w:color w:val="000000"/>
              </w:rPr>
              <w:t>DCD "la cerere"</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6CEDA727">
            <w:pPr>
              <w:spacing w:after="0" w:line="240" w:lineRule="auto"/>
              <w:rPr>
                <w:rFonts w:ascii="Calibri" w:hAnsi="Calibri" w:eastAsia="Times New Roman" w:cs="Calibri"/>
                <w:color w:val="000000"/>
              </w:rPr>
            </w:pPr>
            <w:r>
              <w:rPr>
                <w:rFonts w:ascii="Calibri" w:hAnsi="Calibri" w:eastAsia="Times New Roman" w:cs="Calibri"/>
                <w:color w:val="000000"/>
              </w:rPr>
              <w:t>UM</w:t>
            </w:r>
          </w:p>
        </w:tc>
        <w:tc>
          <w:tcPr>
            <w:tcW w:w="1825" w:type="dxa"/>
            <w:tcBorders>
              <w:top w:val="single" w:color="auto" w:sz="4" w:space="0"/>
              <w:left w:val="nil"/>
              <w:bottom w:val="single" w:color="auto" w:sz="4" w:space="0"/>
              <w:right w:val="single" w:color="auto" w:sz="4" w:space="0"/>
            </w:tcBorders>
            <w:shd w:val="clear" w:color="000000" w:fill="DDEBF7"/>
            <w:noWrap/>
            <w:vAlign w:val="center"/>
          </w:tcPr>
          <w:p w14:paraId="74326818">
            <w:pPr>
              <w:spacing w:after="0" w:line="240" w:lineRule="auto"/>
              <w:jc w:val="center"/>
              <w:rPr>
                <w:rFonts w:ascii="Calibri" w:hAnsi="Calibri" w:eastAsia="Times New Roman" w:cs="Calibri"/>
                <w:b/>
                <w:bCs/>
                <w:color w:val="000000"/>
              </w:rPr>
            </w:pPr>
            <w:r>
              <w:rPr>
                <w:rFonts w:ascii="Calibri" w:hAnsi="Calibri" w:eastAsia="Times New Roman" w:cs="Calibri"/>
                <w:b/>
                <w:bCs/>
                <w:color w:val="000000"/>
              </w:rPr>
              <w:t>Prognoza 2026</w:t>
            </w:r>
          </w:p>
        </w:tc>
      </w:tr>
      <w:tr w14:paraId="0AB71D53">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6F402535">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0AE0446A">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58AD482F">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33D03D9F">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2DECC25C">
            <w:pPr>
              <w:spacing w:after="0" w:line="240" w:lineRule="auto"/>
              <w:jc w:val="right"/>
              <w:rPr>
                <w:rFonts w:ascii="Calibri" w:hAnsi="Calibri" w:eastAsia="Times New Roman" w:cs="Calibri"/>
                <w:color w:val="000000"/>
              </w:rPr>
            </w:pPr>
            <w:r>
              <w:rPr>
                <w:rFonts w:ascii="Calibri" w:hAnsi="Calibri" w:eastAsia="Times New Roman" w:cs="Calibri"/>
                <w:color w:val="000000"/>
              </w:rPr>
              <w:t>Urban</w:t>
            </w:r>
          </w:p>
        </w:tc>
        <w:tc>
          <w:tcPr>
            <w:tcW w:w="1460" w:type="dxa"/>
            <w:tcBorders>
              <w:top w:val="nil"/>
              <w:left w:val="nil"/>
              <w:bottom w:val="single" w:color="auto" w:sz="4" w:space="0"/>
              <w:right w:val="single" w:color="auto" w:sz="4" w:space="0"/>
            </w:tcBorders>
            <w:noWrap/>
            <w:vAlign w:val="bottom"/>
          </w:tcPr>
          <w:p w14:paraId="6EE908A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7CFDE893">
            <w:pPr>
              <w:spacing w:after="0" w:line="240" w:lineRule="auto"/>
              <w:rPr>
                <w:rFonts w:ascii="Calibri" w:hAnsi="Calibri" w:eastAsia="Times New Roman" w:cs="Calibri"/>
                <w:color w:val="000000"/>
              </w:rPr>
            </w:pPr>
            <w:r>
              <w:rPr>
                <w:rFonts w:ascii="Calibri" w:hAnsi="Calibri" w:eastAsia="Times New Roman" w:cs="Calibri"/>
                <w:color w:val="000000"/>
              </w:rPr>
              <w:t xml:space="preserve">                          60.20 </w:t>
            </w:r>
          </w:p>
        </w:tc>
      </w:tr>
      <w:tr w14:paraId="52CF10E2">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56D8DE18">
            <w:pPr>
              <w:spacing w:after="0" w:line="240" w:lineRule="auto"/>
              <w:jc w:val="right"/>
              <w:rPr>
                <w:rFonts w:ascii="Calibri" w:hAnsi="Calibri" w:eastAsia="Times New Roman" w:cs="Calibri"/>
                <w:color w:val="000000"/>
              </w:rPr>
            </w:pPr>
            <w:r>
              <w:rPr>
                <w:rFonts w:ascii="Calibri" w:hAnsi="Calibri" w:eastAsia="Times New Roman" w:cs="Calibri"/>
                <w:color w:val="000000"/>
              </w:rPr>
              <w:t>Rural</w:t>
            </w:r>
          </w:p>
        </w:tc>
        <w:tc>
          <w:tcPr>
            <w:tcW w:w="1460" w:type="dxa"/>
            <w:tcBorders>
              <w:top w:val="nil"/>
              <w:left w:val="nil"/>
              <w:bottom w:val="single" w:color="auto" w:sz="4" w:space="0"/>
              <w:right w:val="single" w:color="auto" w:sz="4" w:space="0"/>
            </w:tcBorders>
            <w:noWrap/>
            <w:vAlign w:val="bottom"/>
          </w:tcPr>
          <w:p w14:paraId="58CD16A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4EEC1ADB">
            <w:pPr>
              <w:spacing w:after="0" w:line="240" w:lineRule="auto"/>
              <w:rPr>
                <w:rFonts w:ascii="Calibri" w:hAnsi="Calibri" w:eastAsia="Times New Roman" w:cs="Calibri"/>
                <w:color w:val="000000"/>
              </w:rPr>
            </w:pPr>
            <w:r>
              <w:rPr>
                <w:rFonts w:ascii="Calibri" w:hAnsi="Calibri" w:eastAsia="Times New Roman" w:cs="Calibri"/>
                <w:color w:val="000000"/>
              </w:rPr>
              <w:t xml:space="preserve">                          68.46 </w:t>
            </w:r>
          </w:p>
        </w:tc>
      </w:tr>
      <w:tr w14:paraId="2D189A18">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6CC79952">
            <w:pPr>
              <w:spacing w:after="0" w:line="240" w:lineRule="auto"/>
              <w:rPr>
                <w:rFonts w:ascii="Calibri" w:hAnsi="Calibri" w:eastAsia="Times New Roman" w:cs="Calibri"/>
                <w:color w:val="000000"/>
              </w:rPr>
            </w:pPr>
            <w:r>
              <w:rPr>
                <w:rFonts w:ascii="Calibri" w:hAnsi="Calibri" w:eastAsia="Times New Roman" w:cs="Calibri"/>
                <w:color w:val="000000"/>
              </w:rPr>
              <w:t>Total</w:t>
            </w:r>
          </w:p>
        </w:tc>
        <w:tc>
          <w:tcPr>
            <w:tcW w:w="1460" w:type="dxa"/>
            <w:tcBorders>
              <w:top w:val="nil"/>
              <w:left w:val="nil"/>
              <w:bottom w:val="single" w:color="auto" w:sz="4" w:space="0"/>
              <w:right w:val="single" w:color="auto" w:sz="4" w:space="0"/>
            </w:tcBorders>
            <w:noWrap/>
            <w:vAlign w:val="bottom"/>
          </w:tcPr>
          <w:p w14:paraId="4051DC3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1F7A2CE2">
            <w:pPr>
              <w:keepNext/>
              <w:spacing w:after="0" w:line="240" w:lineRule="auto"/>
              <w:rPr>
                <w:rFonts w:ascii="Calibri" w:hAnsi="Calibri" w:eastAsia="Times New Roman" w:cs="Calibri"/>
                <w:color w:val="000000"/>
              </w:rPr>
            </w:pPr>
            <w:r>
              <w:rPr>
                <w:rFonts w:ascii="Calibri" w:hAnsi="Calibri" w:eastAsia="Times New Roman" w:cs="Calibri"/>
                <w:color w:val="000000"/>
              </w:rPr>
              <w:t xml:space="preserve">                       128.66 </w:t>
            </w:r>
          </w:p>
        </w:tc>
      </w:tr>
    </w:tbl>
    <w:p w14:paraId="3FDE2BFC">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13</w:t>
      </w:r>
      <w:r>
        <w:fldChar w:fldCharType="end"/>
      </w:r>
    </w:p>
    <w:p w14:paraId="5FBB100E"/>
    <w:tbl>
      <w:tblPr>
        <w:tblStyle w:val="12"/>
        <w:tblW w:w="8245" w:type="dxa"/>
        <w:tblInd w:w="0" w:type="dxa"/>
        <w:tblLayout w:type="autofit"/>
        <w:tblCellMar>
          <w:top w:w="0" w:type="dxa"/>
          <w:left w:w="108" w:type="dxa"/>
          <w:bottom w:w="0" w:type="dxa"/>
          <w:right w:w="108" w:type="dxa"/>
        </w:tblCellMar>
      </w:tblPr>
      <w:tblGrid>
        <w:gridCol w:w="4960"/>
        <w:gridCol w:w="1460"/>
        <w:gridCol w:w="1825"/>
      </w:tblGrid>
      <w:tr w14:paraId="24572FC9">
        <w:tblPrEx>
          <w:tblCellMar>
            <w:top w:w="0" w:type="dxa"/>
            <w:left w:w="108" w:type="dxa"/>
            <w:bottom w:w="0" w:type="dxa"/>
            <w:right w:w="108" w:type="dxa"/>
          </w:tblCellMar>
        </w:tblPrEx>
        <w:trPr>
          <w:trHeight w:val="300" w:hRule="atLeast"/>
        </w:trPr>
        <w:tc>
          <w:tcPr>
            <w:tcW w:w="4960" w:type="dxa"/>
            <w:tcBorders>
              <w:top w:val="single" w:color="auto" w:sz="4" w:space="0"/>
              <w:left w:val="single" w:color="auto" w:sz="4" w:space="0"/>
              <w:bottom w:val="single" w:color="auto" w:sz="4" w:space="0"/>
              <w:right w:val="single" w:color="auto" w:sz="4" w:space="0"/>
            </w:tcBorders>
            <w:noWrap/>
            <w:vAlign w:val="bottom"/>
          </w:tcPr>
          <w:p w14:paraId="7A59AF4A">
            <w:pPr>
              <w:spacing w:after="0" w:line="240" w:lineRule="auto"/>
              <w:rPr>
                <w:rFonts w:ascii="Calibri" w:hAnsi="Calibri" w:eastAsia="Times New Roman" w:cs="Calibri"/>
                <w:color w:val="000000"/>
              </w:rPr>
            </w:pPr>
            <w:r>
              <w:rPr>
                <w:rFonts w:ascii="Calibri" w:hAnsi="Calibri" w:eastAsia="Times New Roman" w:cs="Calibri"/>
                <w:color w:val="000000"/>
              </w:rPr>
              <w:t>DCD abandonate</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5DA69F5E">
            <w:pPr>
              <w:spacing w:after="0" w:line="240" w:lineRule="auto"/>
              <w:rPr>
                <w:rFonts w:ascii="Calibri" w:hAnsi="Calibri" w:eastAsia="Times New Roman" w:cs="Calibri"/>
                <w:color w:val="000000"/>
              </w:rPr>
            </w:pPr>
            <w:r>
              <w:rPr>
                <w:rFonts w:ascii="Calibri" w:hAnsi="Calibri" w:eastAsia="Times New Roman" w:cs="Calibri"/>
                <w:color w:val="000000"/>
              </w:rPr>
              <w:t>UM</w:t>
            </w:r>
          </w:p>
        </w:tc>
        <w:tc>
          <w:tcPr>
            <w:tcW w:w="1825" w:type="dxa"/>
            <w:tcBorders>
              <w:top w:val="single" w:color="auto" w:sz="4" w:space="0"/>
              <w:left w:val="nil"/>
              <w:bottom w:val="single" w:color="auto" w:sz="4" w:space="0"/>
              <w:right w:val="single" w:color="auto" w:sz="4" w:space="0"/>
            </w:tcBorders>
            <w:shd w:val="clear" w:color="000000" w:fill="DDEBF7"/>
            <w:noWrap/>
            <w:vAlign w:val="center"/>
          </w:tcPr>
          <w:p w14:paraId="5C3CD228">
            <w:pPr>
              <w:spacing w:after="0" w:line="240" w:lineRule="auto"/>
              <w:jc w:val="center"/>
              <w:rPr>
                <w:rFonts w:ascii="Calibri" w:hAnsi="Calibri" w:eastAsia="Times New Roman" w:cs="Calibri"/>
                <w:b/>
                <w:bCs/>
                <w:color w:val="000000"/>
              </w:rPr>
            </w:pPr>
            <w:r>
              <w:rPr>
                <w:rFonts w:ascii="Calibri" w:hAnsi="Calibri" w:eastAsia="Times New Roman" w:cs="Calibri"/>
                <w:b/>
                <w:bCs/>
                <w:color w:val="000000"/>
              </w:rPr>
              <w:t>Prognoza 2026</w:t>
            </w:r>
          </w:p>
        </w:tc>
      </w:tr>
      <w:tr w14:paraId="60222E4E">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3FD0F109">
            <w:pPr>
              <w:spacing w:after="0" w:line="240" w:lineRule="auto"/>
              <w:jc w:val="center"/>
              <w:rPr>
                <w:rFonts w:ascii="Verdana" w:hAnsi="Verdana" w:eastAsia="Times New Roman" w:cs="Calibri"/>
                <w:b/>
                <w:bCs/>
                <w:i/>
                <w:iCs/>
                <w:color w:val="000000"/>
                <w:sz w:val="18"/>
                <w:szCs w:val="18"/>
              </w:rPr>
            </w:pPr>
            <w:r>
              <w:rPr>
                <w:rFonts w:ascii="Verdana" w:hAnsi="Verdana" w:eastAsia="Times New Roman" w:cs="Calibri"/>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4DBBB6E4">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356433C0">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AD337FB">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1A575336">
            <w:pPr>
              <w:spacing w:after="0" w:line="240" w:lineRule="auto"/>
              <w:jc w:val="right"/>
              <w:rPr>
                <w:rFonts w:ascii="Calibri" w:hAnsi="Calibri" w:eastAsia="Times New Roman" w:cs="Calibri"/>
                <w:color w:val="000000"/>
              </w:rPr>
            </w:pPr>
            <w:r>
              <w:rPr>
                <w:rFonts w:ascii="Calibri" w:hAnsi="Calibri" w:eastAsia="Times New Roman" w:cs="Calibri"/>
                <w:color w:val="000000"/>
              </w:rPr>
              <w:t>Urban</w:t>
            </w:r>
          </w:p>
        </w:tc>
        <w:tc>
          <w:tcPr>
            <w:tcW w:w="1460" w:type="dxa"/>
            <w:tcBorders>
              <w:top w:val="nil"/>
              <w:left w:val="nil"/>
              <w:bottom w:val="single" w:color="auto" w:sz="4" w:space="0"/>
              <w:right w:val="single" w:color="auto" w:sz="4" w:space="0"/>
            </w:tcBorders>
            <w:noWrap/>
            <w:vAlign w:val="bottom"/>
          </w:tcPr>
          <w:p w14:paraId="231FEF2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1B273970">
            <w:pPr>
              <w:spacing w:after="0" w:line="240" w:lineRule="auto"/>
              <w:rPr>
                <w:rFonts w:ascii="Calibri" w:hAnsi="Calibri" w:eastAsia="Times New Roman" w:cs="Calibri"/>
                <w:color w:val="000000"/>
              </w:rPr>
            </w:pPr>
            <w:r>
              <w:rPr>
                <w:rFonts w:ascii="Calibri" w:hAnsi="Calibri" w:eastAsia="Times New Roman" w:cs="Calibri"/>
                <w:color w:val="000000"/>
              </w:rPr>
              <w:t xml:space="preserve">                          30.10 </w:t>
            </w:r>
          </w:p>
        </w:tc>
      </w:tr>
      <w:tr w14:paraId="34F3E691">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24177E2A">
            <w:pPr>
              <w:spacing w:after="0" w:line="240" w:lineRule="auto"/>
              <w:jc w:val="right"/>
              <w:rPr>
                <w:rFonts w:ascii="Calibri" w:hAnsi="Calibri" w:eastAsia="Times New Roman" w:cs="Calibri"/>
                <w:color w:val="000000"/>
              </w:rPr>
            </w:pPr>
            <w:r>
              <w:rPr>
                <w:rFonts w:ascii="Calibri" w:hAnsi="Calibri" w:eastAsia="Times New Roman" w:cs="Calibri"/>
                <w:color w:val="000000"/>
              </w:rPr>
              <w:t>Rural</w:t>
            </w:r>
          </w:p>
        </w:tc>
        <w:tc>
          <w:tcPr>
            <w:tcW w:w="1460" w:type="dxa"/>
            <w:tcBorders>
              <w:top w:val="nil"/>
              <w:left w:val="nil"/>
              <w:bottom w:val="single" w:color="auto" w:sz="4" w:space="0"/>
              <w:right w:val="single" w:color="auto" w:sz="4" w:space="0"/>
            </w:tcBorders>
            <w:noWrap/>
            <w:vAlign w:val="bottom"/>
          </w:tcPr>
          <w:p w14:paraId="344FCCE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747483DF">
            <w:pPr>
              <w:spacing w:after="0" w:line="240" w:lineRule="auto"/>
              <w:rPr>
                <w:rFonts w:ascii="Calibri" w:hAnsi="Calibri" w:eastAsia="Times New Roman" w:cs="Calibri"/>
                <w:color w:val="000000"/>
              </w:rPr>
            </w:pPr>
            <w:r>
              <w:rPr>
                <w:rFonts w:ascii="Calibri" w:hAnsi="Calibri" w:eastAsia="Times New Roman" w:cs="Calibri"/>
                <w:color w:val="000000"/>
              </w:rPr>
              <w:t xml:space="preserve">                          91.28 </w:t>
            </w:r>
          </w:p>
        </w:tc>
      </w:tr>
      <w:tr w14:paraId="0B906FDA">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noWrap/>
            <w:vAlign w:val="bottom"/>
          </w:tcPr>
          <w:p w14:paraId="0BE11987">
            <w:pPr>
              <w:spacing w:after="0" w:line="240" w:lineRule="auto"/>
              <w:rPr>
                <w:rFonts w:ascii="Calibri" w:hAnsi="Calibri" w:eastAsia="Times New Roman" w:cs="Calibri"/>
                <w:color w:val="000000"/>
              </w:rPr>
            </w:pPr>
            <w:r>
              <w:rPr>
                <w:rFonts w:ascii="Calibri" w:hAnsi="Calibri" w:eastAsia="Times New Roman" w:cs="Calibri"/>
                <w:color w:val="000000"/>
              </w:rPr>
              <w:t>Total</w:t>
            </w:r>
          </w:p>
        </w:tc>
        <w:tc>
          <w:tcPr>
            <w:tcW w:w="1460" w:type="dxa"/>
            <w:tcBorders>
              <w:top w:val="nil"/>
              <w:left w:val="nil"/>
              <w:bottom w:val="single" w:color="auto" w:sz="4" w:space="0"/>
              <w:right w:val="single" w:color="auto" w:sz="4" w:space="0"/>
            </w:tcBorders>
            <w:noWrap/>
            <w:vAlign w:val="bottom"/>
          </w:tcPr>
          <w:p w14:paraId="559D032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825" w:type="dxa"/>
            <w:tcBorders>
              <w:top w:val="nil"/>
              <w:left w:val="nil"/>
              <w:bottom w:val="single" w:color="auto" w:sz="4" w:space="0"/>
              <w:right w:val="single" w:color="auto" w:sz="4" w:space="0"/>
            </w:tcBorders>
            <w:noWrap/>
            <w:vAlign w:val="bottom"/>
          </w:tcPr>
          <w:p w14:paraId="038E77A4">
            <w:pPr>
              <w:keepNext/>
              <w:spacing w:after="0" w:line="240" w:lineRule="auto"/>
              <w:rPr>
                <w:rFonts w:ascii="Calibri" w:hAnsi="Calibri" w:eastAsia="Times New Roman" w:cs="Calibri"/>
                <w:color w:val="000000"/>
              </w:rPr>
            </w:pPr>
            <w:r>
              <w:rPr>
                <w:rFonts w:ascii="Calibri" w:hAnsi="Calibri" w:eastAsia="Times New Roman" w:cs="Calibri"/>
                <w:color w:val="000000"/>
              </w:rPr>
              <w:t xml:space="preserve">                       121.38 </w:t>
            </w:r>
          </w:p>
        </w:tc>
      </w:tr>
    </w:tbl>
    <w:p w14:paraId="5C1E80F6">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14</w:t>
      </w:r>
      <w:r>
        <w:fldChar w:fldCharType="end"/>
      </w:r>
    </w:p>
    <w:p w14:paraId="0C592864"/>
    <w:p w14:paraId="6ED63352"/>
    <w:tbl>
      <w:tblPr>
        <w:tblStyle w:val="12"/>
        <w:tblW w:w="8245" w:type="dxa"/>
        <w:tblInd w:w="0" w:type="dxa"/>
        <w:tblLayout w:type="autofit"/>
        <w:tblCellMar>
          <w:top w:w="0" w:type="dxa"/>
          <w:left w:w="108" w:type="dxa"/>
          <w:bottom w:w="0" w:type="dxa"/>
          <w:right w:w="108" w:type="dxa"/>
        </w:tblCellMar>
      </w:tblPr>
      <w:tblGrid>
        <w:gridCol w:w="4960"/>
        <w:gridCol w:w="1460"/>
        <w:gridCol w:w="1825"/>
      </w:tblGrid>
      <w:tr w14:paraId="1DFA136A">
        <w:tblPrEx>
          <w:tblCellMar>
            <w:top w:w="0" w:type="dxa"/>
            <w:left w:w="108" w:type="dxa"/>
            <w:bottom w:w="0" w:type="dxa"/>
            <w:right w:w="108" w:type="dxa"/>
          </w:tblCellMar>
        </w:tblPrEx>
        <w:trPr>
          <w:trHeight w:val="300" w:hRule="atLeast"/>
        </w:trPr>
        <w:tc>
          <w:tcPr>
            <w:tcW w:w="4960" w:type="dxa"/>
            <w:tcBorders>
              <w:top w:val="single" w:color="auto" w:sz="4" w:space="0"/>
              <w:left w:val="single" w:color="auto" w:sz="4" w:space="0"/>
              <w:bottom w:val="single" w:color="auto" w:sz="4" w:space="0"/>
              <w:right w:val="single" w:color="auto" w:sz="4" w:space="0"/>
            </w:tcBorders>
            <w:shd w:val="clear" w:color="000000" w:fill="DDEBF7"/>
            <w:noWrap/>
            <w:vAlign w:val="bottom"/>
          </w:tcPr>
          <w:p w14:paraId="2624E0FB">
            <w:pPr>
              <w:spacing w:after="0" w:line="240" w:lineRule="auto"/>
              <w:outlineLvl w:val="0"/>
              <w:rPr>
                <w:rFonts w:ascii="Arial" w:hAnsi="Arial" w:eastAsia="Times New Roman" w:cs="Arial"/>
                <w:b/>
                <w:bCs/>
                <w:color w:val="000000"/>
                <w:sz w:val="18"/>
                <w:szCs w:val="18"/>
              </w:rPr>
            </w:pPr>
            <w:r>
              <w:rPr>
                <w:rFonts w:ascii="Arial" w:hAnsi="Arial" w:eastAsia="Times New Roman" w:cs="Arial"/>
                <w:b/>
                <w:bCs/>
                <w:color w:val="000000"/>
                <w:sz w:val="18"/>
                <w:szCs w:val="18"/>
              </w:rPr>
              <w:t>Deseuri reciclabile colectate cu impact SGR</w:t>
            </w:r>
          </w:p>
        </w:tc>
        <w:tc>
          <w:tcPr>
            <w:tcW w:w="1460" w:type="dxa"/>
            <w:tcBorders>
              <w:top w:val="single" w:color="auto" w:sz="4" w:space="0"/>
              <w:left w:val="nil"/>
              <w:bottom w:val="single" w:color="auto" w:sz="4" w:space="0"/>
              <w:right w:val="single" w:color="auto" w:sz="4" w:space="0"/>
            </w:tcBorders>
            <w:shd w:val="clear" w:color="000000" w:fill="DDEBF7"/>
            <w:noWrap/>
            <w:vAlign w:val="bottom"/>
          </w:tcPr>
          <w:p w14:paraId="6FD7B9B9">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UM</w:t>
            </w:r>
          </w:p>
        </w:tc>
        <w:tc>
          <w:tcPr>
            <w:tcW w:w="1825" w:type="dxa"/>
            <w:tcBorders>
              <w:top w:val="single" w:color="auto" w:sz="4" w:space="0"/>
              <w:left w:val="nil"/>
              <w:bottom w:val="single" w:color="auto" w:sz="4" w:space="0"/>
              <w:right w:val="single" w:color="auto" w:sz="4" w:space="0"/>
            </w:tcBorders>
            <w:shd w:val="clear" w:color="000000" w:fill="DDEBF7"/>
            <w:noWrap/>
            <w:vAlign w:val="center"/>
          </w:tcPr>
          <w:p w14:paraId="41FCE56B">
            <w:pPr>
              <w:spacing w:after="0" w:line="240" w:lineRule="auto"/>
              <w:jc w:val="center"/>
              <w:outlineLvl w:val="0"/>
              <w:rPr>
                <w:rFonts w:ascii="Arial" w:hAnsi="Arial" w:eastAsia="Times New Roman" w:cs="Arial"/>
                <w:b/>
                <w:bCs/>
                <w:color w:val="000000"/>
                <w:sz w:val="18"/>
                <w:szCs w:val="18"/>
              </w:rPr>
            </w:pPr>
            <w:r>
              <w:rPr>
                <w:rFonts w:ascii="Arial" w:hAnsi="Arial" w:eastAsia="Times New Roman" w:cs="Arial"/>
                <w:b/>
                <w:bCs/>
                <w:color w:val="000000"/>
                <w:sz w:val="18"/>
                <w:szCs w:val="18"/>
              </w:rPr>
              <w:t>Prognoza 2026</w:t>
            </w:r>
          </w:p>
        </w:tc>
      </w:tr>
      <w:tr w14:paraId="7EA942CE">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1DC77F4F">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Recipient H/C</w:t>
            </w:r>
          </w:p>
        </w:tc>
        <w:tc>
          <w:tcPr>
            <w:tcW w:w="1460" w:type="dxa"/>
            <w:tcBorders>
              <w:top w:val="nil"/>
              <w:left w:val="nil"/>
              <w:bottom w:val="single" w:color="auto" w:sz="4" w:space="0"/>
              <w:right w:val="single" w:color="auto" w:sz="4" w:space="0"/>
            </w:tcBorders>
            <w:noWrap/>
            <w:vAlign w:val="bottom"/>
          </w:tcPr>
          <w:p w14:paraId="096BBD37">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05468D59">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565.84 </w:t>
            </w:r>
          </w:p>
        </w:tc>
      </w:tr>
      <w:tr w14:paraId="2851F67A">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3E74D0DF">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227DD48E">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50500162">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495.69 </w:t>
            </w:r>
          </w:p>
        </w:tc>
      </w:tr>
      <w:tr w14:paraId="27FFD0CA">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6B69730B">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Urban</w:t>
            </w:r>
          </w:p>
        </w:tc>
        <w:tc>
          <w:tcPr>
            <w:tcW w:w="1460" w:type="dxa"/>
            <w:tcBorders>
              <w:top w:val="nil"/>
              <w:left w:val="nil"/>
              <w:bottom w:val="single" w:color="auto" w:sz="4" w:space="0"/>
              <w:right w:val="single" w:color="auto" w:sz="4" w:space="0"/>
            </w:tcBorders>
            <w:noWrap/>
            <w:vAlign w:val="bottom"/>
          </w:tcPr>
          <w:p w14:paraId="476F6D33">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18BD0F47">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178.56 </w:t>
            </w:r>
          </w:p>
        </w:tc>
      </w:tr>
      <w:tr w14:paraId="56536522">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1BF99F7D">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Rural</w:t>
            </w:r>
          </w:p>
        </w:tc>
        <w:tc>
          <w:tcPr>
            <w:tcW w:w="1460" w:type="dxa"/>
            <w:tcBorders>
              <w:top w:val="nil"/>
              <w:left w:val="nil"/>
              <w:bottom w:val="single" w:color="auto" w:sz="4" w:space="0"/>
              <w:right w:val="single" w:color="auto" w:sz="4" w:space="0"/>
            </w:tcBorders>
            <w:noWrap/>
            <w:vAlign w:val="bottom"/>
          </w:tcPr>
          <w:p w14:paraId="52684A89">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06005898">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317.13 </w:t>
            </w:r>
          </w:p>
        </w:tc>
      </w:tr>
      <w:tr w14:paraId="5D224A3A">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585B9FBE">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4E0C266C">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432AD460">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68.99 </w:t>
            </w:r>
          </w:p>
        </w:tc>
      </w:tr>
      <w:tr w14:paraId="557F9CF6">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07868DBB">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Urban</w:t>
            </w:r>
          </w:p>
        </w:tc>
        <w:tc>
          <w:tcPr>
            <w:tcW w:w="1460" w:type="dxa"/>
            <w:tcBorders>
              <w:top w:val="nil"/>
              <w:left w:val="nil"/>
              <w:bottom w:val="single" w:color="auto" w:sz="4" w:space="0"/>
              <w:right w:val="single" w:color="auto" w:sz="4" w:space="0"/>
            </w:tcBorders>
            <w:noWrap/>
            <w:vAlign w:val="bottom"/>
          </w:tcPr>
          <w:p w14:paraId="4FF7FFAC">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781840EC">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40.59 </w:t>
            </w:r>
          </w:p>
        </w:tc>
      </w:tr>
      <w:tr w14:paraId="2C7D803F">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1BB573B1">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Rural</w:t>
            </w:r>
          </w:p>
        </w:tc>
        <w:tc>
          <w:tcPr>
            <w:tcW w:w="1460" w:type="dxa"/>
            <w:tcBorders>
              <w:top w:val="nil"/>
              <w:left w:val="nil"/>
              <w:bottom w:val="single" w:color="auto" w:sz="4" w:space="0"/>
              <w:right w:val="single" w:color="auto" w:sz="4" w:space="0"/>
            </w:tcBorders>
            <w:noWrap/>
            <w:vAlign w:val="bottom"/>
          </w:tcPr>
          <w:p w14:paraId="1B241D7A">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538B926F">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28.40 </w:t>
            </w:r>
          </w:p>
        </w:tc>
      </w:tr>
      <w:tr w14:paraId="326746D6">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65ADB525">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Piețe</w:t>
            </w:r>
          </w:p>
        </w:tc>
        <w:tc>
          <w:tcPr>
            <w:tcW w:w="1460" w:type="dxa"/>
            <w:tcBorders>
              <w:top w:val="nil"/>
              <w:left w:val="nil"/>
              <w:bottom w:val="single" w:color="auto" w:sz="4" w:space="0"/>
              <w:right w:val="single" w:color="auto" w:sz="4" w:space="0"/>
            </w:tcBorders>
            <w:noWrap/>
            <w:vAlign w:val="bottom"/>
          </w:tcPr>
          <w:p w14:paraId="540B387D">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4D82EA67">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1.16 </w:t>
            </w:r>
          </w:p>
        </w:tc>
      </w:tr>
      <w:tr w14:paraId="081EAAD0">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3F155C47">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Recipient P/M</w:t>
            </w:r>
          </w:p>
        </w:tc>
        <w:tc>
          <w:tcPr>
            <w:tcW w:w="1460" w:type="dxa"/>
            <w:tcBorders>
              <w:top w:val="nil"/>
              <w:left w:val="nil"/>
              <w:bottom w:val="single" w:color="auto" w:sz="4" w:space="0"/>
              <w:right w:val="single" w:color="auto" w:sz="4" w:space="0"/>
            </w:tcBorders>
            <w:noWrap/>
            <w:vAlign w:val="bottom"/>
          </w:tcPr>
          <w:p w14:paraId="3181F625">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61CCC7ED">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417.52 </w:t>
            </w:r>
          </w:p>
        </w:tc>
      </w:tr>
      <w:tr w14:paraId="5309D2DC">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1B8BADA1">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5890B894">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4305DD5B">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320.44 </w:t>
            </w:r>
          </w:p>
        </w:tc>
      </w:tr>
      <w:tr w14:paraId="145FF44F">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3AEB23DB">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Urban</w:t>
            </w:r>
          </w:p>
        </w:tc>
        <w:tc>
          <w:tcPr>
            <w:tcW w:w="1460" w:type="dxa"/>
            <w:tcBorders>
              <w:top w:val="nil"/>
              <w:left w:val="nil"/>
              <w:bottom w:val="single" w:color="auto" w:sz="4" w:space="0"/>
              <w:right w:val="single" w:color="auto" w:sz="4" w:space="0"/>
            </w:tcBorders>
            <w:noWrap/>
            <w:vAlign w:val="bottom"/>
          </w:tcPr>
          <w:p w14:paraId="69CB4B8B">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371DFC2C">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56.80 </w:t>
            </w:r>
          </w:p>
        </w:tc>
      </w:tr>
      <w:tr w14:paraId="03E7952D">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402C49C0">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Rural</w:t>
            </w:r>
          </w:p>
        </w:tc>
        <w:tc>
          <w:tcPr>
            <w:tcW w:w="1460" w:type="dxa"/>
            <w:tcBorders>
              <w:top w:val="nil"/>
              <w:left w:val="nil"/>
              <w:bottom w:val="single" w:color="auto" w:sz="4" w:space="0"/>
              <w:right w:val="single" w:color="auto" w:sz="4" w:space="0"/>
            </w:tcBorders>
            <w:noWrap/>
            <w:vAlign w:val="bottom"/>
          </w:tcPr>
          <w:p w14:paraId="7E16166D">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30673EF9">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263.64 </w:t>
            </w:r>
          </w:p>
        </w:tc>
      </w:tr>
      <w:tr w14:paraId="7879452A">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66529418">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09085821">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2029A3AF">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95.79 </w:t>
            </w:r>
          </w:p>
        </w:tc>
      </w:tr>
      <w:tr w14:paraId="6A8FD168">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5F5F5F3B">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Urban</w:t>
            </w:r>
          </w:p>
        </w:tc>
        <w:tc>
          <w:tcPr>
            <w:tcW w:w="1460" w:type="dxa"/>
            <w:tcBorders>
              <w:top w:val="nil"/>
              <w:left w:val="nil"/>
              <w:bottom w:val="single" w:color="auto" w:sz="4" w:space="0"/>
              <w:right w:val="single" w:color="auto" w:sz="4" w:space="0"/>
            </w:tcBorders>
            <w:noWrap/>
            <w:vAlign w:val="bottom"/>
          </w:tcPr>
          <w:p w14:paraId="68D547C0">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592E917A">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62.50 </w:t>
            </w:r>
          </w:p>
        </w:tc>
      </w:tr>
      <w:tr w14:paraId="148F2B65">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2A6165B0">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Rural</w:t>
            </w:r>
          </w:p>
        </w:tc>
        <w:tc>
          <w:tcPr>
            <w:tcW w:w="1460" w:type="dxa"/>
            <w:tcBorders>
              <w:top w:val="nil"/>
              <w:left w:val="nil"/>
              <w:bottom w:val="single" w:color="auto" w:sz="4" w:space="0"/>
              <w:right w:val="single" w:color="auto" w:sz="4" w:space="0"/>
            </w:tcBorders>
            <w:noWrap/>
            <w:vAlign w:val="bottom"/>
          </w:tcPr>
          <w:p w14:paraId="7586E1C8">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5290B57C">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33.28 </w:t>
            </w:r>
          </w:p>
        </w:tc>
      </w:tr>
      <w:tr w14:paraId="2DAC41E3">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538070E5">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Piețe</w:t>
            </w:r>
          </w:p>
        </w:tc>
        <w:tc>
          <w:tcPr>
            <w:tcW w:w="1460" w:type="dxa"/>
            <w:tcBorders>
              <w:top w:val="nil"/>
              <w:left w:val="nil"/>
              <w:bottom w:val="single" w:color="auto" w:sz="4" w:space="0"/>
              <w:right w:val="single" w:color="auto" w:sz="4" w:space="0"/>
            </w:tcBorders>
            <w:noWrap/>
            <w:vAlign w:val="bottom"/>
          </w:tcPr>
          <w:p w14:paraId="0177EBAB">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7098B6DD">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1.29 </w:t>
            </w:r>
          </w:p>
        </w:tc>
      </w:tr>
      <w:tr w14:paraId="18D91DD3">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44685B62">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Impact SGR</w:t>
            </w:r>
          </w:p>
        </w:tc>
        <w:tc>
          <w:tcPr>
            <w:tcW w:w="1460" w:type="dxa"/>
            <w:tcBorders>
              <w:top w:val="nil"/>
              <w:left w:val="nil"/>
              <w:bottom w:val="single" w:color="auto" w:sz="4" w:space="0"/>
              <w:right w:val="single" w:color="auto" w:sz="4" w:space="0"/>
            </w:tcBorders>
            <w:noWrap/>
            <w:vAlign w:val="bottom"/>
          </w:tcPr>
          <w:p w14:paraId="7286A819">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w:t>
            </w:r>
          </w:p>
        </w:tc>
        <w:tc>
          <w:tcPr>
            <w:tcW w:w="1825" w:type="dxa"/>
            <w:tcBorders>
              <w:top w:val="nil"/>
              <w:left w:val="nil"/>
              <w:bottom w:val="single" w:color="auto" w:sz="4" w:space="0"/>
              <w:right w:val="single" w:color="auto" w:sz="4" w:space="0"/>
            </w:tcBorders>
            <w:noWrap/>
            <w:vAlign w:val="bottom"/>
          </w:tcPr>
          <w:p w14:paraId="32EBBDB2">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(548.79)</w:t>
            </w:r>
          </w:p>
        </w:tc>
      </w:tr>
      <w:tr w14:paraId="781A72EE">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5C59D80E">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Recipient sticlă</w:t>
            </w:r>
          </w:p>
        </w:tc>
        <w:tc>
          <w:tcPr>
            <w:tcW w:w="1460" w:type="dxa"/>
            <w:tcBorders>
              <w:top w:val="nil"/>
              <w:left w:val="nil"/>
              <w:bottom w:val="single" w:color="auto" w:sz="4" w:space="0"/>
              <w:right w:val="single" w:color="auto" w:sz="4" w:space="0"/>
            </w:tcBorders>
            <w:noWrap/>
            <w:vAlign w:val="bottom"/>
          </w:tcPr>
          <w:p w14:paraId="7DC277F6">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28810145">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15.57 </w:t>
            </w:r>
          </w:p>
        </w:tc>
      </w:tr>
      <w:tr w14:paraId="5878780C">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29B7FD83">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Menajere</w:t>
            </w:r>
          </w:p>
        </w:tc>
        <w:tc>
          <w:tcPr>
            <w:tcW w:w="1460" w:type="dxa"/>
            <w:tcBorders>
              <w:top w:val="nil"/>
              <w:left w:val="nil"/>
              <w:bottom w:val="single" w:color="auto" w:sz="4" w:space="0"/>
              <w:right w:val="single" w:color="auto" w:sz="4" w:space="0"/>
            </w:tcBorders>
            <w:noWrap/>
            <w:vAlign w:val="bottom"/>
          </w:tcPr>
          <w:p w14:paraId="1285578B">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207C37E1">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9.40 </w:t>
            </w:r>
          </w:p>
        </w:tc>
      </w:tr>
      <w:tr w14:paraId="7FA81C6B">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20A23EE0">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Urban</w:t>
            </w:r>
          </w:p>
        </w:tc>
        <w:tc>
          <w:tcPr>
            <w:tcW w:w="1460" w:type="dxa"/>
            <w:tcBorders>
              <w:top w:val="nil"/>
              <w:left w:val="nil"/>
              <w:bottom w:val="single" w:color="auto" w:sz="4" w:space="0"/>
              <w:right w:val="single" w:color="auto" w:sz="4" w:space="0"/>
            </w:tcBorders>
            <w:noWrap/>
            <w:vAlign w:val="bottom"/>
          </w:tcPr>
          <w:p w14:paraId="0B52DB0A">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04A9C2F0">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2.38 </w:t>
            </w:r>
          </w:p>
        </w:tc>
      </w:tr>
      <w:tr w14:paraId="0080F8D9">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6F572DA7">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Rural</w:t>
            </w:r>
          </w:p>
        </w:tc>
        <w:tc>
          <w:tcPr>
            <w:tcW w:w="1460" w:type="dxa"/>
            <w:tcBorders>
              <w:top w:val="nil"/>
              <w:left w:val="nil"/>
              <w:bottom w:val="single" w:color="auto" w:sz="4" w:space="0"/>
              <w:right w:val="single" w:color="auto" w:sz="4" w:space="0"/>
            </w:tcBorders>
            <w:noWrap/>
            <w:vAlign w:val="bottom"/>
          </w:tcPr>
          <w:p w14:paraId="7E7F5860">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766E4CB0">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7.03 </w:t>
            </w:r>
          </w:p>
        </w:tc>
      </w:tr>
      <w:tr w14:paraId="46F69C24">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6ED74883">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Similare</w:t>
            </w:r>
          </w:p>
        </w:tc>
        <w:tc>
          <w:tcPr>
            <w:tcW w:w="1460" w:type="dxa"/>
            <w:tcBorders>
              <w:top w:val="nil"/>
              <w:left w:val="nil"/>
              <w:bottom w:val="single" w:color="auto" w:sz="4" w:space="0"/>
              <w:right w:val="single" w:color="auto" w:sz="4" w:space="0"/>
            </w:tcBorders>
            <w:noWrap/>
            <w:vAlign w:val="bottom"/>
          </w:tcPr>
          <w:p w14:paraId="5405C5D2">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7C82F4CF">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5.77 </w:t>
            </w:r>
          </w:p>
        </w:tc>
      </w:tr>
      <w:tr w14:paraId="47A6849F">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7DD0DD20">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Urban</w:t>
            </w:r>
          </w:p>
        </w:tc>
        <w:tc>
          <w:tcPr>
            <w:tcW w:w="1460" w:type="dxa"/>
            <w:tcBorders>
              <w:top w:val="nil"/>
              <w:left w:val="nil"/>
              <w:bottom w:val="single" w:color="auto" w:sz="4" w:space="0"/>
              <w:right w:val="single" w:color="auto" w:sz="4" w:space="0"/>
            </w:tcBorders>
            <w:noWrap/>
            <w:vAlign w:val="bottom"/>
          </w:tcPr>
          <w:p w14:paraId="50C022D7">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760562A7">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4.28 </w:t>
            </w:r>
          </w:p>
        </w:tc>
      </w:tr>
      <w:tr w14:paraId="6132D40D">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5A3AAD97">
            <w:pPr>
              <w:spacing w:after="0" w:line="240" w:lineRule="auto"/>
              <w:jc w:val="right"/>
              <w:outlineLvl w:val="0"/>
              <w:rPr>
                <w:rFonts w:ascii="Arial" w:hAnsi="Arial" w:eastAsia="Times New Roman" w:cs="Arial"/>
                <w:i/>
                <w:iCs/>
                <w:color w:val="000000"/>
                <w:sz w:val="18"/>
                <w:szCs w:val="18"/>
              </w:rPr>
            </w:pPr>
            <w:r>
              <w:rPr>
                <w:rFonts w:ascii="Arial" w:hAnsi="Arial" w:eastAsia="Times New Roman" w:cs="Arial"/>
                <w:i/>
                <w:iCs/>
                <w:color w:val="000000"/>
                <w:sz w:val="18"/>
                <w:szCs w:val="18"/>
              </w:rPr>
              <w:t>Rural</w:t>
            </w:r>
          </w:p>
        </w:tc>
        <w:tc>
          <w:tcPr>
            <w:tcW w:w="1460" w:type="dxa"/>
            <w:tcBorders>
              <w:top w:val="nil"/>
              <w:left w:val="nil"/>
              <w:bottom w:val="single" w:color="auto" w:sz="4" w:space="0"/>
              <w:right w:val="single" w:color="auto" w:sz="4" w:space="0"/>
            </w:tcBorders>
            <w:noWrap/>
            <w:vAlign w:val="bottom"/>
          </w:tcPr>
          <w:p w14:paraId="18224DEE">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77144F4A">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1.49 </w:t>
            </w:r>
          </w:p>
        </w:tc>
      </w:tr>
      <w:tr w14:paraId="396FC87A">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75FDCE76">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Piețe</w:t>
            </w:r>
          </w:p>
        </w:tc>
        <w:tc>
          <w:tcPr>
            <w:tcW w:w="1460" w:type="dxa"/>
            <w:tcBorders>
              <w:top w:val="nil"/>
              <w:left w:val="nil"/>
              <w:bottom w:val="single" w:color="auto" w:sz="4" w:space="0"/>
              <w:right w:val="single" w:color="auto" w:sz="4" w:space="0"/>
            </w:tcBorders>
            <w:noWrap/>
            <w:vAlign w:val="bottom"/>
          </w:tcPr>
          <w:p w14:paraId="24E6799C">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38D40926">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0.40 </w:t>
            </w:r>
          </w:p>
        </w:tc>
      </w:tr>
      <w:tr w14:paraId="0E345543">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106AC9B7">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Impact SGR</w:t>
            </w:r>
          </w:p>
        </w:tc>
        <w:tc>
          <w:tcPr>
            <w:tcW w:w="1460" w:type="dxa"/>
            <w:tcBorders>
              <w:top w:val="nil"/>
              <w:left w:val="nil"/>
              <w:bottom w:val="single" w:color="auto" w:sz="4" w:space="0"/>
              <w:right w:val="single" w:color="auto" w:sz="4" w:space="0"/>
            </w:tcBorders>
            <w:noWrap/>
            <w:vAlign w:val="bottom"/>
          </w:tcPr>
          <w:p w14:paraId="6BC91957">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w:t>
            </w:r>
          </w:p>
        </w:tc>
        <w:tc>
          <w:tcPr>
            <w:tcW w:w="1825" w:type="dxa"/>
            <w:tcBorders>
              <w:top w:val="nil"/>
              <w:left w:val="nil"/>
              <w:bottom w:val="single" w:color="auto" w:sz="4" w:space="0"/>
              <w:right w:val="single" w:color="auto" w:sz="4" w:space="0"/>
            </w:tcBorders>
            <w:noWrap/>
            <w:vAlign w:val="bottom"/>
          </w:tcPr>
          <w:p w14:paraId="1CDE10B9">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(293.85)</w:t>
            </w:r>
          </w:p>
        </w:tc>
      </w:tr>
      <w:tr w14:paraId="10D8339A">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08B7ACD5">
            <w:pPr>
              <w:spacing w:after="0" w:line="240" w:lineRule="auto"/>
              <w:jc w:val="center"/>
              <w:outlineLvl w:val="0"/>
              <w:rPr>
                <w:rFonts w:ascii="Arial" w:hAnsi="Arial" w:eastAsia="Times New Roman" w:cs="Arial"/>
                <w:b/>
                <w:bCs/>
                <w:i/>
                <w:iCs/>
                <w:color w:val="000000"/>
                <w:sz w:val="18"/>
                <w:szCs w:val="18"/>
              </w:rPr>
            </w:pPr>
            <w:r>
              <w:rPr>
                <w:rFonts w:ascii="Arial" w:hAnsi="Arial" w:eastAsia="Times New Roman" w:cs="Arial"/>
                <w:b/>
                <w:bCs/>
                <w:i/>
                <w:iCs/>
                <w:color w:val="000000"/>
                <w:sz w:val="18"/>
                <w:szCs w:val="18"/>
              </w:rPr>
              <w:t> </w:t>
            </w:r>
          </w:p>
        </w:tc>
        <w:tc>
          <w:tcPr>
            <w:tcW w:w="1460" w:type="dxa"/>
            <w:tcBorders>
              <w:top w:val="nil"/>
              <w:left w:val="nil"/>
              <w:bottom w:val="single" w:color="auto" w:sz="4" w:space="0"/>
              <w:right w:val="single" w:color="auto" w:sz="4" w:space="0"/>
            </w:tcBorders>
            <w:noWrap/>
            <w:vAlign w:val="bottom"/>
          </w:tcPr>
          <w:p w14:paraId="096E116B">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w:t>
            </w:r>
          </w:p>
        </w:tc>
        <w:tc>
          <w:tcPr>
            <w:tcW w:w="1825" w:type="dxa"/>
            <w:tcBorders>
              <w:top w:val="nil"/>
              <w:left w:val="nil"/>
              <w:bottom w:val="single" w:color="auto" w:sz="4" w:space="0"/>
              <w:right w:val="single" w:color="auto" w:sz="4" w:space="0"/>
            </w:tcBorders>
            <w:noWrap/>
            <w:vAlign w:val="bottom"/>
          </w:tcPr>
          <w:p w14:paraId="5E9EE586">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w:t>
            </w:r>
          </w:p>
        </w:tc>
      </w:tr>
      <w:tr w14:paraId="70F6042B">
        <w:tblPrEx>
          <w:tblCellMar>
            <w:top w:w="0" w:type="dxa"/>
            <w:left w:w="108" w:type="dxa"/>
            <w:bottom w:w="0" w:type="dxa"/>
            <w:right w:w="108" w:type="dxa"/>
          </w:tblCellMar>
        </w:tblPrEx>
        <w:trPr>
          <w:trHeight w:val="300" w:hRule="atLeast"/>
        </w:trPr>
        <w:tc>
          <w:tcPr>
            <w:tcW w:w="4960" w:type="dxa"/>
            <w:tcBorders>
              <w:top w:val="nil"/>
              <w:left w:val="single" w:color="auto" w:sz="4" w:space="0"/>
              <w:bottom w:val="single" w:color="auto" w:sz="4" w:space="0"/>
              <w:right w:val="single" w:color="auto" w:sz="4" w:space="0"/>
            </w:tcBorders>
            <w:vAlign w:val="center"/>
          </w:tcPr>
          <w:p w14:paraId="51406054">
            <w:pPr>
              <w:spacing w:after="0" w:line="240" w:lineRule="auto"/>
              <w:outlineLvl w:val="0"/>
              <w:rPr>
                <w:rFonts w:ascii="Arial" w:hAnsi="Arial" w:eastAsia="Times New Roman" w:cs="Arial"/>
                <w:b/>
                <w:bCs/>
                <w:color w:val="000000"/>
                <w:sz w:val="18"/>
                <w:szCs w:val="18"/>
              </w:rPr>
            </w:pPr>
            <w:r>
              <w:rPr>
                <w:rFonts w:ascii="Arial" w:hAnsi="Arial" w:eastAsia="Times New Roman" w:cs="Arial"/>
                <w:b/>
                <w:bCs/>
                <w:color w:val="000000"/>
                <w:sz w:val="18"/>
                <w:szCs w:val="18"/>
              </w:rPr>
              <w:t>Total</w:t>
            </w:r>
          </w:p>
        </w:tc>
        <w:tc>
          <w:tcPr>
            <w:tcW w:w="1460" w:type="dxa"/>
            <w:tcBorders>
              <w:top w:val="nil"/>
              <w:left w:val="nil"/>
              <w:bottom w:val="single" w:color="auto" w:sz="4" w:space="0"/>
              <w:right w:val="single" w:color="auto" w:sz="4" w:space="0"/>
            </w:tcBorders>
            <w:noWrap/>
            <w:vAlign w:val="bottom"/>
          </w:tcPr>
          <w:p w14:paraId="2DBC5800">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[t/an]</w:t>
            </w:r>
          </w:p>
        </w:tc>
        <w:tc>
          <w:tcPr>
            <w:tcW w:w="1825" w:type="dxa"/>
            <w:tcBorders>
              <w:top w:val="nil"/>
              <w:left w:val="nil"/>
              <w:bottom w:val="single" w:color="auto" w:sz="4" w:space="0"/>
              <w:right w:val="single" w:color="auto" w:sz="4" w:space="0"/>
            </w:tcBorders>
            <w:noWrap/>
            <w:vAlign w:val="bottom"/>
          </w:tcPr>
          <w:p w14:paraId="2D88B78A">
            <w:pPr>
              <w:spacing w:after="0" w:line="240" w:lineRule="auto"/>
              <w:outlineLvl w:val="0"/>
              <w:rPr>
                <w:rFonts w:ascii="Arial" w:hAnsi="Arial" w:eastAsia="Times New Roman" w:cs="Arial"/>
                <w:color w:val="000000"/>
                <w:sz w:val="18"/>
                <w:szCs w:val="18"/>
              </w:rPr>
            </w:pPr>
            <w:r>
              <w:rPr>
                <w:rFonts w:ascii="Arial" w:hAnsi="Arial" w:eastAsia="Times New Roman" w:cs="Arial"/>
                <w:color w:val="000000"/>
                <w:sz w:val="18"/>
                <w:szCs w:val="18"/>
              </w:rPr>
              <w:t xml:space="preserve">                       998.93 </w:t>
            </w:r>
          </w:p>
        </w:tc>
      </w:tr>
    </w:tbl>
    <w:p w14:paraId="509E7F48">
      <w:pPr>
        <w:sectPr>
          <w:footerReference r:id="rId6" w:type="default"/>
          <w:pgSz w:w="11907" w:h="16840"/>
          <w:pgMar w:top="1134" w:right="851" w:bottom="851" w:left="1134" w:header="720" w:footer="720" w:gutter="0"/>
          <w:cols w:space="720" w:num="1"/>
          <w:docGrid w:linePitch="360" w:charSpace="0"/>
        </w:sectPr>
      </w:pPr>
    </w:p>
    <w:tbl>
      <w:tblPr>
        <w:tblStyle w:val="12"/>
        <w:tblW w:w="0" w:type="auto"/>
        <w:tblInd w:w="0" w:type="dxa"/>
        <w:tblLayout w:type="autofit"/>
        <w:tblCellMar>
          <w:top w:w="0" w:type="dxa"/>
          <w:left w:w="108" w:type="dxa"/>
          <w:bottom w:w="0" w:type="dxa"/>
          <w:right w:w="108" w:type="dxa"/>
        </w:tblCellMar>
      </w:tblPr>
      <w:tblGrid>
        <w:gridCol w:w="1119"/>
        <w:gridCol w:w="519"/>
        <w:gridCol w:w="1363"/>
        <w:gridCol w:w="1041"/>
        <w:gridCol w:w="942"/>
        <w:gridCol w:w="710"/>
        <w:gridCol w:w="722"/>
        <w:gridCol w:w="722"/>
        <w:gridCol w:w="737"/>
        <w:gridCol w:w="710"/>
        <w:gridCol w:w="1180"/>
        <w:gridCol w:w="737"/>
        <w:gridCol w:w="970"/>
        <w:gridCol w:w="703"/>
        <w:gridCol w:w="780"/>
        <w:gridCol w:w="703"/>
        <w:gridCol w:w="710"/>
        <w:gridCol w:w="703"/>
      </w:tblGrid>
      <w:tr w14:paraId="278D1F44">
        <w:tblPrEx>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000000" w:fill="DDEBF7"/>
            <w:noWrap/>
            <w:vAlign w:val="bottom"/>
          </w:tcPr>
          <w:p w14:paraId="74B24EF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778BFC6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gridSpan w:val="6"/>
            <w:tcBorders>
              <w:top w:val="single" w:color="auto" w:sz="4" w:space="0"/>
              <w:left w:val="nil"/>
              <w:bottom w:val="single" w:color="auto" w:sz="4" w:space="0"/>
              <w:right w:val="single" w:color="auto" w:sz="4" w:space="0"/>
            </w:tcBorders>
            <w:shd w:val="clear" w:color="000000" w:fill="DDEBF7"/>
            <w:noWrap/>
            <w:vAlign w:val="bottom"/>
          </w:tcPr>
          <w:p w14:paraId="29251C2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Cantităţi de deşeuri colectate (tone/an) </w:t>
            </w:r>
          </w:p>
          <w:p w14:paraId="1DD6F7A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p w14:paraId="635B9F9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p w14:paraId="5643909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p w14:paraId="362C858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p w14:paraId="3530396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16179E8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23299E0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0EA0251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30BCE10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gridSpan w:val="6"/>
            <w:tcBorders>
              <w:top w:val="single" w:color="auto" w:sz="4" w:space="0"/>
              <w:left w:val="nil"/>
              <w:bottom w:val="single" w:color="auto" w:sz="4" w:space="0"/>
              <w:right w:val="single" w:color="auto" w:sz="4" w:space="0"/>
            </w:tcBorders>
            <w:shd w:val="clear" w:color="000000" w:fill="DDEBF7"/>
            <w:noWrap/>
            <w:vAlign w:val="bottom"/>
          </w:tcPr>
          <w:p w14:paraId="5912211C">
            <w:pPr>
              <w:spacing w:after="0" w:line="240" w:lineRule="auto"/>
              <w:jc w:val="center"/>
              <w:rPr>
                <w:rFonts w:ascii="Calibri" w:hAnsi="Calibri" w:eastAsia="Times New Roman" w:cs="Calibri"/>
                <w:color w:val="000000"/>
                <w:sz w:val="14"/>
                <w:szCs w:val="14"/>
              </w:rPr>
            </w:pPr>
            <w:r>
              <w:rPr>
                <w:rFonts w:ascii="Calibri" w:hAnsi="Calibri" w:eastAsia="Times New Roman" w:cs="Calibri"/>
                <w:color w:val="000000"/>
                <w:sz w:val="14"/>
                <w:szCs w:val="14"/>
              </w:rPr>
              <w:t>Fluxuri speciale</w:t>
            </w:r>
          </w:p>
        </w:tc>
      </w:tr>
      <w:tr w14:paraId="35D79BCC">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DDEBF7"/>
            <w:noWrap/>
            <w:vAlign w:val="bottom"/>
          </w:tcPr>
          <w:p w14:paraId="6BF5435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Aria de delegare</w:t>
            </w:r>
          </w:p>
        </w:tc>
        <w:tc>
          <w:tcPr>
            <w:tcW w:w="0" w:type="auto"/>
            <w:tcBorders>
              <w:top w:val="nil"/>
              <w:left w:val="nil"/>
              <w:bottom w:val="single" w:color="auto" w:sz="4" w:space="0"/>
              <w:right w:val="single" w:color="auto" w:sz="4" w:space="0"/>
            </w:tcBorders>
            <w:shd w:val="clear" w:color="000000" w:fill="DDEBF7"/>
            <w:noWrap/>
            <w:vAlign w:val="bottom"/>
          </w:tcPr>
          <w:p w14:paraId="3B25B0C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1547" w:type="dxa"/>
            <w:tcBorders>
              <w:top w:val="nil"/>
              <w:left w:val="nil"/>
              <w:bottom w:val="single" w:color="auto" w:sz="4" w:space="0"/>
              <w:right w:val="single" w:color="auto" w:sz="4" w:space="0"/>
            </w:tcBorders>
            <w:shd w:val="clear" w:color="000000" w:fill="DDEBF7"/>
            <w:noWrap/>
            <w:vAlign w:val="bottom"/>
          </w:tcPr>
          <w:p w14:paraId="2FFACD0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Hartie si carton</w:t>
            </w:r>
          </w:p>
        </w:tc>
        <w:tc>
          <w:tcPr>
            <w:tcW w:w="1173" w:type="dxa"/>
            <w:tcBorders>
              <w:top w:val="nil"/>
              <w:left w:val="nil"/>
              <w:bottom w:val="single" w:color="auto" w:sz="4" w:space="0"/>
              <w:right w:val="single" w:color="auto" w:sz="4" w:space="0"/>
            </w:tcBorders>
            <w:shd w:val="clear" w:color="000000" w:fill="DDEBF7"/>
            <w:noWrap/>
            <w:vAlign w:val="bottom"/>
          </w:tcPr>
          <w:p w14:paraId="43987B7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DDEBF7"/>
            <w:noWrap/>
            <w:vAlign w:val="bottom"/>
          </w:tcPr>
          <w:p w14:paraId="4BC5F3C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Plastic si metal</w:t>
            </w:r>
          </w:p>
        </w:tc>
        <w:tc>
          <w:tcPr>
            <w:tcW w:w="0" w:type="auto"/>
            <w:tcBorders>
              <w:top w:val="nil"/>
              <w:left w:val="nil"/>
              <w:bottom w:val="single" w:color="auto" w:sz="4" w:space="0"/>
              <w:right w:val="single" w:color="auto" w:sz="4" w:space="0"/>
            </w:tcBorders>
            <w:shd w:val="clear" w:color="000000" w:fill="DDEBF7"/>
            <w:noWrap/>
            <w:vAlign w:val="bottom"/>
          </w:tcPr>
          <w:p w14:paraId="0425E7D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DDEBF7"/>
            <w:noWrap/>
            <w:vAlign w:val="bottom"/>
          </w:tcPr>
          <w:p w14:paraId="3D3B248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Sticla</w:t>
            </w:r>
          </w:p>
        </w:tc>
        <w:tc>
          <w:tcPr>
            <w:tcW w:w="0" w:type="auto"/>
            <w:tcBorders>
              <w:top w:val="nil"/>
              <w:left w:val="nil"/>
              <w:bottom w:val="single" w:color="auto" w:sz="4" w:space="0"/>
              <w:right w:val="single" w:color="auto" w:sz="4" w:space="0"/>
            </w:tcBorders>
            <w:shd w:val="clear" w:color="000000" w:fill="DDEBF7"/>
            <w:noWrap/>
            <w:vAlign w:val="bottom"/>
          </w:tcPr>
          <w:p w14:paraId="20F6171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DDEBF7"/>
            <w:noWrap/>
            <w:vAlign w:val="bottom"/>
          </w:tcPr>
          <w:p w14:paraId="1BE03CA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Biodeseuri</w:t>
            </w:r>
          </w:p>
        </w:tc>
        <w:tc>
          <w:tcPr>
            <w:tcW w:w="0" w:type="auto"/>
            <w:tcBorders>
              <w:top w:val="nil"/>
              <w:left w:val="nil"/>
              <w:bottom w:val="single" w:color="auto" w:sz="4" w:space="0"/>
              <w:right w:val="single" w:color="auto" w:sz="4" w:space="0"/>
            </w:tcBorders>
            <w:shd w:val="clear" w:color="000000" w:fill="DDEBF7"/>
            <w:noWrap/>
            <w:vAlign w:val="bottom"/>
          </w:tcPr>
          <w:p w14:paraId="048372B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DDEBF7"/>
            <w:noWrap/>
            <w:vAlign w:val="bottom"/>
          </w:tcPr>
          <w:p w14:paraId="41D58C9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Deseuri reziduale</w:t>
            </w:r>
          </w:p>
        </w:tc>
        <w:tc>
          <w:tcPr>
            <w:tcW w:w="0" w:type="auto"/>
            <w:tcBorders>
              <w:top w:val="nil"/>
              <w:left w:val="nil"/>
              <w:bottom w:val="single" w:color="auto" w:sz="4" w:space="0"/>
              <w:right w:val="single" w:color="auto" w:sz="4" w:space="0"/>
            </w:tcBorders>
            <w:shd w:val="clear" w:color="000000" w:fill="DDEBF7"/>
            <w:noWrap/>
            <w:vAlign w:val="bottom"/>
          </w:tcPr>
          <w:p w14:paraId="38800F3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E2EFDA"/>
            <w:noWrap/>
            <w:vAlign w:val="bottom"/>
          </w:tcPr>
          <w:p w14:paraId="23D59DC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Textile</w:t>
            </w:r>
          </w:p>
        </w:tc>
        <w:tc>
          <w:tcPr>
            <w:tcW w:w="0" w:type="auto"/>
            <w:tcBorders>
              <w:top w:val="nil"/>
              <w:left w:val="nil"/>
              <w:bottom w:val="single" w:color="auto" w:sz="4" w:space="0"/>
              <w:right w:val="single" w:color="auto" w:sz="4" w:space="0"/>
            </w:tcBorders>
            <w:shd w:val="clear" w:color="000000" w:fill="E2EFDA"/>
            <w:noWrap/>
            <w:vAlign w:val="bottom"/>
          </w:tcPr>
          <w:p w14:paraId="5513D15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E2EFDA"/>
            <w:noWrap/>
            <w:vAlign w:val="bottom"/>
          </w:tcPr>
          <w:p w14:paraId="7452A07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Periculoase</w:t>
            </w:r>
          </w:p>
        </w:tc>
        <w:tc>
          <w:tcPr>
            <w:tcW w:w="0" w:type="auto"/>
            <w:tcBorders>
              <w:top w:val="nil"/>
              <w:left w:val="nil"/>
              <w:bottom w:val="single" w:color="auto" w:sz="4" w:space="0"/>
              <w:right w:val="single" w:color="auto" w:sz="4" w:space="0"/>
            </w:tcBorders>
            <w:shd w:val="clear" w:color="000000" w:fill="E2EFDA"/>
            <w:noWrap/>
            <w:vAlign w:val="bottom"/>
          </w:tcPr>
          <w:p w14:paraId="20E3C9D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gridSpan w:val="2"/>
            <w:tcBorders>
              <w:top w:val="single" w:color="auto" w:sz="4" w:space="0"/>
              <w:left w:val="nil"/>
              <w:bottom w:val="single" w:color="auto" w:sz="4" w:space="0"/>
              <w:right w:val="single" w:color="auto" w:sz="4" w:space="0"/>
            </w:tcBorders>
            <w:shd w:val="clear" w:color="000000" w:fill="E2EFDA"/>
            <w:noWrap/>
            <w:vAlign w:val="bottom"/>
          </w:tcPr>
          <w:p w14:paraId="5DC3A681">
            <w:pPr>
              <w:spacing w:after="0" w:line="240" w:lineRule="auto"/>
              <w:jc w:val="center"/>
              <w:rPr>
                <w:rFonts w:ascii="Calibri" w:hAnsi="Calibri" w:eastAsia="Times New Roman" w:cs="Calibri"/>
                <w:color w:val="000000"/>
                <w:sz w:val="14"/>
                <w:szCs w:val="14"/>
              </w:rPr>
            </w:pPr>
            <w:r>
              <w:rPr>
                <w:rFonts w:ascii="Calibri" w:hAnsi="Calibri" w:eastAsia="Times New Roman" w:cs="Calibri"/>
                <w:color w:val="000000"/>
                <w:sz w:val="14"/>
                <w:szCs w:val="14"/>
              </w:rPr>
              <w:t>Voluminoase</w:t>
            </w:r>
          </w:p>
        </w:tc>
      </w:tr>
      <w:tr w14:paraId="62683974">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2B80C16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ST Oltenita</w:t>
            </w:r>
          </w:p>
        </w:tc>
        <w:tc>
          <w:tcPr>
            <w:tcW w:w="0" w:type="auto"/>
            <w:tcBorders>
              <w:top w:val="nil"/>
              <w:left w:val="nil"/>
              <w:bottom w:val="single" w:color="auto" w:sz="4" w:space="0"/>
              <w:right w:val="single" w:color="auto" w:sz="4" w:space="0"/>
            </w:tcBorders>
            <w:noWrap/>
            <w:vAlign w:val="bottom"/>
          </w:tcPr>
          <w:p w14:paraId="058802D5">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 </w:t>
            </w:r>
          </w:p>
        </w:tc>
        <w:tc>
          <w:tcPr>
            <w:tcW w:w="1547" w:type="dxa"/>
            <w:tcBorders>
              <w:top w:val="nil"/>
              <w:left w:val="nil"/>
              <w:bottom w:val="single" w:color="auto" w:sz="4" w:space="0"/>
              <w:right w:val="single" w:color="auto" w:sz="4" w:space="0"/>
            </w:tcBorders>
            <w:noWrap/>
            <w:vAlign w:val="bottom"/>
          </w:tcPr>
          <w:p w14:paraId="4DE14F4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Menajere</w:t>
            </w:r>
          </w:p>
        </w:tc>
        <w:tc>
          <w:tcPr>
            <w:tcW w:w="1173" w:type="dxa"/>
            <w:tcBorders>
              <w:top w:val="nil"/>
              <w:left w:val="nil"/>
              <w:bottom w:val="single" w:color="auto" w:sz="4" w:space="0"/>
              <w:right w:val="single" w:color="auto" w:sz="4" w:space="0"/>
            </w:tcBorders>
            <w:noWrap/>
            <w:vAlign w:val="bottom"/>
          </w:tcPr>
          <w:p w14:paraId="57AAABC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Similare</w:t>
            </w:r>
          </w:p>
        </w:tc>
        <w:tc>
          <w:tcPr>
            <w:tcW w:w="0" w:type="auto"/>
            <w:tcBorders>
              <w:top w:val="nil"/>
              <w:left w:val="nil"/>
              <w:bottom w:val="single" w:color="auto" w:sz="4" w:space="0"/>
              <w:right w:val="single" w:color="auto" w:sz="4" w:space="0"/>
            </w:tcBorders>
            <w:noWrap/>
            <w:vAlign w:val="bottom"/>
          </w:tcPr>
          <w:p w14:paraId="498D0DD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Menajere</w:t>
            </w:r>
          </w:p>
        </w:tc>
        <w:tc>
          <w:tcPr>
            <w:tcW w:w="0" w:type="auto"/>
            <w:tcBorders>
              <w:top w:val="nil"/>
              <w:left w:val="nil"/>
              <w:bottom w:val="single" w:color="auto" w:sz="4" w:space="0"/>
              <w:right w:val="single" w:color="auto" w:sz="4" w:space="0"/>
            </w:tcBorders>
            <w:noWrap/>
            <w:vAlign w:val="bottom"/>
          </w:tcPr>
          <w:p w14:paraId="4357F5E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Similare</w:t>
            </w:r>
          </w:p>
        </w:tc>
        <w:tc>
          <w:tcPr>
            <w:tcW w:w="0" w:type="auto"/>
            <w:tcBorders>
              <w:top w:val="nil"/>
              <w:left w:val="nil"/>
              <w:bottom w:val="single" w:color="auto" w:sz="4" w:space="0"/>
              <w:right w:val="single" w:color="auto" w:sz="4" w:space="0"/>
            </w:tcBorders>
            <w:noWrap/>
            <w:vAlign w:val="bottom"/>
          </w:tcPr>
          <w:p w14:paraId="2082474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Menajere</w:t>
            </w:r>
          </w:p>
        </w:tc>
        <w:tc>
          <w:tcPr>
            <w:tcW w:w="0" w:type="auto"/>
            <w:tcBorders>
              <w:top w:val="nil"/>
              <w:left w:val="nil"/>
              <w:bottom w:val="single" w:color="auto" w:sz="4" w:space="0"/>
              <w:right w:val="single" w:color="auto" w:sz="4" w:space="0"/>
            </w:tcBorders>
            <w:noWrap/>
            <w:vAlign w:val="bottom"/>
          </w:tcPr>
          <w:p w14:paraId="40F497B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Similare</w:t>
            </w:r>
          </w:p>
        </w:tc>
        <w:tc>
          <w:tcPr>
            <w:tcW w:w="0" w:type="auto"/>
            <w:tcBorders>
              <w:top w:val="nil"/>
              <w:left w:val="nil"/>
              <w:bottom w:val="single" w:color="auto" w:sz="4" w:space="0"/>
              <w:right w:val="single" w:color="auto" w:sz="4" w:space="0"/>
            </w:tcBorders>
            <w:noWrap/>
            <w:vAlign w:val="bottom"/>
          </w:tcPr>
          <w:p w14:paraId="026D91D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Menajere</w:t>
            </w:r>
          </w:p>
        </w:tc>
        <w:tc>
          <w:tcPr>
            <w:tcW w:w="0" w:type="auto"/>
            <w:tcBorders>
              <w:top w:val="nil"/>
              <w:left w:val="nil"/>
              <w:bottom w:val="single" w:color="auto" w:sz="4" w:space="0"/>
              <w:right w:val="single" w:color="auto" w:sz="4" w:space="0"/>
            </w:tcBorders>
            <w:noWrap/>
            <w:vAlign w:val="bottom"/>
          </w:tcPr>
          <w:p w14:paraId="4081963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Similare</w:t>
            </w:r>
          </w:p>
        </w:tc>
        <w:tc>
          <w:tcPr>
            <w:tcW w:w="0" w:type="auto"/>
            <w:tcBorders>
              <w:top w:val="nil"/>
              <w:left w:val="nil"/>
              <w:bottom w:val="single" w:color="auto" w:sz="4" w:space="0"/>
              <w:right w:val="single" w:color="auto" w:sz="4" w:space="0"/>
            </w:tcBorders>
            <w:noWrap/>
            <w:vAlign w:val="bottom"/>
          </w:tcPr>
          <w:p w14:paraId="466C880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Menajere</w:t>
            </w:r>
          </w:p>
        </w:tc>
        <w:tc>
          <w:tcPr>
            <w:tcW w:w="0" w:type="auto"/>
            <w:tcBorders>
              <w:top w:val="nil"/>
              <w:left w:val="nil"/>
              <w:bottom w:val="single" w:color="auto" w:sz="4" w:space="0"/>
              <w:right w:val="single" w:color="auto" w:sz="4" w:space="0"/>
            </w:tcBorders>
            <w:noWrap/>
            <w:vAlign w:val="bottom"/>
          </w:tcPr>
          <w:p w14:paraId="4CAB99C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Similare</w:t>
            </w:r>
          </w:p>
        </w:tc>
        <w:tc>
          <w:tcPr>
            <w:tcW w:w="0" w:type="auto"/>
            <w:tcBorders>
              <w:top w:val="nil"/>
              <w:left w:val="nil"/>
              <w:bottom w:val="single" w:color="auto" w:sz="4" w:space="0"/>
              <w:right w:val="single" w:color="auto" w:sz="4" w:space="0"/>
            </w:tcBorders>
            <w:noWrap/>
            <w:vAlign w:val="bottom"/>
          </w:tcPr>
          <w:p w14:paraId="6E36952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Menajere</w:t>
            </w:r>
          </w:p>
        </w:tc>
        <w:tc>
          <w:tcPr>
            <w:tcW w:w="0" w:type="auto"/>
            <w:tcBorders>
              <w:top w:val="nil"/>
              <w:left w:val="nil"/>
              <w:bottom w:val="single" w:color="auto" w:sz="4" w:space="0"/>
              <w:right w:val="single" w:color="auto" w:sz="4" w:space="0"/>
            </w:tcBorders>
            <w:noWrap/>
            <w:vAlign w:val="bottom"/>
          </w:tcPr>
          <w:p w14:paraId="3F058FD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Similare</w:t>
            </w:r>
          </w:p>
        </w:tc>
        <w:tc>
          <w:tcPr>
            <w:tcW w:w="0" w:type="auto"/>
            <w:tcBorders>
              <w:top w:val="nil"/>
              <w:left w:val="nil"/>
              <w:bottom w:val="single" w:color="auto" w:sz="4" w:space="0"/>
              <w:right w:val="single" w:color="auto" w:sz="4" w:space="0"/>
            </w:tcBorders>
            <w:noWrap/>
            <w:vAlign w:val="bottom"/>
          </w:tcPr>
          <w:p w14:paraId="536B7F9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Menajere</w:t>
            </w:r>
          </w:p>
        </w:tc>
        <w:tc>
          <w:tcPr>
            <w:tcW w:w="0" w:type="auto"/>
            <w:tcBorders>
              <w:top w:val="nil"/>
              <w:left w:val="nil"/>
              <w:bottom w:val="single" w:color="auto" w:sz="4" w:space="0"/>
              <w:right w:val="single" w:color="auto" w:sz="4" w:space="0"/>
            </w:tcBorders>
            <w:noWrap/>
            <w:vAlign w:val="bottom"/>
          </w:tcPr>
          <w:p w14:paraId="5E09EFC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Similare</w:t>
            </w:r>
          </w:p>
        </w:tc>
        <w:tc>
          <w:tcPr>
            <w:tcW w:w="0" w:type="auto"/>
            <w:tcBorders>
              <w:top w:val="nil"/>
              <w:left w:val="nil"/>
              <w:bottom w:val="single" w:color="auto" w:sz="4" w:space="0"/>
              <w:right w:val="single" w:color="auto" w:sz="4" w:space="0"/>
            </w:tcBorders>
            <w:noWrap/>
            <w:vAlign w:val="bottom"/>
          </w:tcPr>
          <w:p w14:paraId="3E40D38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Menajere</w:t>
            </w:r>
          </w:p>
        </w:tc>
        <w:tc>
          <w:tcPr>
            <w:tcW w:w="0" w:type="auto"/>
            <w:tcBorders>
              <w:top w:val="nil"/>
              <w:left w:val="nil"/>
              <w:bottom w:val="single" w:color="auto" w:sz="4" w:space="0"/>
              <w:right w:val="single" w:color="auto" w:sz="4" w:space="0"/>
            </w:tcBorders>
            <w:noWrap/>
            <w:vAlign w:val="bottom"/>
          </w:tcPr>
          <w:p w14:paraId="57FEBB6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Similare</w:t>
            </w:r>
          </w:p>
        </w:tc>
      </w:tr>
      <w:tr w14:paraId="6D425064">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53710B9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OLTENIŢA </w:t>
            </w:r>
          </w:p>
        </w:tc>
        <w:tc>
          <w:tcPr>
            <w:tcW w:w="0" w:type="auto"/>
            <w:tcBorders>
              <w:top w:val="nil"/>
              <w:left w:val="nil"/>
              <w:bottom w:val="single" w:color="auto" w:sz="4" w:space="0"/>
              <w:right w:val="single" w:color="auto" w:sz="4" w:space="0"/>
            </w:tcBorders>
            <w:noWrap/>
            <w:vAlign w:val="bottom"/>
          </w:tcPr>
          <w:p w14:paraId="32D610F2">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Urban</w:t>
            </w:r>
          </w:p>
        </w:tc>
        <w:tc>
          <w:tcPr>
            <w:tcW w:w="1547" w:type="dxa"/>
            <w:tcBorders>
              <w:top w:val="nil"/>
              <w:left w:val="nil"/>
              <w:bottom w:val="single" w:color="auto" w:sz="4" w:space="0"/>
              <w:right w:val="single" w:color="auto" w:sz="4" w:space="0"/>
            </w:tcBorders>
            <w:noWrap/>
            <w:vAlign w:val="bottom"/>
          </w:tcPr>
          <w:p w14:paraId="5954E82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134.83 </w:t>
            </w:r>
          </w:p>
        </w:tc>
        <w:tc>
          <w:tcPr>
            <w:tcW w:w="1173" w:type="dxa"/>
            <w:tcBorders>
              <w:top w:val="nil"/>
              <w:left w:val="nil"/>
              <w:bottom w:val="single" w:color="auto" w:sz="4" w:space="0"/>
              <w:right w:val="single" w:color="auto" w:sz="4" w:space="0"/>
            </w:tcBorders>
            <w:noWrap/>
            <w:vAlign w:val="bottom"/>
          </w:tcPr>
          <w:p w14:paraId="295A407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34.05 </w:t>
            </w:r>
          </w:p>
        </w:tc>
        <w:tc>
          <w:tcPr>
            <w:tcW w:w="0" w:type="auto"/>
            <w:tcBorders>
              <w:top w:val="nil"/>
              <w:left w:val="nil"/>
              <w:bottom w:val="single" w:color="auto" w:sz="4" w:space="0"/>
              <w:right w:val="single" w:color="auto" w:sz="4" w:space="0"/>
            </w:tcBorders>
            <w:noWrap/>
            <w:vAlign w:val="bottom"/>
          </w:tcPr>
          <w:p w14:paraId="0668B09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43.60 </w:t>
            </w:r>
          </w:p>
        </w:tc>
        <w:tc>
          <w:tcPr>
            <w:tcW w:w="0" w:type="auto"/>
            <w:tcBorders>
              <w:top w:val="nil"/>
              <w:left w:val="nil"/>
              <w:bottom w:val="single" w:color="auto" w:sz="4" w:space="0"/>
              <w:right w:val="single" w:color="auto" w:sz="4" w:space="0"/>
            </w:tcBorders>
            <w:noWrap/>
            <w:vAlign w:val="bottom"/>
          </w:tcPr>
          <w:p w14:paraId="794C292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52.44 </w:t>
            </w:r>
          </w:p>
        </w:tc>
        <w:tc>
          <w:tcPr>
            <w:tcW w:w="0" w:type="auto"/>
            <w:tcBorders>
              <w:top w:val="nil"/>
              <w:left w:val="nil"/>
              <w:bottom w:val="single" w:color="auto" w:sz="4" w:space="0"/>
              <w:right w:val="single" w:color="auto" w:sz="4" w:space="0"/>
            </w:tcBorders>
            <w:noWrap/>
            <w:vAlign w:val="bottom"/>
          </w:tcPr>
          <w:p w14:paraId="79D3F79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2.26 </w:t>
            </w:r>
          </w:p>
        </w:tc>
        <w:tc>
          <w:tcPr>
            <w:tcW w:w="0" w:type="auto"/>
            <w:tcBorders>
              <w:top w:val="nil"/>
              <w:left w:val="nil"/>
              <w:bottom w:val="single" w:color="auto" w:sz="4" w:space="0"/>
              <w:right w:val="single" w:color="auto" w:sz="4" w:space="0"/>
            </w:tcBorders>
            <w:noWrap/>
            <w:vAlign w:val="bottom"/>
          </w:tcPr>
          <w:p w14:paraId="53CE32B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7.48 </w:t>
            </w:r>
          </w:p>
        </w:tc>
        <w:tc>
          <w:tcPr>
            <w:tcW w:w="0" w:type="auto"/>
            <w:tcBorders>
              <w:top w:val="nil"/>
              <w:left w:val="nil"/>
              <w:bottom w:val="single" w:color="auto" w:sz="4" w:space="0"/>
              <w:right w:val="single" w:color="auto" w:sz="4" w:space="0"/>
            </w:tcBorders>
            <w:noWrap/>
            <w:vAlign w:val="bottom"/>
          </w:tcPr>
          <w:p w14:paraId="287BC49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2,019.51 </w:t>
            </w:r>
          </w:p>
        </w:tc>
        <w:tc>
          <w:tcPr>
            <w:tcW w:w="0" w:type="auto"/>
            <w:tcBorders>
              <w:top w:val="nil"/>
              <w:left w:val="nil"/>
              <w:bottom w:val="single" w:color="auto" w:sz="4" w:space="0"/>
              <w:right w:val="single" w:color="auto" w:sz="4" w:space="0"/>
            </w:tcBorders>
            <w:noWrap/>
            <w:vAlign w:val="bottom"/>
          </w:tcPr>
          <w:p w14:paraId="2F3173E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435.66 </w:t>
            </w:r>
          </w:p>
        </w:tc>
        <w:tc>
          <w:tcPr>
            <w:tcW w:w="0" w:type="auto"/>
            <w:tcBorders>
              <w:top w:val="nil"/>
              <w:left w:val="nil"/>
              <w:bottom w:val="single" w:color="auto" w:sz="4" w:space="0"/>
              <w:right w:val="single" w:color="auto" w:sz="4" w:space="0"/>
            </w:tcBorders>
            <w:noWrap/>
            <w:vAlign w:val="bottom"/>
          </w:tcPr>
          <w:p w14:paraId="173739D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4,023.36 </w:t>
            </w:r>
          </w:p>
        </w:tc>
        <w:tc>
          <w:tcPr>
            <w:tcW w:w="0" w:type="auto"/>
            <w:tcBorders>
              <w:top w:val="nil"/>
              <w:left w:val="nil"/>
              <w:bottom w:val="single" w:color="auto" w:sz="4" w:space="0"/>
              <w:right w:val="single" w:color="auto" w:sz="4" w:space="0"/>
            </w:tcBorders>
            <w:noWrap/>
            <w:vAlign w:val="bottom"/>
          </w:tcPr>
          <w:p w14:paraId="3CB36C7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830.67 </w:t>
            </w:r>
          </w:p>
        </w:tc>
        <w:tc>
          <w:tcPr>
            <w:tcW w:w="0" w:type="auto"/>
            <w:tcBorders>
              <w:top w:val="nil"/>
              <w:left w:val="nil"/>
              <w:bottom w:val="single" w:color="auto" w:sz="4" w:space="0"/>
              <w:right w:val="single" w:color="auto" w:sz="4" w:space="0"/>
            </w:tcBorders>
            <w:noWrap/>
            <w:vAlign w:val="bottom"/>
          </w:tcPr>
          <w:p w14:paraId="4A54C5E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18.11 </w:t>
            </w:r>
          </w:p>
        </w:tc>
        <w:tc>
          <w:tcPr>
            <w:tcW w:w="0" w:type="auto"/>
            <w:tcBorders>
              <w:top w:val="nil"/>
              <w:left w:val="nil"/>
              <w:bottom w:val="single" w:color="auto" w:sz="4" w:space="0"/>
              <w:right w:val="single" w:color="auto" w:sz="4" w:space="0"/>
            </w:tcBorders>
            <w:noWrap/>
            <w:vAlign w:val="bottom"/>
          </w:tcPr>
          <w:p w14:paraId="3139235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2.48 </w:t>
            </w:r>
          </w:p>
        </w:tc>
        <w:tc>
          <w:tcPr>
            <w:tcW w:w="0" w:type="auto"/>
            <w:tcBorders>
              <w:top w:val="nil"/>
              <w:left w:val="nil"/>
              <w:bottom w:val="single" w:color="auto" w:sz="4" w:space="0"/>
              <w:right w:val="single" w:color="auto" w:sz="4" w:space="0"/>
            </w:tcBorders>
            <w:noWrap/>
            <w:vAlign w:val="bottom"/>
          </w:tcPr>
          <w:p w14:paraId="780E3E3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6.56 </w:t>
            </w:r>
          </w:p>
        </w:tc>
        <w:tc>
          <w:tcPr>
            <w:tcW w:w="0" w:type="auto"/>
            <w:tcBorders>
              <w:top w:val="nil"/>
              <w:left w:val="nil"/>
              <w:bottom w:val="single" w:color="auto" w:sz="4" w:space="0"/>
              <w:right w:val="single" w:color="auto" w:sz="4" w:space="0"/>
            </w:tcBorders>
            <w:noWrap/>
            <w:vAlign w:val="bottom"/>
          </w:tcPr>
          <w:p w14:paraId="55767E6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1.06 </w:t>
            </w:r>
          </w:p>
        </w:tc>
        <w:tc>
          <w:tcPr>
            <w:tcW w:w="0" w:type="auto"/>
            <w:tcBorders>
              <w:top w:val="nil"/>
              <w:left w:val="nil"/>
              <w:bottom w:val="single" w:color="auto" w:sz="4" w:space="0"/>
              <w:right w:val="single" w:color="auto" w:sz="4" w:space="0"/>
            </w:tcBorders>
            <w:noWrap/>
            <w:vAlign w:val="bottom"/>
          </w:tcPr>
          <w:p w14:paraId="3DDB2F5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11.48 </w:t>
            </w:r>
          </w:p>
        </w:tc>
        <w:tc>
          <w:tcPr>
            <w:tcW w:w="0" w:type="auto"/>
            <w:tcBorders>
              <w:top w:val="nil"/>
              <w:left w:val="nil"/>
              <w:bottom w:val="single" w:color="auto" w:sz="4" w:space="0"/>
              <w:right w:val="single" w:color="auto" w:sz="4" w:space="0"/>
            </w:tcBorders>
            <w:noWrap/>
            <w:vAlign w:val="bottom"/>
          </w:tcPr>
          <w:p w14:paraId="1CB52B1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2.47 </w:t>
            </w:r>
          </w:p>
        </w:tc>
      </w:tr>
      <w:tr w14:paraId="46083565">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2412FA0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BUDEȘTI</w:t>
            </w:r>
          </w:p>
        </w:tc>
        <w:tc>
          <w:tcPr>
            <w:tcW w:w="0" w:type="auto"/>
            <w:tcBorders>
              <w:top w:val="nil"/>
              <w:left w:val="nil"/>
              <w:bottom w:val="single" w:color="auto" w:sz="4" w:space="0"/>
              <w:right w:val="single" w:color="auto" w:sz="4" w:space="0"/>
            </w:tcBorders>
            <w:noWrap/>
            <w:vAlign w:val="bottom"/>
          </w:tcPr>
          <w:p w14:paraId="070E8F06">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Urban</w:t>
            </w:r>
          </w:p>
        </w:tc>
        <w:tc>
          <w:tcPr>
            <w:tcW w:w="1547" w:type="dxa"/>
            <w:tcBorders>
              <w:top w:val="nil"/>
              <w:left w:val="nil"/>
              <w:bottom w:val="single" w:color="auto" w:sz="4" w:space="0"/>
              <w:right w:val="single" w:color="auto" w:sz="4" w:space="0"/>
            </w:tcBorders>
            <w:noWrap/>
            <w:vAlign w:val="bottom"/>
          </w:tcPr>
          <w:p w14:paraId="5491A0A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43.73 </w:t>
            </w:r>
          </w:p>
        </w:tc>
        <w:tc>
          <w:tcPr>
            <w:tcW w:w="1173" w:type="dxa"/>
            <w:tcBorders>
              <w:top w:val="nil"/>
              <w:left w:val="nil"/>
              <w:bottom w:val="single" w:color="auto" w:sz="4" w:space="0"/>
              <w:right w:val="single" w:color="auto" w:sz="4" w:space="0"/>
            </w:tcBorders>
            <w:noWrap/>
            <w:vAlign w:val="bottom"/>
          </w:tcPr>
          <w:p w14:paraId="71CD582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6.53 </w:t>
            </w:r>
          </w:p>
        </w:tc>
        <w:tc>
          <w:tcPr>
            <w:tcW w:w="0" w:type="auto"/>
            <w:tcBorders>
              <w:top w:val="nil"/>
              <w:left w:val="nil"/>
              <w:bottom w:val="single" w:color="auto" w:sz="4" w:space="0"/>
              <w:right w:val="single" w:color="auto" w:sz="4" w:space="0"/>
            </w:tcBorders>
            <w:noWrap/>
            <w:vAlign w:val="bottom"/>
          </w:tcPr>
          <w:p w14:paraId="6DBC759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13.20 </w:t>
            </w:r>
          </w:p>
        </w:tc>
        <w:tc>
          <w:tcPr>
            <w:tcW w:w="0" w:type="auto"/>
            <w:tcBorders>
              <w:top w:val="nil"/>
              <w:left w:val="nil"/>
              <w:bottom w:val="single" w:color="auto" w:sz="4" w:space="0"/>
              <w:right w:val="single" w:color="auto" w:sz="4" w:space="0"/>
            </w:tcBorders>
            <w:noWrap/>
            <w:vAlign w:val="bottom"/>
          </w:tcPr>
          <w:p w14:paraId="71F7E10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10.06 </w:t>
            </w:r>
          </w:p>
        </w:tc>
        <w:tc>
          <w:tcPr>
            <w:tcW w:w="0" w:type="auto"/>
            <w:tcBorders>
              <w:top w:val="nil"/>
              <w:left w:val="nil"/>
              <w:bottom w:val="single" w:color="auto" w:sz="4" w:space="0"/>
              <w:right w:val="single" w:color="auto" w:sz="4" w:space="0"/>
            </w:tcBorders>
            <w:noWrap/>
            <w:vAlign w:val="bottom"/>
          </w:tcPr>
          <w:p w14:paraId="4D805B7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0.12 </w:t>
            </w:r>
          </w:p>
        </w:tc>
        <w:tc>
          <w:tcPr>
            <w:tcW w:w="0" w:type="auto"/>
            <w:tcBorders>
              <w:top w:val="nil"/>
              <w:left w:val="nil"/>
              <w:bottom w:val="single" w:color="auto" w:sz="4" w:space="0"/>
              <w:right w:val="single" w:color="auto" w:sz="4" w:space="0"/>
            </w:tcBorders>
            <w:noWrap/>
            <w:vAlign w:val="bottom"/>
          </w:tcPr>
          <w:p w14:paraId="5041348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(3.20)</w:t>
            </w:r>
          </w:p>
        </w:tc>
        <w:tc>
          <w:tcPr>
            <w:tcW w:w="0" w:type="auto"/>
            <w:tcBorders>
              <w:top w:val="nil"/>
              <w:left w:val="nil"/>
              <w:bottom w:val="single" w:color="auto" w:sz="4" w:space="0"/>
              <w:right w:val="single" w:color="auto" w:sz="4" w:space="0"/>
            </w:tcBorders>
            <w:noWrap/>
            <w:vAlign w:val="bottom"/>
          </w:tcPr>
          <w:p w14:paraId="7087F7A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654.98 </w:t>
            </w:r>
          </w:p>
        </w:tc>
        <w:tc>
          <w:tcPr>
            <w:tcW w:w="0" w:type="auto"/>
            <w:tcBorders>
              <w:top w:val="nil"/>
              <w:left w:val="nil"/>
              <w:bottom w:val="single" w:color="auto" w:sz="4" w:space="0"/>
              <w:right w:val="single" w:color="auto" w:sz="4" w:space="0"/>
            </w:tcBorders>
            <w:noWrap/>
            <w:vAlign w:val="bottom"/>
          </w:tcPr>
          <w:p w14:paraId="2B34A3C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83.57 </w:t>
            </w:r>
          </w:p>
        </w:tc>
        <w:tc>
          <w:tcPr>
            <w:tcW w:w="0" w:type="auto"/>
            <w:tcBorders>
              <w:top w:val="nil"/>
              <w:left w:val="nil"/>
              <w:bottom w:val="single" w:color="auto" w:sz="4" w:space="0"/>
              <w:right w:val="single" w:color="auto" w:sz="4" w:space="0"/>
            </w:tcBorders>
            <w:noWrap/>
            <w:vAlign w:val="bottom"/>
          </w:tcPr>
          <w:p w14:paraId="1D7ACDC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1,304.22 </w:t>
            </w:r>
          </w:p>
        </w:tc>
        <w:tc>
          <w:tcPr>
            <w:tcW w:w="0" w:type="auto"/>
            <w:tcBorders>
              <w:top w:val="nil"/>
              <w:left w:val="nil"/>
              <w:bottom w:val="single" w:color="auto" w:sz="4" w:space="0"/>
              <w:right w:val="single" w:color="auto" w:sz="4" w:space="0"/>
            </w:tcBorders>
            <w:noWrap/>
            <w:vAlign w:val="bottom"/>
          </w:tcPr>
          <w:p w14:paraId="0B33FFC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157.36 </w:t>
            </w:r>
          </w:p>
        </w:tc>
        <w:tc>
          <w:tcPr>
            <w:tcW w:w="0" w:type="auto"/>
            <w:tcBorders>
              <w:top w:val="nil"/>
              <w:left w:val="nil"/>
              <w:bottom w:val="single" w:color="auto" w:sz="4" w:space="0"/>
              <w:right w:val="single" w:color="auto" w:sz="4" w:space="0"/>
            </w:tcBorders>
            <w:noWrap/>
            <w:vAlign w:val="bottom"/>
          </w:tcPr>
          <w:p w14:paraId="64E8B55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5.87 </w:t>
            </w:r>
          </w:p>
        </w:tc>
        <w:tc>
          <w:tcPr>
            <w:tcW w:w="0" w:type="auto"/>
            <w:tcBorders>
              <w:top w:val="nil"/>
              <w:left w:val="nil"/>
              <w:bottom w:val="single" w:color="auto" w:sz="4" w:space="0"/>
              <w:right w:val="single" w:color="auto" w:sz="4" w:space="0"/>
            </w:tcBorders>
            <w:noWrap/>
            <w:vAlign w:val="bottom"/>
          </w:tcPr>
          <w:p w14:paraId="4E816C9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0.48 </w:t>
            </w:r>
          </w:p>
        </w:tc>
        <w:tc>
          <w:tcPr>
            <w:tcW w:w="0" w:type="auto"/>
            <w:tcBorders>
              <w:top w:val="nil"/>
              <w:left w:val="nil"/>
              <w:bottom w:val="single" w:color="auto" w:sz="4" w:space="0"/>
              <w:right w:val="single" w:color="auto" w:sz="4" w:space="0"/>
            </w:tcBorders>
            <w:noWrap/>
            <w:vAlign w:val="bottom"/>
          </w:tcPr>
          <w:p w14:paraId="5630FB6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2.13 </w:t>
            </w:r>
          </w:p>
        </w:tc>
        <w:tc>
          <w:tcPr>
            <w:tcW w:w="0" w:type="auto"/>
            <w:tcBorders>
              <w:top w:val="nil"/>
              <w:left w:val="nil"/>
              <w:bottom w:val="single" w:color="auto" w:sz="4" w:space="0"/>
              <w:right w:val="single" w:color="auto" w:sz="4" w:space="0"/>
            </w:tcBorders>
            <w:noWrap/>
            <w:vAlign w:val="bottom"/>
          </w:tcPr>
          <w:p w14:paraId="302AABD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0.20 </w:t>
            </w:r>
          </w:p>
        </w:tc>
        <w:tc>
          <w:tcPr>
            <w:tcW w:w="0" w:type="auto"/>
            <w:tcBorders>
              <w:top w:val="nil"/>
              <w:left w:val="nil"/>
              <w:bottom w:val="single" w:color="auto" w:sz="4" w:space="0"/>
              <w:right w:val="single" w:color="auto" w:sz="4" w:space="0"/>
            </w:tcBorders>
            <w:noWrap/>
            <w:vAlign w:val="bottom"/>
          </w:tcPr>
          <w:p w14:paraId="700F1AC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3.72 </w:t>
            </w:r>
          </w:p>
        </w:tc>
        <w:tc>
          <w:tcPr>
            <w:tcW w:w="0" w:type="auto"/>
            <w:tcBorders>
              <w:top w:val="nil"/>
              <w:left w:val="nil"/>
              <w:bottom w:val="single" w:color="auto" w:sz="4" w:space="0"/>
              <w:right w:val="single" w:color="auto" w:sz="4" w:space="0"/>
            </w:tcBorders>
            <w:noWrap/>
            <w:vAlign w:val="bottom"/>
          </w:tcPr>
          <w:p w14:paraId="0E82ABD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0.47 </w:t>
            </w:r>
          </w:p>
        </w:tc>
      </w:tr>
      <w:tr w14:paraId="77A7DEE3">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43F5440D">
            <w:pPr>
              <w:spacing w:after="0" w:line="240" w:lineRule="auto"/>
              <w:rPr>
                <w:rFonts w:ascii="Calibri" w:hAnsi="Calibri" w:eastAsia="Times New Roman" w:cs="Calibri"/>
                <w:b/>
                <w:bCs/>
                <w:color w:val="000000"/>
                <w:sz w:val="14"/>
                <w:szCs w:val="14"/>
              </w:rPr>
            </w:pPr>
            <w:r>
              <w:rPr>
                <w:rFonts w:ascii="Calibri" w:hAnsi="Calibri" w:eastAsia="Times New Roman" w:cs="Calibri"/>
                <w:b/>
                <w:bCs/>
                <w:color w:val="000000"/>
                <w:sz w:val="14"/>
                <w:szCs w:val="14"/>
              </w:rPr>
              <w:t>Total zona urbana</w:t>
            </w:r>
          </w:p>
        </w:tc>
        <w:tc>
          <w:tcPr>
            <w:tcW w:w="0" w:type="auto"/>
            <w:tcBorders>
              <w:top w:val="nil"/>
              <w:left w:val="nil"/>
              <w:bottom w:val="single" w:color="auto" w:sz="4" w:space="0"/>
              <w:right w:val="single" w:color="auto" w:sz="4" w:space="0"/>
            </w:tcBorders>
            <w:noWrap/>
            <w:vAlign w:val="bottom"/>
          </w:tcPr>
          <w:p w14:paraId="334070D4">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 </w:t>
            </w:r>
          </w:p>
        </w:tc>
        <w:tc>
          <w:tcPr>
            <w:tcW w:w="1547" w:type="dxa"/>
            <w:tcBorders>
              <w:top w:val="nil"/>
              <w:left w:val="nil"/>
              <w:bottom w:val="single" w:color="auto" w:sz="4" w:space="0"/>
              <w:right w:val="single" w:color="auto" w:sz="4" w:space="0"/>
            </w:tcBorders>
            <w:noWrap/>
            <w:vAlign w:val="bottom"/>
          </w:tcPr>
          <w:p w14:paraId="4A35412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178.56 </w:t>
            </w:r>
          </w:p>
        </w:tc>
        <w:tc>
          <w:tcPr>
            <w:tcW w:w="1173" w:type="dxa"/>
            <w:tcBorders>
              <w:top w:val="nil"/>
              <w:left w:val="nil"/>
              <w:bottom w:val="single" w:color="auto" w:sz="4" w:space="0"/>
              <w:right w:val="single" w:color="auto" w:sz="4" w:space="0"/>
            </w:tcBorders>
            <w:noWrap/>
            <w:vAlign w:val="bottom"/>
          </w:tcPr>
          <w:p w14:paraId="7810F0E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40.59 </w:t>
            </w:r>
          </w:p>
        </w:tc>
        <w:tc>
          <w:tcPr>
            <w:tcW w:w="0" w:type="auto"/>
            <w:tcBorders>
              <w:top w:val="nil"/>
              <w:left w:val="nil"/>
              <w:bottom w:val="single" w:color="auto" w:sz="4" w:space="0"/>
              <w:right w:val="single" w:color="auto" w:sz="4" w:space="0"/>
            </w:tcBorders>
            <w:noWrap/>
            <w:vAlign w:val="bottom"/>
          </w:tcPr>
          <w:p w14:paraId="3CF673D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56.80 </w:t>
            </w:r>
          </w:p>
        </w:tc>
        <w:tc>
          <w:tcPr>
            <w:tcW w:w="0" w:type="auto"/>
            <w:tcBorders>
              <w:top w:val="nil"/>
              <w:left w:val="nil"/>
              <w:bottom w:val="single" w:color="auto" w:sz="4" w:space="0"/>
              <w:right w:val="single" w:color="auto" w:sz="4" w:space="0"/>
            </w:tcBorders>
            <w:noWrap/>
            <w:vAlign w:val="bottom"/>
          </w:tcPr>
          <w:p w14:paraId="55C688E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62.50 </w:t>
            </w:r>
          </w:p>
        </w:tc>
        <w:tc>
          <w:tcPr>
            <w:tcW w:w="0" w:type="auto"/>
            <w:tcBorders>
              <w:top w:val="nil"/>
              <w:left w:val="nil"/>
              <w:bottom w:val="single" w:color="auto" w:sz="4" w:space="0"/>
              <w:right w:val="single" w:color="auto" w:sz="4" w:space="0"/>
            </w:tcBorders>
            <w:noWrap/>
            <w:vAlign w:val="bottom"/>
          </w:tcPr>
          <w:p w14:paraId="3C7F97B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2.38 </w:t>
            </w:r>
          </w:p>
        </w:tc>
        <w:tc>
          <w:tcPr>
            <w:tcW w:w="0" w:type="auto"/>
            <w:tcBorders>
              <w:top w:val="nil"/>
              <w:left w:val="nil"/>
              <w:bottom w:val="single" w:color="auto" w:sz="4" w:space="0"/>
              <w:right w:val="single" w:color="auto" w:sz="4" w:space="0"/>
            </w:tcBorders>
            <w:noWrap/>
            <w:vAlign w:val="bottom"/>
          </w:tcPr>
          <w:p w14:paraId="05EBC9A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4.28 </w:t>
            </w:r>
          </w:p>
        </w:tc>
        <w:tc>
          <w:tcPr>
            <w:tcW w:w="0" w:type="auto"/>
            <w:tcBorders>
              <w:top w:val="nil"/>
              <w:left w:val="nil"/>
              <w:bottom w:val="single" w:color="auto" w:sz="4" w:space="0"/>
              <w:right w:val="single" w:color="auto" w:sz="4" w:space="0"/>
            </w:tcBorders>
            <w:noWrap/>
            <w:vAlign w:val="bottom"/>
          </w:tcPr>
          <w:p w14:paraId="41A3EFC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2,674.49 </w:t>
            </w:r>
          </w:p>
        </w:tc>
        <w:tc>
          <w:tcPr>
            <w:tcW w:w="0" w:type="auto"/>
            <w:tcBorders>
              <w:top w:val="nil"/>
              <w:left w:val="nil"/>
              <w:bottom w:val="single" w:color="auto" w:sz="4" w:space="0"/>
              <w:right w:val="single" w:color="auto" w:sz="4" w:space="0"/>
            </w:tcBorders>
            <w:noWrap/>
            <w:vAlign w:val="bottom"/>
          </w:tcPr>
          <w:p w14:paraId="49324C2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519.23 </w:t>
            </w:r>
          </w:p>
        </w:tc>
        <w:tc>
          <w:tcPr>
            <w:tcW w:w="0" w:type="auto"/>
            <w:tcBorders>
              <w:top w:val="nil"/>
              <w:left w:val="nil"/>
              <w:bottom w:val="single" w:color="auto" w:sz="4" w:space="0"/>
              <w:right w:val="single" w:color="auto" w:sz="4" w:space="0"/>
            </w:tcBorders>
            <w:noWrap/>
            <w:vAlign w:val="bottom"/>
          </w:tcPr>
          <w:p w14:paraId="29A164F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5,327.58 </w:t>
            </w:r>
          </w:p>
        </w:tc>
        <w:tc>
          <w:tcPr>
            <w:tcW w:w="0" w:type="auto"/>
            <w:tcBorders>
              <w:top w:val="nil"/>
              <w:left w:val="nil"/>
              <w:bottom w:val="single" w:color="auto" w:sz="4" w:space="0"/>
              <w:right w:val="single" w:color="auto" w:sz="4" w:space="0"/>
            </w:tcBorders>
            <w:noWrap/>
            <w:vAlign w:val="bottom"/>
          </w:tcPr>
          <w:p w14:paraId="2FAB32E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988.03 </w:t>
            </w:r>
          </w:p>
        </w:tc>
        <w:tc>
          <w:tcPr>
            <w:tcW w:w="0" w:type="auto"/>
            <w:tcBorders>
              <w:top w:val="nil"/>
              <w:left w:val="nil"/>
              <w:bottom w:val="single" w:color="auto" w:sz="4" w:space="0"/>
              <w:right w:val="single" w:color="auto" w:sz="4" w:space="0"/>
            </w:tcBorders>
            <w:noWrap/>
            <w:vAlign w:val="bottom"/>
          </w:tcPr>
          <w:p w14:paraId="55CD3D6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23.99 </w:t>
            </w:r>
          </w:p>
        </w:tc>
        <w:tc>
          <w:tcPr>
            <w:tcW w:w="0" w:type="auto"/>
            <w:tcBorders>
              <w:top w:val="nil"/>
              <w:left w:val="nil"/>
              <w:bottom w:val="single" w:color="auto" w:sz="4" w:space="0"/>
              <w:right w:val="single" w:color="auto" w:sz="4" w:space="0"/>
            </w:tcBorders>
            <w:noWrap/>
            <w:vAlign w:val="bottom"/>
          </w:tcPr>
          <w:p w14:paraId="3DB8B48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2.95 </w:t>
            </w:r>
          </w:p>
        </w:tc>
        <w:tc>
          <w:tcPr>
            <w:tcW w:w="0" w:type="auto"/>
            <w:tcBorders>
              <w:top w:val="nil"/>
              <w:left w:val="nil"/>
              <w:bottom w:val="single" w:color="auto" w:sz="4" w:space="0"/>
              <w:right w:val="single" w:color="auto" w:sz="4" w:space="0"/>
            </w:tcBorders>
            <w:noWrap/>
            <w:vAlign w:val="bottom"/>
          </w:tcPr>
          <w:p w14:paraId="71F2E71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8.69 </w:t>
            </w:r>
          </w:p>
        </w:tc>
        <w:tc>
          <w:tcPr>
            <w:tcW w:w="0" w:type="auto"/>
            <w:tcBorders>
              <w:top w:val="nil"/>
              <w:left w:val="nil"/>
              <w:bottom w:val="single" w:color="auto" w:sz="4" w:space="0"/>
              <w:right w:val="single" w:color="auto" w:sz="4" w:space="0"/>
            </w:tcBorders>
            <w:noWrap/>
            <w:vAlign w:val="bottom"/>
          </w:tcPr>
          <w:p w14:paraId="0E98A98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1.26 </w:t>
            </w:r>
          </w:p>
        </w:tc>
        <w:tc>
          <w:tcPr>
            <w:tcW w:w="0" w:type="auto"/>
            <w:tcBorders>
              <w:top w:val="nil"/>
              <w:left w:val="nil"/>
              <w:bottom w:val="single" w:color="auto" w:sz="4" w:space="0"/>
              <w:right w:val="single" w:color="auto" w:sz="4" w:space="0"/>
            </w:tcBorders>
            <w:noWrap/>
            <w:vAlign w:val="bottom"/>
          </w:tcPr>
          <w:p w14:paraId="11ACC59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15.21 </w:t>
            </w:r>
          </w:p>
        </w:tc>
        <w:tc>
          <w:tcPr>
            <w:tcW w:w="0" w:type="auto"/>
            <w:tcBorders>
              <w:top w:val="nil"/>
              <w:left w:val="nil"/>
              <w:bottom w:val="single" w:color="auto" w:sz="4" w:space="0"/>
              <w:right w:val="single" w:color="auto" w:sz="4" w:space="0"/>
            </w:tcBorders>
            <w:noWrap/>
            <w:vAlign w:val="bottom"/>
          </w:tcPr>
          <w:p w14:paraId="2C23E22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2.95 </w:t>
            </w:r>
          </w:p>
        </w:tc>
      </w:tr>
      <w:tr w14:paraId="28E6CE30">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7E1E99C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CASCIOARELE</w:t>
            </w:r>
          </w:p>
        </w:tc>
        <w:tc>
          <w:tcPr>
            <w:tcW w:w="0" w:type="auto"/>
            <w:tcBorders>
              <w:top w:val="nil"/>
              <w:left w:val="nil"/>
              <w:bottom w:val="single" w:color="auto" w:sz="4" w:space="0"/>
              <w:right w:val="single" w:color="auto" w:sz="4" w:space="0"/>
            </w:tcBorders>
            <w:noWrap/>
            <w:vAlign w:val="bottom"/>
          </w:tcPr>
          <w:p w14:paraId="76FF710A">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40A07A8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4.99 </w:t>
            </w:r>
          </w:p>
        </w:tc>
        <w:tc>
          <w:tcPr>
            <w:tcW w:w="1173" w:type="dxa"/>
            <w:tcBorders>
              <w:top w:val="nil"/>
              <w:left w:val="nil"/>
              <w:bottom w:val="single" w:color="auto" w:sz="4" w:space="0"/>
              <w:right w:val="single" w:color="auto" w:sz="4" w:space="0"/>
            </w:tcBorders>
            <w:noWrap/>
            <w:vAlign w:val="bottom"/>
          </w:tcPr>
          <w:p w14:paraId="678A5F0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0.40 </w:t>
            </w:r>
          </w:p>
        </w:tc>
        <w:tc>
          <w:tcPr>
            <w:tcW w:w="0" w:type="auto"/>
            <w:tcBorders>
              <w:top w:val="nil"/>
              <w:left w:val="nil"/>
              <w:bottom w:val="single" w:color="auto" w:sz="4" w:space="0"/>
              <w:right w:val="single" w:color="auto" w:sz="4" w:space="0"/>
            </w:tcBorders>
            <w:noWrap/>
            <w:vAlign w:val="bottom"/>
          </w:tcPr>
          <w:p w14:paraId="426D117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6.85 </w:t>
            </w:r>
          </w:p>
        </w:tc>
        <w:tc>
          <w:tcPr>
            <w:tcW w:w="0" w:type="auto"/>
            <w:tcBorders>
              <w:top w:val="nil"/>
              <w:left w:val="nil"/>
              <w:bottom w:val="single" w:color="auto" w:sz="4" w:space="0"/>
              <w:right w:val="single" w:color="auto" w:sz="4" w:space="0"/>
            </w:tcBorders>
            <w:noWrap/>
            <w:vAlign w:val="bottom"/>
          </w:tcPr>
          <w:p w14:paraId="6D43243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0.47 </w:t>
            </w:r>
          </w:p>
        </w:tc>
        <w:tc>
          <w:tcPr>
            <w:tcW w:w="0" w:type="auto"/>
            <w:tcBorders>
              <w:top w:val="nil"/>
              <w:left w:val="nil"/>
              <w:bottom w:val="single" w:color="auto" w:sz="4" w:space="0"/>
              <w:right w:val="single" w:color="auto" w:sz="4" w:space="0"/>
            </w:tcBorders>
            <w:noWrap/>
            <w:vAlign w:val="bottom"/>
          </w:tcPr>
          <w:p w14:paraId="43D06D9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1.42 </w:t>
            </w:r>
          </w:p>
        </w:tc>
        <w:tc>
          <w:tcPr>
            <w:tcW w:w="0" w:type="auto"/>
            <w:tcBorders>
              <w:top w:val="nil"/>
              <w:left w:val="nil"/>
              <w:bottom w:val="single" w:color="auto" w:sz="4" w:space="0"/>
              <w:right w:val="single" w:color="auto" w:sz="4" w:space="0"/>
            </w:tcBorders>
            <w:noWrap/>
            <w:vAlign w:val="bottom"/>
          </w:tcPr>
          <w:p w14:paraId="2E08915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0.16 </w:t>
            </w:r>
          </w:p>
        </w:tc>
        <w:tc>
          <w:tcPr>
            <w:tcW w:w="0" w:type="auto"/>
            <w:tcBorders>
              <w:top w:val="nil"/>
              <w:left w:val="nil"/>
              <w:bottom w:val="single" w:color="auto" w:sz="4" w:space="0"/>
              <w:right w:val="single" w:color="auto" w:sz="4" w:space="0"/>
            </w:tcBorders>
            <w:noWrap/>
            <w:vAlign w:val="bottom"/>
          </w:tcPr>
          <w:p w14:paraId="19BBC65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53B5B3E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7CC28D4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235.54 </w:t>
            </w:r>
          </w:p>
        </w:tc>
        <w:tc>
          <w:tcPr>
            <w:tcW w:w="0" w:type="auto"/>
            <w:tcBorders>
              <w:top w:val="nil"/>
              <w:left w:val="nil"/>
              <w:bottom w:val="single" w:color="auto" w:sz="4" w:space="0"/>
              <w:right w:val="single" w:color="auto" w:sz="4" w:space="0"/>
            </w:tcBorders>
            <w:noWrap/>
            <w:vAlign w:val="bottom"/>
          </w:tcPr>
          <w:p w14:paraId="4EB22AF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13.92 </w:t>
            </w:r>
          </w:p>
        </w:tc>
        <w:tc>
          <w:tcPr>
            <w:tcW w:w="0" w:type="auto"/>
            <w:tcBorders>
              <w:top w:val="nil"/>
              <w:left w:val="nil"/>
              <w:bottom w:val="single" w:color="auto" w:sz="4" w:space="0"/>
              <w:right w:val="single" w:color="auto" w:sz="4" w:space="0"/>
            </w:tcBorders>
            <w:noWrap/>
            <w:vAlign w:val="bottom"/>
          </w:tcPr>
          <w:p w14:paraId="242727A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0.78 </w:t>
            </w:r>
          </w:p>
        </w:tc>
        <w:tc>
          <w:tcPr>
            <w:tcW w:w="0" w:type="auto"/>
            <w:tcBorders>
              <w:top w:val="nil"/>
              <w:left w:val="nil"/>
              <w:bottom w:val="single" w:color="auto" w:sz="4" w:space="0"/>
              <w:right w:val="single" w:color="auto" w:sz="4" w:space="0"/>
            </w:tcBorders>
            <w:noWrap/>
            <w:vAlign w:val="bottom"/>
          </w:tcPr>
          <w:p w14:paraId="0D2967B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0.02 </w:t>
            </w:r>
          </w:p>
        </w:tc>
        <w:tc>
          <w:tcPr>
            <w:tcW w:w="0" w:type="auto"/>
            <w:tcBorders>
              <w:top w:val="nil"/>
              <w:left w:val="nil"/>
              <w:bottom w:val="single" w:color="auto" w:sz="4" w:space="0"/>
              <w:right w:val="single" w:color="auto" w:sz="4" w:space="0"/>
            </w:tcBorders>
            <w:noWrap/>
            <w:vAlign w:val="bottom"/>
          </w:tcPr>
          <w:p w14:paraId="087DCCB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0.13 </w:t>
            </w:r>
          </w:p>
        </w:tc>
        <w:tc>
          <w:tcPr>
            <w:tcW w:w="0" w:type="auto"/>
            <w:tcBorders>
              <w:top w:val="nil"/>
              <w:left w:val="nil"/>
              <w:bottom w:val="single" w:color="auto" w:sz="4" w:space="0"/>
              <w:right w:val="single" w:color="auto" w:sz="4" w:space="0"/>
            </w:tcBorders>
            <w:noWrap/>
            <w:vAlign w:val="bottom"/>
          </w:tcPr>
          <w:p w14:paraId="5D22BF5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0.00 </w:t>
            </w:r>
          </w:p>
        </w:tc>
        <w:tc>
          <w:tcPr>
            <w:tcW w:w="0" w:type="auto"/>
            <w:tcBorders>
              <w:top w:val="nil"/>
              <w:left w:val="nil"/>
              <w:bottom w:val="single" w:color="auto" w:sz="4" w:space="0"/>
              <w:right w:val="single" w:color="auto" w:sz="4" w:space="0"/>
            </w:tcBorders>
            <w:noWrap/>
            <w:vAlign w:val="bottom"/>
          </w:tcPr>
          <w:p w14:paraId="1913AEB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0.44 </w:t>
            </w:r>
          </w:p>
        </w:tc>
        <w:tc>
          <w:tcPr>
            <w:tcW w:w="0" w:type="auto"/>
            <w:tcBorders>
              <w:top w:val="nil"/>
              <w:left w:val="nil"/>
              <w:bottom w:val="single" w:color="auto" w:sz="4" w:space="0"/>
              <w:right w:val="single" w:color="auto" w:sz="4" w:space="0"/>
            </w:tcBorders>
            <w:noWrap/>
            <w:vAlign w:val="bottom"/>
          </w:tcPr>
          <w:p w14:paraId="2323A11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0.03 </w:t>
            </w:r>
          </w:p>
        </w:tc>
      </w:tr>
      <w:tr w14:paraId="16B3C430">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3980C61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CHIRNOGI</w:t>
            </w:r>
          </w:p>
        </w:tc>
        <w:tc>
          <w:tcPr>
            <w:tcW w:w="0" w:type="auto"/>
            <w:tcBorders>
              <w:top w:val="nil"/>
              <w:left w:val="nil"/>
              <w:bottom w:val="single" w:color="auto" w:sz="4" w:space="0"/>
              <w:right w:val="single" w:color="auto" w:sz="4" w:space="0"/>
            </w:tcBorders>
            <w:noWrap/>
            <w:vAlign w:val="bottom"/>
          </w:tcPr>
          <w:p w14:paraId="1C3BC16A">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3B77B24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18.19 </w:t>
            </w:r>
          </w:p>
        </w:tc>
        <w:tc>
          <w:tcPr>
            <w:tcW w:w="1173" w:type="dxa"/>
            <w:tcBorders>
              <w:top w:val="nil"/>
              <w:left w:val="nil"/>
              <w:bottom w:val="single" w:color="auto" w:sz="4" w:space="0"/>
              <w:right w:val="single" w:color="auto" w:sz="4" w:space="0"/>
            </w:tcBorders>
            <w:noWrap/>
            <w:vAlign w:val="bottom"/>
          </w:tcPr>
          <w:p w14:paraId="7A00606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4.49 </w:t>
            </w:r>
          </w:p>
        </w:tc>
        <w:tc>
          <w:tcPr>
            <w:tcW w:w="0" w:type="auto"/>
            <w:tcBorders>
              <w:top w:val="nil"/>
              <w:left w:val="nil"/>
              <w:bottom w:val="single" w:color="auto" w:sz="4" w:space="0"/>
              <w:right w:val="single" w:color="auto" w:sz="4" w:space="0"/>
            </w:tcBorders>
            <w:noWrap/>
            <w:vAlign w:val="bottom"/>
          </w:tcPr>
          <w:p w14:paraId="7B7E67B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(2.40)</w:t>
            </w:r>
          </w:p>
        </w:tc>
        <w:tc>
          <w:tcPr>
            <w:tcW w:w="0" w:type="auto"/>
            <w:tcBorders>
              <w:top w:val="nil"/>
              <w:left w:val="nil"/>
              <w:bottom w:val="single" w:color="auto" w:sz="4" w:space="0"/>
              <w:right w:val="single" w:color="auto" w:sz="4" w:space="0"/>
            </w:tcBorders>
            <w:noWrap/>
            <w:vAlign w:val="bottom"/>
          </w:tcPr>
          <w:p w14:paraId="3B5DC8B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5.26 </w:t>
            </w:r>
          </w:p>
        </w:tc>
        <w:tc>
          <w:tcPr>
            <w:tcW w:w="0" w:type="auto"/>
            <w:tcBorders>
              <w:top w:val="nil"/>
              <w:left w:val="nil"/>
              <w:bottom w:val="single" w:color="auto" w:sz="4" w:space="0"/>
              <w:right w:val="single" w:color="auto" w:sz="4" w:space="0"/>
            </w:tcBorders>
            <w:noWrap/>
            <w:vAlign w:val="bottom"/>
          </w:tcPr>
          <w:p w14:paraId="17E9403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(5.85)</w:t>
            </w:r>
          </w:p>
        </w:tc>
        <w:tc>
          <w:tcPr>
            <w:tcW w:w="0" w:type="auto"/>
            <w:tcBorders>
              <w:top w:val="nil"/>
              <w:left w:val="nil"/>
              <w:bottom w:val="single" w:color="auto" w:sz="4" w:space="0"/>
              <w:right w:val="single" w:color="auto" w:sz="4" w:space="0"/>
            </w:tcBorders>
            <w:noWrap/>
            <w:vAlign w:val="bottom"/>
          </w:tcPr>
          <w:p w14:paraId="6A503E0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0.49 </w:t>
            </w:r>
          </w:p>
        </w:tc>
        <w:tc>
          <w:tcPr>
            <w:tcW w:w="0" w:type="auto"/>
            <w:tcBorders>
              <w:top w:val="nil"/>
              <w:left w:val="nil"/>
              <w:bottom w:val="single" w:color="auto" w:sz="4" w:space="0"/>
              <w:right w:val="single" w:color="auto" w:sz="4" w:space="0"/>
            </w:tcBorders>
            <w:noWrap/>
            <w:vAlign w:val="bottom"/>
          </w:tcPr>
          <w:p w14:paraId="2367EB5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4BCDBF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3C4FB81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842.16 </w:t>
            </w:r>
          </w:p>
        </w:tc>
        <w:tc>
          <w:tcPr>
            <w:tcW w:w="0" w:type="auto"/>
            <w:tcBorders>
              <w:top w:val="nil"/>
              <w:left w:val="nil"/>
              <w:bottom w:val="single" w:color="auto" w:sz="4" w:space="0"/>
              <w:right w:val="single" w:color="auto" w:sz="4" w:space="0"/>
            </w:tcBorders>
            <w:noWrap/>
            <w:vAlign w:val="bottom"/>
          </w:tcPr>
          <w:p w14:paraId="59566C5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154.27 </w:t>
            </w:r>
          </w:p>
        </w:tc>
        <w:tc>
          <w:tcPr>
            <w:tcW w:w="0" w:type="auto"/>
            <w:tcBorders>
              <w:top w:val="nil"/>
              <w:left w:val="nil"/>
              <w:bottom w:val="single" w:color="auto" w:sz="4" w:space="0"/>
              <w:right w:val="single" w:color="auto" w:sz="4" w:space="0"/>
            </w:tcBorders>
            <w:noWrap/>
            <w:vAlign w:val="bottom"/>
          </w:tcPr>
          <w:p w14:paraId="6387874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2.84 </w:t>
            </w:r>
          </w:p>
        </w:tc>
        <w:tc>
          <w:tcPr>
            <w:tcW w:w="0" w:type="auto"/>
            <w:tcBorders>
              <w:top w:val="nil"/>
              <w:left w:val="nil"/>
              <w:bottom w:val="single" w:color="auto" w:sz="4" w:space="0"/>
              <w:right w:val="single" w:color="auto" w:sz="4" w:space="0"/>
            </w:tcBorders>
            <w:noWrap/>
            <w:vAlign w:val="bottom"/>
          </w:tcPr>
          <w:p w14:paraId="615E36D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0.21 </w:t>
            </w:r>
          </w:p>
        </w:tc>
        <w:tc>
          <w:tcPr>
            <w:tcW w:w="0" w:type="auto"/>
            <w:tcBorders>
              <w:top w:val="nil"/>
              <w:left w:val="nil"/>
              <w:bottom w:val="single" w:color="auto" w:sz="4" w:space="0"/>
              <w:right w:val="single" w:color="auto" w:sz="4" w:space="0"/>
            </w:tcBorders>
            <w:noWrap/>
            <w:vAlign w:val="bottom"/>
          </w:tcPr>
          <w:p w14:paraId="766AB3D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0.46 </w:t>
            </w:r>
          </w:p>
        </w:tc>
        <w:tc>
          <w:tcPr>
            <w:tcW w:w="0" w:type="auto"/>
            <w:tcBorders>
              <w:top w:val="nil"/>
              <w:left w:val="nil"/>
              <w:bottom w:val="single" w:color="auto" w:sz="4" w:space="0"/>
              <w:right w:val="single" w:color="auto" w:sz="4" w:space="0"/>
            </w:tcBorders>
            <w:noWrap/>
            <w:vAlign w:val="bottom"/>
          </w:tcPr>
          <w:p w14:paraId="768221D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0.04 </w:t>
            </w:r>
          </w:p>
        </w:tc>
        <w:tc>
          <w:tcPr>
            <w:tcW w:w="0" w:type="auto"/>
            <w:tcBorders>
              <w:top w:val="nil"/>
              <w:left w:val="nil"/>
              <w:bottom w:val="single" w:color="auto" w:sz="4" w:space="0"/>
              <w:right w:val="single" w:color="auto" w:sz="4" w:space="0"/>
            </w:tcBorders>
            <w:noWrap/>
            <w:vAlign w:val="bottom"/>
          </w:tcPr>
          <w:p w14:paraId="7959DE5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1.60 </w:t>
            </w:r>
          </w:p>
        </w:tc>
        <w:tc>
          <w:tcPr>
            <w:tcW w:w="0" w:type="auto"/>
            <w:tcBorders>
              <w:top w:val="nil"/>
              <w:left w:val="nil"/>
              <w:bottom w:val="single" w:color="auto" w:sz="4" w:space="0"/>
              <w:right w:val="single" w:color="auto" w:sz="4" w:space="0"/>
            </w:tcBorders>
            <w:noWrap/>
            <w:vAlign w:val="bottom"/>
          </w:tcPr>
          <w:p w14:paraId="07B3C5B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0.29 </w:t>
            </w:r>
          </w:p>
        </w:tc>
      </w:tr>
      <w:tr w14:paraId="12B4D505">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097A115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CHISELET</w:t>
            </w:r>
          </w:p>
        </w:tc>
        <w:tc>
          <w:tcPr>
            <w:tcW w:w="0" w:type="auto"/>
            <w:tcBorders>
              <w:top w:val="nil"/>
              <w:left w:val="nil"/>
              <w:bottom w:val="single" w:color="auto" w:sz="4" w:space="0"/>
              <w:right w:val="single" w:color="auto" w:sz="4" w:space="0"/>
            </w:tcBorders>
            <w:noWrap/>
            <w:vAlign w:val="bottom"/>
          </w:tcPr>
          <w:p w14:paraId="2AF847BE">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11E517A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10.76 </w:t>
            </w:r>
          </w:p>
        </w:tc>
        <w:tc>
          <w:tcPr>
            <w:tcW w:w="1173" w:type="dxa"/>
            <w:tcBorders>
              <w:top w:val="nil"/>
              <w:left w:val="nil"/>
              <w:bottom w:val="single" w:color="auto" w:sz="4" w:space="0"/>
              <w:right w:val="single" w:color="auto" w:sz="4" w:space="0"/>
            </w:tcBorders>
            <w:noWrap/>
            <w:vAlign w:val="bottom"/>
          </w:tcPr>
          <w:p w14:paraId="1CC8E3B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0.41 </w:t>
            </w:r>
          </w:p>
        </w:tc>
        <w:tc>
          <w:tcPr>
            <w:tcW w:w="0" w:type="auto"/>
            <w:tcBorders>
              <w:top w:val="nil"/>
              <w:left w:val="nil"/>
              <w:bottom w:val="single" w:color="auto" w:sz="4" w:space="0"/>
              <w:right w:val="single" w:color="auto" w:sz="4" w:space="0"/>
            </w:tcBorders>
            <w:noWrap/>
            <w:vAlign w:val="bottom"/>
          </w:tcPr>
          <w:p w14:paraId="61D3D37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10.72 </w:t>
            </w:r>
          </w:p>
        </w:tc>
        <w:tc>
          <w:tcPr>
            <w:tcW w:w="0" w:type="auto"/>
            <w:tcBorders>
              <w:top w:val="nil"/>
              <w:left w:val="nil"/>
              <w:bottom w:val="single" w:color="auto" w:sz="4" w:space="0"/>
              <w:right w:val="single" w:color="auto" w:sz="4" w:space="0"/>
            </w:tcBorders>
            <w:noWrap/>
            <w:vAlign w:val="bottom"/>
          </w:tcPr>
          <w:p w14:paraId="1664781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0.48 </w:t>
            </w:r>
          </w:p>
        </w:tc>
        <w:tc>
          <w:tcPr>
            <w:tcW w:w="0" w:type="auto"/>
            <w:tcBorders>
              <w:top w:val="nil"/>
              <w:left w:val="nil"/>
              <w:bottom w:val="single" w:color="auto" w:sz="4" w:space="0"/>
              <w:right w:val="single" w:color="auto" w:sz="4" w:space="0"/>
            </w:tcBorders>
            <w:noWrap/>
            <w:vAlign w:val="bottom"/>
          </w:tcPr>
          <w:p w14:paraId="275FC78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1.73 </w:t>
            </w:r>
          </w:p>
        </w:tc>
        <w:tc>
          <w:tcPr>
            <w:tcW w:w="0" w:type="auto"/>
            <w:tcBorders>
              <w:top w:val="nil"/>
              <w:left w:val="nil"/>
              <w:bottom w:val="single" w:color="auto" w:sz="4" w:space="0"/>
              <w:right w:val="single" w:color="auto" w:sz="4" w:space="0"/>
            </w:tcBorders>
            <w:noWrap/>
            <w:vAlign w:val="bottom"/>
          </w:tcPr>
          <w:p w14:paraId="2075355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c>
          <w:tcPr>
            <w:tcW w:w="0" w:type="auto"/>
            <w:tcBorders>
              <w:top w:val="nil"/>
              <w:left w:val="nil"/>
              <w:bottom w:val="single" w:color="auto" w:sz="4" w:space="0"/>
              <w:right w:val="single" w:color="auto" w:sz="4" w:space="0"/>
            </w:tcBorders>
            <w:noWrap/>
            <w:vAlign w:val="bottom"/>
          </w:tcPr>
          <w:p w14:paraId="4B8D360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035DC2E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3F0B833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505.71 </w:t>
            </w:r>
          </w:p>
        </w:tc>
        <w:tc>
          <w:tcPr>
            <w:tcW w:w="0" w:type="auto"/>
            <w:tcBorders>
              <w:top w:val="nil"/>
              <w:left w:val="nil"/>
              <w:bottom w:val="single" w:color="auto" w:sz="4" w:space="0"/>
              <w:right w:val="single" w:color="auto" w:sz="4" w:space="0"/>
            </w:tcBorders>
            <w:noWrap/>
            <w:vAlign w:val="bottom"/>
          </w:tcPr>
          <w:p w14:paraId="37B4D62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14.08 </w:t>
            </w:r>
          </w:p>
        </w:tc>
        <w:tc>
          <w:tcPr>
            <w:tcW w:w="0" w:type="auto"/>
            <w:tcBorders>
              <w:top w:val="nil"/>
              <w:left w:val="nil"/>
              <w:bottom w:val="single" w:color="auto" w:sz="4" w:space="0"/>
              <w:right w:val="single" w:color="auto" w:sz="4" w:space="0"/>
            </w:tcBorders>
            <w:noWrap/>
            <w:vAlign w:val="bottom"/>
          </w:tcPr>
          <w:p w14:paraId="2F8775F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1.68 </w:t>
            </w:r>
          </w:p>
        </w:tc>
        <w:tc>
          <w:tcPr>
            <w:tcW w:w="0" w:type="auto"/>
            <w:tcBorders>
              <w:top w:val="nil"/>
              <w:left w:val="nil"/>
              <w:bottom w:val="single" w:color="auto" w:sz="4" w:space="0"/>
              <w:right w:val="single" w:color="auto" w:sz="4" w:space="0"/>
            </w:tcBorders>
            <w:noWrap/>
            <w:vAlign w:val="bottom"/>
          </w:tcPr>
          <w:p w14:paraId="7AC59DF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0.02 </w:t>
            </w:r>
          </w:p>
        </w:tc>
        <w:tc>
          <w:tcPr>
            <w:tcW w:w="0" w:type="auto"/>
            <w:tcBorders>
              <w:top w:val="nil"/>
              <w:left w:val="nil"/>
              <w:bottom w:val="single" w:color="auto" w:sz="4" w:space="0"/>
              <w:right w:val="single" w:color="auto" w:sz="4" w:space="0"/>
            </w:tcBorders>
            <w:noWrap/>
            <w:vAlign w:val="bottom"/>
          </w:tcPr>
          <w:p w14:paraId="0A49AB4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0.27 </w:t>
            </w:r>
          </w:p>
        </w:tc>
        <w:tc>
          <w:tcPr>
            <w:tcW w:w="0" w:type="auto"/>
            <w:tcBorders>
              <w:top w:val="nil"/>
              <w:left w:val="nil"/>
              <w:bottom w:val="single" w:color="auto" w:sz="4" w:space="0"/>
              <w:right w:val="single" w:color="auto" w:sz="4" w:space="0"/>
            </w:tcBorders>
            <w:noWrap/>
            <w:vAlign w:val="bottom"/>
          </w:tcPr>
          <w:p w14:paraId="473D870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0.00 </w:t>
            </w:r>
          </w:p>
        </w:tc>
        <w:tc>
          <w:tcPr>
            <w:tcW w:w="0" w:type="auto"/>
            <w:tcBorders>
              <w:top w:val="nil"/>
              <w:left w:val="nil"/>
              <w:bottom w:val="single" w:color="auto" w:sz="4" w:space="0"/>
              <w:right w:val="single" w:color="auto" w:sz="4" w:space="0"/>
            </w:tcBorders>
            <w:noWrap/>
            <w:vAlign w:val="bottom"/>
          </w:tcPr>
          <w:p w14:paraId="1E712FF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0.94 </w:t>
            </w:r>
          </w:p>
        </w:tc>
        <w:tc>
          <w:tcPr>
            <w:tcW w:w="0" w:type="auto"/>
            <w:tcBorders>
              <w:top w:val="nil"/>
              <w:left w:val="nil"/>
              <w:bottom w:val="single" w:color="auto" w:sz="4" w:space="0"/>
              <w:right w:val="single" w:color="auto" w:sz="4" w:space="0"/>
            </w:tcBorders>
            <w:noWrap/>
            <w:vAlign w:val="bottom"/>
          </w:tcPr>
          <w:p w14:paraId="774AFC0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0.03 </w:t>
            </w:r>
          </w:p>
        </w:tc>
      </w:tr>
      <w:tr w14:paraId="4004A028">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3E5CE72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CRIVAȚ</w:t>
            </w:r>
          </w:p>
        </w:tc>
        <w:tc>
          <w:tcPr>
            <w:tcW w:w="0" w:type="auto"/>
            <w:tcBorders>
              <w:top w:val="nil"/>
              <w:left w:val="nil"/>
              <w:bottom w:val="single" w:color="auto" w:sz="4" w:space="0"/>
              <w:right w:val="single" w:color="auto" w:sz="4" w:space="0"/>
            </w:tcBorders>
            <w:noWrap/>
            <w:vAlign w:val="bottom"/>
          </w:tcPr>
          <w:p w14:paraId="0D1D7255">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3DB7D73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7.12 </w:t>
            </w:r>
          </w:p>
        </w:tc>
        <w:tc>
          <w:tcPr>
            <w:tcW w:w="1173" w:type="dxa"/>
            <w:tcBorders>
              <w:top w:val="nil"/>
              <w:left w:val="nil"/>
              <w:bottom w:val="single" w:color="auto" w:sz="4" w:space="0"/>
              <w:right w:val="single" w:color="auto" w:sz="4" w:space="0"/>
            </w:tcBorders>
            <w:noWrap/>
            <w:vAlign w:val="bottom"/>
          </w:tcPr>
          <w:p w14:paraId="50C7EC2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0.19 </w:t>
            </w:r>
          </w:p>
        </w:tc>
        <w:tc>
          <w:tcPr>
            <w:tcW w:w="0" w:type="auto"/>
            <w:tcBorders>
              <w:top w:val="nil"/>
              <w:left w:val="nil"/>
              <w:bottom w:val="single" w:color="auto" w:sz="4" w:space="0"/>
              <w:right w:val="single" w:color="auto" w:sz="4" w:space="0"/>
            </w:tcBorders>
            <w:noWrap/>
            <w:vAlign w:val="bottom"/>
          </w:tcPr>
          <w:p w14:paraId="20BBCDE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9.77 </w:t>
            </w:r>
          </w:p>
        </w:tc>
        <w:tc>
          <w:tcPr>
            <w:tcW w:w="0" w:type="auto"/>
            <w:tcBorders>
              <w:top w:val="nil"/>
              <w:left w:val="nil"/>
              <w:bottom w:val="single" w:color="auto" w:sz="4" w:space="0"/>
              <w:right w:val="single" w:color="auto" w:sz="4" w:space="0"/>
            </w:tcBorders>
            <w:noWrap/>
            <w:vAlign w:val="bottom"/>
          </w:tcPr>
          <w:p w14:paraId="5FD76ED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0.22 </w:t>
            </w:r>
          </w:p>
        </w:tc>
        <w:tc>
          <w:tcPr>
            <w:tcW w:w="0" w:type="auto"/>
            <w:tcBorders>
              <w:top w:val="nil"/>
              <w:left w:val="nil"/>
              <w:bottom w:val="single" w:color="auto" w:sz="4" w:space="0"/>
              <w:right w:val="single" w:color="auto" w:sz="4" w:space="0"/>
            </w:tcBorders>
            <w:noWrap/>
            <w:vAlign w:val="bottom"/>
          </w:tcPr>
          <w:p w14:paraId="66C4DA7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2.02 </w:t>
            </w:r>
          </w:p>
        </w:tc>
        <w:tc>
          <w:tcPr>
            <w:tcW w:w="0" w:type="auto"/>
            <w:tcBorders>
              <w:top w:val="nil"/>
              <w:left w:val="nil"/>
              <w:bottom w:val="single" w:color="auto" w:sz="4" w:space="0"/>
              <w:right w:val="single" w:color="auto" w:sz="4" w:space="0"/>
            </w:tcBorders>
            <w:noWrap/>
            <w:vAlign w:val="bottom"/>
          </w:tcPr>
          <w:p w14:paraId="28FEF52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0.08 </w:t>
            </w:r>
          </w:p>
        </w:tc>
        <w:tc>
          <w:tcPr>
            <w:tcW w:w="0" w:type="auto"/>
            <w:tcBorders>
              <w:top w:val="nil"/>
              <w:left w:val="nil"/>
              <w:bottom w:val="single" w:color="auto" w:sz="4" w:space="0"/>
              <w:right w:val="single" w:color="auto" w:sz="4" w:space="0"/>
            </w:tcBorders>
            <w:noWrap/>
            <w:vAlign w:val="bottom"/>
          </w:tcPr>
          <w:p w14:paraId="5810C4A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1654CD1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4E4D2C2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336.28 </w:t>
            </w:r>
          </w:p>
        </w:tc>
        <w:tc>
          <w:tcPr>
            <w:tcW w:w="0" w:type="auto"/>
            <w:tcBorders>
              <w:top w:val="nil"/>
              <w:left w:val="nil"/>
              <w:bottom w:val="single" w:color="auto" w:sz="4" w:space="0"/>
              <w:right w:val="single" w:color="auto" w:sz="4" w:space="0"/>
            </w:tcBorders>
            <w:noWrap/>
            <w:vAlign w:val="bottom"/>
          </w:tcPr>
          <w:p w14:paraId="01A36F2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6.44 </w:t>
            </w:r>
          </w:p>
        </w:tc>
        <w:tc>
          <w:tcPr>
            <w:tcW w:w="0" w:type="auto"/>
            <w:tcBorders>
              <w:top w:val="nil"/>
              <w:left w:val="nil"/>
              <w:bottom w:val="single" w:color="auto" w:sz="4" w:space="0"/>
              <w:right w:val="single" w:color="auto" w:sz="4" w:space="0"/>
            </w:tcBorders>
            <w:noWrap/>
            <w:vAlign w:val="bottom"/>
          </w:tcPr>
          <w:p w14:paraId="75EBA0E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1.11 </w:t>
            </w:r>
          </w:p>
        </w:tc>
        <w:tc>
          <w:tcPr>
            <w:tcW w:w="0" w:type="auto"/>
            <w:tcBorders>
              <w:top w:val="nil"/>
              <w:left w:val="nil"/>
              <w:bottom w:val="single" w:color="auto" w:sz="4" w:space="0"/>
              <w:right w:val="single" w:color="auto" w:sz="4" w:space="0"/>
            </w:tcBorders>
            <w:noWrap/>
            <w:vAlign w:val="bottom"/>
          </w:tcPr>
          <w:p w14:paraId="6B889C2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c>
          <w:tcPr>
            <w:tcW w:w="0" w:type="auto"/>
            <w:tcBorders>
              <w:top w:val="nil"/>
              <w:left w:val="nil"/>
              <w:bottom w:val="single" w:color="auto" w:sz="4" w:space="0"/>
              <w:right w:val="single" w:color="auto" w:sz="4" w:space="0"/>
            </w:tcBorders>
            <w:noWrap/>
            <w:vAlign w:val="bottom"/>
          </w:tcPr>
          <w:p w14:paraId="72DC630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0.18 </w:t>
            </w:r>
          </w:p>
        </w:tc>
        <w:tc>
          <w:tcPr>
            <w:tcW w:w="0" w:type="auto"/>
            <w:tcBorders>
              <w:top w:val="nil"/>
              <w:left w:val="nil"/>
              <w:bottom w:val="single" w:color="auto" w:sz="4" w:space="0"/>
              <w:right w:val="single" w:color="auto" w:sz="4" w:space="0"/>
            </w:tcBorders>
            <w:noWrap/>
            <w:vAlign w:val="bottom"/>
          </w:tcPr>
          <w:p w14:paraId="0BD101E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0.00 </w:t>
            </w:r>
          </w:p>
        </w:tc>
        <w:tc>
          <w:tcPr>
            <w:tcW w:w="0" w:type="auto"/>
            <w:tcBorders>
              <w:top w:val="nil"/>
              <w:left w:val="nil"/>
              <w:bottom w:val="single" w:color="auto" w:sz="4" w:space="0"/>
              <w:right w:val="single" w:color="auto" w:sz="4" w:space="0"/>
            </w:tcBorders>
            <w:noWrap/>
            <w:vAlign w:val="bottom"/>
          </w:tcPr>
          <w:p w14:paraId="6C42D17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0.62 </w:t>
            </w:r>
          </w:p>
        </w:tc>
        <w:tc>
          <w:tcPr>
            <w:tcW w:w="0" w:type="auto"/>
            <w:tcBorders>
              <w:top w:val="nil"/>
              <w:left w:val="nil"/>
              <w:bottom w:val="single" w:color="auto" w:sz="4" w:space="0"/>
              <w:right w:val="single" w:color="auto" w:sz="4" w:space="0"/>
            </w:tcBorders>
            <w:noWrap/>
            <w:vAlign w:val="bottom"/>
          </w:tcPr>
          <w:p w14:paraId="5A6A6DD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r>
      <w:tr w14:paraId="12908055">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0C80EA3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CURCANI</w:t>
            </w:r>
          </w:p>
        </w:tc>
        <w:tc>
          <w:tcPr>
            <w:tcW w:w="0" w:type="auto"/>
            <w:tcBorders>
              <w:top w:val="nil"/>
              <w:left w:val="nil"/>
              <w:bottom w:val="single" w:color="auto" w:sz="4" w:space="0"/>
              <w:right w:val="single" w:color="auto" w:sz="4" w:space="0"/>
            </w:tcBorders>
            <w:noWrap/>
            <w:vAlign w:val="bottom"/>
          </w:tcPr>
          <w:p w14:paraId="48A5DEA0">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1E5A852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29.60 </w:t>
            </w:r>
          </w:p>
        </w:tc>
        <w:tc>
          <w:tcPr>
            <w:tcW w:w="1173" w:type="dxa"/>
            <w:tcBorders>
              <w:top w:val="nil"/>
              <w:left w:val="nil"/>
              <w:bottom w:val="single" w:color="auto" w:sz="4" w:space="0"/>
              <w:right w:val="single" w:color="auto" w:sz="4" w:space="0"/>
            </w:tcBorders>
            <w:noWrap/>
            <w:vAlign w:val="bottom"/>
          </w:tcPr>
          <w:p w14:paraId="11B2172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3.53 </w:t>
            </w:r>
          </w:p>
        </w:tc>
        <w:tc>
          <w:tcPr>
            <w:tcW w:w="0" w:type="auto"/>
            <w:tcBorders>
              <w:top w:val="nil"/>
              <w:left w:val="nil"/>
              <w:bottom w:val="single" w:color="auto" w:sz="4" w:space="0"/>
              <w:right w:val="single" w:color="auto" w:sz="4" w:space="0"/>
            </w:tcBorders>
            <w:noWrap/>
            <w:vAlign w:val="bottom"/>
          </w:tcPr>
          <w:p w14:paraId="782E4C8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40.41 </w:t>
            </w:r>
          </w:p>
        </w:tc>
        <w:tc>
          <w:tcPr>
            <w:tcW w:w="0" w:type="auto"/>
            <w:tcBorders>
              <w:top w:val="nil"/>
              <w:left w:val="nil"/>
              <w:bottom w:val="single" w:color="auto" w:sz="4" w:space="0"/>
              <w:right w:val="single" w:color="auto" w:sz="4" w:space="0"/>
            </w:tcBorders>
            <w:noWrap/>
            <w:vAlign w:val="bottom"/>
          </w:tcPr>
          <w:p w14:paraId="233A43A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4.13 </w:t>
            </w:r>
          </w:p>
        </w:tc>
        <w:tc>
          <w:tcPr>
            <w:tcW w:w="0" w:type="auto"/>
            <w:tcBorders>
              <w:top w:val="nil"/>
              <w:left w:val="nil"/>
              <w:bottom w:val="single" w:color="auto" w:sz="4" w:space="0"/>
              <w:right w:val="single" w:color="auto" w:sz="4" w:space="0"/>
            </w:tcBorders>
            <w:noWrap/>
            <w:vAlign w:val="bottom"/>
          </w:tcPr>
          <w:p w14:paraId="0D419C6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8.32 </w:t>
            </w:r>
          </w:p>
        </w:tc>
        <w:tc>
          <w:tcPr>
            <w:tcW w:w="0" w:type="auto"/>
            <w:tcBorders>
              <w:top w:val="nil"/>
              <w:left w:val="nil"/>
              <w:bottom w:val="single" w:color="auto" w:sz="4" w:space="0"/>
              <w:right w:val="single" w:color="auto" w:sz="4" w:space="0"/>
            </w:tcBorders>
            <w:noWrap/>
            <w:vAlign w:val="bottom"/>
          </w:tcPr>
          <w:p w14:paraId="291A139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1.41 </w:t>
            </w:r>
          </w:p>
        </w:tc>
        <w:tc>
          <w:tcPr>
            <w:tcW w:w="0" w:type="auto"/>
            <w:tcBorders>
              <w:top w:val="nil"/>
              <w:left w:val="nil"/>
              <w:bottom w:val="single" w:color="auto" w:sz="4" w:space="0"/>
              <w:right w:val="single" w:color="auto" w:sz="4" w:space="0"/>
            </w:tcBorders>
            <w:noWrap/>
            <w:vAlign w:val="bottom"/>
          </w:tcPr>
          <w:p w14:paraId="686EE24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00EB5D6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06B780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1,397.00 </w:t>
            </w:r>
          </w:p>
        </w:tc>
        <w:tc>
          <w:tcPr>
            <w:tcW w:w="0" w:type="auto"/>
            <w:tcBorders>
              <w:top w:val="nil"/>
              <w:left w:val="nil"/>
              <w:bottom w:val="single" w:color="auto" w:sz="4" w:space="0"/>
              <w:right w:val="single" w:color="auto" w:sz="4" w:space="0"/>
            </w:tcBorders>
            <w:noWrap/>
            <w:vAlign w:val="bottom"/>
          </w:tcPr>
          <w:p w14:paraId="15E7D00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121.65 </w:t>
            </w:r>
          </w:p>
        </w:tc>
        <w:tc>
          <w:tcPr>
            <w:tcW w:w="0" w:type="auto"/>
            <w:tcBorders>
              <w:top w:val="nil"/>
              <w:left w:val="nil"/>
              <w:bottom w:val="single" w:color="auto" w:sz="4" w:space="0"/>
              <w:right w:val="single" w:color="auto" w:sz="4" w:space="0"/>
            </w:tcBorders>
            <w:noWrap/>
            <w:vAlign w:val="bottom"/>
          </w:tcPr>
          <w:p w14:paraId="79245FA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4.63 </w:t>
            </w:r>
          </w:p>
        </w:tc>
        <w:tc>
          <w:tcPr>
            <w:tcW w:w="0" w:type="auto"/>
            <w:tcBorders>
              <w:top w:val="nil"/>
              <w:left w:val="nil"/>
              <w:bottom w:val="single" w:color="auto" w:sz="4" w:space="0"/>
              <w:right w:val="single" w:color="auto" w:sz="4" w:space="0"/>
            </w:tcBorders>
            <w:noWrap/>
            <w:vAlign w:val="bottom"/>
          </w:tcPr>
          <w:p w14:paraId="0377667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0.16 </w:t>
            </w:r>
          </w:p>
        </w:tc>
        <w:tc>
          <w:tcPr>
            <w:tcW w:w="0" w:type="auto"/>
            <w:tcBorders>
              <w:top w:val="nil"/>
              <w:left w:val="nil"/>
              <w:bottom w:val="single" w:color="auto" w:sz="4" w:space="0"/>
              <w:right w:val="single" w:color="auto" w:sz="4" w:space="0"/>
            </w:tcBorders>
            <w:noWrap/>
            <w:vAlign w:val="bottom"/>
          </w:tcPr>
          <w:p w14:paraId="16A2850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0.74 </w:t>
            </w:r>
          </w:p>
        </w:tc>
        <w:tc>
          <w:tcPr>
            <w:tcW w:w="0" w:type="auto"/>
            <w:tcBorders>
              <w:top w:val="nil"/>
              <w:left w:val="nil"/>
              <w:bottom w:val="single" w:color="auto" w:sz="4" w:space="0"/>
              <w:right w:val="single" w:color="auto" w:sz="4" w:space="0"/>
            </w:tcBorders>
            <w:noWrap/>
            <w:vAlign w:val="bottom"/>
          </w:tcPr>
          <w:p w14:paraId="73D60DF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0.03 </w:t>
            </w:r>
          </w:p>
        </w:tc>
        <w:tc>
          <w:tcPr>
            <w:tcW w:w="0" w:type="auto"/>
            <w:tcBorders>
              <w:top w:val="nil"/>
              <w:left w:val="nil"/>
              <w:bottom w:val="single" w:color="auto" w:sz="4" w:space="0"/>
              <w:right w:val="single" w:color="auto" w:sz="4" w:space="0"/>
            </w:tcBorders>
            <w:noWrap/>
            <w:vAlign w:val="bottom"/>
          </w:tcPr>
          <w:p w14:paraId="75E1E3C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2.60 </w:t>
            </w:r>
          </w:p>
        </w:tc>
        <w:tc>
          <w:tcPr>
            <w:tcW w:w="0" w:type="auto"/>
            <w:tcBorders>
              <w:top w:val="nil"/>
              <w:left w:val="nil"/>
              <w:bottom w:val="single" w:color="auto" w:sz="4" w:space="0"/>
              <w:right w:val="single" w:color="auto" w:sz="4" w:space="0"/>
            </w:tcBorders>
            <w:noWrap/>
            <w:vAlign w:val="bottom"/>
          </w:tcPr>
          <w:p w14:paraId="75ECA55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0.23 </w:t>
            </w:r>
          </w:p>
        </w:tc>
      </w:tr>
      <w:tr w14:paraId="666F47EF">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4C98027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FRUMUȘANI</w:t>
            </w:r>
          </w:p>
        </w:tc>
        <w:tc>
          <w:tcPr>
            <w:tcW w:w="0" w:type="auto"/>
            <w:tcBorders>
              <w:top w:val="nil"/>
              <w:left w:val="nil"/>
              <w:bottom w:val="single" w:color="auto" w:sz="4" w:space="0"/>
              <w:right w:val="single" w:color="auto" w:sz="4" w:space="0"/>
            </w:tcBorders>
            <w:noWrap/>
            <w:vAlign w:val="bottom"/>
          </w:tcPr>
          <w:p w14:paraId="7EA4456E">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7F088CD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50.99 </w:t>
            </w:r>
          </w:p>
        </w:tc>
        <w:tc>
          <w:tcPr>
            <w:tcW w:w="1173" w:type="dxa"/>
            <w:tcBorders>
              <w:top w:val="nil"/>
              <w:left w:val="nil"/>
              <w:bottom w:val="single" w:color="auto" w:sz="4" w:space="0"/>
              <w:right w:val="single" w:color="auto" w:sz="4" w:space="0"/>
            </w:tcBorders>
            <w:noWrap/>
            <w:vAlign w:val="bottom"/>
          </w:tcPr>
          <w:p w14:paraId="0610D68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4.26 </w:t>
            </w:r>
          </w:p>
        </w:tc>
        <w:tc>
          <w:tcPr>
            <w:tcW w:w="0" w:type="auto"/>
            <w:tcBorders>
              <w:top w:val="nil"/>
              <w:left w:val="nil"/>
              <w:bottom w:val="single" w:color="auto" w:sz="4" w:space="0"/>
              <w:right w:val="single" w:color="auto" w:sz="4" w:space="0"/>
            </w:tcBorders>
            <w:noWrap/>
            <w:vAlign w:val="bottom"/>
          </w:tcPr>
          <w:p w14:paraId="4F029D3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43.62 </w:t>
            </w:r>
          </w:p>
        </w:tc>
        <w:tc>
          <w:tcPr>
            <w:tcW w:w="0" w:type="auto"/>
            <w:tcBorders>
              <w:top w:val="nil"/>
              <w:left w:val="nil"/>
              <w:bottom w:val="single" w:color="auto" w:sz="4" w:space="0"/>
              <w:right w:val="single" w:color="auto" w:sz="4" w:space="0"/>
            </w:tcBorders>
            <w:noWrap/>
            <w:vAlign w:val="bottom"/>
          </w:tcPr>
          <w:p w14:paraId="3256D65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5.00 </w:t>
            </w:r>
          </w:p>
        </w:tc>
        <w:tc>
          <w:tcPr>
            <w:tcW w:w="0" w:type="auto"/>
            <w:tcBorders>
              <w:top w:val="nil"/>
              <w:left w:val="nil"/>
              <w:bottom w:val="single" w:color="auto" w:sz="4" w:space="0"/>
              <w:right w:val="single" w:color="auto" w:sz="4" w:space="0"/>
            </w:tcBorders>
            <w:noWrap/>
            <w:vAlign w:val="bottom"/>
          </w:tcPr>
          <w:p w14:paraId="486AD09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0.26 </w:t>
            </w:r>
          </w:p>
        </w:tc>
        <w:tc>
          <w:tcPr>
            <w:tcW w:w="0" w:type="auto"/>
            <w:tcBorders>
              <w:top w:val="nil"/>
              <w:left w:val="nil"/>
              <w:bottom w:val="single" w:color="auto" w:sz="4" w:space="0"/>
              <w:right w:val="single" w:color="auto" w:sz="4" w:space="0"/>
            </w:tcBorders>
            <w:noWrap/>
            <w:vAlign w:val="bottom"/>
          </w:tcPr>
          <w:p w14:paraId="44D198D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c>
          <w:tcPr>
            <w:tcW w:w="0" w:type="auto"/>
            <w:tcBorders>
              <w:top w:val="nil"/>
              <w:left w:val="nil"/>
              <w:bottom w:val="single" w:color="auto" w:sz="4" w:space="0"/>
              <w:right w:val="single" w:color="auto" w:sz="4" w:space="0"/>
            </w:tcBorders>
            <w:noWrap/>
            <w:vAlign w:val="bottom"/>
          </w:tcPr>
          <w:p w14:paraId="37E10B0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4F70073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17D1D1B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2,389.40 </w:t>
            </w:r>
          </w:p>
        </w:tc>
        <w:tc>
          <w:tcPr>
            <w:tcW w:w="0" w:type="auto"/>
            <w:tcBorders>
              <w:top w:val="nil"/>
              <w:left w:val="nil"/>
              <w:bottom w:val="single" w:color="auto" w:sz="4" w:space="0"/>
              <w:right w:val="single" w:color="auto" w:sz="4" w:space="0"/>
            </w:tcBorders>
            <w:noWrap/>
            <w:vAlign w:val="bottom"/>
          </w:tcPr>
          <w:p w14:paraId="6767930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146.36 </w:t>
            </w:r>
          </w:p>
        </w:tc>
        <w:tc>
          <w:tcPr>
            <w:tcW w:w="0" w:type="auto"/>
            <w:tcBorders>
              <w:top w:val="nil"/>
              <w:left w:val="nil"/>
              <w:bottom w:val="single" w:color="auto" w:sz="4" w:space="0"/>
              <w:right w:val="single" w:color="auto" w:sz="4" w:space="0"/>
            </w:tcBorders>
            <w:noWrap/>
            <w:vAlign w:val="bottom"/>
          </w:tcPr>
          <w:p w14:paraId="0B7F5D5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7.97 </w:t>
            </w:r>
          </w:p>
        </w:tc>
        <w:tc>
          <w:tcPr>
            <w:tcW w:w="0" w:type="auto"/>
            <w:tcBorders>
              <w:top w:val="nil"/>
              <w:left w:val="nil"/>
              <w:bottom w:val="single" w:color="auto" w:sz="4" w:space="0"/>
              <w:right w:val="single" w:color="auto" w:sz="4" w:space="0"/>
            </w:tcBorders>
            <w:noWrap/>
            <w:vAlign w:val="bottom"/>
          </w:tcPr>
          <w:p w14:paraId="302B98A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0.20 </w:t>
            </w:r>
          </w:p>
        </w:tc>
        <w:tc>
          <w:tcPr>
            <w:tcW w:w="0" w:type="auto"/>
            <w:tcBorders>
              <w:top w:val="nil"/>
              <w:left w:val="nil"/>
              <w:bottom w:val="single" w:color="auto" w:sz="4" w:space="0"/>
              <w:right w:val="single" w:color="auto" w:sz="4" w:space="0"/>
            </w:tcBorders>
            <w:noWrap/>
            <w:vAlign w:val="bottom"/>
          </w:tcPr>
          <w:p w14:paraId="138B5F2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1.28 </w:t>
            </w:r>
          </w:p>
        </w:tc>
        <w:tc>
          <w:tcPr>
            <w:tcW w:w="0" w:type="auto"/>
            <w:tcBorders>
              <w:top w:val="nil"/>
              <w:left w:val="nil"/>
              <w:bottom w:val="single" w:color="auto" w:sz="4" w:space="0"/>
              <w:right w:val="single" w:color="auto" w:sz="4" w:space="0"/>
            </w:tcBorders>
            <w:noWrap/>
            <w:vAlign w:val="bottom"/>
          </w:tcPr>
          <w:p w14:paraId="64CD84D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0.04 </w:t>
            </w:r>
          </w:p>
        </w:tc>
        <w:tc>
          <w:tcPr>
            <w:tcW w:w="0" w:type="auto"/>
            <w:tcBorders>
              <w:top w:val="nil"/>
              <w:left w:val="nil"/>
              <w:bottom w:val="single" w:color="auto" w:sz="4" w:space="0"/>
              <w:right w:val="single" w:color="auto" w:sz="4" w:space="0"/>
            </w:tcBorders>
            <w:noWrap/>
            <w:vAlign w:val="bottom"/>
          </w:tcPr>
          <w:p w14:paraId="3B6E6F7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4.47 </w:t>
            </w:r>
          </w:p>
        </w:tc>
        <w:tc>
          <w:tcPr>
            <w:tcW w:w="0" w:type="auto"/>
            <w:tcBorders>
              <w:top w:val="nil"/>
              <w:left w:val="nil"/>
              <w:bottom w:val="single" w:color="auto" w:sz="4" w:space="0"/>
              <w:right w:val="single" w:color="auto" w:sz="4" w:space="0"/>
            </w:tcBorders>
            <w:noWrap/>
            <w:vAlign w:val="bottom"/>
          </w:tcPr>
          <w:p w14:paraId="16B6307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0.28 </w:t>
            </w:r>
          </w:p>
        </w:tc>
      </w:tr>
      <w:tr w14:paraId="6E36BA10">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562786D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FUNDENI</w:t>
            </w:r>
          </w:p>
        </w:tc>
        <w:tc>
          <w:tcPr>
            <w:tcW w:w="0" w:type="auto"/>
            <w:tcBorders>
              <w:top w:val="nil"/>
              <w:left w:val="nil"/>
              <w:bottom w:val="single" w:color="auto" w:sz="4" w:space="0"/>
              <w:right w:val="single" w:color="auto" w:sz="4" w:space="0"/>
            </w:tcBorders>
            <w:noWrap/>
            <w:vAlign w:val="bottom"/>
          </w:tcPr>
          <w:p w14:paraId="456C0ED0">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5D812A5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33.93 </w:t>
            </w:r>
          </w:p>
        </w:tc>
        <w:tc>
          <w:tcPr>
            <w:tcW w:w="1173" w:type="dxa"/>
            <w:tcBorders>
              <w:top w:val="nil"/>
              <w:left w:val="nil"/>
              <w:bottom w:val="single" w:color="auto" w:sz="4" w:space="0"/>
              <w:right w:val="single" w:color="auto" w:sz="4" w:space="0"/>
            </w:tcBorders>
            <w:noWrap/>
            <w:vAlign w:val="bottom"/>
          </w:tcPr>
          <w:p w14:paraId="3F41165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4.57 </w:t>
            </w:r>
          </w:p>
        </w:tc>
        <w:tc>
          <w:tcPr>
            <w:tcW w:w="0" w:type="auto"/>
            <w:tcBorders>
              <w:top w:val="nil"/>
              <w:left w:val="nil"/>
              <w:bottom w:val="single" w:color="auto" w:sz="4" w:space="0"/>
              <w:right w:val="single" w:color="auto" w:sz="4" w:space="0"/>
            </w:tcBorders>
            <w:noWrap/>
            <w:vAlign w:val="bottom"/>
          </w:tcPr>
          <w:p w14:paraId="3F036BF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29.21 </w:t>
            </w:r>
          </w:p>
        </w:tc>
        <w:tc>
          <w:tcPr>
            <w:tcW w:w="0" w:type="auto"/>
            <w:tcBorders>
              <w:top w:val="nil"/>
              <w:left w:val="nil"/>
              <w:bottom w:val="single" w:color="auto" w:sz="4" w:space="0"/>
              <w:right w:val="single" w:color="auto" w:sz="4" w:space="0"/>
            </w:tcBorders>
            <w:noWrap/>
            <w:vAlign w:val="bottom"/>
          </w:tcPr>
          <w:p w14:paraId="015294F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5.36 </w:t>
            </w:r>
          </w:p>
        </w:tc>
        <w:tc>
          <w:tcPr>
            <w:tcW w:w="0" w:type="auto"/>
            <w:tcBorders>
              <w:top w:val="nil"/>
              <w:left w:val="nil"/>
              <w:bottom w:val="single" w:color="auto" w:sz="4" w:space="0"/>
              <w:right w:val="single" w:color="auto" w:sz="4" w:space="0"/>
            </w:tcBorders>
            <w:noWrap/>
            <w:vAlign w:val="bottom"/>
          </w:tcPr>
          <w:p w14:paraId="5829893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0.76 </w:t>
            </w:r>
          </w:p>
        </w:tc>
        <w:tc>
          <w:tcPr>
            <w:tcW w:w="0" w:type="auto"/>
            <w:tcBorders>
              <w:top w:val="nil"/>
              <w:left w:val="nil"/>
              <w:bottom w:val="single" w:color="auto" w:sz="4" w:space="0"/>
              <w:right w:val="single" w:color="auto" w:sz="4" w:space="0"/>
            </w:tcBorders>
            <w:noWrap/>
            <w:vAlign w:val="bottom"/>
          </w:tcPr>
          <w:p w14:paraId="4C81F9B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0.78 </w:t>
            </w:r>
          </w:p>
        </w:tc>
        <w:tc>
          <w:tcPr>
            <w:tcW w:w="0" w:type="auto"/>
            <w:tcBorders>
              <w:top w:val="nil"/>
              <w:left w:val="nil"/>
              <w:bottom w:val="single" w:color="auto" w:sz="4" w:space="0"/>
              <w:right w:val="single" w:color="auto" w:sz="4" w:space="0"/>
            </w:tcBorders>
            <w:noWrap/>
            <w:vAlign w:val="bottom"/>
          </w:tcPr>
          <w:p w14:paraId="3156CF8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A636DC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0376D33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1,590.07 </w:t>
            </w:r>
          </w:p>
        </w:tc>
        <w:tc>
          <w:tcPr>
            <w:tcW w:w="0" w:type="auto"/>
            <w:tcBorders>
              <w:top w:val="nil"/>
              <w:left w:val="nil"/>
              <w:bottom w:val="single" w:color="auto" w:sz="4" w:space="0"/>
              <w:right w:val="single" w:color="auto" w:sz="4" w:space="0"/>
            </w:tcBorders>
            <w:noWrap/>
            <w:vAlign w:val="bottom"/>
          </w:tcPr>
          <w:p w14:paraId="0092BF9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157.28 </w:t>
            </w:r>
          </w:p>
        </w:tc>
        <w:tc>
          <w:tcPr>
            <w:tcW w:w="0" w:type="auto"/>
            <w:tcBorders>
              <w:top w:val="nil"/>
              <w:left w:val="nil"/>
              <w:bottom w:val="single" w:color="auto" w:sz="4" w:space="0"/>
              <w:right w:val="single" w:color="auto" w:sz="4" w:space="0"/>
            </w:tcBorders>
            <w:noWrap/>
            <w:vAlign w:val="bottom"/>
          </w:tcPr>
          <w:p w14:paraId="18CD34C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5.31 </w:t>
            </w:r>
          </w:p>
        </w:tc>
        <w:tc>
          <w:tcPr>
            <w:tcW w:w="0" w:type="auto"/>
            <w:tcBorders>
              <w:top w:val="nil"/>
              <w:left w:val="nil"/>
              <w:bottom w:val="single" w:color="auto" w:sz="4" w:space="0"/>
              <w:right w:val="single" w:color="auto" w:sz="4" w:space="0"/>
            </w:tcBorders>
            <w:noWrap/>
            <w:vAlign w:val="bottom"/>
          </w:tcPr>
          <w:p w14:paraId="136DF11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0.21 </w:t>
            </w:r>
          </w:p>
        </w:tc>
        <w:tc>
          <w:tcPr>
            <w:tcW w:w="0" w:type="auto"/>
            <w:tcBorders>
              <w:top w:val="nil"/>
              <w:left w:val="nil"/>
              <w:bottom w:val="single" w:color="auto" w:sz="4" w:space="0"/>
              <w:right w:val="single" w:color="auto" w:sz="4" w:space="0"/>
            </w:tcBorders>
            <w:noWrap/>
            <w:vAlign w:val="bottom"/>
          </w:tcPr>
          <w:p w14:paraId="7BC5B81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0.85 </w:t>
            </w:r>
          </w:p>
        </w:tc>
        <w:tc>
          <w:tcPr>
            <w:tcW w:w="0" w:type="auto"/>
            <w:tcBorders>
              <w:top w:val="nil"/>
              <w:left w:val="nil"/>
              <w:bottom w:val="single" w:color="auto" w:sz="4" w:space="0"/>
              <w:right w:val="single" w:color="auto" w:sz="4" w:space="0"/>
            </w:tcBorders>
            <w:noWrap/>
            <w:vAlign w:val="bottom"/>
          </w:tcPr>
          <w:p w14:paraId="6B33E7D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0.04 </w:t>
            </w:r>
          </w:p>
        </w:tc>
        <w:tc>
          <w:tcPr>
            <w:tcW w:w="0" w:type="auto"/>
            <w:tcBorders>
              <w:top w:val="nil"/>
              <w:left w:val="nil"/>
              <w:bottom w:val="single" w:color="auto" w:sz="4" w:space="0"/>
              <w:right w:val="single" w:color="auto" w:sz="4" w:space="0"/>
            </w:tcBorders>
            <w:noWrap/>
            <w:vAlign w:val="bottom"/>
          </w:tcPr>
          <w:p w14:paraId="4151FC0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2.98 </w:t>
            </w:r>
          </w:p>
        </w:tc>
        <w:tc>
          <w:tcPr>
            <w:tcW w:w="0" w:type="auto"/>
            <w:tcBorders>
              <w:top w:val="nil"/>
              <w:left w:val="nil"/>
              <w:bottom w:val="single" w:color="auto" w:sz="4" w:space="0"/>
              <w:right w:val="single" w:color="auto" w:sz="4" w:space="0"/>
            </w:tcBorders>
            <w:noWrap/>
            <w:vAlign w:val="bottom"/>
          </w:tcPr>
          <w:p w14:paraId="013F233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0.30 </w:t>
            </w:r>
          </w:p>
        </w:tc>
      </w:tr>
      <w:tr w14:paraId="4A6D3434">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448CE3C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GALBINAȘI</w:t>
            </w:r>
          </w:p>
        </w:tc>
        <w:tc>
          <w:tcPr>
            <w:tcW w:w="0" w:type="auto"/>
            <w:tcBorders>
              <w:top w:val="nil"/>
              <w:left w:val="nil"/>
              <w:bottom w:val="single" w:color="auto" w:sz="4" w:space="0"/>
              <w:right w:val="single" w:color="auto" w:sz="4" w:space="0"/>
            </w:tcBorders>
            <w:noWrap/>
            <w:vAlign w:val="bottom"/>
          </w:tcPr>
          <w:p w14:paraId="6C0B71A8">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0E14197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16.11 </w:t>
            </w:r>
          </w:p>
        </w:tc>
        <w:tc>
          <w:tcPr>
            <w:tcW w:w="1173" w:type="dxa"/>
            <w:tcBorders>
              <w:top w:val="nil"/>
              <w:left w:val="nil"/>
              <w:bottom w:val="single" w:color="auto" w:sz="4" w:space="0"/>
              <w:right w:val="single" w:color="auto" w:sz="4" w:space="0"/>
            </w:tcBorders>
            <w:noWrap/>
            <w:vAlign w:val="bottom"/>
          </w:tcPr>
          <w:p w14:paraId="3422BA2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1.49 </w:t>
            </w:r>
          </w:p>
        </w:tc>
        <w:tc>
          <w:tcPr>
            <w:tcW w:w="0" w:type="auto"/>
            <w:tcBorders>
              <w:top w:val="nil"/>
              <w:left w:val="nil"/>
              <w:bottom w:val="single" w:color="auto" w:sz="4" w:space="0"/>
              <w:right w:val="single" w:color="auto" w:sz="4" w:space="0"/>
            </w:tcBorders>
            <w:noWrap/>
            <w:vAlign w:val="bottom"/>
          </w:tcPr>
          <w:p w14:paraId="334B8F8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(6.85)</w:t>
            </w:r>
          </w:p>
        </w:tc>
        <w:tc>
          <w:tcPr>
            <w:tcW w:w="0" w:type="auto"/>
            <w:tcBorders>
              <w:top w:val="nil"/>
              <w:left w:val="nil"/>
              <w:bottom w:val="single" w:color="auto" w:sz="4" w:space="0"/>
              <w:right w:val="single" w:color="auto" w:sz="4" w:space="0"/>
            </w:tcBorders>
            <w:noWrap/>
            <w:vAlign w:val="bottom"/>
          </w:tcPr>
          <w:p w14:paraId="74CD29F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1.74 </w:t>
            </w:r>
          </w:p>
        </w:tc>
        <w:tc>
          <w:tcPr>
            <w:tcW w:w="0" w:type="auto"/>
            <w:tcBorders>
              <w:top w:val="nil"/>
              <w:left w:val="nil"/>
              <w:bottom w:val="single" w:color="auto" w:sz="4" w:space="0"/>
              <w:right w:val="single" w:color="auto" w:sz="4" w:space="0"/>
            </w:tcBorders>
            <w:noWrap/>
            <w:vAlign w:val="bottom"/>
          </w:tcPr>
          <w:p w14:paraId="7DCEF9D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(10.44)</w:t>
            </w:r>
          </w:p>
        </w:tc>
        <w:tc>
          <w:tcPr>
            <w:tcW w:w="0" w:type="auto"/>
            <w:tcBorders>
              <w:top w:val="nil"/>
              <w:left w:val="nil"/>
              <w:bottom w:val="single" w:color="auto" w:sz="4" w:space="0"/>
              <w:right w:val="single" w:color="auto" w:sz="4" w:space="0"/>
            </w:tcBorders>
            <w:noWrap/>
            <w:vAlign w:val="bottom"/>
          </w:tcPr>
          <w:p w14:paraId="0853672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(1.20)</w:t>
            </w:r>
          </w:p>
        </w:tc>
        <w:tc>
          <w:tcPr>
            <w:tcW w:w="0" w:type="auto"/>
            <w:tcBorders>
              <w:top w:val="nil"/>
              <w:left w:val="nil"/>
              <w:bottom w:val="single" w:color="auto" w:sz="4" w:space="0"/>
              <w:right w:val="single" w:color="auto" w:sz="4" w:space="0"/>
            </w:tcBorders>
            <w:noWrap/>
            <w:vAlign w:val="bottom"/>
          </w:tcPr>
          <w:p w14:paraId="02A9FA8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4DFBA91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4A93823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741.45 </w:t>
            </w:r>
          </w:p>
        </w:tc>
        <w:tc>
          <w:tcPr>
            <w:tcW w:w="0" w:type="auto"/>
            <w:tcBorders>
              <w:top w:val="nil"/>
              <w:left w:val="nil"/>
              <w:bottom w:val="single" w:color="auto" w:sz="4" w:space="0"/>
              <w:right w:val="single" w:color="auto" w:sz="4" w:space="0"/>
            </w:tcBorders>
            <w:noWrap/>
            <w:vAlign w:val="bottom"/>
          </w:tcPr>
          <w:p w14:paraId="17F88B0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50.59 </w:t>
            </w:r>
          </w:p>
        </w:tc>
        <w:tc>
          <w:tcPr>
            <w:tcW w:w="0" w:type="auto"/>
            <w:tcBorders>
              <w:top w:val="nil"/>
              <w:left w:val="nil"/>
              <w:bottom w:val="single" w:color="auto" w:sz="4" w:space="0"/>
              <w:right w:val="single" w:color="auto" w:sz="4" w:space="0"/>
            </w:tcBorders>
            <w:noWrap/>
            <w:vAlign w:val="bottom"/>
          </w:tcPr>
          <w:p w14:paraId="34FA1A6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2.52 </w:t>
            </w:r>
          </w:p>
        </w:tc>
        <w:tc>
          <w:tcPr>
            <w:tcW w:w="0" w:type="auto"/>
            <w:tcBorders>
              <w:top w:val="nil"/>
              <w:left w:val="nil"/>
              <w:bottom w:val="single" w:color="auto" w:sz="4" w:space="0"/>
              <w:right w:val="single" w:color="auto" w:sz="4" w:space="0"/>
            </w:tcBorders>
            <w:noWrap/>
            <w:vAlign w:val="bottom"/>
          </w:tcPr>
          <w:p w14:paraId="79D2D3B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0.07 </w:t>
            </w:r>
          </w:p>
        </w:tc>
        <w:tc>
          <w:tcPr>
            <w:tcW w:w="0" w:type="auto"/>
            <w:tcBorders>
              <w:top w:val="nil"/>
              <w:left w:val="nil"/>
              <w:bottom w:val="single" w:color="auto" w:sz="4" w:space="0"/>
              <w:right w:val="single" w:color="auto" w:sz="4" w:space="0"/>
            </w:tcBorders>
            <w:noWrap/>
            <w:vAlign w:val="bottom"/>
          </w:tcPr>
          <w:p w14:paraId="2811744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0.40 </w:t>
            </w:r>
          </w:p>
        </w:tc>
        <w:tc>
          <w:tcPr>
            <w:tcW w:w="0" w:type="auto"/>
            <w:tcBorders>
              <w:top w:val="nil"/>
              <w:left w:val="nil"/>
              <w:bottom w:val="single" w:color="auto" w:sz="4" w:space="0"/>
              <w:right w:val="single" w:color="auto" w:sz="4" w:space="0"/>
            </w:tcBorders>
            <w:noWrap/>
            <w:vAlign w:val="bottom"/>
          </w:tcPr>
          <w:p w14:paraId="40A62B8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c>
          <w:tcPr>
            <w:tcW w:w="0" w:type="auto"/>
            <w:tcBorders>
              <w:top w:val="nil"/>
              <w:left w:val="nil"/>
              <w:bottom w:val="single" w:color="auto" w:sz="4" w:space="0"/>
              <w:right w:val="single" w:color="auto" w:sz="4" w:space="0"/>
            </w:tcBorders>
            <w:noWrap/>
            <w:vAlign w:val="bottom"/>
          </w:tcPr>
          <w:p w14:paraId="41E1615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1.41 </w:t>
            </w:r>
          </w:p>
        </w:tc>
        <w:tc>
          <w:tcPr>
            <w:tcW w:w="0" w:type="auto"/>
            <w:tcBorders>
              <w:top w:val="nil"/>
              <w:left w:val="nil"/>
              <w:bottom w:val="single" w:color="auto" w:sz="4" w:space="0"/>
              <w:right w:val="single" w:color="auto" w:sz="4" w:space="0"/>
            </w:tcBorders>
            <w:noWrap/>
            <w:vAlign w:val="bottom"/>
          </w:tcPr>
          <w:p w14:paraId="7E602B6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0.10 </w:t>
            </w:r>
          </w:p>
        </w:tc>
      </w:tr>
      <w:tr w14:paraId="23D76208">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5A78946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LUICA</w:t>
            </w:r>
          </w:p>
        </w:tc>
        <w:tc>
          <w:tcPr>
            <w:tcW w:w="0" w:type="auto"/>
            <w:tcBorders>
              <w:top w:val="nil"/>
              <w:left w:val="nil"/>
              <w:bottom w:val="single" w:color="auto" w:sz="4" w:space="0"/>
              <w:right w:val="single" w:color="auto" w:sz="4" w:space="0"/>
            </w:tcBorders>
            <w:noWrap/>
            <w:vAlign w:val="bottom"/>
          </w:tcPr>
          <w:p w14:paraId="5EE2AB6E">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38D77DA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7.84 </w:t>
            </w:r>
          </w:p>
        </w:tc>
        <w:tc>
          <w:tcPr>
            <w:tcW w:w="1173" w:type="dxa"/>
            <w:tcBorders>
              <w:top w:val="nil"/>
              <w:left w:val="nil"/>
              <w:bottom w:val="single" w:color="auto" w:sz="4" w:space="0"/>
              <w:right w:val="single" w:color="auto" w:sz="4" w:space="0"/>
            </w:tcBorders>
            <w:noWrap/>
            <w:vAlign w:val="bottom"/>
          </w:tcPr>
          <w:p w14:paraId="3DFBDEE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0.29 </w:t>
            </w:r>
          </w:p>
        </w:tc>
        <w:tc>
          <w:tcPr>
            <w:tcW w:w="0" w:type="auto"/>
            <w:tcBorders>
              <w:top w:val="nil"/>
              <w:left w:val="nil"/>
              <w:bottom w:val="single" w:color="auto" w:sz="4" w:space="0"/>
              <w:right w:val="single" w:color="auto" w:sz="4" w:space="0"/>
            </w:tcBorders>
            <w:noWrap/>
            <w:vAlign w:val="bottom"/>
          </w:tcPr>
          <w:p w14:paraId="02A269E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10.76 </w:t>
            </w:r>
          </w:p>
        </w:tc>
        <w:tc>
          <w:tcPr>
            <w:tcW w:w="0" w:type="auto"/>
            <w:tcBorders>
              <w:top w:val="nil"/>
              <w:left w:val="nil"/>
              <w:bottom w:val="single" w:color="auto" w:sz="4" w:space="0"/>
              <w:right w:val="single" w:color="auto" w:sz="4" w:space="0"/>
            </w:tcBorders>
            <w:noWrap/>
            <w:vAlign w:val="bottom"/>
          </w:tcPr>
          <w:p w14:paraId="2BC6A38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0.34 </w:t>
            </w:r>
          </w:p>
        </w:tc>
        <w:tc>
          <w:tcPr>
            <w:tcW w:w="0" w:type="auto"/>
            <w:tcBorders>
              <w:top w:val="nil"/>
              <w:left w:val="nil"/>
              <w:bottom w:val="single" w:color="auto" w:sz="4" w:space="0"/>
              <w:right w:val="single" w:color="auto" w:sz="4" w:space="0"/>
            </w:tcBorders>
            <w:noWrap/>
            <w:vAlign w:val="bottom"/>
          </w:tcPr>
          <w:p w14:paraId="7E7C6A9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2.23 </w:t>
            </w:r>
          </w:p>
        </w:tc>
        <w:tc>
          <w:tcPr>
            <w:tcW w:w="0" w:type="auto"/>
            <w:tcBorders>
              <w:top w:val="nil"/>
              <w:left w:val="nil"/>
              <w:bottom w:val="single" w:color="auto" w:sz="4" w:space="0"/>
              <w:right w:val="single" w:color="auto" w:sz="4" w:space="0"/>
            </w:tcBorders>
            <w:noWrap/>
            <w:vAlign w:val="bottom"/>
          </w:tcPr>
          <w:p w14:paraId="061290C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0.12 </w:t>
            </w:r>
          </w:p>
        </w:tc>
        <w:tc>
          <w:tcPr>
            <w:tcW w:w="0" w:type="auto"/>
            <w:tcBorders>
              <w:top w:val="nil"/>
              <w:left w:val="nil"/>
              <w:bottom w:val="single" w:color="auto" w:sz="4" w:space="0"/>
              <w:right w:val="single" w:color="auto" w:sz="4" w:space="0"/>
            </w:tcBorders>
            <w:noWrap/>
            <w:vAlign w:val="bottom"/>
          </w:tcPr>
          <w:p w14:paraId="11480AD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13D5967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03F9B5A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370.08 </w:t>
            </w:r>
          </w:p>
        </w:tc>
        <w:tc>
          <w:tcPr>
            <w:tcW w:w="0" w:type="auto"/>
            <w:tcBorders>
              <w:top w:val="nil"/>
              <w:left w:val="nil"/>
              <w:bottom w:val="single" w:color="auto" w:sz="4" w:space="0"/>
              <w:right w:val="single" w:color="auto" w:sz="4" w:space="0"/>
            </w:tcBorders>
            <w:noWrap/>
            <w:vAlign w:val="bottom"/>
          </w:tcPr>
          <w:p w14:paraId="1DB9EB5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10.00 </w:t>
            </w:r>
          </w:p>
        </w:tc>
        <w:tc>
          <w:tcPr>
            <w:tcW w:w="0" w:type="auto"/>
            <w:tcBorders>
              <w:top w:val="nil"/>
              <w:left w:val="nil"/>
              <w:bottom w:val="single" w:color="auto" w:sz="4" w:space="0"/>
              <w:right w:val="single" w:color="auto" w:sz="4" w:space="0"/>
            </w:tcBorders>
            <w:noWrap/>
            <w:vAlign w:val="bottom"/>
          </w:tcPr>
          <w:p w14:paraId="0086E44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1.23 </w:t>
            </w:r>
          </w:p>
        </w:tc>
        <w:tc>
          <w:tcPr>
            <w:tcW w:w="0" w:type="auto"/>
            <w:tcBorders>
              <w:top w:val="nil"/>
              <w:left w:val="nil"/>
              <w:bottom w:val="single" w:color="auto" w:sz="4" w:space="0"/>
              <w:right w:val="single" w:color="auto" w:sz="4" w:space="0"/>
            </w:tcBorders>
            <w:noWrap/>
            <w:vAlign w:val="bottom"/>
          </w:tcPr>
          <w:p w14:paraId="51F0C9B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c>
          <w:tcPr>
            <w:tcW w:w="0" w:type="auto"/>
            <w:tcBorders>
              <w:top w:val="nil"/>
              <w:left w:val="nil"/>
              <w:bottom w:val="single" w:color="auto" w:sz="4" w:space="0"/>
              <w:right w:val="single" w:color="auto" w:sz="4" w:space="0"/>
            </w:tcBorders>
            <w:noWrap/>
            <w:vAlign w:val="bottom"/>
          </w:tcPr>
          <w:p w14:paraId="1D78563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0.20 </w:t>
            </w:r>
          </w:p>
        </w:tc>
        <w:tc>
          <w:tcPr>
            <w:tcW w:w="0" w:type="auto"/>
            <w:tcBorders>
              <w:top w:val="nil"/>
              <w:left w:val="nil"/>
              <w:bottom w:val="single" w:color="auto" w:sz="4" w:space="0"/>
              <w:right w:val="single" w:color="auto" w:sz="4" w:space="0"/>
            </w:tcBorders>
            <w:noWrap/>
            <w:vAlign w:val="bottom"/>
          </w:tcPr>
          <w:p w14:paraId="2C90594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0.00 </w:t>
            </w:r>
          </w:p>
        </w:tc>
        <w:tc>
          <w:tcPr>
            <w:tcW w:w="0" w:type="auto"/>
            <w:tcBorders>
              <w:top w:val="nil"/>
              <w:left w:val="nil"/>
              <w:bottom w:val="single" w:color="auto" w:sz="4" w:space="0"/>
              <w:right w:val="single" w:color="auto" w:sz="4" w:space="0"/>
            </w:tcBorders>
            <w:noWrap/>
            <w:vAlign w:val="bottom"/>
          </w:tcPr>
          <w:p w14:paraId="38BD650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0.69 </w:t>
            </w:r>
          </w:p>
        </w:tc>
        <w:tc>
          <w:tcPr>
            <w:tcW w:w="0" w:type="auto"/>
            <w:tcBorders>
              <w:top w:val="nil"/>
              <w:left w:val="nil"/>
              <w:bottom w:val="single" w:color="auto" w:sz="4" w:space="0"/>
              <w:right w:val="single" w:color="auto" w:sz="4" w:space="0"/>
            </w:tcBorders>
            <w:noWrap/>
            <w:vAlign w:val="bottom"/>
          </w:tcPr>
          <w:p w14:paraId="54D8FFB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0.02 </w:t>
            </w:r>
          </w:p>
        </w:tc>
      </w:tr>
      <w:tr w14:paraId="559B9314">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18D8901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MITRENI</w:t>
            </w:r>
          </w:p>
        </w:tc>
        <w:tc>
          <w:tcPr>
            <w:tcW w:w="0" w:type="auto"/>
            <w:tcBorders>
              <w:top w:val="nil"/>
              <w:left w:val="nil"/>
              <w:bottom w:val="single" w:color="auto" w:sz="4" w:space="0"/>
              <w:right w:val="single" w:color="auto" w:sz="4" w:space="0"/>
            </w:tcBorders>
            <w:noWrap/>
            <w:vAlign w:val="bottom"/>
          </w:tcPr>
          <w:p w14:paraId="471DA61D">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577A90D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17.10 </w:t>
            </w:r>
          </w:p>
        </w:tc>
        <w:tc>
          <w:tcPr>
            <w:tcW w:w="1173" w:type="dxa"/>
            <w:tcBorders>
              <w:top w:val="nil"/>
              <w:left w:val="nil"/>
              <w:bottom w:val="single" w:color="auto" w:sz="4" w:space="0"/>
              <w:right w:val="single" w:color="auto" w:sz="4" w:space="0"/>
            </w:tcBorders>
            <w:noWrap/>
            <w:vAlign w:val="bottom"/>
          </w:tcPr>
          <w:p w14:paraId="1414181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1.08 </w:t>
            </w:r>
          </w:p>
        </w:tc>
        <w:tc>
          <w:tcPr>
            <w:tcW w:w="0" w:type="auto"/>
            <w:tcBorders>
              <w:top w:val="nil"/>
              <w:left w:val="nil"/>
              <w:bottom w:val="single" w:color="auto" w:sz="4" w:space="0"/>
              <w:right w:val="single" w:color="auto" w:sz="4" w:space="0"/>
            </w:tcBorders>
            <w:noWrap/>
            <w:vAlign w:val="bottom"/>
          </w:tcPr>
          <w:p w14:paraId="61ED383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13.36 </w:t>
            </w:r>
          </w:p>
        </w:tc>
        <w:tc>
          <w:tcPr>
            <w:tcW w:w="0" w:type="auto"/>
            <w:tcBorders>
              <w:top w:val="nil"/>
              <w:left w:val="nil"/>
              <w:bottom w:val="single" w:color="auto" w:sz="4" w:space="0"/>
              <w:right w:val="single" w:color="auto" w:sz="4" w:space="0"/>
            </w:tcBorders>
            <w:noWrap/>
            <w:vAlign w:val="bottom"/>
          </w:tcPr>
          <w:p w14:paraId="6491AA1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1.27 </w:t>
            </w:r>
          </w:p>
        </w:tc>
        <w:tc>
          <w:tcPr>
            <w:tcW w:w="0" w:type="auto"/>
            <w:tcBorders>
              <w:top w:val="nil"/>
              <w:left w:val="nil"/>
              <w:bottom w:val="single" w:color="auto" w:sz="4" w:space="0"/>
              <w:right w:val="single" w:color="auto" w:sz="4" w:space="0"/>
            </w:tcBorders>
            <w:noWrap/>
            <w:vAlign w:val="bottom"/>
          </w:tcPr>
          <w:p w14:paraId="4336D24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0.34 </w:t>
            </w:r>
          </w:p>
        </w:tc>
        <w:tc>
          <w:tcPr>
            <w:tcW w:w="0" w:type="auto"/>
            <w:tcBorders>
              <w:top w:val="nil"/>
              <w:left w:val="nil"/>
              <w:bottom w:val="single" w:color="auto" w:sz="4" w:space="0"/>
              <w:right w:val="single" w:color="auto" w:sz="4" w:space="0"/>
            </w:tcBorders>
            <w:noWrap/>
            <w:vAlign w:val="bottom"/>
          </w:tcPr>
          <w:p w14:paraId="292CCD4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(0.11)</w:t>
            </w:r>
          </w:p>
        </w:tc>
        <w:tc>
          <w:tcPr>
            <w:tcW w:w="0" w:type="auto"/>
            <w:tcBorders>
              <w:top w:val="nil"/>
              <w:left w:val="nil"/>
              <w:bottom w:val="single" w:color="auto" w:sz="4" w:space="0"/>
              <w:right w:val="single" w:color="auto" w:sz="4" w:space="0"/>
            </w:tcBorders>
            <w:noWrap/>
            <w:vAlign w:val="bottom"/>
          </w:tcPr>
          <w:p w14:paraId="36CCB39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612F05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7F9BFC5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800.86 </w:t>
            </w:r>
          </w:p>
        </w:tc>
        <w:tc>
          <w:tcPr>
            <w:tcW w:w="0" w:type="auto"/>
            <w:tcBorders>
              <w:top w:val="nil"/>
              <w:left w:val="nil"/>
              <w:bottom w:val="single" w:color="auto" w:sz="4" w:space="0"/>
              <w:right w:val="single" w:color="auto" w:sz="4" w:space="0"/>
            </w:tcBorders>
            <w:noWrap/>
            <w:vAlign w:val="bottom"/>
          </w:tcPr>
          <w:p w14:paraId="1E2BBC2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37.08 </w:t>
            </w:r>
          </w:p>
        </w:tc>
        <w:tc>
          <w:tcPr>
            <w:tcW w:w="0" w:type="auto"/>
            <w:tcBorders>
              <w:top w:val="nil"/>
              <w:left w:val="nil"/>
              <w:bottom w:val="single" w:color="auto" w:sz="4" w:space="0"/>
              <w:right w:val="single" w:color="auto" w:sz="4" w:space="0"/>
            </w:tcBorders>
            <w:noWrap/>
            <w:vAlign w:val="bottom"/>
          </w:tcPr>
          <w:p w14:paraId="0EDD8FB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2.67 </w:t>
            </w:r>
          </w:p>
        </w:tc>
        <w:tc>
          <w:tcPr>
            <w:tcW w:w="0" w:type="auto"/>
            <w:tcBorders>
              <w:top w:val="nil"/>
              <w:left w:val="nil"/>
              <w:bottom w:val="single" w:color="auto" w:sz="4" w:space="0"/>
              <w:right w:val="single" w:color="auto" w:sz="4" w:space="0"/>
            </w:tcBorders>
            <w:noWrap/>
            <w:vAlign w:val="bottom"/>
          </w:tcPr>
          <w:p w14:paraId="64DF22C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0.05 </w:t>
            </w:r>
          </w:p>
        </w:tc>
        <w:tc>
          <w:tcPr>
            <w:tcW w:w="0" w:type="auto"/>
            <w:tcBorders>
              <w:top w:val="nil"/>
              <w:left w:val="nil"/>
              <w:bottom w:val="single" w:color="auto" w:sz="4" w:space="0"/>
              <w:right w:val="single" w:color="auto" w:sz="4" w:space="0"/>
            </w:tcBorders>
            <w:noWrap/>
            <w:vAlign w:val="bottom"/>
          </w:tcPr>
          <w:p w14:paraId="5F45976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0.43 </w:t>
            </w:r>
          </w:p>
        </w:tc>
        <w:tc>
          <w:tcPr>
            <w:tcW w:w="0" w:type="auto"/>
            <w:tcBorders>
              <w:top w:val="nil"/>
              <w:left w:val="nil"/>
              <w:bottom w:val="single" w:color="auto" w:sz="4" w:space="0"/>
              <w:right w:val="single" w:color="auto" w:sz="4" w:space="0"/>
            </w:tcBorders>
            <w:noWrap/>
            <w:vAlign w:val="bottom"/>
          </w:tcPr>
          <w:p w14:paraId="0BCD972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c>
          <w:tcPr>
            <w:tcW w:w="0" w:type="auto"/>
            <w:tcBorders>
              <w:top w:val="nil"/>
              <w:left w:val="nil"/>
              <w:bottom w:val="single" w:color="auto" w:sz="4" w:space="0"/>
              <w:right w:val="single" w:color="auto" w:sz="4" w:space="0"/>
            </w:tcBorders>
            <w:noWrap/>
            <w:vAlign w:val="bottom"/>
          </w:tcPr>
          <w:p w14:paraId="692D1D2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1.50 </w:t>
            </w:r>
          </w:p>
        </w:tc>
        <w:tc>
          <w:tcPr>
            <w:tcW w:w="0" w:type="auto"/>
            <w:tcBorders>
              <w:top w:val="nil"/>
              <w:left w:val="nil"/>
              <w:bottom w:val="single" w:color="auto" w:sz="4" w:space="0"/>
              <w:right w:val="single" w:color="auto" w:sz="4" w:space="0"/>
            </w:tcBorders>
            <w:noWrap/>
            <w:vAlign w:val="bottom"/>
          </w:tcPr>
          <w:p w14:paraId="02C4DE9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0.07 </w:t>
            </w:r>
          </w:p>
        </w:tc>
      </w:tr>
      <w:tr w14:paraId="6630C12C">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4C6652C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NANA</w:t>
            </w:r>
          </w:p>
        </w:tc>
        <w:tc>
          <w:tcPr>
            <w:tcW w:w="0" w:type="auto"/>
            <w:tcBorders>
              <w:top w:val="nil"/>
              <w:left w:val="nil"/>
              <w:bottom w:val="single" w:color="auto" w:sz="4" w:space="0"/>
              <w:right w:val="single" w:color="auto" w:sz="4" w:space="0"/>
            </w:tcBorders>
            <w:noWrap/>
            <w:vAlign w:val="bottom"/>
          </w:tcPr>
          <w:p w14:paraId="0C81F449">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7085482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7.56 </w:t>
            </w:r>
          </w:p>
        </w:tc>
        <w:tc>
          <w:tcPr>
            <w:tcW w:w="1173" w:type="dxa"/>
            <w:tcBorders>
              <w:top w:val="nil"/>
              <w:left w:val="nil"/>
              <w:bottom w:val="single" w:color="auto" w:sz="4" w:space="0"/>
              <w:right w:val="single" w:color="auto" w:sz="4" w:space="0"/>
            </w:tcBorders>
            <w:noWrap/>
            <w:vAlign w:val="bottom"/>
          </w:tcPr>
          <w:p w14:paraId="442D930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0.35 </w:t>
            </w:r>
          </w:p>
        </w:tc>
        <w:tc>
          <w:tcPr>
            <w:tcW w:w="0" w:type="auto"/>
            <w:tcBorders>
              <w:top w:val="nil"/>
              <w:left w:val="nil"/>
              <w:bottom w:val="single" w:color="auto" w:sz="4" w:space="0"/>
              <w:right w:val="single" w:color="auto" w:sz="4" w:space="0"/>
            </w:tcBorders>
            <w:noWrap/>
            <w:vAlign w:val="bottom"/>
          </w:tcPr>
          <w:p w14:paraId="236F2AD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9.22 </w:t>
            </w:r>
          </w:p>
        </w:tc>
        <w:tc>
          <w:tcPr>
            <w:tcW w:w="0" w:type="auto"/>
            <w:tcBorders>
              <w:top w:val="nil"/>
              <w:left w:val="nil"/>
              <w:bottom w:val="single" w:color="auto" w:sz="4" w:space="0"/>
              <w:right w:val="single" w:color="auto" w:sz="4" w:space="0"/>
            </w:tcBorders>
            <w:noWrap/>
            <w:vAlign w:val="bottom"/>
          </w:tcPr>
          <w:p w14:paraId="7ACC7BF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0.41 </w:t>
            </w:r>
          </w:p>
        </w:tc>
        <w:tc>
          <w:tcPr>
            <w:tcW w:w="0" w:type="auto"/>
            <w:tcBorders>
              <w:top w:val="nil"/>
              <w:left w:val="nil"/>
              <w:bottom w:val="single" w:color="auto" w:sz="4" w:space="0"/>
              <w:right w:val="single" w:color="auto" w:sz="4" w:space="0"/>
            </w:tcBorders>
            <w:noWrap/>
            <w:vAlign w:val="bottom"/>
          </w:tcPr>
          <w:p w14:paraId="11BD5D9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1.48 </w:t>
            </w:r>
          </w:p>
        </w:tc>
        <w:tc>
          <w:tcPr>
            <w:tcW w:w="0" w:type="auto"/>
            <w:tcBorders>
              <w:top w:val="nil"/>
              <w:left w:val="nil"/>
              <w:bottom w:val="single" w:color="auto" w:sz="4" w:space="0"/>
              <w:right w:val="single" w:color="auto" w:sz="4" w:space="0"/>
            </w:tcBorders>
            <w:noWrap/>
            <w:vAlign w:val="bottom"/>
          </w:tcPr>
          <w:p w14:paraId="28BD65F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0.06 </w:t>
            </w:r>
          </w:p>
        </w:tc>
        <w:tc>
          <w:tcPr>
            <w:tcW w:w="0" w:type="auto"/>
            <w:tcBorders>
              <w:top w:val="nil"/>
              <w:left w:val="nil"/>
              <w:bottom w:val="single" w:color="auto" w:sz="4" w:space="0"/>
              <w:right w:val="single" w:color="auto" w:sz="4" w:space="0"/>
            </w:tcBorders>
            <w:noWrap/>
            <w:vAlign w:val="bottom"/>
          </w:tcPr>
          <w:p w14:paraId="04FDA05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10FC8A1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43494F9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356.16 </w:t>
            </w:r>
          </w:p>
        </w:tc>
        <w:tc>
          <w:tcPr>
            <w:tcW w:w="0" w:type="auto"/>
            <w:tcBorders>
              <w:top w:val="nil"/>
              <w:left w:val="nil"/>
              <w:bottom w:val="single" w:color="auto" w:sz="4" w:space="0"/>
              <w:right w:val="single" w:color="auto" w:sz="4" w:space="0"/>
            </w:tcBorders>
            <w:noWrap/>
            <w:vAlign w:val="bottom"/>
          </w:tcPr>
          <w:p w14:paraId="6E7F548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12.18 </w:t>
            </w:r>
          </w:p>
        </w:tc>
        <w:tc>
          <w:tcPr>
            <w:tcW w:w="0" w:type="auto"/>
            <w:tcBorders>
              <w:top w:val="nil"/>
              <w:left w:val="nil"/>
              <w:bottom w:val="single" w:color="auto" w:sz="4" w:space="0"/>
              <w:right w:val="single" w:color="auto" w:sz="4" w:space="0"/>
            </w:tcBorders>
            <w:noWrap/>
            <w:vAlign w:val="bottom"/>
          </w:tcPr>
          <w:p w14:paraId="25D9D45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1.18 </w:t>
            </w:r>
          </w:p>
        </w:tc>
        <w:tc>
          <w:tcPr>
            <w:tcW w:w="0" w:type="auto"/>
            <w:tcBorders>
              <w:top w:val="nil"/>
              <w:left w:val="nil"/>
              <w:bottom w:val="single" w:color="auto" w:sz="4" w:space="0"/>
              <w:right w:val="single" w:color="auto" w:sz="4" w:space="0"/>
            </w:tcBorders>
            <w:noWrap/>
            <w:vAlign w:val="bottom"/>
          </w:tcPr>
          <w:p w14:paraId="30B41AF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0.02 </w:t>
            </w:r>
          </w:p>
        </w:tc>
        <w:tc>
          <w:tcPr>
            <w:tcW w:w="0" w:type="auto"/>
            <w:tcBorders>
              <w:top w:val="nil"/>
              <w:left w:val="nil"/>
              <w:bottom w:val="single" w:color="auto" w:sz="4" w:space="0"/>
              <w:right w:val="single" w:color="auto" w:sz="4" w:space="0"/>
            </w:tcBorders>
            <w:noWrap/>
            <w:vAlign w:val="bottom"/>
          </w:tcPr>
          <w:p w14:paraId="087C791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0.19 </w:t>
            </w:r>
          </w:p>
        </w:tc>
        <w:tc>
          <w:tcPr>
            <w:tcW w:w="0" w:type="auto"/>
            <w:tcBorders>
              <w:top w:val="nil"/>
              <w:left w:val="nil"/>
              <w:bottom w:val="single" w:color="auto" w:sz="4" w:space="0"/>
              <w:right w:val="single" w:color="auto" w:sz="4" w:space="0"/>
            </w:tcBorders>
            <w:noWrap/>
            <w:vAlign w:val="bottom"/>
          </w:tcPr>
          <w:p w14:paraId="2A3F042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0.00 </w:t>
            </w:r>
          </w:p>
        </w:tc>
        <w:tc>
          <w:tcPr>
            <w:tcW w:w="0" w:type="auto"/>
            <w:tcBorders>
              <w:top w:val="nil"/>
              <w:left w:val="nil"/>
              <w:bottom w:val="single" w:color="auto" w:sz="4" w:space="0"/>
              <w:right w:val="single" w:color="auto" w:sz="4" w:space="0"/>
            </w:tcBorders>
            <w:noWrap/>
            <w:vAlign w:val="bottom"/>
          </w:tcPr>
          <w:p w14:paraId="4E8F5C5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0.66 </w:t>
            </w:r>
          </w:p>
        </w:tc>
        <w:tc>
          <w:tcPr>
            <w:tcW w:w="0" w:type="auto"/>
            <w:tcBorders>
              <w:top w:val="nil"/>
              <w:left w:val="nil"/>
              <w:bottom w:val="single" w:color="auto" w:sz="4" w:space="0"/>
              <w:right w:val="single" w:color="auto" w:sz="4" w:space="0"/>
            </w:tcBorders>
            <w:noWrap/>
            <w:vAlign w:val="bottom"/>
          </w:tcPr>
          <w:p w14:paraId="6CD5EEA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0.02 </w:t>
            </w:r>
          </w:p>
        </w:tc>
      </w:tr>
      <w:tr w14:paraId="3C9B8A05">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776FACC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PLATAREȘTI</w:t>
            </w:r>
          </w:p>
        </w:tc>
        <w:tc>
          <w:tcPr>
            <w:tcW w:w="0" w:type="auto"/>
            <w:tcBorders>
              <w:top w:val="nil"/>
              <w:left w:val="nil"/>
              <w:bottom w:val="single" w:color="auto" w:sz="4" w:space="0"/>
              <w:right w:val="single" w:color="auto" w:sz="4" w:space="0"/>
            </w:tcBorders>
            <w:noWrap/>
            <w:vAlign w:val="bottom"/>
          </w:tcPr>
          <w:p w14:paraId="1244D299">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754FEBF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23.56 </w:t>
            </w:r>
          </w:p>
        </w:tc>
        <w:tc>
          <w:tcPr>
            <w:tcW w:w="1173" w:type="dxa"/>
            <w:tcBorders>
              <w:top w:val="nil"/>
              <w:left w:val="nil"/>
              <w:bottom w:val="single" w:color="auto" w:sz="4" w:space="0"/>
              <w:right w:val="single" w:color="auto" w:sz="4" w:space="0"/>
            </w:tcBorders>
            <w:noWrap/>
            <w:vAlign w:val="bottom"/>
          </w:tcPr>
          <w:p w14:paraId="161BEE9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2.02 </w:t>
            </w:r>
          </w:p>
        </w:tc>
        <w:tc>
          <w:tcPr>
            <w:tcW w:w="0" w:type="auto"/>
            <w:tcBorders>
              <w:top w:val="nil"/>
              <w:left w:val="nil"/>
              <w:bottom w:val="single" w:color="auto" w:sz="4" w:space="0"/>
              <w:right w:val="single" w:color="auto" w:sz="4" w:space="0"/>
            </w:tcBorders>
            <w:noWrap/>
            <w:vAlign w:val="bottom"/>
          </w:tcPr>
          <w:p w14:paraId="489C257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19.55 </w:t>
            </w:r>
          </w:p>
        </w:tc>
        <w:tc>
          <w:tcPr>
            <w:tcW w:w="0" w:type="auto"/>
            <w:tcBorders>
              <w:top w:val="nil"/>
              <w:left w:val="nil"/>
              <w:bottom w:val="single" w:color="auto" w:sz="4" w:space="0"/>
              <w:right w:val="single" w:color="auto" w:sz="4" w:space="0"/>
            </w:tcBorders>
            <w:noWrap/>
            <w:vAlign w:val="bottom"/>
          </w:tcPr>
          <w:p w14:paraId="29570D1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2.37 </w:t>
            </w:r>
          </w:p>
        </w:tc>
        <w:tc>
          <w:tcPr>
            <w:tcW w:w="0" w:type="auto"/>
            <w:tcBorders>
              <w:top w:val="nil"/>
              <w:left w:val="nil"/>
              <w:bottom w:val="single" w:color="auto" w:sz="4" w:space="0"/>
              <w:right w:val="single" w:color="auto" w:sz="4" w:space="0"/>
            </w:tcBorders>
            <w:noWrap/>
            <w:vAlign w:val="bottom"/>
          </w:tcPr>
          <w:p w14:paraId="0B9D2B2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0.30 </w:t>
            </w:r>
          </w:p>
        </w:tc>
        <w:tc>
          <w:tcPr>
            <w:tcW w:w="0" w:type="auto"/>
            <w:tcBorders>
              <w:top w:val="nil"/>
              <w:left w:val="nil"/>
              <w:bottom w:val="single" w:color="auto" w:sz="4" w:space="0"/>
              <w:right w:val="single" w:color="auto" w:sz="4" w:space="0"/>
            </w:tcBorders>
            <w:noWrap/>
            <w:vAlign w:val="bottom"/>
          </w:tcPr>
          <w:p w14:paraId="278D592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0.05 </w:t>
            </w:r>
          </w:p>
        </w:tc>
        <w:tc>
          <w:tcPr>
            <w:tcW w:w="0" w:type="auto"/>
            <w:tcBorders>
              <w:top w:val="nil"/>
              <w:left w:val="nil"/>
              <w:bottom w:val="single" w:color="auto" w:sz="4" w:space="0"/>
              <w:right w:val="single" w:color="auto" w:sz="4" w:space="0"/>
            </w:tcBorders>
            <w:noWrap/>
            <w:vAlign w:val="bottom"/>
          </w:tcPr>
          <w:p w14:paraId="74A2DD4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2710B78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475D86E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1,103.61 </w:t>
            </w:r>
          </w:p>
        </w:tc>
        <w:tc>
          <w:tcPr>
            <w:tcW w:w="0" w:type="auto"/>
            <w:tcBorders>
              <w:top w:val="nil"/>
              <w:left w:val="nil"/>
              <w:bottom w:val="single" w:color="auto" w:sz="4" w:space="0"/>
              <w:right w:val="single" w:color="auto" w:sz="4" w:space="0"/>
            </w:tcBorders>
            <w:noWrap/>
            <w:vAlign w:val="bottom"/>
          </w:tcPr>
          <w:p w14:paraId="6A0CB24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69.41 </w:t>
            </w:r>
          </w:p>
        </w:tc>
        <w:tc>
          <w:tcPr>
            <w:tcW w:w="0" w:type="auto"/>
            <w:tcBorders>
              <w:top w:val="nil"/>
              <w:left w:val="nil"/>
              <w:bottom w:val="single" w:color="auto" w:sz="4" w:space="0"/>
              <w:right w:val="single" w:color="auto" w:sz="4" w:space="0"/>
            </w:tcBorders>
            <w:noWrap/>
            <w:vAlign w:val="bottom"/>
          </w:tcPr>
          <w:p w14:paraId="0420BC7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3.68 </w:t>
            </w:r>
          </w:p>
        </w:tc>
        <w:tc>
          <w:tcPr>
            <w:tcW w:w="0" w:type="auto"/>
            <w:tcBorders>
              <w:top w:val="nil"/>
              <w:left w:val="nil"/>
              <w:bottom w:val="single" w:color="auto" w:sz="4" w:space="0"/>
              <w:right w:val="single" w:color="auto" w:sz="4" w:space="0"/>
            </w:tcBorders>
            <w:noWrap/>
            <w:vAlign w:val="bottom"/>
          </w:tcPr>
          <w:p w14:paraId="76EA02A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0.09 </w:t>
            </w:r>
          </w:p>
        </w:tc>
        <w:tc>
          <w:tcPr>
            <w:tcW w:w="0" w:type="auto"/>
            <w:tcBorders>
              <w:top w:val="nil"/>
              <w:left w:val="nil"/>
              <w:bottom w:val="single" w:color="auto" w:sz="4" w:space="0"/>
              <w:right w:val="single" w:color="auto" w:sz="4" w:space="0"/>
            </w:tcBorders>
            <w:noWrap/>
            <w:vAlign w:val="bottom"/>
          </w:tcPr>
          <w:p w14:paraId="0A75BFE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0.59 </w:t>
            </w:r>
          </w:p>
        </w:tc>
        <w:tc>
          <w:tcPr>
            <w:tcW w:w="0" w:type="auto"/>
            <w:tcBorders>
              <w:top w:val="nil"/>
              <w:left w:val="nil"/>
              <w:bottom w:val="single" w:color="auto" w:sz="4" w:space="0"/>
              <w:right w:val="single" w:color="auto" w:sz="4" w:space="0"/>
            </w:tcBorders>
            <w:noWrap/>
            <w:vAlign w:val="bottom"/>
          </w:tcPr>
          <w:p w14:paraId="6250C48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0.02 </w:t>
            </w:r>
          </w:p>
        </w:tc>
        <w:tc>
          <w:tcPr>
            <w:tcW w:w="0" w:type="auto"/>
            <w:tcBorders>
              <w:top w:val="nil"/>
              <w:left w:val="nil"/>
              <w:bottom w:val="single" w:color="auto" w:sz="4" w:space="0"/>
              <w:right w:val="single" w:color="auto" w:sz="4" w:space="0"/>
            </w:tcBorders>
            <w:noWrap/>
            <w:vAlign w:val="bottom"/>
          </w:tcPr>
          <w:p w14:paraId="4F9082A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2.07 </w:t>
            </w:r>
          </w:p>
        </w:tc>
        <w:tc>
          <w:tcPr>
            <w:tcW w:w="0" w:type="auto"/>
            <w:tcBorders>
              <w:top w:val="nil"/>
              <w:left w:val="nil"/>
              <w:bottom w:val="single" w:color="auto" w:sz="4" w:space="0"/>
              <w:right w:val="single" w:color="auto" w:sz="4" w:space="0"/>
            </w:tcBorders>
            <w:noWrap/>
            <w:vAlign w:val="bottom"/>
          </w:tcPr>
          <w:p w14:paraId="75F1140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0.13 </w:t>
            </w:r>
          </w:p>
        </w:tc>
      </w:tr>
      <w:tr w14:paraId="3A6C7F47">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360AC45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RADOVANU</w:t>
            </w:r>
          </w:p>
        </w:tc>
        <w:tc>
          <w:tcPr>
            <w:tcW w:w="0" w:type="auto"/>
            <w:tcBorders>
              <w:top w:val="nil"/>
              <w:left w:val="nil"/>
              <w:bottom w:val="single" w:color="auto" w:sz="4" w:space="0"/>
              <w:right w:val="single" w:color="auto" w:sz="4" w:space="0"/>
            </w:tcBorders>
            <w:noWrap/>
            <w:vAlign w:val="bottom"/>
          </w:tcPr>
          <w:p w14:paraId="561B5EB3">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730CE71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14.19 </w:t>
            </w:r>
          </w:p>
        </w:tc>
        <w:tc>
          <w:tcPr>
            <w:tcW w:w="1173" w:type="dxa"/>
            <w:tcBorders>
              <w:top w:val="nil"/>
              <w:left w:val="nil"/>
              <w:bottom w:val="single" w:color="auto" w:sz="4" w:space="0"/>
              <w:right w:val="single" w:color="auto" w:sz="4" w:space="0"/>
            </w:tcBorders>
            <w:noWrap/>
            <w:vAlign w:val="bottom"/>
          </w:tcPr>
          <w:p w14:paraId="510A7D6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1.00 </w:t>
            </w:r>
          </w:p>
        </w:tc>
        <w:tc>
          <w:tcPr>
            <w:tcW w:w="0" w:type="auto"/>
            <w:tcBorders>
              <w:top w:val="nil"/>
              <w:left w:val="nil"/>
              <w:bottom w:val="single" w:color="auto" w:sz="4" w:space="0"/>
              <w:right w:val="single" w:color="auto" w:sz="4" w:space="0"/>
            </w:tcBorders>
            <w:noWrap/>
            <w:vAlign w:val="bottom"/>
          </w:tcPr>
          <w:p w14:paraId="1A79B1A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6.02 </w:t>
            </w:r>
          </w:p>
        </w:tc>
        <w:tc>
          <w:tcPr>
            <w:tcW w:w="0" w:type="auto"/>
            <w:tcBorders>
              <w:top w:val="nil"/>
              <w:left w:val="nil"/>
              <w:bottom w:val="single" w:color="auto" w:sz="4" w:space="0"/>
              <w:right w:val="single" w:color="auto" w:sz="4" w:space="0"/>
            </w:tcBorders>
            <w:noWrap/>
            <w:vAlign w:val="bottom"/>
          </w:tcPr>
          <w:p w14:paraId="49A160A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1.18 </w:t>
            </w:r>
          </w:p>
        </w:tc>
        <w:tc>
          <w:tcPr>
            <w:tcW w:w="0" w:type="auto"/>
            <w:tcBorders>
              <w:top w:val="nil"/>
              <w:left w:val="nil"/>
              <w:bottom w:val="single" w:color="auto" w:sz="4" w:space="0"/>
              <w:right w:val="single" w:color="auto" w:sz="4" w:space="0"/>
            </w:tcBorders>
            <w:noWrap/>
            <w:vAlign w:val="bottom"/>
          </w:tcPr>
          <w:p w14:paraId="4F06ED9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(2.35)</w:t>
            </w:r>
          </w:p>
        </w:tc>
        <w:tc>
          <w:tcPr>
            <w:tcW w:w="0" w:type="auto"/>
            <w:tcBorders>
              <w:top w:val="nil"/>
              <w:left w:val="nil"/>
              <w:bottom w:val="single" w:color="auto" w:sz="4" w:space="0"/>
              <w:right w:val="single" w:color="auto" w:sz="4" w:space="0"/>
            </w:tcBorders>
            <w:noWrap/>
            <w:vAlign w:val="bottom"/>
          </w:tcPr>
          <w:p w14:paraId="57D4C54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(0.36)</w:t>
            </w:r>
          </w:p>
        </w:tc>
        <w:tc>
          <w:tcPr>
            <w:tcW w:w="0" w:type="auto"/>
            <w:tcBorders>
              <w:top w:val="nil"/>
              <w:left w:val="nil"/>
              <w:bottom w:val="single" w:color="auto" w:sz="4" w:space="0"/>
              <w:right w:val="single" w:color="auto" w:sz="4" w:space="0"/>
            </w:tcBorders>
            <w:noWrap/>
            <w:vAlign w:val="bottom"/>
          </w:tcPr>
          <w:p w14:paraId="18A0A9A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6985CD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7E2F0F7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661.09 </w:t>
            </w:r>
          </w:p>
        </w:tc>
        <w:tc>
          <w:tcPr>
            <w:tcW w:w="0" w:type="auto"/>
            <w:tcBorders>
              <w:top w:val="nil"/>
              <w:left w:val="nil"/>
              <w:bottom w:val="single" w:color="auto" w:sz="4" w:space="0"/>
              <w:right w:val="single" w:color="auto" w:sz="4" w:space="0"/>
            </w:tcBorders>
            <w:noWrap/>
            <w:vAlign w:val="bottom"/>
          </w:tcPr>
          <w:p w14:paraId="6E70C36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34.27 </w:t>
            </w:r>
          </w:p>
        </w:tc>
        <w:tc>
          <w:tcPr>
            <w:tcW w:w="0" w:type="auto"/>
            <w:tcBorders>
              <w:top w:val="nil"/>
              <w:left w:val="nil"/>
              <w:bottom w:val="single" w:color="auto" w:sz="4" w:space="0"/>
              <w:right w:val="single" w:color="auto" w:sz="4" w:space="0"/>
            </w:tcBorders>
            <w:noWrap/>
            <w:vAlign w:val="bottom"/>
          </w:tcPr>
          <w:p w14:paraId="7706618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2.22 </w:t>
            </w:r>
          </w:p>
        </w:tc>
        <w:tc>
          <w:tcPr>
            <w:tcW w:w="0" w:type="auto"/>
            <w:tcBorders>
              <w:top w:val="nil"/>
              <w:left w:val="nil"/>
              <w:bottom w:val="single" w:color="auto" w:sz="4" w:space="0"/>
              <w:right w:val="single" w:color="auto" w:sz="4" w:space="0"/>
            </w:tcBorders>
            <w:noWrap/>
            <w:vAlign w:val="bottom"/>
          </w:tcPr>
          <w:p w14:paraId="4AD92B2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0.05 </w:t>
            </w:r>
          </w:p>
        </w:tc>
        <w:tc>
          <w:tcPr>
            <w:tcW w:w="0" w:type="auto"/>
            <w:tcBorders>
              <w:top w:val="nil"/>
              <w:left w:val="nil"/>
              <w:bottom w:val="single" w:color="auto" w:sz="4" w:space="0"/>
              <w:right w:val="single" w:color="auto" w:sz="4" w:space="0"/>
            </w:tcBorders>
            <w:noWrap/>
            <w:vAlign w:val="bottom"/>
          </w:tcPr>
          <w:p w14:paraId="085A25C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0.36 </w:t>
            </w:r>
          </w:p>
        </w:tc>
        <w:tc>
          <w:tcPr>
            <w:tcW w:w="0" w:type="auto"/>
            <w:tcBorders>
              <w:top w:val="nil"/>
              <w:left w:val="nil"/>
              <w:bottom w:val="single" w:color="auto" w:sz="4" w:space="0"/>
              <w:right w:val="single" w:color="auto" w:sz="4" w:space="0"/>
            </w:tcBorders>
            <w:noWrap/>
            <w:vAlign w:val="bottom"/>
          </w:tcPr>
          <w:p w14:paraId="05691C1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c>
          <w:tcPr>
            <w:tcW w:w="0" w:type="auto"/>
            <w:tcBorders>
              <w:top w:val="nil"/>
              <w:left w:val="nil"/>
              <w:bottom w:val="single" w:color="auto" w:sz="4" w:space="0"/>
              <w:right w:val="single" w:color="auto" w:sz="4" w:space="0"/>
            </w:tcBorders>
            <w:noWrap/>
            <w:vAlign w:val="bottom"/>
          </w:tcPr>
          <w:p w14:paraId="2C685AE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1.24 </w:t>
            </w:r>
          </w:p>
        </w:tc>
        <w:tc>
          <w:tcPr>
            <w:tcW w:w="0" w:type="auto"/>
            <w:tcBorders>
              <w:top w:val="nil"/>
              <w:left w:val="nil"/>
              <w:bottom w:val="single" w:color="auto" w:sz="4" w:space="0"/>
              <w:right w:val="single" w:color="auto" w:sz="4" w:space="0"/>
            </w:tcBorders>
            <w:noWrap/>
            <w:vAlign w:val="bottom"/>
          </w:tcPr>
          <w:p w14:paraId="3A75207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0.07 </w:t>
            </w:r>
          </w:p>
        </w:tc>
      </w:tr>
      <w:tr w14:paraId="2E577528">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6F5BAA2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ȘOLDANU</w:t>
            </w:r>
          </w:p>
        </w:tc>
        <w:tc>
          <w:tcPr>
            <w:tcW w:w="0" w:type="auto"/>
            <w:tcBorders>
              <w:top w:val="nil"/>
              <w:left w:val="nil"/>
              <w:bottom w:val="single" w:color="auto" w:sz="4" w:space="0"/>
              <w:right w:val="single" w:color="auto" w:sz="4" w:space="0"/>
            </w:tcBorders>
            <w:noWrap/>
            <w:vAlign w:val="bottom"/>
          </w:tcPr>
          <w:p w14:paraId="2A9B481A">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2229CE4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18.27 </w:t>
            </w:r>
          </w:p>
        </w:tc>
        <w:tc>
          <w:tcPr>
            <w:tcW w:w="1173" w:type="dxa"/>
            <w:tcBorders>
              <w:top w:val="nil"/>
              <w:left w:val="nil"/>
              <w:bottom w:val="single" w:color="auto" w:sz="4" w:space="0"/>
              <w:right w:val="single" w:color="auto" w:sz="4" w:space="0"/>
            </w:tcBorders>
            <w:noWrap/>
            <w:vAlign w:val="bottom"/>
          </w:tcPr>
          <w:p w14:paraId="38DA986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0.66 </w:t>
            </w:r>
          </w:p>
        </w:tc>
        <w:tc>
          <w:tcPr>
            <w:tcW w:w="0" w:type="auto"/>
            <w:tcBorders>
              <w:top w:val="nil"/>
              <w:left w:val="nil"/>
              <w:bottom w:val="single" w:color="auto" w:sz="4" w:space="0"/>
              <w:right w:val="single" w:color="auto" w:sz="4" w:space="0"/>
            </w:tcBorders>
            <w:noWrap/>
            <w:vAlign w:val="bottom"/>
          </w:tcPr>
          <w:p w14:paraId="3514E2B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15.49 </w:t>
            </w:r>
          </w:p>
        </w:tc>
        <w:tc>
          <w:tcPr>
            <w:tcW w:w="0" w:type="auto"/>
            <w:tcBorders>
              <w:top w:val="nil"/>
              <w:left w:val="nil"/>
              <w:bottom w:val="single" w:color="auto" w:sz="4" w:space="0"/>
              <w:right w:val="single" w:color="auto" w:sz="4" w:space="0"/>
            </w:tcBorders>
            <w:noWrap/>
            <w:vAlign w:val="bottom"/>
          </w:tcPr>
          <w:p w14:paraId="7D4A244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0.78 </w:t>
            </w:r>
          </w:p>
        </w:tc>
        <w:tc>
          <w:tcPr>
            <w:tcW w:w="0" w:type="auto"/>
            <w:tcBorders>
              <w:top w:val="nil"/>
              <w:left w:val="nil"/>
              <w:bottom w:val="single" w:color="auto" w:sz="4" w:space="0"/>
              <w:right w:val="single" w:color="auto" w:sz="4" w:space="0"/>
            </w:tcBorders>
            <w:noWrap/>
            <w:vAlign w:val="bottom"/>
          </w:tcPr>
          <w:p w14:paraId="205F830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(0.82)</w:t>
            </w:r>
          </w:p>
        </w:tc>
        <w:tc>
          <w:tcPr>
            <w:tcW w:w="0" w:type="auto"/>
            <w:tcBorders>
              <w:top w:val="nil"/>
              <w:left w:val="nil"/>
              <w:bottom w:val="single" w:color="auto" w:sz="4" w:space="0"/>
              <w:right w:val="single" w:color="auto" w:sz="4" w:space="0"/>
            </w:tcBorders>
            <w:noWrap/>
            <w:vAlign w:val="bottom"/>
          </w:tcPr>
          <w:p w14:paraId="0B3364E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(0.45)</w:t>
            </w:r>
          </w:p>
        </w:tc>
        <w:tc>
          <w:tcPr>
            <w:tcW w:w="0" w:type="auto"/>
            <w:tcBorders>
              <w:top w:val="nil"/>
              <w:left w:val="nil"/>
              <w:bottom w:val="single" w:color="auto" w:sz="4" w:space="0"/>
              <w:right w:val="single" w:color="auto" w:sz="4" w:space="0"/>
            </w:tcBorders>
            <w:noWrap/>
            <w:vAlign w:val="bottom"/>
          </w:tcPr>
          <w:p w14:paraId="4DB31AA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B127AF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3F04511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855.66 </w:t>
            </w:r>
          </w:p>
        </w:tc>
        <w:tc>
          <w:tcPr>
            <w:tcW w:w="0" w:type="auto"/>
            <w:tcBorders>
              <w:top w:val="nil"/>
              <w:left w:val="nil"/>
              <w:bottom w:val="single" w:color="auto" w:sz="4" w:space="0"/>
              <w:right w:val="single" w:color="auto" w:sz="4" w:space="0"/>
            </w:tcBorders>
            <w:noWrap/>
            <w:vAlign w:val="bottom"/>
          </w:tcPr>
          <w:p w14:paraId="23A6AC0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22.55 </w:t>
            </w:r>
          </w:p>
        </w:tc>
        <w:tc>
          <w:tcPr>
            <w:tcW w:w="0" w:type="auto"/>
            <w:tcBorders>
              <w:top w:val="nil"/>
              <w:left w:val="nil"/>
              <w:bottom w:val="single" w:color="auto" w:sz="4" w:space="0"/>
              <w:right w:val="single" w:color="auto" w:sz="4" w:space="0"/>
            </w:tcBorders>
            <w:noWrap/>
            <w:vAlign w:val="bottom"/>
          </w:tcPr>
          <w:p w14:paraId="4C23556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2.86 </w:t>
            </w:r>
          </w:p>
        </w:tc>
        <w:tc>
          <w:tcPr>
            <w:tcW w:w="0" w:type="auto"/>
            <w:tcBorders>
              <w:top w:val="nil"/>
              <w:left w:val="nil"/>
              <w:bottom w:val="single" w:color="auto" w:sz="4" w:space="0"/>
              <w:right w:val="single" w:color="auto" w:sz="4" w:space="0"/>
            </w:tcBorders>
            <w:noWrap/>
            <w:vAlign w:val="bottom"/>
          </w:tcPr>
          <w:p w14:paraId="028F17E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0.03 </w:t>
            </w:r>
          </w:p>
        </w:tc>
        <w:tc>
          <w:tcPr>
            <w:tcW w:w="0" w:type="auto"/>
            <w:tcBorders>
              <w:top w:val="nil"/>
              <w:left w:val="nil"/>
              <w:bottom w:val="single" w:color="auto" w:sz="4" w:space="0"/>
              <w:right w:val="single" w:color="auto" w:sz="4" w:space="0"/>
            </w:tcBorders>
            <w:noWrap/>
            <w:vAlign w:val="bottom"/>
          </w:tcPr>
          <w:p w14:paraId="4693913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0.46 </w:t>
            </w:r>
          </w:p>
        </w:tc>
        <w:tc>
          <w:tcPr>
            <w:tcW w:w="0" w:type="auto"/>
            <w:tcBorders>
              <w:top w:val="nil"/>
              <w:left w:val="nil"/>
              <w:bottom w:val="single" w:color="auto" w:sz="4" w:space="0"/>
              <w:right w:val="single" w:color="auto" w:sz="4" w:space="0"/>
            </w:tcBorders>
            <w:noWrap/>
            <w:vAlign w:val="bottom"/>
          </w:tcPr>
          <w:p w14:paraId="2637B91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c>
          <w:tcPr>
            <w:tcW w:w="0" w:type="auto"/>
            <w:tcBorders>
              <w:top w:val="nil"/>
              <w:left w:val="nil"/>
              <w:bottom w:val="single" w:color="auto" w:sz="4" w:space="0"/>
              <w:right w:val="single" w:color="auto" w:sz="4" w:space="0"/>
            </w:tcBorders>
            <w:noWrap/>
            <w:vAlign w:val="bottom"/>
          </w:tcPr>
          <w:p w14:paraId="42C46F5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1.60 </w:t>
            </w:r>
          </w:p>
        </w:tc>
        <w:tc>
          <w:tcPr>
            <w:tcW w:w="0" w:type="auto"/>
            <w:tcBorders>
              <w:top w:val="nil"/>
              <w:left w:val="nil"/>
              <w:bottom w:val="single" w:color="auto" w:sz="4" w:space="0"/>
              <w:right w:val="single" w:color="auto" w:sz="4" w:space="0"/>
            </w:tcBorders>
            <w:noWrap/>
            <w:vAlign w:val="bottom"/>
          </w:tcPr>
          <w:p w14:paraId="04F10B9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0.04 </w:t>
            </w:r>
          </w:p>
        </w:tc>
      </w:tr>
      <w:tr w14:paraId="7B185CE3">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6C36415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SPANȚOV</w:t>
            </w:r>
          </w:p>
        </w:tc>
        <w:tc>
          <w:tcPr>
            <w:tcW w:w="0" w:type="auto"/>
            <w:tcBorders>
              <w:top w:val="nil"/>
              <w:left w:val="nil"/>
              <w:bottom w:val="single" w:color="auto" w:sz="4" w:space="0"/>
              <w:right w:val="single" w:color="auto" w:sz="4" w:space="0"/>
            </w:tcBorders>
            <w:noWrap/>
            <w:vAlign w:val="bottom"/>
          </w:tcPr>
          <w:p w14:paraId="7874ACB2">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2F1214A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16.39 </w:t>
            </w:r>
          </w:p>
        </w:tc>
        <w:tc>
          <w:tcPr>
            <w:tcW w:w="1173" w:type="dxa"/>
            <w:tcBorders>
              <w:top w:val="nil"/>
              <w:left w:val="nil"/>
              <w:bottom w:val="single" w:color="auto" w:sz="4" w:space="0"/>
              <w:right w:val="single" w:color="auto" w:sz="4" w:space="0"/>
            </w:tcBorders>
            <w:noWrap/>
            <w:vAlign w:val="bottom"/>
          </w:tcPr>
          <w:p w14:paraId="63AE815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0.45 </w:t>
            </w:r>
          </w:p>
        </w:tc>
        <w:tc>
          <w:tcPr>
            <w:tcW w:w="0" w:type="auto"/>
            <w:tcBorders>
              <w:top w:val="nil"/>
              <w:left w:val="nil"/>
              <w:bottom w:val="single" w:color="auto" w:sz="4" w:space="0"/>
              <w:right w:val="single" w:color="auto" w:sz="4" w:space="0"/>
            </w:tcBorders>
            <w:noWrap/>
            <w:vAlign w:val="bottom"/>
          </w:tcPr>
          <w:p w14:paraId="38A3BA9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22.34 </w:t>
            </w:r>
          </w:p>
        </w:tc>
        <w:tc>
          <w:tcPr>
            <w:tcW w:w="0" w:type="auto"/>
            <w:tcBorders>
              <w:top w:val="nil"/>
              <w:left w:val="nil"/>
              <w:bottom w:val="single" w:color="auto" w:sz="4" w:space="0"/>
              <w:right w:val="single" w:color="auto" w:sz="4" w:space="0"/>
            </w:tcBorders>
            <w:noWrap/>
            <w:vAlign w:val="bottom"/>
          </w:tcPr>
          <w:p w14:paraId="7C394B1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0.53 </w:t>
            </w:r>
          </w:p>
        </w:tc>
        <w:tc>
          <w:tcPr>
            <w:tcW w:w="0" w:type="auto"/>
            <w:tcBorders>
              <w:top w:val="nil"/>
              <w:left w:val="nil"/>
              <w:bottom w:val="single" w:color="auto" w:sz="4" w:space="0"/>
              <w:right w:val="single" w:color="auto" w:sz="4" w:space="0"/>
            </w:tcBorders>
            <w:noWrap/>
            <w:vAlign w:val="bottom"/>
          </w:tcPr>
          <w:p w14:paraId="3D02288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4.56 </w:t>
            </w:r>
          </w:p>
        </w:tc>
        <w:tc>
          <w:tcPr>
            <w:tcW w:w="0" w:type="auto"/>
            <w:tcBorders>
              <w:top w:val="nil"/>
              <w:left w:val="nil"/>
              <w:bottom w:val="single" w:color="auto" w:sz="4" w:space="0"/>
              <w:right w:val="single" w:color="auto" w:sz="4" w:space="0"/>
            </w:tcBorders>
            <w:noWrap/>
            <w:vAlign w:val="bottom"/>
          </w:tcPr>
          <w:p w14:paraId="16D9195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0.17 </w:t>
            </w:r>
          </w:p>
        </w:tc>
        <w:tc>
          <w:tcPr>
            <w:tcW w:w="0" w:type="auto"/>
            <w:tcBorders>
              <w:top w:val="nil"/>
              <w:left w:val="nil"/>
              <w:bottom w:val="single" w:color="auto" w:sz="4" w:space="0"/>
              <w:right w:val="single" w:color="auto" w:sz="4" w:space="0"/>
            </w:tcBorders>
            <w:noWrap/>
            <w:vAlign w:val="bottom"/>
          </w:tcPr>
          <w:p w14:paraId="21ACBED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7B233C5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11CDB7F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773.33 </w:t>
            </w:r>
          </w:p>
        </w:tc>
        <w:tc>
          <w:tcPr>
            <w:tcW w:w="0" w:type="auto"/>
            <w:tcBorders>
              <w:top w:val="nil"/>
              <w:left w:val="nil"/>
              <w:bottom w:val="single" w:color="auto" w:sz="4" w:space="0"/>
              <w:right w:val="single" w:color="auto" w:sz="4" w:space="0"/>
            </w:tcBorders>
            <w:noWrap/>
            <w:vAlign w:val="bottom"/>
          </w:tcPr>
          <w:p w14:paraId="1C17054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15.57 </w:t>
            </w:r>
          </w:p>
        </w:tc>
        <w:tc>
          <w:tcPr>
            <w:tcW w:w="0" w:type="auto"/>
            <w:tcBorders>
              <w:top w:val="nil"/>
              <w:left w:val="nil"/>
              <w:bottom w:val="single" w:color="auto" w:sz="4" w:space="0"/>
              <w:right w:val="single" w:color="auto" w:sz="4" w:space="0"/>
            </w:tcBorders>
            <w:noWrap/>
            <w:vAlign w:val="bottom"/>
          </w:tcPr>
          <w:p w14:paraId="3A313A8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2.56 </w:t>
            </w:r>
          </w:p>
        </w:tc>
        <w:tc>
          <w:tcPr>
            <w:tcW w:w="0" w:type="auto"/>
            <w:tcBorders>
              <w:top w:val="nil"/>
              <w:left w:val="nil"/>
              <w:bottom w:val="single" w:color="auto" w:sz="4" w:space="0"/>
              <w:right w:val="single" w:color="auto" w:sz="4" w:space="0"/>
            </w:tcBorders>
            <w:noWrap/>
            <w:vAlign w:val="bottom"/>
          </w:tcPr>
          <w:p w14:paraId="0D9EEB1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0.02 </w:t>
            </w:r>
          </w:p>
        </w:tc>
        <w:tc>
          <w:tcPr>
            <w:tcW w:w="0" w:type="auto"/>
            <w:tcBorders>
              <w:top w:val="nil"/>
              <w:left w:val="nil"/>
              <w:bottom w:val="single" w:color="auto" w:sz="4" w:space="0"/>
              <w:right w:val="single" w:color="auto" w:sz="4" w:space="0"/>
            </w:tcBorders>
            <w:noWrap/>
            <w:vAlign w:val="bottom"/>
          </w:tcPr>
          <w:p w14:paraId="24ADA4F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0.41 </w:t>
            </w:r>
          </w:p>
        </w:tc>
        <w:tc>
          <w:tcPr>
            <w:tcW w:w="0" w:type="auto"/>
            <w:tcBorders>
              <w:top w:val="nil"/>
              <w:left w:val="nil"/>
              <w:bottom w:val="single" w:color="auto" w:sz="4" w:space="0"/>
              <w:right w:val="single" w:color="auto" w:sz="4" w:space="0"/>
            </w:tcBorders>
            <w:noWrap/>
            <w:vAlign w:val="bottom"/>
          </w:tcPr>
          <w:p w14:paraId="349ED99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0.00 </w:t>
            </w:r>
          </w:p>
        </w:tc>
        <w:tc>
          <w:tcPr>
            <w:tcW w:w="0" w:type="auto"/>
            <w:tcBorders>
              <w:top w:val="nil"/>
              <w:left w:val="nil"/>
              <w:bottom w:val="single" w:color="auto" w:sz="4" w:space="0"/>
              <w:right w:val="single" w:color="auto" w:sz="4" w:space="0"/>
            </w:tcBorders>
            <w:noWrap/>
            <w:vAlign w:val="bottom"/>
          </w:tcPr>
          <w:p w14:paraId="4D0D8C3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1.44 </w:t>
            </w:r>
          </w:p>
        </w:tc>
        <w:tc>
          <w:tcPr>
            <w:tcW w:w="0" w:type="auto"/>
            <w:tcBorders>
              <w:top w:val="nil"/>
              <w:left w:val="nil"/>
              <w:bottom w:val="single" w:color="auto" w:sz="4" w:space="0"/>
              <w:right w:val="single" w:color="auto" w:sz="4" w:space="0"/>
            </w:tcBorders>
            <w:noWrap/>
            <w:vAlign w:val="bottom"/>
          </w:tcPr>
          <w:p w14:paraId="1BC8A2C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0.03 </w:t>
            </w:r>
          </w:p>
        </w:tc>
      </w:tr>
      <w:tr w14:paraId="32A72CA9">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70B0790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ULMENI</w:t>
            </w:r>
          </w:p>
        </w:tc>
        <w:tc>
          <w:tcPr>
            <w:tcW w:w="0" w:type="auto"/>
            <w:tcBorders>
              <w:top w:val="nil"/>
              <w:left w:val="nil"/>
              <w:bottom w:val="single" w:color="auto" w:sz="4" w:space="0"/>
              <w:right w:val="single" w:color="auto" w:sz="4" w:space="0"/>
            </w:tcBorders>
            <w:noWrap/>
            <w:vAlign w:val="bottom"/>
          </w:tcPr>
          <w:p w14:paraId="3D211362">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38F175D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14.87 </w:t>
            </w:r>
          </w:p>
        </w:tc>
        <w:tc>
          <w:tcPr>
            <w:tcW w:w="1173" w:type="dxa"/>
            <w:tcBorders>
              <w:top w:val="nil"/>
              <w:left w:val="nil"/>
              <w:bottom w:val="single" w:color="auto" w:sz="4" w:space="0"/>
              <w:right w:val="single" w:color="auto" w:sz="4" w:space="0"/>
            </w:tcBorders>
            <w:noWrap/>
            <w:vAlign w:val="bottom"/>
          </w:tcPr>
          <w:p w14:paraId="2242676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1.40 </w:t>
            </w:r>
          </w:p>
        </w:tc>
        <w:tc>
          <w:tcPr>
            <w:tcW w:w="0" w:type="auto"/>
            <w:tcBorders>
              <w:top w:val="nil"/>
              <w:left w:val="nil"/>
              <w:bottom w:val="single" w:color="auto" w:sz="4" w:space="0"/>
              <w:right w:val="single" w:color="auto" w:sz="4" w:space="0"/>
            </w:tcBorders>
            <w:noWrap/>
            <w:vAlign w:val="bottom"/>
          </w:tcPr>
          <w:p w14:paraId="68860AB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7.19 </w:t>
            </w:r>
          </w:p>
        </w:tc>
        <w:tc>
          <w:tcPr>
            <w:tcW w:w="0" w:type="auto"/>
            <w:tcBorders>
              <w:top w:val="nil"/>
              <w:left w:val="nil"/>
              <w:bottom w:val="single" w:color="auto" w:sz="4" w:space="0"/>
              <w:right w:val="single" w:color="auto" w:sz="4" w:space="0"/>
            </w:tcBorders>
            <w:noWrap/>
            <w:vAlign w:val="bottom"/>
          </w:tcPr>
          <w:p w14:paraId="7956446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1.64 </w:t>
            </w:r>
          </w:p>
        </w:tc>
        <w:tc>
          <w:tcPr>
            <w:tcW w:w="0" w:type="auto"/>
            <w:tcBorders>
              <w:top w:val="nil"/>
              <w:left w:val="nil"/>
              <w:bottom w:val="single" w:color="auto" w:sz="4" w:space="0"/>
              <w:right w:val="single" w:color="auto" w:sz="4" w:space="0"/>
            </w:tcBorders>
            <w:noWrap/>
            <w:vAlign w:val="bottom"/>
          </w:tcPr>
          <w:p w14:paraId="7D8B248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(0.80)</w:t>
            </w:r>
          </w:p>
        </w:tc>
        <w:tc>
          <w:tcPr>
            <w:tcW w:w="0" w:type="auto"/>
            <w:tcBorders>
              <w:top w:val="nil"/>
              <w:left w:val="nil"/>
              <w:bottom w:val="single" w:color="auto" w:sz="4" w:space="0"/>
              <w:right w:val="single" w:color="auto" w:sz="4" w:space="0"/>
            </w:tcBorders>
            <w:noWrap/>
            <w:vAlign w:val="bottom"/>
          </w:tcPr>
          <w:p w14:paraId="5E04DAF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(0.04)</w:t>
            </w:r>
          </w:p>
        </w:tc>
        <w:tc>
          <w:tcPr>
            <w:tcW w:w="0" w:type="auto"/>
            <w:tcBorders>
              <w:top w:val="nil"/>
              <w:left w:val="nil"/>
              <w:bottom w:val="single" w:color="auto" w:sz="4" w:space="0"/>
              <w:right w:val="single" w:color="auto" w:sz="4" w:space="0"/>
            </w:tcBorders>
            <w:noWrap/>
            <w:vAlign w:val="bottom"/>
          </w:tcPr>
          <w:p w14:paraId="7B50BE5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3A331E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06BE2F2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693.85 </w:t>
            </w:r>
          </w:p>
        </w:tc>
        <w:tc>
          <w:tcPr>
            <w:tcW w:w="0" w:type="auto"/>
            <w:tcBorders>
              <w:top w:val="nil"/>
              <w:left w:val="nil"/>
              <w:bottom w:val="single" w:color="auto" w:sz="4" w:space="0"/>
              <w:right w:val="single" w:color="auto" w:sz="4" w:space="0"/>
            </w:tcBorders>
            <w:noWrap/>
            <w:vAlign w:val="bottom"/>
          </w:tcPr>
          <w:p w14:paraId="4924BD6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48.11 </w:t>
            </w:r>
          </w:p>
        </w:tc>
        <w:tc>
          <w:tcPr>
            <w:tcW w:w="0" w:type="auto"/>
            <w:tcBorders>
              <w:top w:val="nil"/>
              <w:left w:val="nil"/>
              <w:bottom w:val="single" w:color="auto" w:sz="4" w:space="0"/>
              <w:right w:val="single" w:color="auto" w:sz="4" w:space="0"/>
            </w:tcBorders>
            <w:noWrap/>
            <w:vAlign w:val="bottom"/>
          </w:tcPr>
          <w:p w14:paraId="2182A2A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2.32 </w:t>
            </w:r>
          </w:p>
        </w:tc>
        <w:tc>
          <w:tcPr>
            <w:tcW w:w="0" w:type="auto"/>
            <w:tcBorders>
              <w:top w:val="nil"/>
              <w:left w:val="nil"/>
              <w:bottom w:val="single" w:color="auto" w:sz="4" w:space="0"/>
              <w:right w:val="single" w:color="auto" w:sz="4" w:space="0"/>
            </w:tcBorders>
            <w:noWrap/>
            <w:vAlign w:val="bottom"/>
          </w:tcPr>
          <w:p w14:paraId="2BA7E8F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0.06 </w:t>
            </w:r>
          </w:p>
        </w:tc>
        <w:tc>
          <w:tcPr>
            <w:tcW w:w="0" w:type="auto"/>
            <w:tcBorders>
              <w:top w:val="nil"/>
              <w:left w:val="nil"/>
              <w:bottom w:val="single" w:color="auto" w:sz="4" w:space="0"/>
              <w:right w:val="single" w:color="auto" w:sz="4" w:space="0"/>
            </w:tcBorders>
            <w:noWrap/>
            <w:vAlign w:val="bottom"/>
          </w:tcPr>
          <w:p w14:paraId="63A234C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0.37 </w:t>
            </w:r>
          </w:p>
        </w:tc>
        <w:tc>
          <w:tcPr>
            <w:tcW w:w="0" w:type="auto"/>
            <w:tcBorders>
              <w:top w:val="nil"/>
              <w:left w:val="nil"/>
              <w:bottom w:val="single" w:color="auto" w:sz="4" w:space="0"/>
              <w:right w:val="single" w:color="auto" w:sz="4" w:space="0"/>
            </w:tcBorders>
            <w:noWrap/>
            <w:vAlign w:val="bottom"/>
          </w:tcPr>
          <w:p w14:paraId="60D0CF8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0.01 </w:t>
            </w:r>
          </w:p>
        </w:tc>
        <w:tc>
          <w:tcPr>
            <w:tcW w:w="0" w:type="auto"/>
            <w:tcBorders>
              <w:top w:val="nil"/>
              <w:left w:val="nil"/>
              <w:bottom w:val="single" w:color="auto" w:sz="4" w:space="0"/>
              <w:right w:val="single" w:color="auto" w:sz="4" w:space="0"/>
            </w:tcBorders>
            <w:noWrap/>
            <w:vAlign w:val="bottom"/>
          </w:tcPr>
          <w:p w14:paraId="45B732B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1.30 </w:t>
            </w:r>
          </w:p>
        </w:tc>
        <w:tc>
          <w:tcPr>
            <w:tcW w:w="0" w:type="auto"/>
            <w:tcBorders>
              <w:top w:val="nil"/>
              <w:left w:val="nil"/>
              <w:bottom w:val="single" w:color="auto" w:sz="4" w:space="0"/>
              <w:right w:val="single" w:color="auto" w:sz="4" w:space="0"/>
            </w:tcBorders>
            <w:noWrap/>
            <w:vAlign w:val="bottom"/>
          </w:tcPr>
          <w:p w14:paraId="2021257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0.09 </w:t>
            </w:r>
          </w:p>
        </w:tc>
      </w:tr>
      <w:tr w14:paraId="4F2BB8C4">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52690E7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VASILAȚI</w:t>
            </w:r>
          </w:p>
        </w:tc>
        <w:tc>
          <w:tcPr>
            <w:tcW w:w="0" w:type="auto"/>
            <w:tcBorders>
              <w:top w:val="nil"/>
              <w:left w:val="nil"/>
              <w:bottom w:val="single" w:color="auto" w:sz="4" w:space="0"/>
              <w:right w:val="single" w:color="auto" w:sz="4" w:space="0"/>
            </w:tcBorders>
            <w:noWrap/>
            <w:vAlign w:val="bottom"/>
          </w:tcPr>
          <w:p w14:paraId="235D82A4">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Rural</w:t>
            </w:r>
          </w:p>
        </w:tc>
        <w:tc>
          <w:tcPr>
            <w:tcW w:w="1547" w:type="dxa"/>
            <w:tcBorders>
              <w:top w:val="nil"/>
              <w:left w:val="nil"/>
              <w:bottom w:val="single" w:color="auto" w:sz="4" w:space="0"/>
              <w:right w:val="single" w:color="auto" w:sz="4" w:space="0"/>
            </w:tcBorders>
            <w:noWrap/>
            <w:vAlign w:val="bottom"/>
          </w:tcPr>
          <w:p w14:paraId="55698E0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25.67 </w:t>
            </w:r>
          </w:p>
        </w:tc>
        <w:tc>
          <w:tcPr>
            <w:tcW w:w="1173" w:type="dxa"/>
            <w:tcBorders>
              <w:top w:val="nil"/>
              <w:left w:val="nil"/>
              <w:bottom w:val="single" w:color="auto" w:sz="4" w:space="0"/>
              <w:right w:val="single" w:color="auto" w:sz="4" w:space="0"/>
            </w:tcBorders>
            <w:noWrap/>
            <w:vAlign w:val="bottom"/>
          </w:tcPr>
          <w:p w14:paraId="4D7A116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1.80 </w:t>
            </w:r>
          </w:p>
        </w:tc>
        <w:tc>
          <w:tcPr>
            <w:tcW w:w="0" w:type="auto"/>
            <w:tcBorders>
              <w:top w:val="nil"/>
              <w:left w:val="nil"/>
              <w:bottom w:val="single" w:color="auto" w:sz="4" w:space="0"/>
              <w:right w:val="single" w:color="auto" w:sz="4" w:space="0"/>
            </w:tcBorders>
            <w:noWrap/>
            <w:vAlign w:val="bottom"/>
          </w:tcPr>
          <w:p w14:paraId="5EF9C5F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28.37 </w:t>
            </w:r>
          </w:p>
        </w:tc>
        <w:tc>
          <w:tcPr>
            <w:tcW w:w="0" w:type="auto"/>
            <w:tcBorders>
              <w:top w:val="nil"/>
              <w:left w:val="nil"/>
              <w:bottom w:val="single" w:color="auto" w:sz="4" w:space="0"/>
              <w:right w:val="single" w:color="auto" w:sz="4" w:space="0"/>
            </w:tcBorders>
            <w:noWrap/>
            <w:vAlign w:val="bottom"/>
          </w:tcPr>
          <w:p w14:paraId="2F2BE3F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2.11 </w:t>
            </w:r>
          </w:p>
        </w:tc>
        <w:tc>
          <w:tcPr>
            <w:tcW w:w="0" w:type="auto"/>
            <w:tcBorders>
              <w:top w:val="nil"/>
              <w:left w:val="nil"/>
              <w:bottom w:val="single" w:color="auto" w:sz="4" w:space="0"/>
              <w:right w:val="single" w:color="auto" w:sz="4" w:space="0"/>
            </w:tcBorders>
            <w:noWrap/>
            <w:vAlign w:val="bottom"/>
          </w:tcPr>
          <w:p w14:paraId="41D4D7F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3.88 </w:t>
            </w:r>
          </w:p>
        </w:tc>
        <w:tc>
          <w:tcPr>
            <w:tcW w:w="0" w:type="auto"/>
            <w:tcBorders>
              <w:top w:val="nil"/>
              <w:left w:val="nil"/>
              <w:bottom w:val="single" w:color="auto" w:sz="4" w:space="0"/>
              <w:right w:val="single" w:color="auto" w:sz="4" w:space="0"/>
            </w:tcBorders>
            <w:noWrap/>
            <w:vAlign w:val="bottom"/>
          </w:tcPr>
          <w:p w14:paraId="1D6DEDC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0.32 </w:t>
            </w:r>
          </w:p>
        </w:tc>
        <w:tc>
          <w:tcPr>
            <w:tcW w:w="0" w:type="auto"/>
            <w:tcBorders>
              <w:top w:val="nil"/>
              <w:left w:val="nil"/>
              <w:bottom w:val="single" w:color="auto" w:sz="4" w:space="0"/>
              <w:right w:val="single" w:color="auto" w:sz="4" w:space="0"/>
            </w:tcBorders>
            <w:noWrap/>
            <w:vAlign w:val="bottom"/>
          </w:tcPr>
          <w:p w14:paraId="1D47DD5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902F14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30EE094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1,207.23 </w:t>
            </w:r>
          </w:p>
        </w:tc>
        <w:tc>
          <w:tcPr>
            <w:tcW w:w="0" w:type="auto"/>
            <w:tcBorders>
              <w:top w:val="nil"/>
              <w:left w:val="nil"/>
              <w:bottom w:val="single" w:color="auto" w:sz="4" w:space="0"/>
              <w:right w:val="single" w:color="auto" w:sz="4" w:space="0"/>
            </w:tcBorders>
            <w:noWrap/>
            <w:vAlign w:val="bottom"/>
          </w:tcPr>
          <w:p w14:paraId="36E5D6C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62.05 </w:t>
            </w:r>
          </w:p>
        </w:tc>
        <w:tc>
          <w:tcPr>
            <w:tcW w:w="0" w:type="auto"/>
            <w:tcBorders>
              <w:top w:val="nil"/>
              <w:left w:val="nil"/>
              <w:bottom w:val="single" w:color="auto" w:sz="4" w:space="0"/>
              <w:right w:val="single" w:color="auto" w:sz="4" w:space="0"/>
            </w:tcBorders>
            <w:noWrap/>
            <w:vAlign w:val="bottom"/>
          </w:tcPr>
          <w:p w14:paraId="2A6CA9A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4.01 </w:t>
            </w:r>
          </w:p>
        </w:tc>
        <w:tc>
          <w:tcPr>
            <w:tcW w:w="0" w:type="auto"/>
            <w:tcBorders>
              <w:top w:val="nil"/>
              <w:left w:val="nil"/>
              <w:bottom w:val="single" w:color="auto" w:sz="4" w:space="0"/>
              <w:right w:val="single" w:color="auto" w:sz="4" w:space="0"/>
            </w:tcBorders>
            <w:noWrap/>
            <w:vAlign w:val="bottom"/>
          </w:tcPr>
          <w:p w14:paraId="25B4D84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0.08 </w:t>
            </w:r>
          </w:p>
        </w:tc>
        <w:tc>
          <w:tcPr>
            <w:tcW w:w="0" w:type="auto"/>
            <w:tcBorders>
              <w:top w:val="nil"/>
              <w:left w:val="nil"/>
              <w:bottom w:val="single" w:color="auto" w:sz="4" w:space="0"/>
              <w:right w:val="single" w:color="auto" w:sz="4" w:space="0"/>
            </w:tcBorders>
            <w:noWrap/>
            <w:vAlign w:val="bottom"/>
          </w:tcPr>
          <w:p w14:paraId="25D95A7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0.64 </w:t>
            </w:r>
          </w:p>
        </w:tc>
        <w:tc>
          <w:tcPr>
            <w:tcW w:w="0" w:type="auto"/>
            <w:tcBorders>
              <w:top w:val="nil"/>
              <w:left w:val="nil"/>
              <w:bottom w:val="single" w:color="auto" w:sz="4" w:space="0"/>
              <w:right w:val="single" w:color="auto" w:sz="4" w:space="0"/>
            </w:tcBorders>
            <w:noWrap/>
            <w:vAlign w:val="bottom"/>
          </w:tcPr>
          <w:p w14:paraId="1E70055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0.02 </w:t>
            </w:r>
          </w:p>
        </w:tc>
        <w:tc>
          <w:tcPr>
            <w:tcW w:w="0" w:type="auto"/>
            <w:tcBorders>
              <w:top w:val="nil"/>
              <w:left w:val="nil"/>
              <w:bottom w:val="single" w:color="auto" w:sz="4" w:space="0"/>
              <w:right w:val="single" w:color="auto" w:sz="4" w:space="0"/>
            </w:tcBorders>
            <w:noWrap/>
            <w:vAlign w:val="bottom"/>
          </w:tcPr>
          <w:p w14:paraId="4A8A5F8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2.25 </w:t>
            </w:r>
          </w:p>
        </w:tc>
        <w:tc>
          <w:tcPr>
            <w:tcW w:w="0" w:type="auto"/>
            <w:tcBorders>
              <w:top w:val="nil"/>
              <w:left w:val="nil"/>
              <w:bottom w:val="single" w:color="auto" w:sz="4" w:space="0"/>
              <w:right w:val="single" w:color="auto" w:sz="4" w:space="0"/>
            </w:tcBorders>
            <w:noWrap/>
            <w:vAlign w:val="bottom"/>
          </w:tcPr>
          <w:p w14:paraId="397EC3D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0.12 </w:t>
            </w:r>
          </w:p>
        </w:tc>
      </w:tr>
      <w:tr w14:paraId="6E6C2BA2">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5B5C10BE">
            <w:pPr>
              <w:spacing w:after="0" w:line="240" w:lineRule="auto"/>
              <w:rPr>
                <w:rFonts w:ascii="Calibri" w:hAnsi="Calibri" w:eastAsia="Times New Roman" w:cs="Calibri"/>
                <w:b/>
                <w:bCs/>
                <w:color w:val="000000"/>
                <w:sz w:val="14"/>
                <w:szCs w:val="14"/>
              </w:rPr>
            </w:pPr>
            <w:r>
              <w:rPr>
                <w:rFonts w:ascii="Calibri" w:hAnsi="Calibri" w:eastAsia="Times New Roman" w:cs="Calibri"/>
                <w:b/>
                <w:bCs/>
                <w:color w:val="000000"/>
                <w:sz w:val="14"/>
                <w:szCs w:val="14"/>
              </w:rPr>
              <w:t>TOTAL RURAL</w:t>
            </w:r>
          </w:p>
        </w:tc>
        <w:tc>
          <w:tcPr>
            <w:tcW w:w="0" w:type="auto"/>
            <w:tcBorders>
              <w:top w:val="nil"/>
              <w:left w:val="nil"/>
              <w:bottom w:val="single" w:color="auto" w:sz="4" w:space="0"/>
              <w:right w:val="single" w:color="auto" w:sz="4" w:space="0"/>
            </w:tcBorders>
            <w:noWrap/>
            <w:vAlign w:val="bottom"/>
          </w:tcPr>
          <w:p w14:paraId="75FB252F">
            <w:pPr>
              <w:spacing w:after="0" w:line="240" w:lineRule="auto"/>
              <w:rPr>
                <w:rFonts w:ascii="Calibri" w:hAnsi="Calibri" w:eastAsia="Times New Roman" w:cs="Calibri"/>
                <w:color w:val="000000"/>
                <w:sz w:val="10"/>
                <w:szCs w:val="10"/>
              </w:rPr>
            </w:pPr>
            <w:r>
              <w:rPr>
                <w:rFonts w:ascii="Calibri" w:hAnsi="Calibri" w:eastAsia="Times New Roman" w:cs="Calibri"/>
                <w:color w:val="000000"/>
                <w:sz w:val="10"/>
                <w:szCs w:val="10"/>
              </w:rPr>
              <w:t> </w:t>
            </w:r>
          </w:p>
        </w:tc>
        <w:tc>
          <w:tcPr>
            <w:tcW w:w="1547" w:type="dxa"/>
            <w:tcBorders>
              <w:top w:val="nil"/>
              <w:left w:val="nil"/>
              <w:bottom w:val="single" w:color="auto" w:sz="4" w:space="0"/>
              <w:right w:val="single" w:color="auto" w:sz="4" w:space="0"/>
            </w:tcBorders>
            <w:noWrap/>
            <w:vAlign w:val="bottom"/>
          </w:tcPr>
          <w:p w14:paraId="3ECE65F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317.13 </w:t>
            </w:r>
          </w:p>
        </w:tc>
        <w:tc>
          <w:tcPr>
            <w:tcW w:w="1173" w:type="dxa"/>
            <w:tcBorders>
              <w:top w:val="nil"/>
              <w:left w:val="nil"/>
              <w:bottom w:val="single" w:color="auto" w:sz="4" w:space="0"/>
              <w:right w:val="single" w:color="auto" w:sz="4" w:space="0"/>
            </w:tcBorders>
            <w:noWrap/>
            <w:vAlign w:val="bottom"/>
          </w:tcPr>
          <w:p w14:paraId="0F29E81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28.40 </w:t>
            </w:r>
          </w:p>
        </w:tc>
        <w:tc>
          <w:tcPr>
            <w:tcW w:w="0" w:type="auto"/>
            <w:tcBorders>
              <w:top w:val="nil"/>
              <w:left w:val="nil"/>
              <w:bottom w:val="single" w:color="auto" w:sz="4" w:space="0"/>
              <w:right w:val="single" w:color="auto" w:sz="4" w:space="0"/>
            </w:tcBorders>
            <w:noWrap/>
            <w:vAlign w:val="bottom"/>
          </w:tcPr>
          <w:p w14:paraId="55B9281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263.64 </w:t>
            </w:r>
          </w:p>
        </w:tc>
        <w:tc>
          <w:tcPr>
            <w:tcW w:w="0" w:type="auto"/>
            <w:tcBorders>
              <w:top w:val="nil"/>
              <w:left w:val="nil"/>
              <w:bottom w:val="single" w:color="auto" w:sz="4" w:space="0"/>
              <w:right w:val="single" w:color="auto" w:sz="4" w:space="0"/>
            </w:tcBorders>
            <w:noWrap/>
            <w:vAlign w:val="bottom"/>
          </w:tcPr>
          <w:p w14:paraId="3B432E7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33.28 </w:t>
            </w:r>
          </w:p>
        </w:tc>
        <w:tc>
          <w:tcPr>
            <w:tcW w:w="0" w:type="auto"/>
            <w:tcBorders>
              <w:top w:val="nil"/>
              <w:left w:val="nil"/>
              <w:bottom w:val="single" w:color="auto" w:sz="4" w:space="0"/>
              <w:right w:val="single" w:color="auto" w:sz="4" w:space="0"/>
            </w:tcBorders>
            <w:noWrap/>
            <w:vAlign w:val="bottom"/>
          </w:tcPr>
          <w:p w14:paraId="1B59F1E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7.03 </w:t>
            </w:r>
          </w:p>
        </w:tc>
        <w:tc>
          <w:tcPr>
            <w:tcW w:w="0" w:type="auto"/>
            <w:tcBorders>
              <w:top w:val="nil"/>
              <w:left w:val="nil"/>
              <w:bottom w:val="single" w:color="auto" w:sz="4" w:space="0"/>
              <w:right w:val="single" w:color="auto" w:sz="4" w:space="0"/>
            </w:tcBorders>
            <w:noWrap/>
            <w:vAlign w:val="bottom"/>
          </w:tcPr>
          <w:p w14:paraId="64A21BF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1.49 </w:t>
            </w:r>
          </w:p>
        </w:tc>
        <w:tc>
          <w:tcPr>
            <w:tcW w:w="0" w:type="auto"/>
            <w:tcBorders>
              <w:top w:val="nil"/>
              <w:left w:val="nil"/>
              <w:bottom w:val="single" w:color="auto" w:sz="4" w:space="0"/>
              <w:right w:val="single" w:color="auto" w:sz="4" w:space="0"/>
            </w:tcBorders>
            <w:noWrap/>
            <w:vAlign w:val="bottom"/>
          </w:tcPr>
          <w:p w14:paraId="3A18700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568FBD4C">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35E023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14,859.48 </w:t>
            </w:r>
          </w:p>
        </w:tc>
        <w:tc>
          <w:tcPr>
            <w:tcW w:w="0" w:type="auto"/>
            <w:tcBorders>
              <w:top w:val="nil"/>
              <w:left w:val="nil"/>
              <w:bottom w:val="single" w:color="auto" w:sz="4" w:space="0"/>
              <w:right w:val="single" w:color="auto" w:sz="4" w:space="0"/>
            </w:tcBorders>
            <w:noWrap/>
            <w:vAlign w:val="bottom"/>
          </w:tcPr>
          <w:p w14:paraId="28890B7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975.81 </w:t>
            </w:r>
          </w:p>
        </w:tc>
        <w:tc>
          <w:tcPr>
            <w:tcW w:w="0" w:type="auto"/>
            <w:tcBorders>
              <w:top w:val="nil"/>
              <w:left w:val="nil"/>
              <w:bottom w:val="single" w:color="auto" w:sz="4" w:space="0"/>
              <w:right w:val="single" w:color="auto" w:sz="4" w:space="0"/>
            </w:tcBorders>
            <w:noWrap/>
            <w:vAlign w:val="bottom"/>
          </w:tcPr>
          <w:p w14:paraId="2C89D99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49.60 </w:t>
            </w:r>
          </w:p>
        </w:tc>
        <w:tc>
          <w:tcPr>
            <w:tcW w:w="0" w:type="auto"/>
            <w:tcBorders>
              <w:top w:val="nil"/>
              <w:left w:val="nil"/>
              <w:bottom w:val="single" w:color="auto" w:sz="4" w:space="0"/>
              <w:right w:val="single" w:color="auto" w:sz="4" w:space="0"/>
            </w:tcBorders>
            <w:noWrap/>
            <w:vAlign w:val="bottom"/>
          </w:tcPr>
          <w:p w14:paraId="3F6DCF1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1.30 </w:t>
            </w:r>
          </w:p>
        </w:tc>
        <w:tc>
          <w:tcPr>
            <w:tcW w:w="0" w:type="auto"/>
            <w:tcBorders>
              <w:top w:val="nil"/>
              <w:left w:val="nil"/>
              <w:bottom w:val="single" w:color="auto" w:sz="4" w:space="0"/>
              <w:right w:val="single" w:color="auto" w:sz="4" w:space="0"/>
            </w:tcBorders>
            <w:noWrap/>
            <w:vAlign w:val="bottom"/>
          </w:tcPr>
          <w:p w14:paraId="72ADD57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7.95 </w:t>
            </w:r>
          </w:p>
        </w:tc>
        <w:tc>
          <w:tcPr>
            <w:tcW w:w="0" w:type="auto"/>
            <w:tcBorders>
              <w:top w:val="nil"/>
              <w:left w:val="nil"/>
              <w:bottom w:val="single" w:color="auto" w:sz="4" w:space="0"/>
              <w:right w:val="single" w:color="auto" w:sz="4" w:space="0"/>
            </w:tcBorders>
            <w:noWrap/>
            <w:vAlign w:val="bottom"/>
          </w:tcPr>
          <w:p w14:paraId="11E3B7C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0.26 </w:t>
            </w:r>
          </w:p>
        </w:tc>
        <w:tc>
          <w:tcPr>
            <w:tcW w:w="0" w:type="auto"/>
            <w:tcBorders>
              <w:top w:val="nil"/>
              <w:left w:val="nil"/>
              <w:bottom w:val="single" w:color="auto" w:sz="4" w:space="0"/>
              <w:right w:val="single" w:color="auto" w:sz="4" w:space="0"/>
            </w:tcBorders>
            <w:noWrap/>
            <w:vAlign w:val="bottom"/>
          </w:tcPr>
          <w:p w14:paraId="680D72D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27.82 </w:t>
            </w:r>
          </w:p>
        </w:tc>
        <w:tc>
          <w:tcPr>
            <w:tcW w:w="0" w:type="auto"/>
            <w:tcBorders>
              <w:top w:val="nil"/>
              <w:left w:val="nil"/>
              <w:bottom w:val="single" w:color="auto" w:sz="4" w:space="0"/>
              <w:right w:val="single" w:color="auto" w:sz="4" w:space="0"/>
            </w:tcBorders>
            <w:noWrap/>
            <w:vAlign w:val="bottom"/>
          </w:tcPr>
          <w:p w14:paraId="66FC0C2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1.85 </w:t>
            </w:r>
          </w:p>
        </w:tc>
      </w:tr>
      <w:tr w14:paraId="7D37E774">
        <w:tblPrEx>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bottom"/>
          </w:tcPr>
          <w:p w14:paraId="46D2C768">
            <w:pPr>
              <w:spacing w:after="0" w:line="240" w:lineRule="auto"/>
              <w:rPr>
                <w:rFonts w:ascii="Calibri" w:hAnsi="Calibri" w:eastAsia="Times New Roman" w:cs="Calibri"/>
                <w:color w:val="000000"/>
                <w:sz w:val="14"/>
                <w:szCs w:val="14"/>
              </w:rPr>
            </w:pPr>
          </w:p>
        </w:tc>
        <w:tc>
          <w:tcPr>
            <w:tcW w:w="0" w:type="auto"/>
            <w:tcBorders>
              <w:top w:val="nil"/>
              <w:left w:val="nil"/>
              <w:bottom w:val="nil"/>
              <w:right w:val="nil"/>
            </w:tcBorders>
            <w:noWrap/>
            <w:vAlign w:val="bottom"/>
          </w:tcPr>
          <w:p w14:paraId="1F38CDCE">
            <w:pPr>
              <w:spacing w:after="0" w:line="240" w:lineRule="auto"/>
              <w:rPr>
                <w:rFonts w:ascii="Times New Roman" w:hAnsi="Times New Roman" w:eastAsia="Times New Roman" w:cs="Times New Roman"/>
                <w:sz w:val="14"/>
                <w:szCs w:val="14"/>
              </w:rPr>
            </w:pPr>
          </w:p>
        </w:tc>
        <w:tc>
          <w:tcPr>
            <w:tcW w:w="1547" w:type="dxa"/>
            <w:tcBorders>
              <w:top w:val="nil"/>
              <w:left w:val="nil"/>
              <w:bottom w:val="nil"/>
              <w:right w:val="nil"/>
            </w:tcBorders>
            <w:noWrap/>
            <w:vAlign w:val="bottom"/>
          </w:tcPr>
          <w:p w14:paraId="613C1653">
            <w:pPr>
              <w:spacing w:after="0" w:line="240" w:lineRule="auto"/>
              <w:rPr>
                <w:rFonts w:ascii="Times New Roman" w:hAnsi="Times New Roman" w:eastAsia="Times New Roman" w:cs="Times New Roman"/>
                <w:sz w:val="14"/>
                <w:szCs w:val="14"/>
              </w:rPr>
            </w:pPr>
          </w:p>
        </w:tc>
        <w:tc>
          <w:tcPr>
            <w:tcW w:w="1173" w:type="dxa"/>
            <w:tcBorders>
              <w:top w:val="nil"/>
              <w:left w:val="nil"/>
              <w:bottom w:val="nil"/>
              <w:right w:val="nil"/>
            </w:tcBorders>
            <w:noWrap/>
            <w:vAlign w:val="bottom"/>
          </w:tcPr>
          <w:p w14:paraId="59315AB9">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55724C9D">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1CF201F9">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0B426642">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0D599951">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415B79C3">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6D5B16A9">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5A815604">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2ECDC4C6">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2702BA4C">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2EB1AB56">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7106BEC8">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2AD1F5DE">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53D21F30">
            <w:pPr>
              <w:spacing w:after="0" w:line="240" w:lineRule="auto"/>
              <w:rPr>
                <w:rFonts w:ascii="Times New Roman" w:hAnsi="Times New Roman" w:eastAsia="Times New Roman" w:cs="Times New Roman"/>
                <w:sz w:val="14"/>
                <w:szCs w:val="14"/>
              </w:rPr>
            </w:pPr>
          </w:p>
        </w:tc>
        <w:tc>
          <w:tcPr>
            <w:tcW w:w="0" w:type="auto"/>
            <w:tcBorders>
              <w:top w:val="nil"/>
              <w:left w:val="nil"/>
              <w:bottom w:val="nil"/>
              <w:right w:val="nil"/>
            </w:tcBorders>
            <w:noWrap/>
            <w:vAlign w:val="bottom"/>
          </w:tcPr>
          <w:p w14:paraId="3F03509A">
            <w:pPr>
              <w:spacing w:after="0" w:line="240" w:lineRule="auto"/>
              <w:rPr>
                <w:rFonts w:ascii="Times New Roman" w:hAnsi="Times New Roman" w:eastAsia="Times New Roman" w:cs="Times New Roman"/>
                <w:sz w:val="14"/>
                <w:szCs w:val="14"/>
              </w:rPr>
            </w:pPr>
          </w:p>
        </w:tc>
      </w:tr>
      <w:tr w14:paraId="5008D484">
        <w:tblPrEx>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noWrap/>
            <w:vAlign w:val="bottom"/>
          </w:tcPr>
          <w:p w14:paraId="64B7403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Total contract</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6527F14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1547" w:type="dxa"/>
            <w:tcBorders>
              <w:top w:val="single" w:color="auto" w:sz="4" w:space="0"/>
              <w:left w:val="nil"/>
              <w:bottom w:val="single" w:color="auto" w:sz="4" w:space="0"/>
              <w:right w:val="single" w:color="auto" w:sz="4" w:space="0"/>
            </w:tcBorders>
            <w:shd w:val="clear" w:color="000000" w:fill="DDEBF7"/>
            <w:noWrap/>
            <w:vAlign w:val="bottom"/>
          </w:tcPr>
          <w:p w14:paraId="485FDC1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Cantităţi de deşeuri colectate (tone/an) </w:t>
            </w:r>
          </w:p>
        </w:tc>
        <w:tc>
          <w:tcPr>
            <w:tcW w:w="1173" w:type="dxa"/>
            <w:tcBorders>
              <w:top w:val="single" w:color="auto" w:sz="4" w:space="0"/>
              <w:left w:val="nil"/>
              <w:bottom w:val="single" w:color="auto" w:sz="4" w:space="0"/>
              <w:right w:val="single" w:color="auto" w:sz="4" w:space="0"/>
            </w:tcBorders>
            <w:shd w:val="clear" w:color="000000" w:fill="DDEBF7"/>
            <w:noWrap/>
            <w:vAlign w:val="bottom"/>
          </w:tcPr>
          <w:p w14:paraId="208BAAD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2925A1F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23C372D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1C19BAD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2220781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52AB922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1B12917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3262B3D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DDEBF7"/>
            <w:noWrap/>
            <w:vAlign w:val="bottom"/>
          </w:tcPr>
          <w:p w14:paraId="0F9AB28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E2EFDA"/>
            <w:noWrap/>
            <w:vAlign w:val="bottom"/>
          </w:tcPr>
          <w:p w14:paraId="3CC0847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Fluxuri speciale</w:t>
            </w:r>
          </w:p>
        </w:tc>
        <w:tc>
          <w:tcPr>
            <w:tcW w:w="0" w:type="auto"/>
            <w:tcBorders>
              <w:top w:val="single" w:color="auto" w:sz="4" w:space="0"/>
              <w:left w:val="nil"/>
              <w:bottom w:val="single" w:color="auto" w:sz="4" w:space="0"/>
              <w:right w:val="single" w:color="auto" w:sz="4" w:space="0"/>
            </w:tcBorders>
            <w:shd w:val="clear" w:color="000000" w:fill="E2EFDA"/>
            <w:noWrap/>
            <w:vAlign w:val="bottom"/>
          </w:tcPr>
          <w:p w14:paraId="40A6C0B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E2EFDA"/>
            <w:noWrap/>
            <w:vAlign w:val="bottom"/>
          </w:tcPr>
          <w:p w14:paraId="583D07F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single" w:color="auto" w:sz="4" w:space="0"/>
              <w:left w:val="nil"/>
              <w:bottom w:val="single" w:color="auto" w:sz="4" w:space="0"/>
              <w:right w:val="single" w:color="auto" w:sz="4" w:space="0"/>
            </w:tcBorders>
            <w:shd w:val="clear" w:color="000000" w:fill="E2EFDA"/>
            <w:noWrap/>
            <w:vAlign w:val="bottom"/>
          </w:tcPr>
          <w:p w14:paraId="3868ACB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gridSpan w:val="2"/>
            <w:tcBorders>
              <w:top w:val="single" w:color="auto" w:sz="4" w:space="0"/>
              <w:left w:val="nil"/>
              <w:bottom w:val="single" w:color="auto" w:sz="4" w:space="0"/>
              <w:right w:val="single" w:color="auto" w:sz="4" w:space="0"/>
            </w:tcBorders>
            <w:shd w:val="clear" w:color="000000" w:fill="E2EFDA"/>
            <w:noWrap/>
            <w:vAlign w:val="bottom"/>
          </w:tcPr>
          <w:p w14:paraId="22B68B40">
            <w:pPr>
              <w:spacing w:after="0" w:line="240" w:lineRule="auto"/>
              <w:jc w:val="center"/>
              <w:rPr>
                <w:rFonts w:ascii="Calibri" w:hAnsi="Calibri" w:eastAsia="Times New Roman" w:cs="Calibri"/>
                <w:color w:val="000000"/>
                <w:sz w:val="14"/>
                <w:szCs w:val="14"/>
              </w:rPr>
            </w:pPr>
            <w:r>
              <w:rPr>
                <w:rFonts w:ascii="Calibri" w:hAnsi="Calibri" w:eastAsia="Times New Roman" w:cs="Calibri"/>
                <w:color w:val="000000"/>
                <w:sz w:val="14"/>
                <w:szCs w:val="14"/>
              </w:rPr>
              <w:t>Voluminoase</w:t>
            </w:r>
          </w:p>
        </w:tc>
      </w:tr>
      <w:tr w14:paraId="02C7A14E">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shd w:val="clear" w:color="000000" w:fill="DDEBF7"/>
            <w:noWrap/>
            <w:vAlign w:val="bottom"/>
          </w:tcPr>
          <w:p w14:paraId="7DCDA39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Aria de delegare</w:t>
            </w:r>
          </w:p>
        </w:tc>
        <w:tc>
          <w:tcPr>
            <w:tcW w:w="0" w:type="auto"/>
            <w:tcBorders>
              <w:top w:val="nil"/>
              <w:left w:val="nil"/>
              <w:bottom w:val="single" w:color="auto" w:sz="4" w:space="0"/>
              <w:right w:val="single" w:color="auto" w:sz="4" w:space="0"/>
            </w:tcBorders>
            <w:shd w:val="clear" w:color="000000" w:fill="DDEBF7"/>
            <w:noWrap/>
            <w:vAlign w:val="bottom"/>
          </w:tcPr>
          <w:p w14:paraId="550AD22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1547" w:type="dxa"/>
            <w:tcBorders>
              <w:top w:val="nil"/>
              <w:left w:val="nil"/>
              <w:bottom w:val="single" w:color="auto" w:sz="4" w:space="0"/>
              <w:right w:val="single" w:color="auto" w:sz="4" w:space="0"/>
            </w:tcBorders>
            <w:shd w:val="clear" w:color="000000" w:fill="DDEBF7"/>
            <w:noWrap/>
            <w:vAlign w:val="bottom"/>
          </w:tcPr>
          <w:p w14:paraId="1B2D998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Hartie si carton</w:t>
            </w:r>
          </w:p>
        </w:tc>
        <w:tc>
          <w:tcPr>
            <w:tcW w:w="1173" w:type="dxa"/>
            <w:tcBorders>
              <w:top w:val="nil"/>
              <w:left w:val="nil"/>
              <w:bottom w:val="single" w:color="auto" w:sz="4" w:space="0"/>
              <w:right w:val="single" w:color="auto" w:sz="4" w:space="0"/>
            </w:tcBorders>
            <w:shd w:val="clear" w:color="000000" w:fill="DDEBF7"/>
            <w:noWrap/>
            <w:vAlign w:val="bottom"/>
          </w:tcPr>
          <w:p w14:paraId="3F66DA8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DDEBF7"/>
            <w:noWrap/>
            <w:vAlign w:val="bottom"/>
          </w:tcPr>
          <w:p w14:paraId="67DB5A9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Plastic si metal</w:t>
            </w:r>
          </w:p>
        </w:tc>
        <w:tc>
          <w:tcPr>
            <w:tcW w:w="0" w:type="auto"/>
            <w:tcBorders>
              <w:top w:val="nil"/>
              <w:left w:val="nil"/>
              <w:bottom w:val="single" w:color="auto" w:sz="4" w:space="0"/>
              <w:right w:val="single" w:color="auto" w:sz="4" w:space="0"/>
            </w:tcBorders>
            <w:shd w:val="clear" w:color="000000" w:fill="DDEBF7"/>
            <w:noWrap/>
            <w:vAlign w:val="bottom"/>
          </w:tcPr>
          <w:p w14:paraId="653041D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DDEBF7"/>
            <w:noWrap/>
            <w:vAlign w:val="bottom"/>
          </w:tcPr>
          <w:p w14:paraId="075B3BF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Sticla</w:t>
            </w:r>
          </w:p>
        </w:tc>
        <w:tc>
          <w:tcPr>
            <w:tcW w:w="0" w:type="auto"/>
            <w:tcBorders>
              <w:top w:val="nil"/>
              <w:left w:val="nil"/>
              <w:bottom w:val="single" w:color="auto" w:sz="4" w:space="0"/>
              <w:right w:val="single" w:color="auto" w:sz="4" w:space="0"/>
            </w:tcBorders>
            <w:shd w:val="clear" w:color="000000" w:fill="DDEBF7"/>
            <w:noWrap/>
            <w:vAlign w:val="bottom"/>
          </w:tcPr>
          <w:p w14:paraId="5218183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DDEBF7"/>
            <w:noWrap/>
            <w:vAlign w:val="bottom"/>
          </w:tcPr>
          <w:p w14:paraId="0165091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Biodeseuri</w:t>
            </w:r>
          </w:p>
        </w:tc>
        <w:tc>
          <w:tcPr>
            <w:tcW w:w="0" w:type="auto"/>
            <w:tcBorders>
              <w:top w:val="nil"/>
              <w:left w:val="nil"/>
              <w:bottom w:val="single" w:color="auto" w:sz="4" w:space="0"/>
              <w:right w:val="single" w:color="auto" w:sz="4" w:space="0"/>
            </w:tcBorders>
            <w:shd w:val="clear" w:color="000000" w:fill="DDEBF7"/>
            <w:noWrap/>
            <w:vAlign w:val="bottom"/>
          </w:tcPr>
          <w:p w14:paraId="1C1B53F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DDEBF7"/>
            <w:noWrap/>
            <w:vAlign w:val="bottom"/>
          </w:tcPr>
          <w:p w14:paraId="5F6FCCB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Deseuri reziduale</w:t>
            </w:r>
          </w:p>
        </w:tc>
        <w:tc>
          <w:tcPr>
            <w:tcW w:w="0" w:type="auto"/>
            <w:tcBorders>
              <w:top w:val="nil"/>
              <w:left w:val="nil"/>
              <w:bottom w:val="single" w:color="auto" w:sz="4" w:space="0"/>
              <w:right w:val="single" w:color="auto" w:sz="4" w:space="0"/>
            </w:tcBorders>
            <w:shd w:val="clear" w:color="000000" w:fill="DDEBF7"/>
            <w:noWrap/>
            <w:vAlign w:val="bottom"/>
          </w:tcPr>
          <w:p w14:paraId="5F0D8C7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E2EFDA"/>
            <w:noWrap/>
            <w:vAlign w:val="bottom"/>
          </w:tcPr>
          <w:p w14:paraId="25D29CA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Textile</w:t>
            </w:r>
          </w:p>
        </w:tc>
        <w:tc>
          <w:tcPr>
            <w:tcW w:w="0" w:type="auto"/>
            <w:tcBorders>
              <w:top w:val="nil"/>
              <w:left w:val="nil"/>
              <w:bottom w:val="single" w:color="auto" w:sz="4" w:space="0"/>
              <w:right w:val="single" w:color="auto" w:sz="4" w:space="0"/>
            </w:tcBorders>
            <w:shd w:val="clear" w:color="000000" w:fill="E2EFDA"/>
            <w:noWrap/>
            <w:vAlign w:val="bottom"/>
          </w:tcPr>
          <w:p w14:paraId="1BD184D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E2EFDA"/>
            <w:noWrap/>
            <w:vAlign w:val="bottom"/>
          </w:tcPr>
          <w:p w14:paraId="4FE13C5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Periculoase</w:t>
            </w:r>
          </w:p>
        </w:tc>
        <w:tc>
          <w:tcPr>
            <w:tcW w:w="0" w:type="auto"/>
            <w:tcBorders>
              <w:top w:val="nil"/>
              <w:left w:val="nil"/>
              <w:bottom w:val="single" w:color="auto" w:sz="4" w:space="0"/>
              <w:right w:val="single" w:color="auto" w:sz="4" w:space="0"/>
            </w:tcBorders>
            <w:shd w:val="clear" w:color="000000" w:fill="E2EFDA"/>
            <w:noWrap/>
            <w:vAlign w:val="bottom"/>
          </w:tcPr>
          <w:p w14:paraId="0ED3A29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0" w:type="auto"/>
            <w:tcBorders>
              <w:top w:val="nil"/>
              <w:left w:val="nil"/>
              <w:bottom w:val="single" w:color="auto" w:sz="4" w:space="0"/>
              <w:right w:val="single" w:color="auto" w:sz="4" w:space="0"/>
            </w:tcBorders>
            <w:shd w:val="clear" w:color="000000" w:fill="E2EFDA"/>
            <w:noWrap/>
            <w:vAlign w:val="bottom"/>
          </w:tcPr>
          <w:p w14:paraId="6811CA1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Menajere</w:t>
            </w:r>
          </w:p>
        </w:tc>
        <w:tc>
          <w:tcPr>
            <w:tcW w:w="0" w:type="auto"/>
            <w:tcBorders>
              <w:top w:val="nil"/>
              <w:left w:val="nil"/>
              <w:bottom w:val="single" w:color="auto" w:sz="4" w:space="0"/>
              <w:right w:val="single" w:color="auto" w:sz="4" w:space="0"/>
            </w:tcBorders>
            <w:shd w:val="clear" w:color="000000" w:fill="E2EFDA"/>
            <w:noWrap/>
            <w:vAlign w:val="bottom"/>
          </w:tcPr>
          <w:p w14:paraId="0D8357B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Similare</w:t>
            </w:r>
          </w:p>
        </w:tc>
      </w:tr>
      <w:tr w14:paraId="58B5BD24">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3F83E0D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Zona urbana</w:t>
            </w:r>
          </w:p>
        </w:tc>
        <w:tc>
          <w:tcPr>
            <w:tcW w:w="0" w:type="auto"/>
            <w:tcBorders>
              <w:top w:val="nil"/>
              <w:left w:val="nil"/>
              <w:bottom w:val="single" w:color="auto" w:sz="4" w:space="0"/>
              <w:right w:val="single" w:color="auto" w:sz="4" w:space="0"/>
            </w:tcBorders>
            <w:noWrap/>
            <w:vAlign w:val="bottom"/>
          </w:tcPr>
          <w:p w14:paraId="41545D3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Urban</w:t>
            </w:r>
          </w:p>
        </w:tc>
        <w:tc>
          <w:tcPr>
            <w:tcW w:w="1547" w:type="dxa"/>
            <w:tcBorders>
              <w:top w:val="nil"/>
              <w:left w:val="nil"/>
              <w:bottom w:val="single" w:color="auto" w:sz="4" w:space="0"/>
              <w:right w:val="single" w:color="auto" w:sz="4" w:space="0"/>
            </w:tcBorders>
            <w:noWrap/>
            <w:vAlign w:val="bottom"/>
          </w:tcPr>
          <w:p w14:paraId="5C89B73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178.56 </w:t>
            </w:r>
          </w:p>
        </w:tc>
        <w:tc>
          <w:tcPr>
            <w:tcW w:w="1173" w:type="dxa"/>
            <w:tcBorders>
              <w:top w:val="nil"/>
              <w:left w:val="nil"/>
              <w:bottom w:val="single" w:color="auto" w:sz="4" w:space="0"/>
              <w:right w:val="single" w:color="auto" w:sz="4" w:space="0"/>
            </w:tcBorders>
            <w:noWrap/>
            <w:vAlign w:val="bottom"/>
          </w:tcPr>
          <w:p w14:paraId="2A4597F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40.59 </w:t>
            </w:r>
          </w:p>
        </w:tc>
        <w:tc>
          <w:tcPr>
            <w:tcW w:w="0" w:type="auto"/>
            <w:tcBorders>
              <w:top w:val="nil"/>
              <w:left w:val="nil"/>
              <w:bottom w:val="single" w:color="auto" w:sz="4" w:space="0"/>
              <w:right w:val="single" w:color="auto" w:sz="4" w:space="0"/>
            </w:tcBorders>
            <w:noWrap/>
            <w:vAlign w:val="bottom"/>
          </w:tcPr>
          <w:p w14:paraId="4AE384F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56.80 </w:t>
            </w:r>
          </w:p>
        </w:tc>
        <w:tc>
          <w:tcPr>
            <w:tcW w:w="0" w:type="auto"/>
            <w:tcBorders>
              <w:top w:val="nil"/>
              <w:left w:val="nil"/>
              <w:bottom w:val="single" w:color="auto" w:sz="4" w:space="0"/>
              <w:right w:val="single" w:color="auto" w:sz="4" w:space="0"/>
            </w:tcBorders>
            <w:noWrap/>
            <w:vAlign w:val="bottom"/>
          </w:tcPr>
          <w:p w14:paraId="157003D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62.50 </w:t>
            </w:r>
          </w:p>
        </w:tc>
        <w:tc>
          <w:tcPr>
            <w:tcW w:w="0" w:type="auto"/>
            <w:tcBorders>
              <w:top w:val="nil"/>
              <w:left w:val="nil"/>
              <w:bottom w:val="single" w:color="auto" w:sz="4" w:space="0"/>
              <w:right w:val="single" w:color="auto" w:sz="4" w:space="0"/>
            </w:tcBorders>
            <w:noWrap/>
            <w:vAlign w:val="bottom"/>
          </w:tcPr>
          <w:p w14:paraId="054F42D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2.38 </w:t>
            </w:r>
          </w:p>
        </w:tc>
        <w:tc>
          <w:tcPr>
            <w:tcW w:w="0" w:type="auto"/>
            <w:tcBorders>
              <w:top w:val="nil"/>
              <w:left w:val="nil"/>
              <w:bottom w:val="single" w:color="auto" w:sz="4" w:space="0"/>
              <w:right w:val="single" w:color="auto" w:sz="4" w:space="0"/>
            </w:tcBorders>
            <w:noWrap/>
            <w:vAlign w:val="bottom"/>
          </w:tcPr>
          <w:p w14:paraId="4CC40AB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4.28 </w:t>
            </w:r>
          </w:p>
        </w:tc>
        <w:tc>
          <w:tcPr>
            <w:tcW w:w="0" w:type="auto"/>
            <w:tcBorders>
              <w:top w:val="nil"/>
              <w:left w:val="nil"/>
              <w:bottom w:val="single" w:color="auto" w:sz="4" w:space="0"/>
              <w:right w:val="single" w:color="auto" w:sz="4" w:space="0"/>
            </w:tcBorders>
            <w:noWrap/>
            <w:vAlign w:val="bottom"/>
          </w:tcPr>
          <w:p w14:paraId="17DD16A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2,674.49 </w:t>
            </w:r>
          </w:p>
        </w:tc>
        <w:tc>
          <w:tcPr>
            <w:tcW w:w="0" w:type="auto"/>
            <w:tcBorders>
              <w:top w:val="nil"/>
              <w:left w:val="nil"/>
              <w:bottom w:val="single" w:color="auto" w:sz="4" w:space="0"/>
              <w:right w:val="single" w:color="auto" w:sz="4" w:space="0"/>
            </w:tcBorders>
            <w:noWrap/>
            <w:vAlign w:val="bottom"/>
          </w:tcPr>
          <w:p w14:paraId="17BAF9A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519.23 </w:t>
            </w:r>
          </w:p>
        </w:tc>
        <w:tc>
          <w:tcPr>
            <w:tcW w:w="0" w:type="auto"/>
            <w:tcBorders>
              <w:top w:val="nil"/>
              <w:left w:val="nil"/>
              <w:bottom w:val="single" w:color="auto" w:sz="4" w:space="0"/>
              <w:right w:val="single" w:color="auto" w:sz="4" w:space="0"/>
            </w:tcBorders>
            <w:noWrap/>
            <w:vAlign w:val="bottom"/>
          </w:tcPr>
          <w:p w14:paraId="7B07841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5,327.58 </w:t>
            </w:r>
          </w:p>
        </w:tc>
        <w:tc>
          <w:tcPr>
            <w:tcW w:w="0" w:type="auto"/>
            <w:tcBorders>
              <w:top w:val="nil"/>
              <w:left w:val="nil"/>
              <w:bottom w:val="single" w:color="auto" w:sz="4" w:space="0"/>
              <w:right w:val="single" w:color="auto" w:sz="4" w:space="0"/>
            </w:tcBorders>
            <w:noWrap/>
            <w:vAlign w:val="bottom"/>
          </w:tcPr>
          <w:p w14:paraId="6A62F75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988.03 </w:t>
            </w:r>
          </w:p>
        </w:tc>
        <w:tc>
          <w:tcPr>
            <w:tcW w:w="0" w:type="auto"/>
            <w:tcBorders>
              <w:top w:val="nil"/>
              <w:left w:val="nil"/>
              <w:bottom w:val="single" w:color="auto" w:sz="4" w:space="0"/>
              <w:right w:val="single" w:color="auto" w:sz="4" w:space="0"/>
            </w:tcBorders>
            <w:noWrap/>
            <w:vAlign w:val="bottom"/>
          </w:tcPr>
          <w:p w14:paraId="71B88D9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23.99 </w:t>
            </w:r>
          </w:p>
        </w:tc>
        <w:tc>
          <w:tcPr>
            <w:tcW w:w="0" w:type="auto"/>
            <w:tcBorders>
              <w:top w:val="nil"/>
              <w:left w:val="nil"/>
              <w:bottom w:val="single" w:color="auto" w:sz="4" w:space="0"/>
              <w:right w:val="single" w:color="auto" w:sz="4" w:space="0"/>
            </w:tcBorders>
            <w:noWrap/>
            <w:vAlign w:val="bottom"/>
          </w:tcPr>
          <w:p w14:paraId="501DB04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2.95 </w:t>
            </w:r>
          </w:p>
        </w:tc>
        <w:tc>
          <w:tcPr>
            <w:tcW w:w="0" w:type="auto"/>
            <w:tcBorders>
              <w:top w:val="nil"/>
              <w:left w:val="nil"/>
              <w:bottom w:val="single" w:color="auto" w:sz="4" w:space="0"/>
              <w:right w:val="single" w:color="auto" w:sz="4" w:space="0"/>
            </w:tcBorders>
            <w:noWrap/>
            <w:vAlign w:val="bottom"/>
          </w:tcPr>
          <w:p w14:paraId="1E00718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8.69 </w:t>
            </w:r>
          </w:p>
        </w:tc>
        <w:tc>
          <w:tcPr>
            <w:tcW w:w="0" w:type="auto"/>
            <w:tcBorders>
              <w:top w:val="nil"/>
              <w:left w:val="nil"/>
              <w:bottom w:val="single" w:color="auto" w:sz="4" w:space="0"/>
              <w:right w:val="single" w:color="auto" w:sz="4" w:space="0"/>
            </w:tcBorders>
            <w:noWrap/>
            <w:vAlign w:val="bottom"/>
          </w:tcPr>
          <w:p w14:paraId="12102AC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1.26 </w:t>
            </w:r>
          </w:p>
        </w:tc>
        <w:tc>
          <w:tcPr>
            <w:tcW w:w="0" w:type="auto"/>
            <w:tcBorders>
              <w:top w:val="nil"/>
              <w:left w:val="nil"/>
              <w:bottom w:val="single" w:color="auto" w:sz="4" w:space="0"/>
              <w:right w:val="single" w:color="auto" w:sz="4" w:space="0"/>
            </w:tcBorders>
            <w:noWrap/>
            <w:vAlign w:val="bottom"/>
          </w:tcPr>
          <w:p w14:paraId="1146BD6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15.21 </w:t>
            </w:r>
          </w:p>
        </w:tc>
        <w:tc>
          <w:tcPr>
            <w:tcW w:w="0" w:type="auto"/>
            <w:tcBorders>
              <w:top w:val="nil"/>
              <w:left w:val="nil"/>
              <w:bottom w:val="single" w:color="auto" w:sz="4" w:space="0"/>
              <w:right w:val="single" w:color="auto" w:sz="4" w:space="0"/>
            </w:tcBorders>
            <w:noWrap/>
            <w:vAlign w:val="bottom"/>
          </w:tcPr>
          <w:p w14:paraId="61DC3A4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2.95 </w:t>
            </w:r>
          </w:p>
        </w:tc>
      </w:tr>
      <w:tr w14:paraId="566EA994">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4F26031E">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Zona rurala</w:t>
            </w:r>
          </w:p>
        </w:tc>
        <w:tc>
          <w:tcPr>
            <w:tcW w:w="0" w:type="auto"/>
            <w:tcBorders>
              <w:top w:val="nil"/>
              <w:left w:val="nil"/>
              <w:bottom w:val="single" w:color="auto" w:sz="4" w:space="0"/>
              <w:right w:val="single" w:color="auto" w:sz="4" w:space="0"/>
            </w:tcBorders>
            <w:noWrap/>
            <w:vAlign w:val="bottom"/>
          </w:tcPr>
          <w:p w14:paraId="0052651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Rural</w:t>
            </w:r>
          </w:p>
        </w:tc>
        <w:tc>
          <w:tcPr>
            <w:tcW w:w="1547" w:type="dxa"/>
            <w:tcBorders>
              <w:top w:val="nil"/>
              <w:left w:val="nil"/>
              <w:bottom w:val="single" w:color="auto" w:sz="4" w:space="0"/>
              <w:right w:val="single" w:color="auto" w:sz="4" w:space="0"/>
            </w:tcBorders>
            <w:noWrap/>
            <w:vAlign w:val="bottom"/>
          </w:tcPr>
          <w:p w14:paraId="73FD49B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317.13 </w:t>
            </w:r>
          </w:p>
        </w:tc>
        <w:tc>
          <w:tcPr>
            <w:tcW w:w="1173" w:type="dxa"/>
            <w:tcBorders>
              <w:top w:val="nil"/>
              <w:left w:val="nil"/>
              <w:bottom w:val="single" w:color="auto" w:sz="4" w:space="0"/>
              <w:right w:val="single" w:color="auto" w:sz="4" w:space="0"/>
            </w:tcBorders>
            <w:noWrap/>
            <w:vAlign w:val="bottom"/>
          </w:tcPr>
          <w:p w14:paraId="570114C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28.40 </w:t>
            </w:r>
          </w:p>
        </w:tc>
        <w:tc>
          <w:tcPr>
            <w:tcW w:w="0" w:type="auto"/>
            <w:tcBorders>
              <w:top w:val="nil"/>
              <w:left w:val="nil"/>
              <w:bottom w:val="single" w:color="auto" w:sz="4" w:space="0"/>
              <w:right w:val="single" w:color="auto" w:sz="4" w:space="0"/>
            </w:tcBorders>
            <w:noWrap/>
            <w:vAlign w:val="bottom"/>
          </w:tcPr>
          <w:p w14:paraId="5F87A3F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263.64 </w:t>
            </w:r>
          </w:p>
        </w:tc>
        <w:tc>
          <w:tcPr>
            <w:tcW w:w="0" w:type="auto"/>
            <w:tcBorders>
              <w:top w:val="nil"/>
              <w:left w:val="nil"/>
              <w:bottom w:val="single" w:color="auto" w:sz="4" w:space="0"/>
              <w:right w:val="single" w:color="auto" w:sz="4" w:space="0"/>
            </w:tcBorders>
            <w:noWrap/>
            <w:vAlign w:val="bottom"/>
          </w:tcPr>
          <w:p w14:paraId="71A9E3A3">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33.28 </w:t>
            </w:r>
          </w:p>
        </w:tc>
        <w:tc>
          <w:tcPr>
            <w:tcW w:w="0" w:type="auto"/>
            <w:tcBorders>
              <w:top w:val="nil"/>
              <w:left w:val="nil"/>
              <w:bottom w:val="single" w:color="auto" w:sz="4" w:space="0"/>
              <w:right w:val="single" w:color="auto" w:sz="4" w:space="0"/>
            </w:tcBorders>
            <w:noWrap/>
            <w:vAlign w:val="bottom"/>
          </w:tcPr>
          <w:p w14:paraId="1D8EEB2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7.03 </w:t>
            </w:r>
          </w:p>
        </w:tc>
        <w:tc>
          <w:tcPr>
            <w:tcW w:w="0" w:type="auto"/>
            <w:tcBorders>
              <w:top w:val="nil"/>
              <w:left w:val="nil"/>
              <w:bottom w:val="single" w:color="auto" w:sz="4" w:space="0"/>
              <w:right w:val="single" w:color="auto" w:sz="4" w:space="0"/>
            </w:tcBorders>
            <w:noWrap/>
            <w:vAlign w:val="bottom"/>
          </w:tcPr>
          <w:p w14:paraId="0EE062F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1.49 </w:t>
            </w:r>
          </w:p>
        </w:tc>
        <w:tc>
          <w:tcPr>
            <w:tcW w:w="0" w:type="auto"/>
            <w:tcBorders>
              <w:top w:val="nil"/>
              <w:left w:val="nil"/>
              <w:bottom w:val="single" w:color="auto" w:sz="4" w:space="0"/>
              <w:right w:val="single" w:color="auto" w:sz="4" w:space="0"/>
            </w:tcBorders>
            <w:noWrap/>
            <w:vAlign w:val="bottom"/>
          </w:tcPr>
          <w:p w14:paraId="5141FDE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BB6E5D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   </w:t>
            </w:r>
          </w:p>
        </w:tc>
        <w:tc>
          <w:tcPr>
            <w:tcW w:w="0" w:type="auto"/>
            <w:tcBorders>
              <w:top w:val="nil"/>
              <w:left w:val="nil"/>
              <w:bottom w:val="single" w:color="auto" w:sz="4" w:space="0"/>
              <w:right w:val="single" w:color="auto" w:sz="4" w:space="0"/>
            </w:tcBorders>
            <w:noWrap/>
            <w:vAlign w:val="bottom"/>
          </w:tcPr>
          <w:p w14:paraId="629BDE7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14,859.48 </w:t>
            </w:r>
          </w:p>
        </w:tc>
        <w:tc>
          <w:tcPr>
            <w:tcW w:w="0" w:type="auto"/>
            <w:tcBorders>
              <w:top w:val="nil"/>
              <w:left w:val="nil"/>
              <w:bottom w:val="single" w:color="auto" w:sz="4" w:space="0"/>
              <w:right w:val="single" w:color="auto" w:sz="4" w:space="0"/>
            </w:tcBorders>
            <w:noWrap/>
            <w:vAlign w:val="bottom"/>
          </w:tcPr>
          <w:p w14:paraId="10B25D2A">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975.81 </w:t>
            </w:r>
          </w:p>
        </w:tc>
        <w:tc>
          <w:tcPr>
            <w:tcW w:w="0" w:type="auto"/>
            <w:tcBorders>
              <w:top w:val="nil"/>
              <w:left w:val="nil"/>
              <w:bottom w:val="single" w:color="auto" w:sz="4" w:space="0"/>
              <w:right w:val="single" w:color="auto" w:sz="4" w:space="0"/>
            </w:tcBorders>
            <w:noWrap/>
            <w:vAlign w:val="bottom"/>
          </w:tcPr>
          <w:p w14:paraId="25ACD73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49.60 </w:t>
            </w:r>
          </w:p>
        </w:tc>
        <w:tc>
          <w:tcPr>
            <w:tcW w:w="0" w:type="auto"/>
            <w:tcBorders>
              <w:top w:val="nil"/>
              <w:left w:val="nil"/>
              <w:bottom w:val="single" w:color="auto" w:sz="4" w:space="0"/>
              <w:right w:val="single" w:color="auto" w:sz="4" w:space="0"/>
            </w:tcBorders>
            <w:noWrap/>
            <w:vAlign w:val="bottom"/>
          </w:tcPr>
          <w:p w14:paraId="72CA4E3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1.30 </w:t>
            </w:r>
          </w:p>
        </w:tc>
        <w:tc>
          <w:tcPr>
            <w:tcW w:w="0" w:type="auto"/>
            <w:tcBorders>
              <w:top w:val="nil"/>
              <w:left w:val="nil"/>
              <w:bottom w:val="single" w:color="auto" w:sz="4" w:space="0"/>
              <w:right w:val="single" w:color="auto" w:sz="4" w:space="0"/>
            </w:tcBorders>
            <w:noWrap/>
            <w:vAlign w:val="bottom"/>
          </w:tcPr>
          <w:p w14:paraId="5626CAD9">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7.95 </w:t>
            </w:r>
          </w:p>
        </w:tc>
        <w:tc>
          <w:tcPr>
            <w:tcW w:w="0" w:type="auto"/>
            <w:tcBorders>
              <w:top w:val="nil"/>
              <w:left w:val="nil"/>
              <w:bottom w:val="single" w:color="auto" w:sz="4" w:space="0"/>
              <w:right w:val="single" w:color="auto" w:sz="4" w:space="0"/>
            </w:tcBorders>
            <w:noWrap/>
            <w:vAlign w:val="bottom"/>
          </w:tcPr>
          <w:p w14:paraId="2940DC3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0.26 </w:t>
            </w:r>
          </w:p>
        </w:tc>
        <w:tc>
          <w:tcPr>
            <w:tcW w:w="0" w:type="auto"/>
            <w:tcBorders>
              <w:top w:val="nil"/>
              <w:left w:val="nil"/>
              <w:bottom w:val="single" w:color="auto" w:sz="4" w:space="0"/>
              <w:right w:val="single" w:color="auto" w:sz="4" w:space="0"/>
            </w:tcBorders>
            <w:noWrap/>
            <w:vAlign w:val="bottom"/>
          </w:tcPr>
          <w:p w14:paraId="384E289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27.82 </w:t>
            </w:r>
          </w:p>
        </w:tc>
        <w:tc>
          <w:tcPr>
            <w:tcW w:w="0" w:type="auto"/>
            <w:tcBorders>
              <w:top w:val="nil"/>
              <w:left w:val="nil"/>
              <w:bottom w:val="single" w:color="auto" w:sz="4" w:space="0"/>
              <w:right w:val="single" w:color="auto" w:sz="4" w:space="0"/>
            </w:tcBorders>
            <w:noWrap/>
            <w:vAlign w:val="bottom"/>
          </w:tcPr>
          <w:p w14:paraId="297707B0">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1.85 </w:t>
            </w:r>
          </w:p>
        </w:tc>
      </w:tr>
      <w:tr w14:paraId="1FF8CF20">
        <w:tblPrEx>
          <w:tblCellMar>
            <w:top w:w="0" w:type="dxa"/>
            <w:left w:w="108" w:type="dxa"/>
            <w:bottom w:w="0" w:type="dxa"/>
            <w:right w:w="108" w:type="dxa"/>
          </w:tblCellMar>
        </w:tblPrEx>
        <w:trPr>
          <w:trHeight w:val="300" w:hRule="atLeast"/>
        </w:trPr>
        <w:tc>
          <w:tcPr>
            <w:tcW w:w="0" w:type="auto"/>
            <w:tcBorders>
              <w:top w:val="nil"/>
              <w:left w:val="single" w:color="auto" w:sz="4" w:space="0"/>
              <w:bottom w:val="single" w:color="auto" w:sz="4" w:space="0"/>
              <w:right w:val="single" w:color="auto" w:sz="4" w:space="0"/>
            </w:tcBorders>
            <w:noWrap/>
            <w:vAlign w:val="bottom"/>
          </w:tcPr>
          <w:p w14:paraId="6E6C66E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Total</w:t>
            </w:r>
          </w:p>
        </w:tc>
        <w:tc>
          <w:tcPr>
            <w:tcW w:w="0" w:type="auto"/>
            <w:tcBorders>
              <w:top w:val="nil"/>
              <w:left w:val="nil"/>
              <w:bottom w:val="single" w:color="auto" w:sz="4" w:space="0"/>
              <w:right w:val="single" w:color="auto" w:sz="4" w:space="0"/>
            </w:tcBorders>
            <w:noWrap/>
            <w:vAlign w:val="bottom"/>
          </w:tcPr>
          <w:p w14:paraId="4FB4D1CF">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w:t>
            </w:r>
          </w:p>
        </w:tc>
        <w:tc>
          <w:tcPr>
            <w:tcW w:w="1547" w:type="dxa"/>
            <w:tcBorders>
              <w:top w:val="nil"/>
              <w:left w:val="nil"/>
              <w:bottom w:val="single" w:color="auto" w:sz="4" w:space="0"/>
              <w:right w:val="single" w:color="auto" w:sz="4" w:space="0"/>
            </w:tcBorders>
            <w:noWrap/>
            <w:vAlign w:val="bottom"/>
          </w:tcPr>
          <w:p w14:paraId="66E1D20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495.69 </w:t>
            </w:r>
          </w:p>
        </w:tc>
        <w:tc>
          <w:tcPr>
            <w:tcW w:w="1173" w:type="dxa"/>
            <w:tcBorders>
              <w:top w:val="nil"/>
              <w:left w:val="nil"/>
              <w:bottom w:val="single" w:color="auto" w:sz="4" w:space="0"/>
              <w:right w:val="single" w:color="auto" w:sz="4" w:space="0"/>
            </w:tcBorders>
            <w:noWrap/>
            <w:vAlign w:val="bottom"/>
          </w:tcPr>
          <w:p w14:paraId="004362F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68.99 </w:t>
            </w:r>
          </w:p>
        </w:tc>
        <w:tc>
          <w:tcPr>
            <w:tcW w:w="0" w:type="auto"/>
            <w:tcBorders>
              <w:top w:val="nil"/>
              <w:left w:val="nil"/>
              <w:bottom w:val="single" w:color="auto" w:sz="4" w:space="0"/>
              <w:right w:val="single" w:color="auto" w:sz="4" w:space="0"/>
            </w:tcBorders>
            <w:noWrap/>
            <w:vAlign w:val="bottom"/>
          </w:tcPr>
          <w:p w14:paraId="343839F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320.44 </w:t>
            </w:r>
          </w:p>
        </w:tc>
        <w:tc>
          <w:tcPr>
            <w:tcW w:w="0" w:type="auto"/>
            <w:tcBorders>
              <w:top w:val="nil"/>
              <w:left w:val="nil"/>
              <w:bottom w:val="single" w:color="auto" w:sz="4" w:space="0"/>
              <w:right w:val="single" w:color="auto" w:sz="4" w:space="0"/>
            </w:tcBorders>
            <w:noWrap/>
            <w:vAlign w:val="bottom"/>
          </w:tcPr>
          <w:p w14:paraId="6C151804">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95.79 </w:t>
            </w:r>
          </w:p>
        </w:tc>
        <w:tc>
          <w:tcPr>
            <w:tcW w:w="0" w:type="auto"/>
            <w:tcBorders>
              <w:top w:val="nil"/>
              <w:left w:val="nil"/>
              <w:bottom w:val="single" w:color="auto" w:sz="4" w:space="0"/>
              <w:right w:val="single" w:color="auto" w:sz="4" w:space="0"/>
            </w:tcBorders>
            <w:noWrap/>
            <w:vAlign w:val="bottom"/>
          </w:tcPr>
          <w:p w14:paraId="004744C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9.40 </w:t>
            </w:r>
          </w:p>
        </w:tc>
        <w:tc>
          <w:tcPr>
            <w:tcW w:w="0" w:type="auto"/>
            <w:tcBorders>
              <w:top w:val="nil"/>
              <w:left w:val="nil"/>
              <w:bottom w:val="single" w:color="auto" w:sz="4" w:space="0"/>
              <w:right w:val="single" w:color="auto" w:sz="4" w:space="0"/>
            </w:tcBorders>
            <w:noWrap/>
            <w:vAlign w:val="bottom"/>
          </w:tcPr>
          <w:p w14:paraId="49260206">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5.77 </w:t>
            </w:r>
          </w:p>
        </w:tc>
        <w:tc>
          <w:tcPr>
            <w:tcW w:w="0" w:type="auto"/>
            <w:tcBorders>
              <w:top w:val="nil"/>
              <w:left w:val="nil"/>
              <w:bottom w:val="single" w:color="auto" w:sz="4" w:space="0"/>
              <w:right w:val="single" w:color="auto" w:sz="4" w:space="0"/>
            </w:tcBorders>
            <w:noWrap/>
            <w:vAlign w:val="bottom"/>
          </w:tcPr>
          <w:p w14:paraId="52286C7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2,674.49 </w:t>
            </w:r>
          </w:p>
        </w:tc>
        <w:tc>
          <w:tcPr>
            <w:tcW w:w="0" w:type="auto"/>
            <w:tcBorders>
              <w:top w:val="nil"/>
              <w:left w:val="nil"/>
              <w:bottom w:val="single" w:color="auto" w:sz="4" w:space="0"/>
              <w:right w:val="single" w:color="auto" w:sz="4" w:space="0"/>
            </w:tcBorders>
            <w:noWrap/>
            <w:vAlign w:val="bottom"/>
          </w:tcPr>
          <w:p w14:paraId="73D5A948">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519.23 </w:t>
            </w:r>
          </w:p>
        </w:tc>
        <w:tc>
          <w:tcPr>
            <w:tcW w:w="0" w:type="auto"/>
            <w:tcBorders>
              <w:top w:val="nil"/>
              <w:left w:val="nil"/>
              <w:bottom w:val="single" w:color="auto" w:sz="4" w:space="0"/>
              <w:right w:val="single" w:color="auto" w:sz="4" w:space="0"/>
            </w:tcBorders>
            <w:noWrap/>
            <w:vAlign w:val="bottom"/>
          </w:tcPr>
          <w:p w14:paraId="66CC14C2">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20,187.06 </w:t>
            </w:r>
          </w:p>
        </w:tc>
        <w:tc>
          <w:tcPr>
            <w:tcW w:w="0" w:type="auto"/>
            <w:tcBorders>
              <w:top w:val="nil"/>
              <w:left w:val="nil"/>
              <w:bottom w:val="single" w:color="auto" w:sz="4" w:space="0"/>
              <w:right w:val="single" w:color="auto" w:sz="4" w:space="0"/>
            </w:tcBorders>
            <w:noWrap/>
            <w:vAlign w:val="bottom"/>
          </w:tcPr>
          <w:p w14:paraId="3E453C0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1,963.84 </w:t>
            </w:r>
          </w:p>
        </w:tc>
        <w:tc>
          <w:tcPr>
            <w:tcW w:w="0" w:type="auto"/>
            <w:tcBorders>
              <w:top w:val="nil"/>
              <w:left w:val="nil"/>
              <w:bottom w:val="single" w:color="auto" w:sz="4" w:space="0"/>
              <w:right w:val="single" w:color="auto" w:sz="4" w:space="0"/>
            </w:tcBorders>
            <w:noWrap/>
            <w:vAlign w:val="bottom"/>
          </w:tcPr>
          <w:p w14:paraId="011BD0ED">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73.58 </w:t>
            </w:r>
          </w:p>
        </w:tc>
        <w:tc>
          <w:tcPr>
            <w:tcW w:w="0" w:type="auto"/>
            <w:tcBorders>
              <w:top w:val="nil"/>
              <w:left w:val="nil"/>
              <w:bottom w:val="single" w:color="auto" w:sz="4" w:space="0"/>
              <w:right w:val="single" w:color="auto" w:sz="4" w:space="0"/>
            </w:tcBorders>
            <w:noWrap/>
            <w:vAlign w:val="bottom"/>
          </w:tcPr>
          <w:p w14:paraId="232AD06B">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4.25 </w:t>
            </w:r>
          </w:p>
        </w:tc>
        <w:tc>
          <w:tcPr>
            <w:tcW w:w="0" w:type="auto"/>
            <w:tcBorders>
              <w:top w:val="nil"/>
              <w:left w:val="nil"/>
              <w:bottom w:val="single" w:color="auto" w:sz="4" w:space="0"/>
              <w:right w:val="single" w:color="auto" w:sz="4" w:space="0"/>
            </w:tcBorders>
            <w:noWrap/>
            <w:vAlign w:val="bottom"/>
          </w:tcPr>
          <w:p w14:paraId="3C8A54D1">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16.64 </w:t>
            </w:r>
          </w:p>
        </w:tc>
        <w:tc>
          <w:tcPr>
            <w:tcW w:w="0" w:type="auto"/>
            <w:tcBorders>
              <w:top w:val="nil"/>
              <w:left w:val="nil"/>
              <w:bottom w:val="single" w:color="auto" w:sz="4" w:space="0"/>
              <w:right w:val="single" w:color="auto" w:sz="4" w:space="0"/>
            </w:tcBorders>
            <w:noWrap/>
            <w:vAlign w:val="bottom"/>
          </w:tcPr>
          <w:p w14:paraId="21E4A0E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1.53 </w:t>
            </w:r>
          </w:p>
        </w:tc>
        <w:tc>
          <w:tcPr>
            <w:tcW w:w="0" w:type="auto"/>
            <w:tcBorders>
              <w:top w:val="nil"/>
              <w:left w:val="nil"/>
              <w:bottom w:val="single" w:color="auto" w:sz="4" w:space="0"/>
              <w:right w:val="single" w:color="auto" w:sz="4" w:space="0"/>
            </w:tcBorders>
            <w:noWrap/>
            <w:vAlign w:val="bottom"/>
          </w:tcPr>
          <w:p w14:paraId="5AFD2D95">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43.03 </w:t>
            </w:r>
          </w:p>
        </w:tc>
        <w:tc>
          <w:tcPr>
            <w:tcW w:w="0" w:type="auto"/>
            <w:tcBorders>
              <w:top w:val="nil"/>
              <w:left w:val="nil"/>
              <w:bottom w:val="single" w:color="auto" w:sz="4" w:space="0"/>
              <w:right w:val="single" w:color="auto" w:sz="4" w:space="0"/>
            </w:tcBorders>
            <w:noWrap/>
            <w:vAlign w:val="bottom"/>
          </w:tcPr>
          <w:p w14:paraId="3DCA9667">
            <w:pPr>
              <w:spacing w:after="0" w:line="240" w:lineRule="auto"/>
              <w:rPr>
                <w:rFonts w:ascii="Calibri" w:hAnsi="Calibri" w:eastAsia="Times New Roman" w:cs="Calibri"/>
                <w:color w:val="000000"/>
                <w:sz w:val="14"/>
                <w:szCs w:val="14"/>
              </w:rPr>
            </w:pPr>
            <w:r>
              <w:rPr>
                <w:rFonts w:ascii="Calibri" w:hAnsi="Calibri" w:eastAsia="Times New Roman" w:cs="Calibri"/>
                <w:color w:val="000000"/>
                <w:sz w:val="14"/>
                <w:szCs w:val="14"/>
              </w:rPr>
              <w:t xml:space="preserve">          4.79 </w:t>
            </w:r>
          </w:p>
        </w:tc>
      </w:tr>
    </w:tbl>
    <w:p w14:paraId="500ADAA4">
      <w:pPr>
        <w:pStyle w:val="18"/>
      </w:pPr>
    </w:p>
    <w:p w14:paraId="6B85D72D">
      <w:pPr>
        <w:pStyle w:val="18"/>
        <w:sectPr>
          <w:pgSz w:w="16840" w:h="11907" w:orient="landscape"/>
          <w:pgMar w:top="851" w:right="851" w:bottom="1134" w:left="1134" w:header="720" w:footer="720" w:gutter="0"/>
          <w:cols w:space="720" w:num="1"/>
          <w:docGrid w:linePitch="360" w:charSpace="0"/>
        </w:sectPr>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15</w:t>
      </w:r>
      <w:r>
        <w:fldChar w:fldCharType="end"/>
      </w:r>
    </w:p>
    <w:p w14:paraId="762203BB">
      <w:pPr>
        <w:spacing w:after="0" w:line="240" w:lineRule="auto"/>
        <w:rPr>
          <w:rFonts w:asciiTheme="majorHAnsi" w:hAnsiTheme="majorHAnsi" w:cstheme="majorHAnsi"/>
          <w:sz w:val="24"/>
          <w:szCs w:val="24"/>
          <w:lang w:val="ro-RO" w:eastAsia="en-GB"/>
        </w:rPr>
      </w:pPr>
    </w:p>
    <w:p w14:paraId="278CF919">
      <w:pPr>
        <w:pStyle w:val="4"/>
        <w:spacing w:before="0" w:line="240" w:lineRule="auto"/>
        <w:rPr>
          <w:rFonts w:cstheme="majorHAnsi"/>
          <w:color w:val="auto"/>
          <w:sz w:val="24"/>
          <w:szCs w:val="24"/>
        </w:rPr>
      </w:pPr>
      <w:bookmarkStart w:id="8" w:name="_ANEXA_Nr._3"/>
      <w:bookmarkEnd w:id="8"/>
      <w:r>
        <w:rPr>
          <w:rFonts w:cstheme="majorHAnsi"/>
          <w:color w:val="auto"/>
          <w:sz w:val="24"/>
          <w:szCs w:val="24"/>
        </w:rPr>
        <w:t>ANEXA Nr. 3 la caietul de sarcini</w:t>
      </w:r>
    </w:p>
    <w:p w14:paraId="1D188FFF">
      <w:pPr>
        <w:spacing w:after="0" w:line="240" w:lineRule="auto"/>
        <w:rPr>
          <w:rFonts w:asciiTheme="majorHAnsi" w:hAnsiTheme="majorHAnsi" w:cstheme="majorHAnsi"/>
          <w:sz w:val="24"/>
          <w:szCs w:val="24"/>
          <w:lang w:val="ro-RO" w:eastAsia="en-GB"/>
        </w:rPr>
      </w:pPr>
    </w:p>
    <w:p w14:paraId="19DF71FC">
      <w:pPr>
        <w:spacing w:after="0" w:line="240" w:lineRule="auto"/>
        <w:jc w:val="center"/>
        <w:rPr>
          <w:rFonts w:eastAsia="Times New Roman" w:asciiTheme="majorHAnsi" w:hAnsiTheme="majorHAnsi" w:cstheme="majorHAnsi"/>
          <w:b/>
          <w:bCs/>
          <w:sz w:val="24"/>
          <w:szCs w:val="24"/>
        </w:rPr>
      </w:pPr>
      <w:r>
        <w:rPr>
          <w:rFonts w:eastAsia="Times New Roman" w:asciiTheme="majorHAnsi" w:hAnsiTheme="majorHAnsi" w:cstheme="majorHAnsi"/>
          <w:b/>
          <w:bCs/>
          <w:sz w:val="24"/>
          <w:szCs w:val="24"/>
        </w:rPr>
        <w:t>Tipul punctelor de colectare şi capacitatea/volumul recipientelor pentru colectarea fracţiilor de deşeuri municipale</w:t>
      </w:r>
    </w:p>
    <w:p w14:paraId="10E85EB1">
      <w:pPr>
        <w:spacing w:after="0" w:line="240" w:lineRule="auto"/>
        <w:rPr>
          <w:rFonts w:eastAsia="Times New Roman" w:asciiTheme="majorHAnsi" w:hAnsiTheme="majorHAnsi" w:cstheme="majorHAnsi"/>
          <w:b/>
          <w:bCs/>
          <w:sz w:val="24"/>
          <w:szCs w:val="24"/>
        </w:rPr>
      </w:pPr>
    </w:p>
    <w:p w14:paraId="0A539CC8">
      <w:pPr>
        <w:spacing w:after="0" w:line="240" w:lineRule="auto"/>
        <w:rPr>
          <w:rFonts w:eastAsia="Times New Roman" w:asciiTheme="majorHAnsi" w:hAnsiTheme="majorHAnsi" w:cstheme="majorHAnsi"/>
          <w:b/>
          <w:bCs/>
          <w:sz w:val="24"/>
          <w:szCs w:val="24"/>
        </w:rPr>
      </w:pPr>
    </w:p>
    <w:tbl>
      <w:tblPr>
        <w:tblStyle w:val="12"/>
        <w:tblW w:w="5000" w:type="pct"/>
        <w:tblInd w:w="0" w:type="dxa"/>
        <w:tblLayout w:type="autofit"/>
        <w:tblCellMar>
          <w:top w:w="0" w:type="dxa"/>
          <w:left w:w="108" w:type="dxa"/>
          <w:bottom w:w="0" w:type="dxa"/>
          <w:right w:w="108" w:type="dxa"/>
        </w:tblCellMar>
      </w:tblPr>
      <w:tblGrid>
        <w:gridCol w:w="1266"/>
        <w:gridCol w:w="2046"/>
        <w:gridCol w:w="954"/>
        <w:gridCol w:w="1174"/>
        <w:gridCol w:w="1174"/>
        <w:gridCol w:w="1174"/>
        <w:gridCol w:w="1175"/>
        <w:gridCol w:w="1175"/>
      </w:tblGrid>
      <w:tr w14:paraId="36AC167E">
        <w:tblPrEx>
          <w:tblCellMar>
            <w:top w:w="0" w:type="dxa"/>
            <w:left w:w="108" w:type="dxa"/>
            <w:bottom w:w="0" w:type="dxa"/>
            <w:right w:w="108" w:type="dxa"/>
          </w:tblCellMar>
        </w:tblPrEx>
        <w:trPr>
          <w:trHeight w:val="1200" w:hRule="atLeast"/>
        </w:trPr>
        <w:tc>
          <w:tcPr>
            <w:tcW w:w="785" w:type="pct"/>
            <w:tcBorders>
              <w:top w:val="single" w:color="auto" w:sz="4" w:space="0"/>
              <w:left w:val="single" w:color="auto" w:sz="4" w:space="0"/>
              <w:bottom w:val="single" w:color="auto" w:sz="4" w:space="0"/>
              <w:right w:val="single" w:color="auto" w:sz="4" w:space="0"/>
            </w:tcBorders>
            <w:shd w:val="clear" w:color="000000" w:fill="FFFFFF"/>
            <w:vAlign w:val="center"/>
          </w:tcPr>
          <w:p w14:paraId="170F66D7">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Nr. Crt.</w:t>
            </w:r>
          </w:p>
        </w:tc>
        <w:tc>
          <w:tcPr>
            <w:tcW w:w="1170" w:type="pct"/>
            <w:tcBorders>
              <w:top w:val="single" w:color="auto" w:sz="4" w:space="0"/>
              <w:left w:val="nil"/>
              <w:bottom w:val="single" w:color="auto" w:sz="4" w:space="0"/>
              <w:right w:val="single" w:color="auto" w:sz="4" w:space="0"/>
            </w:tcBorders>
            <w:shd w:val="clear" w:color="000000" w:fill="FFFFFF"/>
            <w:vAlign w:val="center"/>
          </w:tcPr>
          <w:p w14:paraId="44E90E56">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Localitatea</w:t>
            </w:r>
          </w:p>
        </w:tc>
        <w:tc>
          <w:tcPr>
            <w:tcW w:w="561" w:type="pct"/>
            <w:tcBorders>
              <w:top w:val="single" w:color="auto" w:sz="4" w:space="0"/>
              <w:left w:val="nil"/>
              <w:bottom w:val="single" w:color="auto" w:sz="4" w:space="0"/>
              <w:right w:val="single" w:color="auto" w:sz="4" w:space="0"/>
            </w:tcBorders>
            <w:shd w:val="clear" w:color="000000" w:fill="FFFFFF"/>
            <w:vAlign w:val="center"/>
          </w:tcPr>
          <w:p w14:paraId="3BD7E27B">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Total Platforme (număr)</w:t>
            </w:r>
          </w:p>
        </w:tc>
        <w:tc>
          <w:tcPr>
            <w:tcW w:w="484" w:type="pct"/>
            <w:tcBorders>
              <w:top w:val="single" w:color="auto" w:sz="4" w:space="0"/>
              <w:left w:val="nil"/>
              <w:bottom w:val="single" w:color="auto" w:sz="4" w:space="0"/>
              <w:right w:val="single" w:color="auto" w:sz="4" w:space="0"/>
            </w:tcBorders>
            <w:shd w:val="clear" w:color="000000" w:fill="FFFFFF"/>
            <w:vAlign w:val="center"/>
          </w:tcPr>
          <w:p w14:paraId="641853C3">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Platforma cu 1 container (număr)</w:t>
            </w:r>
          </w:p>
        </w:tc>
        <w:tc>
          <w:tcPr>
            <w:tcW w:w="484" w:type="pct"/>
            <w:tcBorders>
              <w:top w:val="single" w:color="auto" w:sz="4" w:space="0"/>
              <w:left w:val="nil"/>
              <w:bottom w:val="single" w:color="auto" w:sz="4" w:space="0"/>
              <w:right w:val="single" w:color="auto" w:sz="4" w:space="0"/>
            </w:tcBorders>
            <w:shd w:val="clear" w:color="000000" w:fill="FFFFFF"/>
            <w:vAlign w:val="center"/>
          </w:tcPr>
          <w:p w14:paraId="145239D5">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Platforma cu 2 containere (număr)</w:t>
            </w:r>
          </w:p>
        </w:tc>
        <w:tc>
          <w:tcPr>
            <w:tcW w:w="484" w:type="pct"/>
            <w:tcBorders>
              <w:top w:val="single" w:color="auto" w:sz="4" w:space="0"/>
              <w:left w:val="nil"/>
              <w:bottom w:val="single" w:color="auto" w:sz="4" w:space="0"/>
              <w:right w:val="single" w:color="auto" w:sz="4" w:space="0"/>
            </w:tcBorders>
            <w:shd w:val="clear" w:color="000000" w:fill="FFFFFF"/>
            <w:vAlign w:val="center"/>
          </w:tcPr>
          <w:p w14:paraId="318159A0">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Platforma cu 3 containere (număr)</w:t>
            </w:r>
          </w:p>
        </w:tc>
        <w:tc>
          <w:tcPr>
            <w:tcW w:w="484" w:type="pct"/>
            <w:tcBorders>
              <w:top w:val="single" w:color="auto" w:sz="4" w:space="0"/>
              <w:left w:val="nil"/>
              <w:bottom w:val="single" w:color="auto" w:sz="4" w:space="0"/>
              <w:right w:val="single" w:color="auto" w:sz="4" w:space="0"/>
            </w:tcBorders>
            <w:shd w:val="clear" w:color="000000" w:fill="FFFFFF"/>
            <w:vAlign w:val="center"/>
          </w:tcPr>
          <w:p w14:paraId="4A582046">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Platforma cu 4 containere (număr)</w:t>
            </w:r>
          </w:p>
        </w:tc>
        <w:tc>
          <w:tcPr>
            <w:tcW w:w="548" w:type="pct"/>
            <w:tcBorders>
              <w:top w:val="single" w:color="auto" w:sz="4" w:space="0"/>
              <w:left w:val="nil"/>
              <w:bottom w:val="single" w:color="auto" w:sz="4" w:space="0"/>
              <w:right w:val="single" w:color="auto" w:sz="4" w:space="0"/>
            </w:tcBorders>
            <w:shd w:val="clear" w:color="000000" w:fill="FFFFFF"/>
            <w:vAlign w:val="center"/>
          </w:tcPr>
          <w:p w14:paraId="31DAEC68">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Platforma cu 6 containere (număr)</w:t>
            </w:r>
          </w:p>
        </w:tc>
      </w:tr>
      <w:tr w14:paraId="60CF31FB">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02E7A8E8">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w:t>
            </w:r>
          </w:p>
        </w:tc>
        <w:tc>
          <w:tcPr>
            <w:tcW w:w="1170" w:type="pct"/>
            <w:tcBorders>
              <w:top w:val="nil"/>
              <w:left w:val="nil"/>
              <w:bottom w:val="single" w:color="auto" w:sz="4" w:space="0"/>
              <w:right w:val="single" w:color="auto" w:sz="4" w:space="0"/>
            </w:tcBorders>
            <w:shd w:val="clear" w:color="000000" w:fill="FFFFFF"/>
            <w:vAlign w:val="center"/>
          </w:tcPr>
          <w:p w14:paraId="0C478A8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Municipiul Oltenița</w:t>
            </w:r>
          </w:p>
        </w:tc>
        <w:tc>
          <w:tcPr>
            <w:tcW w:w="561" w:type="pct"/>
            <w:tcBorders>
              <w:top w:val="nil"/>
              <w:left w:val="nil"/>
              <w:bottom w:val="single" w:color="auto" w:sz="4" w:space="0"/>
              <w:right w:val="single" w:color="auto" w:sz="4" w:space="0"/>
            </w:tcBorders>
            <w:shd w:val="clear" w:color="000000" w:fill="FFFFFF"/>
            <w:vAlign w:val="center"/>
          </w:tcPr>
          <w:p w14:paraId="2F9AF48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8</w:t>
            </w:r>
          </w:p>
        </w:tc>
        <w:tc>
          <w:tcPr>
            <w:tcW w:w="484" w:type="pct"/>
            <w:tcBorders>
              <w:top w:val="nil"/>
              <w:left w:val="nil"/>
              <w:bottom w:val="single" w:color="auto" w:sz="4" w:space="0"/>
              <w:right w:val="single" w:color="auto" w:sz="4" w:space="0"/>
            </w:tcBorders>
            <w:shd w:val="clear" w:color="000000" w:fill="FFFFFF"/>
            <w:vAlign w:val="center"/>
          </w:tcPr>
          <w:p w14:paraId="66A3BD71">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32A783E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5F7C5A5C">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8</w:t>
            </w:r>
          </w:p>
        </w:tc>
        <w:tc>
          <w:tcPr>
            <w:tcW w:w="484" w:type="pct"/>
            <w:tcBorders>
              <w:top w:val="nil"/>
              <w:left w:val="nil"/>
              <w:bottom w:val="single" w:color="auto" w:sz="4" w:space="0"/>
              <w:right w:val="single" w:color="auto" w:sz="4" w:space="0"/>
            </w:tcBorders>
            <w:shd w:val="clear" w:color="000000" w:fill="FFFFFF"/>
            <w:vAlign w:val="center"/>
          </w:tcPr>
          <w:p w14:paraId="40A357A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5566B8D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4A405F78">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07BD446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w:t>
            </w:r>
          </w:p>
        </w:tc>
        <w:tc>
          <w:tcPr>
            <w:tcW w:w="1170" w:type="pct"/>
            <w:tcBorders>
              <w:top w:val="nil"/>
              <w:left w:val="nil"/>
              <w:bottom w:val="single" w:color="auto" w:sz="4" w:space="0"/>
              <w:right w:val="single" w:color="auto" w:sz="4" w:space="0"/>
            </w:tcBorders>
            <w:shd w:val="clear" w:color="000000" w:fill="FFFFFF"/>
            <w:vAlign w:val="center"/>
          </w:tcPr>
          <w:p w14:paraId="02F5CB35">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Oraș Budești</w:t>
            </w:r>
          </w:p>
        </w:tc>
        <w:tc>
          <w:tcPr>
            <w:tcW w:w="561" w:type="pct"/>
            <w:tcBorders>
              <w:top w:val="nil"/>
              <w:left w:val="nil"/>
              <w:bottom w:val="single" w:color="auto" w:sz="4" w:space="0"/>
              <w:right w:val="single" w:color="auto" w:sz="4" w:space="0"/>
            </w:tcBorders>
            <w:shd w:val="clear" w:color="000000" w:fill="FFFFFF"/>
            <w:vAlign w:val="center"/>
          </w:tcPr>
          <w:p w14:paraId="2A81750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38</w:t>
            </w:r>
          </w:p>
        </w:tc>
        <w:tc>
          <w:tcPr>
            <w:tcW w:w="484" w:type="pct"/>
            <w:tcBorders>
              <w:top w:val="nil"/>
              <w:left w:val="nil"/>
              <w:bottom w:val="single" w:color="auto" w:sz="4" w:space="0"/>
              <w:right w:val="single" w:color="auto" w:sz="4" w:space="0"/>
            </w:tcBorders>
            <w:shd w:val="clear" w:color="000000" w:fill="FFFFFF"/>
            <w:vAlign w:val="center"/>
          </w:tcPr>
          <w:p w14:paraId="4373D0BC">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4D1B8D72">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23</w:t>
            </w:r>
          </w:p>
        </w:tc>
        <w:tc>
          <w:tcPr>
            <w:tcW w:w="484" w:type="pct"/>
            <w:tcBorders>
              <w:top w:val="nil"/>
              <w:left w:val="nil"/>
              <w:bottom w:val="single" w:color="auto" w:sz="4" w:space="0"/>
              <w:right w:val="single" w:color="auto" w:sz="4" w:space="0"/>
            </w:tcBorders>
            <w:shd w:val="clear" w:color="000000" w:fill="FFFFFF"/>
            <w:vAlign w:val="center"/>
          </w:tcPr>
          <w:p w14:paraId="350E1D6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15</w:t>
            </w:r>
          </w:p>
        </w:tc>
        <w:tc>
          <w:tcPr>
            <w:tcW w:w="484" w:type="pct"/>
            <w:tcBorders>
              <w:top w:val="nil"/>
              <w:left w:val="nil"/>
              <w:bottom w:val="single" w:color="auto" w:sz="4" w:space="0"/>
              <w:right w:val="single" w:color="auto" w:sz="4" w:space="0"/>
            </w:tcBorders>
            <w:shd w:val="clear" w:color="000000" w:fill="FFFFFF"/>
            <w:vAlign w:val="center"/>
          </w:tcPr>
          <w:p w14:paraId="798A4A0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49472AC3">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316C0219">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229B5643">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w:t>
            </w:r>
          </w:p>
        </w:tc>
        <w:tc>
          <w:tcPr>
            <w:tcW w:w="1170" w:type="pct"/>
            <w:tcBorders>
              <w:top w:val="nil"/>
              <w:left w:val="nil"/>
              <w:bottom w:val="single" w:color="auto" w:sz="4" w:space="0"/>
              <w:right w:val="single" w:color="auto" w:sz="4" w:space="0"/>
            </w:tcBorders>
            <w:shd w:val="clear" w:color="000000" w:fill="FFFFFF"/>
            <w:vAlign w:val="center"/>
          </w:tcPr>
          <w:p w14:paraId="3C490FB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Cascioarele</w:t>
            </w:r>
          </w:p>
        </w:tc>
        <w:tc>
          <w:tcPr>
            <w:tcW w:w="561" w:type="pct"/>
            <w:tcBorders>
              <w:top w:val="nil"/>
              <w:left w:val="nil"/>
              <w:bottom w:val="single" w:color="auto" w:sz="4" w:space="0"/>
              <w:right w:val="single" w:color="auto" w:sz="4" w:space="0"/>
            </w:tcBorders>
            <w:shd w:val="clear" w:color="000000" w:fill="FFFFFF"/>
            <w:vAlign w:val="center"/>
          </w:tcPr>
          <w:p w14:paraId="59EDF032">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15</w:t>
            </w:r>
          </w:p>
        </w:tc>
        <w:tc>
          <w:tcPr>
            <w:tcW w:w="484" w:type="pct"/>
            <w:tcBorders>
              <w:top w:val="nil"/>
              <w:left w:val="nil"/>
              <w:bottom w:val="single" w:color="auto" w:sz="4" w:space="0"/>
              <w:right w:val="single" w:color="auto" w:sz="4" w:space="0"/>
            </w:tcBorders>
            <w:shd w:val="clear" w:color="000000" w:fill="FFFFFF"/>
            <w:vAlign w:val="center"/>
          </w:tcPr>
          <w:p w14:paraId="182497E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5</w:t>
            </w:r>
          </w:p>
        </w:tc>
        <w:tc>
          <w:tcPr>
            <w:tcW w:w="484" w:type="pct"/>
            <w:tcBorders>
              <w:top w:val="nil"/>
              <w:left w:val="nil"/>
              <w:bottom w:val="single" w:color="auto" w:sz="4" w:space="0"/>
              <w:right w:val="single" w:color="auto" w:sz="4" w:space="0"/>
            </w:tcBorders>
            <w:shd w:val="clear" w:color="000000" w:fill="FFFFFF"/>
            <w:vAlign w:val="center"/>
          </w:tcPr>
          <w:p w14:paraId="4EE3C49E">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12FAC37C">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10</w:t>
            </w:r>
          </w:p>
        </w:tc>
        <w:tc>
          <w:tcPr>
            <w:tcW w:w="484" w:type="pct"/>
            <w:tcBorders>
              <w:top w:val="nil"/>
              <w:left w:val="nil"/>
              <w:bottom w:val="single" w:color="auto" w:sz="4" w:space="0"/>
              <w:right w:val="single" w:color="auto" w:sz="4" w:space="0"/>
            </w:tcBorders>
            <w:shd w:val="clear" w:color="000000" w:fill="FFFFFF"/>
            <w:vAlign w:val="center"/>
          </w:tcPr>
          <w:p w14:paraId="392A169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1EB218BE">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341C4A47">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1799411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w:t>
            </w:r>
          </w:p>
        </w:tc>
        <w:tc>
          <w:tcPr>
            <w:tcW w:w="1170" w:type="pct"/>
            <w:tcBorders>
              <w:top w:val="nil"/>
              <w:left w:val="nil"/>
              <w:bottom w:val="single" w:color="auto" w:sz="4" w:space="0"/>
              <w:right w:val="single" w:color="auto" w:sz="4" w:space="0"/>
            </w:tcBorders>
            <w:shd w:val="clear" w:color="000000" w:fill="FFFFFF"/>
            <w:vAlign w:val="center"/>
          </w:tcPr>
          <w:p w14:paraId="6D62D82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Chirnogi</w:t>
            </w:r>
          </w:p>
        </w:tc>
        <w:tc>
          <w:tcPr>
            <w:tcW w:w="561" w:type="pct"/>
            <w:tcBorders>
              <w:top w:val="nil"/>
              <w:left w:val="nil"/>
              <w:bottom w:val="single" w:color="auto" w:sz="4" w:space="0"/>
              <w:right w:val="single" w:color="auto" w:sz="4" w:space="0"/>
            </w:tcBorders>
            <w:shd w:val="clear" w:color="000000" w:fill="FFFFFF"/>
            <w:vAlign w:val="center"/>
          </w:tcPr>
          <w:p w14:paraId="040C7232">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70</w:t>
            </w:r>
          </w:p>
        </w:tc>
        <w:tc>
          <w:tcPr>
            <w:tcW w:w="484" w:type="pct"/>
            <w:tcBorders>
              <w:top w:val="nil"/>
              <w:left w:val="nil"/>
              <w:bottom w:val="single" w:color="auto" w:sz="4" w:space="0"/>
              <w:right w:val="single" w:color="auto" w:sz="4" w:space="0"/>
            </w:tcBorders>
            <w:shd w:val="clear" w:color="000000" w:fill="FFFFFF"/>
            <w:vAlign w:val="center"/>
          </w:tcPr>
          <w:p w14:paraId="6C85AA06">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38</w:t>
            </w:r>
          </w:p>
        </w:tc>
        <w:tc>
          <w:tcPr>
            <w:tcW w:w="484" w:type="pct"/>
            <w:tcBorders>
              <w:top w:val="nil"/>
              <w:left w:val="nil"/>
              <w:bottom w:val="single" w:color="auto" w:sz="4" w:space="0"/>
              <w:right w:val="single" w:color="auto" w:sz="4" w:space="0"/>
            </w:tcBorders>
            <w:shd w:val="clear" w:color="000000" w:fill="FFFFFF"/>
            <w:vAlign w:val="center"/>
          </w:tcPr>
          <w:p w14:paraId="5ED89B6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15</w:t>
            </w:r>
          </w:p>
        </w:tc>
        <w:tc>
          <w:tcPr>
            <w:tcW w:w="484" w:type="pct"/>
            <w:tcBorders>
              <w:top w:val="nil"/>
              <w:left w:val="nil"/>
              <w:bottom w:val="single" w:color="auto" w:sz="4" w:space="0"/>
              <w:right w:val="single" w:color="auto" w:sz="4" w:space="0"/>
            </w:tcBorders>
            <w:shd w:val="clear" w:color="000000" w:fill="FFFFFF"/>
            <w:vAlign w:val="center"/>
          </w:tcPr>
          <w:p w14:paraId="36CF3FCC">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11</w:t>
            </w:r>
          </w:p>
        </w:tc>
        <w:tc>
          <w:tcPr>
            <w:tcW w:w="484" w:type="pct"/>
            <w:tcBorders>
              <w:top w:val="nil"/>
              <w:left w:val="nil"/>
              <w:bottom w:val="single" w:color="auto" w:sz="4" w:space="0"/>
              <w:right w:val="single" w:color="auto" w:sz="4" w:space="0"/>
            </w:tcBorders>
            <w:shd w:val="clear" w:color="000000" w:fill="FFFFFF"/>
            <w:vAlign w:val="center"/>
          </w:tcPr>
          <w:p w14:paraId="47CF4C7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6</w:t>
            </w:r>
          </w:p>
        </w:tc>
        <w:tc>
          <w:tcPr>
            <w:tcW w:w="548" w:type="pct"/>
            <w:tcBorders>
              <w:top w:val="nil"/>
              <w:left w:val="nil"/>
              <w:bottom w:val="single" w:color="auto" w:sz="4" w:space="0"/>
              <w:right w:val="single" w:color="auto" w:sz="4" w:space="0"/>
            </w:tcBorders>
            <w:shd w:val="clear" w:color="000000" w:fill="FFFFFF"/>
            <w:vAlign w:val="center"/>
          </w:tcPr>
          <w:p w14:paraId="76B5B63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437106F3">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3C5A47A8">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5</w:t>
            </w:r>
          </w:p>
        </w:tc>
        <w:tc>
          <w:tcPr>
            <w:tcW w:w="1170" w:type="pct"/>
            <w:tcBorders>
              <w:top w:val="nil"/>
              <w:left w:val="nil"/>
              <w:bottom w:val="single" w:color="auto" w:sz="4" w:space="0"/>
              <w:right w:val="single" w:color="auto" w:sz="4" w:space="0"/>
            </w:tcBorders>
            <w:shd w:val="clear" w:color="000000" w:fill="FFFFFF"/>
            <w:vAlign w:val="center"/>
          </w:tcPr>
          <w:p w14:paraId="6E7BC4E8">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Chiselet</w:t>
            </w:r>
          </w:p>
        </w:tc>
        <w:tc>
          <w:tcPr>
            <w:tcW w:w="561" w:type="pct"/>
            <w:tcBorders>
              <w:top w:val="nil"/>
              <w:left w:val="nil"/>
              <w:bottom w:val="single" w:color="auto" w:sz="4" w:space="0"/>
              <w:right w:val="single" w:color="auto" w:sz="4" w:space="0"/>
            </w:tcBorders>
            <w:shd w:val="clear" w:color="000000" w:fill="FFFFFF"/>
            <w:vAlign w:val="center"/>
          </w:tcPr>
          <w:p w14:paraId="1D3DE00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40</w:t>
            </w:r>
          </w:p>
        </w:tc>
        <w:tc>
          <w:tcPr>
            <w:tcW w:w="484" w:type="pct"/>
            <w:tcBorders>
              <w:top w:val="nil"/>
              <w:left w:val="nil"/>
              <w:bottom w:val="single" w:color="auto" w:sz="4" w:space="0"/>
              <w:right w:val="single" w:color="auto" w:sz="4" w:space="0"/>
            </w:tcBorders>
            <w:shd w:val="clear" w:color="000000" w:fill="FFFFFF"/>
            <w:vAlign w:val="center"/>
          </w:tcPr>
          <w:p w14:paraId="69C968F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32</w:t>
            </w:r>
          </w:p>
        </w:tc>
        <w:tc>
          <w:tcPr>
            <w:tcW w:w="484" w:type="pct"/>
            <w:tcBorders>
              <w:top w:val="nil"/>
              <w:left w:val="nil"/>
              <w:bottom w:val="single" w:color="auto" w:sz="4" w:space="0"/>
              <w:right w:val="single" w:color="auto" w:sz="4" w:space="0"/>
            </w:tcBorders>
            <w:shd w:val="clear" w:color="000000" w:fill="FFFFFF"/>
            <w:vAlign w:val="center"/>
          </w:tcPr>
          <w:p w14:paraId="6ECC39B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2BD03DD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8</w:t>
            </w:r>
          </w:p>
        </w:tc>
        <w:tc>
          <w:tcPr>
            <w:tcW w:w="484" w:type="pct"/>
            <w:tcBorders>
              <w:top w:val="nil"/>
              <w:left w:val="nil"/>
              <w:bottom w:val="single" w:color="auto" w:sz="4" w:space="0"/>
              <w:right w:val="single" w:color="auto" w:sz="4" w:space="0"/>
            </w:tcBorders>
            <w:shd w:val="clear" w:color="000000" w:fill="FFFFFF"/>
            <w:vAlign w:val="center"/>
          </w:tcPr>
          <w:p w14:paraId="6EE01DE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26E8938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6D597476">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62246EBE">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6</w:t>
            </w:r>
          </w:p>
        </w:tc>
        <w:tc>
          <w:tcPr>
            <w:tcW w:w="1170" w:type="pct"/>
            <w:tcBorders>
              <w:top w:val="nil"/>
              <w:left w:val="nil"/>
              <w:bottom w:val="single" w:color="auto" w:sz="4" w:space="0"/>
              <w:right w:val="single" w:color="auto" w:sz="4" w:space="0"/>
            </w:tcBorders>
            <w:shd w:val="clear" w:color="000000" w:fill="FFFFFF"/>
            <w:vAlign w:val="center"/>
          </w:tcPr>
          <w:p w14:paraId="2AB9606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Crivăț</w:t>
            </w:r>
          </w:p>
        </w:tc>
        <w:tc>
          <w:tcPr>
            <w:tcW w:w="561" w:type="pct"/>
            <w:tcBorders>
              <w:top w:val="nil"/>
              <w:left w:val="nil"/>
              <w:bottom w:val="single" w:color="auto" w:sz="4" w:space="0"/>
              <w:right w:val="single" w:color="auto" w:sz="4" w:space="0"/>
            </w:tcBorders>
            <w:shd w:val="clear" w:color="000000" w:fill="FFFFFF"/>
            <w:vAlign w:val="center"/>
          </w:tcPr>
          <w:p w14:paraId="24B3AF5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27</w:t>
            </w:r>
          </w:p>
        </w:tc>
        <w:tc>
          <w:tcPr>
            <w:tcW w:w="484" w:type="pct"/>
            <w:tcBorders>
              <w:top w:val="nil"/>
              <w:left w:val="nil"/>
              <w:bottom w:val="single" w:color="auto" w:sz="4" w:space="0"/>
              <w:right w:val="single" w:color="auto" w:sz="4" w:space="0"/>
            </w:tcBorders>
            <w:shd w:val="clear" w:color="000000" w:fill="FFFFFF"/>
            <w:vAlign w:val="center"/>
          </w:tcPr>
          <w:p w14:paraId="1C5ACD1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22</w:t>
            </w:r>
          </w:p>
        </w:tc>
        <w:tc>
          <w:tcPr>
            <w:tcW w:w="484" w:type="pct"/>
            <w:tcBorders>
              <w:top w:val="nil"/>
              <w:left w:val="nil"/>
              <w:bottom w:val="single" w:color="auto" w:sz="4" w:space="0"/>
              <w:right w:val="single" w:color="auto" w:sz="4" w:space="0"/>
            </w:tcBorders>
            <w:shd w:val="clear" w:color="000000" w:fill="FFFFFF"/>
            <w:vAlign w:val="center"/>
          </w:tcPr>
          <w:p w14:paraId="6279AF95">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7151DFFC">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5</w:t>
            </w:r>
          </w:p>
        </w:tc>
        <w:tc>
          <w:tcPr>
            <w:tcW w:w="484" w:type="pct"/>
            <w:tcBorders>
              <w:top w:val="nil"/>
              <w:left w:val="nil"/>
              <w:bottom w:val="single" w:color="auto" w:sz="4" w:space="0"/>
              <w:right w:val="single" w:color="auto" w:sz="4" w:space="0"/>
            </w:tcBorders>
            <w:shd w:val="clear" w:color="000000" w:fill="FFFFFF"/>
            <w:vAlign w:val="center"/>
          </w:tcPr>
          <w:p w14:paraId="6D0AC63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5163665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564FBC29">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1BD5CBCE">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7</w:t>
            </w:r>
          </w:p>
        </w:tc>
        <w:tc>
          <w:tcPr>
            <w:tcW w:w="1170" w:type="pct"/>
            <w:tcBorders>
              <w:top w:val="nil"/>
              <w:left w:val="nil"/>
              <w:bottom w:val="single" w:color="auto" w:sz="4" w:space="0"/>
              <w:right w:val="single" w:color="auto" w:sz="4" w:space="0"/>
            </w:tcBorders>
            <w:shd w:val="clear" w:color="000000" w:fill="FFFFFF"/>
            <w:vAlign w:val="center"/>
          </w:tcPr>
          <w:p w14:paraId="73F857E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Curcani</w:t>
            </w:r>
          </w:p>
        </w:tc>
        <w:tc>
          <w:tcPr>
            <w:tcW w:w="561" w:type="pct"/>
            <w:tcBorders>
              <w:top w:val="nil"/>
              <w:left w:val="nil"/>
              <w:bottom w:val="single" w:color="auto" w:sz="4" w:space="0"/>
              <w:right w:val="single" w:color="auto" w:sz="4" w:space="0"/>
            </w:tcBorders>
            <w:shd w:val="clear" w:color="000000" w:fill="FFFFFF"/>
            <w:vAlign w:val="center"/>
          </w:tcPr>
          <w:p w14:paraId="1951305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46</w:t>
            </w:r>
          </w:p>
        </w:tc>
        <w:tc>
          <w:tcPr>
            <w:tcW w:w="484" w:type="pct"/>
            <w:tcBorders>
              <w:top w:val="nil"/>
              <w:left w:val="nil"/>
              <w:bottom w:val="single" w:color="auto" w:sz="4" w:space="0"/>
              <w:right w:val="single" w:color="auto" w:sz="4" w:space="0"/>
            </w:tcBorders>
            <w:shd w:val="clear" w:color="000000" w:fill="FFFFFF"/>
            <w:vAlign w:val="center"/>
          </w:tcPr>
          <w:p w14:paraId="5AB8DB3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22</w:t>
            </w:r>
          </w:p>
        </w:tc>
        <w:tc>
          <w:tcPr>
            <w:tcW w:w="484" w:type="pct"/>
            <w:tcBorders>
              <w:top w:val="nil"/>
              <w:left w:val="nil"/>
              <w:bottom w:val="single" w:color="auto" w:sz="4" w:space="0"/>
              <w:right w:val="single" w:color="auto" w:sz="4" w:space="0"/>
            </w:tcBorders>
            <w:shd w:val="clear" w:color="000000" w:fill="FFFFFF"/>
            <w:vAlign w:val="center"/>
          </w:tcPr>
          <w:p w14:paraId="00BEA3C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13</w:t>
            </w:r>
          </w:p>
        </w:tc>
        <w:tc>
          <w:tcPr>
            <w:tcW w:w="484" w:type="pct"/>
            <w:tcBorders>
              <w:top w:val="nil"/>
              <w:left w:val="nil"/>
              <w:bottom w:val="single" w:color="auto" w:sz="4" w:space="0"/>
              <w:right w:val="single" w:color="auto" w:sz="4" w:space="0"/>
            </w:tcBorders>
            <w:shd w:val="clear" w:color="000000" w:fill="FFFFFF"/>
            <w:vAlign w:val="center"/>
          </w:tcPr>
          <w:p w14:paraId="2C9CBD4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11</w:t>
            </w:r>
          </w:p>
        </w:tc>
        <w:tc>
          <w:tcPr>
            <w:tcW w:w="484" w:type="pct"/>
            <w:tcBorders>
              <w:top w:val="nil"/>
              <w:left w:val="nil"/>
              <w:bottom w:val="single" w:color="auto" w:sz="4" w:space="0"/>
              <w:right w:val="single" w:color="auto" w:sz="4" w:space="0"/>
            </w:tcBorders>
            <w:shd w:val="clear" w:color="000000" w:fill="FFFFFF"/>
            <w:vAlign w:val="center"/>
          </w:tcPr>
          <w:p w14:paraId="14159C3E">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1C17C0E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760492AC">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4BF2647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8</w:t>
            </w:r>
          </w:p>
        </w:tc>
        <w:tc>
          <w:tcPr>
            <w:tcW w:w="1170" w:type="pct"/>
            <w:tcBorders>
              <w:top w:val="nil"/>
              <w:left w:val="nil"/>
              <w:bottom w:val="single" w:color="auto" w:sz="4" w:space="0"/>
              <w:right w:val="single" w:color="auto" w:sz="4" w:space="0"/>
            </w:tcBorders>
            <w:shd w:val="clear" w:color="000000" w:fill="FFFFFF"/>
            <w:vAlign w:val="center"/>
          </w:tcPr>
          <w:p w14:paraId="2D054396">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Frumușani</w:t>
            </w:r>
          </w:p>
        </w:tc>
        <w:tc>
          <w:tcPr>
            <w:tcW w:w="561" w:type="pct"/>
            <w:tcBorders>
              <w:top w:val="nil"/>
              <w:left w:val="nil"/>
              <w:bottom w:val="single" w:color="auto" w:sz="4" w:space="0"/>
              <w:right w:val="single" w:color="auto" w:sz="4" w:space="0"/>
            </w:tcBorders>
            <w:shd w:val="clear" w:color="000000" w:fill="FFFFFF"/>
            <w:vAlign w:val="center"/>
          </w:tcPr>
          <w:p w14:paraId="3DFE8BD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36</w:t>
            </w:r>
          </w:p>
        </w:tc>
        <w:tc>
          <w:tcPr>
            <w:tcW w:w="484" w:type="pct"/>
            <w:tcBorders>
              <w:top w:val="nil"/>
              <w:left w:val="nil"/>
              <w:bottom w:val="single" w:color="auto" w:sz="4" w:space="0"/>
              <w:right w:val="single" w:color="auto" w:sz="4" w:space="0"/>
            </w:tcBorders>
            <w:shd w:val="clear" w:color="000000" w:fill="FFFFFF"/>
            <w:vAlign w:val="center"/>
          </w:tcPr>
          <w:p w14:paraId="694863DE">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8</w:t>
            </w:r>
          </w:p>
        </w:tc>
        <w:tc>
          <w:tcPr>
            <w:tcW w:w="484" w:type="pct"/>
            <w:tcBorders>
              <w:top w:val="nil"/>
              <w:left w:val="nil"/>
              <w:bottom w:val="single" w:color="auto" w:sz="4" w:space="0"/>
              <w:right w:val="single" w:color="auto" w:sz="4" w:space="0"/>
            </w:tcBorders>
            <w:shd w:val="clear" w:color="000000" w:fill="FFFFFF"/>
            <w:vAlign w:val="center"/>
          </w:tcPr>
          <w:p w14:paraId="192C198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15</w:t>
            </w:r>
          </w:p>
        </w:tc>
        <w:tc>
          <w:tcPr>
            <w:tcW w:w="484" w:type="pct"/>
            <w:tcBorders>
              <w:top w:val="nil"/>
              <w:left w:val="nil"/>
              <w:bottom w:val="single" w:color="auto" w:sz="4" w:space="0"/>
              <w:right w:val="single" w:color="auto" w:sz="4" w:space="0"/>
            </w:tcBorders>
            <w:shd w:val="clear" w:color="000000" w:fill="FFFFFF"/>
            <w:vAlign w:val="center"/>
          </w:tcPr>
          <w:p w14:paraId="4BDC671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10</w:t>
            </w:r>
          </w:p>
        </w:tc>
        <w:tc>
          <w:tcPr>
            <w:tcW w:w="484" w:type="pct"/>
            <w:tcBorders>
              <w:top w:val="nil"/>
              <w:left w:val="nil"/>
              <w:bottom w:val="single" w:color="auto" w:sz="4" w:space="0"/>
              <w:right w:val="single" w:color="auto" w:sz="4" w:space="0"/>
            </w:tcBorders>
            <w:shd w:val="clear" w:color="000000" w:fill="FFFFFF"/>
            <w:vAlign w:val="center"/>
          </w:tcPr>
          <w:p w14:paraId="616C0B1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w:t>
            </w:r>
          </w:p>
        </w:tc>
        <w:tc>
          <w:tcPr>
            <w:tcW w:w="548" w:type="pct"/>
            <w:tcBorders>
              <w:top w:val="nil"/>
              <w:left w:val="nil"/>
              <w:bottom w:val="single" w:color="auto" w:sz="4" w:space="0"/>
              <w:right w:val="single" w:color="auto" w:sz="4" w:space="0"/>
            </w:tcBorders>
            <w:shd w:val="clear" w:color="000000" w:fill="FFFFFF"/>
            <w:vAlign w:val="center"/>
          </w:tcPr>
          <w:p w14:paraId="08F339F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6D51A6FE">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287BC2A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9</w:t>
            </w:r>
          </w:p>
        </w:tc>
        <w:tc>
          <w:tcPr>
            <w:tcW w:w="1170" w:type="pct"/>
            <w:tcBorders>
              <w:top w:val="nil"/>
              <w:left w:val="nil"/>
              <w:bottom w:val="single" w:color="auto" w:sz="4" w:space="0"/>
              <w:right w:val="single" w:color="auto" w:sz="4" w:space="0"/>
            </w:tcBorders>
            <w:shd w:val="clear" w:color="000000" w:fill="FFFFFF"/>
            <w:vAlign w:val="center"/>
          </w:tcPr>
          <w:p w14:paraId="2EE839C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Fundeni</w:t>
            </w:r>
          </w:p>
        </w:tc>
        <w:tc>
          <w:tcPr>
            <w:tcW w:w="561" w:type="pct"/>
            <w:tcBorders>
              <w:top w:val="nil"/>
              <w:left w:val="nil"/>
              <w:bottom w:val="single" w:color="auto" w:sz="4" w:space="0"/>
              <w:right w:val="single" w:color="auto" w:sz="4" w:space="0"/>
            </w:tcBorders>
            <w:shd w:val="clear" w:color="000000" w:fill="FFFFFF"/>
            <w:vAlign w:val="center"/>
          </w:tcPr>
          <w:p w14:paraId="1DFDFD82">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22</w:t>
            </w:r>
          </w:p>
        </w:tc>
        <w:tc>
          <w:tcPr>
            <w:tcW w:w="484" w:type="pct"/>
            <w:tcBorders>
              <w:top w:val="nil"/>
              <w:left w:val="nil"/>
              <w:bottom w:val="single" w:color="auto" w:sz="4" w:space="0"/>
              <w:right w:val="single" w:color="auto" w:sz="4" w:space="0"/>
            </w:tcBorders>
            <w:shd w:val="clear" w:color="000000" w:fill="FFFFFF"/>
            <w:vAlign w:val="center"/>
          </w:tcPr>
          <w:p w14:paraId="33F3391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14E32C63">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6A2A886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w:t>
            </w:r>
          </w:p>
        </w:tc>
        <w:tc>
          <w:tcPr>
            <w:tcW w:w="484" w:type="pct"/>
            <w:tcBorders>
              <w:top w:val="nil"/>
              <w:left w:val="nil"/>
              <w:bottom w:val="single" w:color="auto" w:sz="4" w:space="0"/>
              <w:right w:val="single" w:color="auto" w:sz="4" w:space="0"/>
            </w:tcBorders>
            <w:shd w:val="clear" w:color="000000" w:fill="FFFFFF"/>
            <w:vAlign w:val="center"/>
          </w:tcPr>
          <w:p w14:paraId="7CC10C8C">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20</w:t>
            </w:r>
          </w:p>
        </w:tc>
        <w:tc>
          <w:tcPr>
            <w:tcW w:w="548" w:type="pct"/>
            <w:tcBorders>
              <w:top w:val="nil"/>
              <w:left w:val="nil"/>
              <w:bottom w:val="single" w:color="auto" w:sz="4" w:space="0"/>
              <w:right w:val="single" w:color="auto" w:sz="4" w:space="0"/>
            </w:tcBorders>
            <w:shd w:val="clear" w:color="000000" w:fill="FFFFFF"/>
            <w:vAlign w:val="center"/>
          </w:tcPr>
          <w:p w14:paraId="150B4B3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4390146A">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70803D9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10</w:t>
            </w:r>
          </w:p>
        </w:tc>
        <w:tc>
          <w:tcPr>
            <w:tcW w:w="1170" w:type="pct"/>
            <w:tcBorders>
              <w:top w:val="nil"/>
              <w:left w:val="nil"/>
              <w:bottom w:val="single" w:color="auto" w:sz="4" w:space="0"/>
              <w:right w:val="single" w:color="auto" w:sz="4" w:space="0"/>
            </w:tcBorders>
            <w:shd w:val="clear" w:color="000000" w:fill="FFFFFF"/>
            <w:vAlign w:val="center"/>
          </w:tcPr>
          <w:p w14:paraId="02C758C5">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Galbinași</w:t>
            </w:r>
          </w:p>
        </w:tc>
        <w:tc>
          <w:tcPr>
            <w:tcW w:w="561" w:type="pct"/>
            <w:tcBorders>
              <w:top w:val="nil"/>
              <w:left w:val="nil"/>
              <w:bottom w:val="single" w:color="auto" w:sz="4" w:space="0"/>
              <w:right w:val="single" w:color="auto" w:sz="4" w:space="0"/>
            </w:tcBorders>
            <w:shd w:val="clear" w:color="000000" w:fill="FFFFFF"/>
            <w:vAlign w:val="center"/>
          </w:tcPr>
          <w:p w14:paraId="34A536B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18</w:t>
            </w:r>
          </w:p>
        </w:tc>
        <w:tc>
          <w:tcPr>
            <w:tcW w:w="484" w:type="pct"/>
            <w:tcBorders>
              <w:top w:val="nil"/>
              <w:left w:val="nil"/>
              <w:bottom w:val="single" w:color="auto" w:sz="4" w:space="0"/>
              <w:right w:val="single" w:color="auto" w:sz="4" w:space="0"/>
            </w:tcBorders>
            <w:shd w:val="clear" w:color="000000" w:fill="FFFFFF"/>
            <w:vAlign w:val="center"/>
          </w:tcPr>
          <w:p w14:paraId="4131BAD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2BD9B435">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w:t>
            </w:r>
          </w:p>
        </w:tc>
        <w:tc>
          <w:tcPr>
            <w:tcW w:w="484" w:type="pct"/>
            <w:tcBorders>
              <w:top w:val="nil"/>
              <w:left w:val="nil"/>
              <w:bottom w:val="single" w:color="auto" w:sz="4" w:space="0"/>
              <w:right w:val="single" w:color="auto" w:sz="4" w:space="0"/>
            </w:tcBorders>
            <w:shd w:val="clear" w:color="000000" w:fill="FFFFFF"/>
            <w:vAlign w:val="center"/>
          </w:tcPr>
          <w:p w14:paraId="59E31085">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76FDB22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w:t>
            </w:r>
          </w:p>
        </w:tc>
        <w:tc>
          <w:tcPr>
            <w:tcW w:w="548" w:type="pct"/>
            <w:tcBorders>
              <w:top w:val="nil"/>
              <w:left w:val="nil"/>
              <w:bottom w:val="single" w:color="auto" w:sz="4" w:space="0"/>
              <w:right w:val="single" w:color="auto" w:sz="4" w:space="0"/>
            </w:tcBorders>
            <w:shd w:val="clear" w:color="000000" w:fill="FFFFFF"/>
            <w:vAlign w:val="center"/>
          </w:tcPr>
          <w:p w14:paraId="7DA87B53">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13</w:t>
            </w:r>
          </w:p>
        </w:tc>
      </w:tr>
      <w:tr w14:paraId="0346F480">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096C0AB1">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11</w:t>
            </w:r>
          </w:p>
        </w:tc>
        <w:tc>
          <w:tcPr>
            <w:tcW w:w="1170" w:type="pct"/>
            <w:tcBorders>
              <w:top w:val="nil"/>
              <w:left w:val="nil"/>
              <w:bottom w:val="single" w:color="auto" w:sz="4" w:space="0"/>
              <w:right w:val="single" w:color="auto" w:sz="4" w:space="0"/>
            </w:tcBorders>
            <w:shd w:val="clear" w:color="000000" w:fill="FFFFFF"/>
            <w:vAlign w:val="center"/>
          </w:tcPr>
          <w:p w14:paraId="10E2D62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Luica</w:t>
            </w:r>
          </w:p>
        </w:tc>
        <w:tc>
          <w:tcPr>
            <w:tcW w:w="561" w:type="pct"/>
            <w:tcBorders>
              <w:top w:val="nil"/>
              <w:left w:val="nil"/>
              <w:bottom w:val="single" w:color="auto" w:sz="4" w:space="0"/>
              <w:right w:val="single" w:color="auto" w:sz="4" w:space="0"/>
            </w:tcBorders>
            <w:shd w:val="clear" w:color="000000" w:fill="FFFFFF"/>
            <w:vAlign w:val="center"/>
          </w:tcPr>
          <w:p w14:paraId="693E9CA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23</w:t>
            </w:r>
          </w:p>
        </w:tc>
        <w:tc>
          <w:tcPr>
            <w:tcW w:w="484" w:type="pct"/>
            <w:tcBorders>
              <w:top w:val="nil"/>
              <w:left w:val="nil"/>
              <w:bottom w:val="single" w:color="auto" w:sz="4" w:space="0"/>
              <w:right w:val="single" w:color="auto" w:sz="4" w:space="0"/>
            </w:tcBorders>
            <w:shd w:val="clear" w:color="000000" w:fill="FFFFFF"/>
            <w:vAlign w:val="center"/>
          </w:tcPr>
          <w:p w14:paraId="220D0153">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15</w:t>
            </w:r>
          </w:p>
        </w:tc>
        <w:tc>
          <w:tcPr>
            <w:tcW w:w="484" w:type="pct"/>
            <w:tcBorders>
              <w:top w:val="nil"/>
              <w:left w:val="nil"/>
              <w:bottom w:val="single" w:color="auto" w:sz="4" w:space="0"/>
              <w:right w:val="single" w:color="auto" w:sz="4" w:space="0"/>
            </w:tcBorders>
            <w:shd w:val="clear" w:color="000000" w:fill="FFFFFF"/>
            <w:vAlign w:val="center"/>
          </w:tcPr>
          <w:p w14:paraId="67F87F4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w:t>
            </w:r>
          </w:p>
        </w:tc>
        <w:tc>
          <w:tcPr>
            <w:tcW w:w="484" w:type="pct"/>
            <w:tcBorders>
              <w:top w:val="nil"/>
              <w:left w:val="nil"/>
              <w:bottom w:val="single" w:color="auto" w:sz="4" w:space="0"/>
              <w:right w:val="single" w:color="auto" w:sz="4" w:space="0"/>
            </w:tcBorders>
            <w:shd w:val="clear" w:color="000000" w:fill="FFFFFF"/>
            <w:vAlign w:val="center"/>
          </w:tcPr>
          <w:p w14:paraId="4337B47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5</w:t>
            </w:r>
          </w:p>
        </w:tc>
        <w:tc>
          <w:tcPr>
            <w:tcW w:w="484" w:type="pct"/>
            <w:tcBorders>
              <w:top w:val="nil"/>
              <w:left w:val="nil"/>
              <w:bottom w:val="single" w:color="auto" w:sz="4" w:space="0"/>
              <w:right w:val="single" w:color="auto" w:sz="4" w:space="0"/>
            </w:tcBorders>
            <w:shd w:val="clear" w:color="000000" w:fill="FFFFFF"/>
            <w:vAlign w:val="center"/>
          </w:tcPr>
          <w:p w14:paraId="4B13F64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57DAE318">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397E50D6">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541E91B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12</w:t>
            </w:r>
          </w:p>
        </w:tc>
        <w:tc>
          <w:tcPr>
            <w:tcW w:w="1170" w:type="pct"/>
            <w:tcBorders>
              <w:top w:val="nil"/>
              <w:left w:val="nil"/>
              <w:bottom w:val="single" w:color="auto" w:sz="4" w:space="0"/>
              <w:right w:val="single" w:color="auto" w:sz="4" w:space="0"/>
            </w:tcBorders>
            <w:shd w:val="clear" w:color="000000" w:fill="FFFFFF"/>
            <w:vAlign w:val="center"/>
          </w:tcPr>
          <w:p w14:paraId="33C9E531">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Mitreni</w:t>
            </w:r>
          </w:p>
        </w:tc>
        <w:tc>
          <w:tcPr>
            <w:tcW w:w="561" w:type="pct"/>
            <w:tcBorders>
              <w:top w:val="nil"/>
              <w:left w:val="nil"/>
              <w:bottom w:val="single" w:color="auto" w:sz="4" w:space="0"/>
              <w:right w:val="single" w:color="auto" w:sz="4" w:space="0"/>
            </w:tcBorders>
            <w:shd w:val="clear" w:color="000000" w:fill="FFFFFF"/>
            <w:vAlign w:val="center"/>
          </w:tcPr>
          <w:p w14:paraId="636A580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49</w:t>
            </w:r>
          </w:p>
        </w:tc>
        <w:tc>
          <w:tcPr>
            <w:tcW w:w="484" w:type="pct"/>
            <w:tcBorders>
              <w:top w:val="nil"/>
              <w:left w:val="nil"/>
              <w:bottom w:val="single" w:color="auto" w:sz="4" w:space="0"/>
              <w:right w:val="single" w:color="auto" w:sz="4" w:space="0"/>
            </w:tcBorders>
            <w:shd w:val="clear" w:color="000000" w:fill="FFFFFF"/>
            <w:vAlign w:val="center"/>
          </w:tcPr>
          <w:p w14:paraId="01BED19E">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34</w:t>
            </w:r>
          </w:p>
        </w:tc>
        <w:tc>
          <w:tcPr>
            <w:tcW w:w="484" w:type="pct"/>
            <w:tcBorders>
              <w:top w:val="nil"/>
              <w:left w:val="nil"/>
              <w:bottom w:val="single" w:color="auto" w:sz="4" w:space="0"/>
              <w:right w:val="single" w:color="auto" w:sz="4" w:space="0"/>
            </w:tcBorders>
            <w:shd w:val="clear" w:color="000000" w:fill="FFFFFF"/>
            <w:vAlign w:val="center"/>
          </w:tcPr>
          <w:p w14:paraId="107C572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w:t>
            </w:r>
          </w:p>
        </w:tc>
        <w:tc>
          <w:tcPr>
            <w:tcW w:w="484" w:type="pct"/>
            <w:tcBorders>
              <w:top w:val="nil"/>
              <w:left w:val="nil"/>
              <w:bottom w:val="single" w:color="auto" w:sz="4" w:space="0"/>
              <w:right w:val="single" w:color="auto" w:sz="4" w:space="0"/>
            </w:tcBorders>
            <w:shd w:val="clear" w:color="000000" w:fill="FFFFFF"/>
            <w:vAlign w:val="center"/>
          </w:tcPr>
          <w:p w14:paraId="0D28CC0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11</w:t>
            </w:r>
          </w:p>
        </w:tc>
        <w:tc>
          <w:tcPr>
            <w:tcW w:w="484" w:type="pct"/>
            <w:tcBorders>
              <w:top w:val="nil"/>
              <w:left w:val="nil"/>
              <w:bottom w:val="single" w:color="auto" w:sz="4" w:space="0"/>
              <w:right w:val="single" w:color="auto" w:sz="4" w:space="0"/>
            </w:tcBorders>
            <w:shd w:val="clear" w:color="000000" w:fill="FFFFFF"/>
            <w:vAlign w:val="center"/>
          </w:tcPr>
          <w:p w14:paraId="71277331">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117B126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705258B1">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3DF003E6">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13</w:t>
            </w:r>
          </w:p>
        </w:tc>
        <w:tc>
          <w:tcPr>
            <w:tcW w:w="1170" w:type="pct"/>
            <w:tcBorders>
              <w:top w:val="nil"/>
              <w:left w:val="nil"/>
              <w:bottom w:val="single" w:color="auto" w:sz="4" w:space="0"/>
              <w:right w:val="single" w:color="auto" w:sz="4" w:space="0"/>
            </w:tcBorders>
            <w:shd w:val="clear" w:color="000000" w:fill="FFFFFF"/>
            <w:vAlign w:val="center"/>
          </w:tcPr>
          <w:p w14:paraId="3BD26672">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Nana</w:t>
            </w:r>
          </w:p>
        </w:tc>
        <w:tc>
          <w:tcPr>
            <w:tcW w:w="561" w:type="pct"/>
            <w:tcBorders>
              <w:top w:val="nil"/>
              <w:left w:val="nil"/>
              <w:bottom w:val="single" w:color="auto" w:sz="4" w:space="0"/>
              <w:right w:val="single" w:color="auto" w:sz="4" w:space="0"/>
            </w:tcBorders>
            <w:shd w:val="clear" w:color="000000" w:fill="FFFFFF"/>
            <w:vAlign w:val="center"/>
          </w:tcPr>
          <w:p w14:paraId="11B0FFB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7</w:t>
            </w:r>
          </w:p>
        </w:tc>
        <w:tc>
          <w:tcPr>
            <w:tcW w:w="484" w:type="pct"/>
            <w:tcBorders>
              <w:top w:val="nil"/>
              <w:left w:val="nil"/>
              <w:bottom w:val="single" w:color="auto" w:sz="4" w:space="0"/>
              <w:right w:val="single" w:color="auto" w:sz="4" w:space="0"/>
            </w:tcBorders>
            <w:shd w:val="clear" w:color="000000" w:fill="FFFFFF"/>
            <w:vAlign w:val="center"/>
          </w:tcPr>
          <w:p w14:paraId="4E4F540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5457084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29E64C9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0313FAF2">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308EC618">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7</w:t>
            </w:r>
          </w:p>
        </w:tc>
      </w:tr>
      <w:tr w14:paraId="71B73EBC">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22216435">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14</w:t>
            </w:r>
          </w:p>
        </w:tc>
        <w:tc>
          <w:tcPr>
            <w:tcW w:w="1170" w:type="pct"/>
            <w:tcBorders>
              <w:top w:val="nil"/>
              <w:left w:val="nil"/>
              <w:bottom w:val="single" w:color="auto" w:sz="4" w:space="0"/>
              <w:right w:val="single" w:color="auto" w:sz="4" w:space="0"/>
            </w:tcBorders>
            <w:shd w:val="clear" w:color="000000" w:fill="FFFFFF"/>
            <w:vAlign w:val="center"/>
          </w:tcPr>
          <w:p w14:paraId="760DF9E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Platarești</w:t>
            </w:r>
          </w:p>
        </w:tc>
        <w:tc>
          <w:tcPr>
            <w:tcW w:w="561" w:type="pct"/>
            <w:tcBorders>
              <w:top w:val="nil"/>
              <w:left w:val="nil"/>
              <w:bottom w:val="single" w:color="auto" w:sz="4" w:space="0"/>
              <w:right w:val="single" w:color="auto" w:sz="4" w:space="0"/>
            </w:tcBorders>
            <w:shd w:val="clear" w:color="000000" w:fill="FFFFFF"/>
            <w:vAlign w:val="center"/>
          </w:tcPr>
          <w:p w14:paraId="1139ED8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45</w:t>
            </w:r>
          </w:p>
        </w:tc>
        <w:tc>
          <w:tcPr>
            <w:tcW w:w="484" w:type="pct"/>
            <w:tcBorders>
              <w:top w:val="nil"/>
              <w:left w:val="nil"/>
              <w:bottom w:val="single" w:color="auto" w:sz="4" w:space="0"/>
              <w:right w:val="single" w:color="auto" w:sz="4" w:space="0"/>
            </w:tcBorders>
            <w:shd w:val="clear" w:color="000000" w:fill="FFFFFF"/>
            <w:vAlign w:val="center"/>
          </w:tcPr>
          <w:p w14:paraId="765A8518">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33</w:t>
            </w:r>
          </w:p>
        </w:tc>
        <w:tc>
          <w:tcPr>
            <w:tcW w:w="484" w:type="pct"/>
            <w:tcBorders>
              <w:top w:val="nil"/>
              <w:left w:val="nil"/>
              <w:bottom w:val="single" w:color="auto" w:sz="4" w:space="0"/>
              <w:right w:val="single" w:color="auto" w:sz="4" w:space="0"/>
            </w:tcBorders>
            <w:shd w:val="clear" w:color="000000" w:fill="FFFFFF"/>
            <w:vAlign w:val="center"/>
          </w:tcPr>
          <w:p w14:paraId="09B0F23E">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w:t>
            </w:r>
          </w:p>
        </w:tc>
        <w:tc>
          <w:tcPr>
            <w:tcW w:w="484" w:type="pct"/>
            <w:tcBorders>
              <w:top w:val="nil"/>
              <w:left w:val="nil"/>
              <w:bottom w:val="single" w:color="auto" w:sz="4" w:space="0"/>
              <w:right w:val="single" w:color="auto" w:sz="4" w:space="0"/>
            </w:tcBorders>
            <w:shd w:val="clear" w:color="000000" w:fill="FFFFFF"/>
            <w:vAlign w:val="center"/>
          </w:tcPr>
          <w:p w14:paraId="6449E633">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8</w:t>
            </w:r>
          </w:p>
        </w:tc>
        <w:tc>
          <w:tcPr>
            <w:tcW w:w="484" w:type="pct"/>
            <w:tcBorders>
              <w:top w:val="nil"/>
              <w:left w:val="nil"/>
              <w:bottom w:val="single" w:color="auto" w:sz="4" w:space="0"/>
              <w:right w:val="single" w:color="auto" w:sz="4" w:space="0"/>
            </w:tcBorders>
            <w:shd w:val="clear" w:color="000000" w:fill="FFFFFF"/>
            <w:vAlign w:val="center"/>
          </w:tcPr>
          <w:p w14:paraId="02111CC8">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w:t>
            </w:r>
          </w:p>
        </w:tc>
        <w:tc>
          <w:tcPr>
            <w:tcW w:w="548" w:type="pct"/>
            <w:tcBorders>
              <w:top w:val="nil"/>
              <w:left w:val="nil"/>
              <w:bottom w:val="single" w:color="auto" w:sz="4" w:space="0"/>
              <w:right w:val="single" w:color="auto" w:sz="4" w:space="0"/>
            </w:tcBorders>
            <w:shd w:val="clear" w:color="000000" w:fill="FFFFFF"/>
            <w:vAlign w:val="center"/>
          </w:tcPr>
          <w:p w14:paraId="6589C77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4B850C33">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1DEE9CD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15</w:t>
            </w:r>
          </w:p>
        </w:tc>
        <w:tc>
          <w:tcPr>
            <w:tcW w:w="1170" w:type="pct"/>
            <w:tcBorders>
              <w:top w:val="nil"/>
              <w:left w:val="nil"/>
              <w:bottom w:val="single" w:color="auto" w:sz="4" w:space="0"/>
              <w:right w:val="single" w:color="auto" w:sz="4" w:space="0"/>
            </w:tcBorders>
            <w:shd w:val="clear" w:color="000000" w:fill="FFFFFF"/>
            <w:vAlign w:val="center"/>
          </w:tcPr>
          <w:p w14:paraId="6603EFB2">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Radovanu</w:t>
            </w:r>
          </w:p>
        </w:tc>
        <w:tc>
          <w:tcPr>
            <w:tcW w:w="561" w:type="pct"/>
            <w:tcBorders>
              <w:top w:val="nil"/>
              <w:left w:val="nil"/>
              <w:bottom w:val="single" w:color="auto" w:sz="4" w:space="0"/>
              <w:right w:val="single" w:color="auto" w:sz="4" w:space="0"/>
            </w:tcBorders>
            <w:shd w:val="clear" w:color="000000" w:fill="FFFFFF"/>
            <w:vAlign w:val="center"/>
          </w:tcPr>
          <w:p w14:paraId="400F68B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55</w:t>
            </w:r>
          </w:p>
        </w:tc>
        <w:tc>
          <w:tcPr>
            <w:tcW w:w="484" w:type="pct"/>
            <w:tcBorders>
              <w:top w:val="nil"/>
              <w:left w:val="nil"/>
              <w:bottom w:val="single" w:color="auto" w:sz="4" w:space="0"/>
              <w:right w:val="single" w:color="auto" w:sz="4" w:space="0"/>
            </w:tcBorders>
            <w:shd w:val="clear" w:color="000000" w:fill="FFFFFF"/>
            <w:vAlign w:val="center"/>
          </w:tcPr>
          <w:p w14:paraId="2A31014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41</w:t>
            </w:r>
          </w:p>
        </w:tc>
        <w:tc>
          <w:tcPr>
            <w:tcW w:w="484" w:type="pct"/>
            <w:tcBorders>
              <w:top w:val="nil"/>
              <w:left w:val="nil"/>
              <w:bottom w:val="single" w:color="auto" w:sz="4" w:space="0"/>
              <w:right w:val="single" w:color="auto" w:sz="4" w:space="0"/>
            </w:tcBorders>
            <w:shd w:val="clear" w:color="000000" w:fill="FFFFFF"/>
            <w:vAlign w:val="center"/>
          </w:tcPr>
          <w:p w14:paraId="350B07F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w:t>
            </w:r>
          </w:p>
        </w:tc>
        <w:tc>
          <w:tcPr>
            <w:tcW w:w="484" w:type="pct"/>
            <w:tcBorders>
              <w:top w:val="nil"/>
              <w:left w:val="nil"/>
              <w:bottom w:val="single" w:color="auto" w:sz="4" w:space="0"/>
              <w:right w:val="single" w:color="auto" w:sz="4" w:space="0"/>
            </w:tcBorders>
            <w:shd w:val="clear" w:color="000000" w:fill="FFFFFF"/>
            <w:vAlign w:val="center"/>
          </w:tcPr>
          <w:p w14:paraId="033D5C4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11</w:t>
            </w:r>
          </w:p>
        </w:tc>
        <w:tc>
          <w:tcPr>
            <w:tcW w:w="484" w:type="pct"/>
            <w:tcBorders>
              <w:top w:val="nil"/>
              <w:left w:val="nil"/>
              <w:bottom w:val="single" w:color="auto" w:sz="4" w:space="0"/>
              <w:right w:val="single" w:color="auto" w:sz="4" w:space="0"/>
            </w:tcBorders>
            <w:shd w:val="clear" w:color="000000" w:fill="FFFFFF"/>
            <w:vAlign w:val="center"/>
          </w:tcPr>
          <w:p w14:paraId="640A0FE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71119B7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50EEAD49">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4A31EBC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16</w:t>
            </w:r>
          </w:p>
        </w:tc>
        <w:tc>
          <w:tcPr>
            <w:tcW w:w="1170" w:type="pct"/>
            <w:tcBorders>
              <w:top w:val="nil"/>
              <w:left w:val="nil"/>
              <w:bottom w:val="single" w:color="auto" w:sz="4" w:space="0"/>
              <w:right w:val="single" w:color="auto" w:sz="4" w:space="0"/>
            </w:tcBorders>
            <w:shd w:val="clear" w:color="000000" w:fill="FFFFFF"/>
            <w:vAlign w:val="center"/>
          </w:tcPr>
          <w:p w14:paraId="782DFBD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Șoldanu</w:t>
            </w:r>
          </w:p>
        </w:tc>
        <w:tc>
          <w:tcPr>
            <w:tcW w:w="561" w:type="pct"/>
            <w:tcBorders>
              <w:top w:val="nil"/>
              <w:left w:val="nil"/>
              <w:bottom w:val="single" w:color="auto" w:sz="4" w:space="0"/>
              <w:right w:val="single" w:color="auto" w:sz="4" w:space="0"/>
            </w:tcBorders>
            <w:shd w:val="clear" w:color="000000" w:fill="FFFFFF"/>
            <w:vAlign w:val="center"/>
          </w:tcPr>
          <w:p w14:paraId="17225D51">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33</w:t>
            </w:r>
          </w:p>
        </w:tc>
        <w:tc>
          <w:tcPr>
            <w:tcW w:w="484" w:type="pct"/>
            <w:tcBorders>
              <w:top w:val="nil"/>
              <w:left w:val="nil"/>
              <w:bottom w:val="single" w:color="auto" w:sz="4" w:space="0"/>
              <w:right w:val="single" w:color="auto" w:sz="4" w:space="0"/>
            </w:tcBorders>
            <w:shd w:val="clear" w:color="000000" w:fill="FFFFFF"/>
            <w:vAlign w:val="center"/>
          </w:tcPr>
          <w:p w14:paraId="1C629E8E">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22</w:t>
            </w:r>
          </w:p>
        </w:tc>
        <w:tc>
          <w:tcPr>
            <w:tcW w:w="484" w:type="pct"/>
            <w:tcBorders>
              <w:top w:val="nil"/>
              <w:left w:val="nil"/>
              <w:bottom w:val="single" w:color="auto" w:sz="4" w:space="0"/>
              <w:right w:val="single" w:color="auto" w:sz="4" w:space="0"/>
            </w:tcBorders>
            <w:shd w:val="clear" w:color="000000" w:fill="FFFFFF"/>
            <w:vAlign w:val="center"/>
          </w:tcPr>
          <w:p w14:paraId="0E6974EC">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w:t>
            </w:r>
          </w:p>
        </w:tc>
        <w:tc>
          <w:tcPr>
            <w:tcW w:w="484" w:type="pct"/>
            <w:tcBorders>
              <w:top w:val="nil"/>
              <w:left w:val="nil"/>
              <w:bottom w:val="single" w:color="auto" w:sz="4" w:space="0"/>
              <w:right w:val="single" w:color="auto" w:sz="4" w:space="0"/>
            </w:tcBorders>
            <w:shd w:val="clear" w:color="000000" w:fill="FFFFFF"/>
            <w:vAlign w:val="center"/>
          </w:tcPr>
          <w:p w14:paraId="7EB73236">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w:t>
            </w:r>
          </w:p>
        </w:tc>
        <w:tc>
          <w:tcPr>
            <w:tcW w:w="484" w:type="pct"/>
            <w:tcBorders>
              <w:top w:val="nil"/>
              <w:left w:val="nil"/>
              <w:bottom w:val="single" w:color="auto" w:sz="4" w:space="0"/>
              <w:right w:val="single" w:color="auto" w:sz="4" w:space="0"/>
            </w:tcBorders>
            <w:shd w:val="clear" w:color="000000" w:fill="FFFFFF"/>
            <w:vAlign w:val="center"/>
          </w:tcPr>
          <w:p w14:paraId="550E2F76">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4</w:t>
            </w:r>
          </w:p>
        </w:tc>
        <w:tc>
          <w:tcPr>
            <w:tcW w:w="548" w:type="pct"/>
            <w:tcBorders>
              <w:top w:val="nil"/>
              <w:left w:val="nil"/>
              <w:bottom w:val="single" w:color="auto" w:sz="4" w:space="0"/>
              <w:right w:val="single" w:color="auto" w:sz="4" w:space="0"/>
            </w:tcBorders>
            <w:shd w:val="clear" w:color="000000" w:fill="FFFFFF"/>
            <w:vAlign w:val="center"/>
          </w:tcPr>
          <w:p w14:paraId="1C3FA6CC">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53AE6BFC">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6F7AA6CD">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17</w:t>
            </w:r>
          </w:p>
        </w:tc>
        <w:tc>
          <w:tcPr>
            <w:tcW w:w="1170" w:type="pct"/>
            <w:tcBorders>
              <w:top w:val="nil"/>
              <w:left w:val="nil"/>
              <w:bottom w:val="single" w:color="auto" w:sz="4" w:space="0"/>
              <w:right w:val="single" w:color="auto" w:sz="4" w:space="0"/>
            </w:tcBorders>
            <w:shd w:val="clear" w:color="000000" w:fill="FFFFFF"/>
            <w:vAlign w:val="center"/>
          </w:tcPr>
          <w:p w14:paraId="4F5E0C25">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Spanțov</w:t>
            </w:r>
          </w:p>
        </w:tc>
        <w:tc>
          <w:tcPr>
            <w:tcW w:w="561" w:type="pct"/>
            <w:tcBorders>
              <w:top w:val="nil"/>
              <w:left w:val="nil"/>
              <w:bottom w:val="single" w:color="auto" w:sz="4" w:space="0"/>
              <w:right w:val="single" w:color="auto" w:sz="4" w:space="0"/>
            </w:tcBorders>
            <w:shd w:val="clear" w:color="000000" w:fill="FFFFFF"/>
            <w:vAlign w:val="center"/>
          </w:tcPr>
          <w:p w14:paraId="6604C314">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27</w:t>
            </w:r>
          </w:p>
        </w:tc>
        <w:tc>
          <w:tcPr>
            <w:tcW w:w="484" w:type="pct"/>
            <w:tcBorders>
              <w:top w:val="nil"/>
              <w:left w:val="nil"/>
              <w:bottom w:val="single" w:color="auto" w:sz="4" w:space="0"/>
              <w:right w:val="single" w:color="auto" w:sz="4" w:space="0"/>
            </w:tcBorders>
            <w:shd w:val="clear" w:color="000000" w:fill="FFFFFF"/>
            <w:vAlign w:val="center"/>
          </w:tcPr>
          <w:p w14:paraId="5FBCB5B9">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w:t>
            </w:r>
          </w:p>
        </w:tc>
        <w:tc>
          <w:tcPr>
            <w:tcW w:w="484" w:type="pct"/>
            <w:tcBorders>
              <w:top w:val="nil"/>
              <w:left w:val="nil"/>
              <w:bottom w:val="single" w:color="auto" w:sz="4" w:space="0"/>
              <w:right w:val="single" w:color="auto" w:sz="4" w:space="0"/>
            </w:tcBorders>
            <w:shd w:val="clear" w:color="000000" w:fill="FFFFFF"/>
            <w:vAlign w:val="center"/>
          </w:tcPr>
          <w:p w14:paraId="659463C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6</w:t>
            </w:r>
          </w:p>
        </w:tc>
        <w:tc>
          <w:tcPr>
            <w:tcW w:w="484" w:type="pct"/>
            <w:tcBorders>
              <w:top w:val="nil"/>
              <w:left w:val="nil"/>
              <w:bottom w:val="single" w:color="auto" w:sz="4" w:space="0"/>
              <w:right w:val="single" w:color="auto" w:sz="4" w:space="0"/>
            </w:tcBorders>
            <w:shd w:val="clear" w:color="000000" w:fill="FFFFFF"/>
            <w:vAlign w:val="center"/>
          </w:tcPr>
          <w:p w14:paraId="08C4C6E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20</w:t>
            </w:r>
          </w:p>
        </w:tc>
        <w:tc>
          <w:tcPr>
            <w:tcW w:w="484" w:type="pct"/>
            <w:tcBorders>
              <w:top w:val="nil"/>
              <w:left w:val="nil"/>
              <w:bottom w:val="single" w:color="auto" w:sz="4" w:space="0"/>
              <w:right w:val="single" w:color="auto" w:sz="4" w:space="0"/>
            </w:tcBorders>
            <w:shd w:val="clear" w:color="000000" w:fill="FFFFFF"/>
            <w:vAlign w:val="center"/>
          </w:tcPr>
          <w:p w14:paraId="000E435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548" w:type="pct"/>
            <w:tcBorders>
              <w:top w:val="nil"/>
              <w:left w:val="nil"/>
              <w:bottom w:val="single" w:color="auto" w:sz="4" w:space="0"/>
              <w:right w:val="single" w:color="auto" w:sz="4" w:space="0"/>
            </w:tcBorders>
            <w:shd w:val="clear" w:color="000000" w:fill="FFFFFF"/>
            <w:vAlign w:val="center"/>
          </w:tcPr>
          <w:p w14:paraId="3E3A0A6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0AC75C03">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6571841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18</w:t>
            </w:r>
          </w:p>
        </w:tc>
        <w:tc>
          <w:tcPr>
            <w:tcW w:w="1170" w:type="pct"/>
            <w:tcBorders>
              <w:top w:val="nil"/>
              <w:left w:val="nil"/>
              <w:bottom w:val="single" w:color="auto" w:sz="4" w:space="0"/>
              <w:right w:val="single" w:color="auto" w:sz="4" w:space="0"/>
            </w:tcBorders>
            <w:shd w:val="clear" w:color="000000" w:fill="FFFFFF"/>
            <w:vAlign w:val="center"/>
          </w:tcPr>
          <w:p w14:paraId="4EE5C651">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Ulmeni</w:t>
            </w:r>
          </w:p>
        </w:tc>
        <w:tc>
          <w:tcPr>
            <w:tcW w:w="561" w:type="pct"/>
            <w:tcBorders>
              <w:top w:val="nil"/>
              <w:left w:val="nil"/>
              <w:bottom w:val="single" w:color="auto" w:sz="4" w:space="0"/>
              <w:right w:val="single" w:color="auto" w:sz="4" w:space="0"/>
            </w:tcBorders>
            <w:shd w:val="clear" w:color="000000" w:fill="FFFFFF"/>
            <w:vAlign w:val="center"/>
          </w:tcPr>
          <w:p w14:paraId="5FF5E85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35</w:t>
            </w:r>
          </w:p>
        </w:tc>
        <w:tc>
          <w:tcPr>
            <w:tcW w:w="484" w:type="pct"/>
            <w:tcBorders>
              <w:top w:val="nil"/>
              <w:left w:val="nil"/>
              <w:bottom w:val="single" w:color="auto" w:sz="4" w:space="0"/>
              <w:right w:val="single" w:color="auto" w:sz="4" w:space="0"/>
            </w:tcBorders>
            <w:shd w:val="clear" w:color="000000" w:fill="FFFFFF"/>
            <w:vAlign w:val="center"/>
          </w:tcPr>
          <w:p w14:paraId="77DF466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12</w:t>
            </w:r>
          </w:p>
        </w:tc>
        <w:tc>
          <w:tcPr>
            <w:tcW w:w="484" w:type="pct"/>
            <w:tcBorders>
              <w:top w:val="nil"/>
              <w:left w:val="nil"/>
              <w:bottom w:val="single" w:color="auto" w:sz="4" w:space="0"/>
              <w:right w:val="single" w:color="auto" w:sz="4" w:space="0"/>
            </w:tcBorders>
            <w:shd w:val="clear" w:color="000000" w:fill="FFFFFF"/>
            <w:vAlign w:val="center"/>
          </w:tcPr>
          <w:p w14:paraId="4B9D578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11</w:t>
            </w:r>
          </w:p>
        </w:tc>
        <w:tc>
          <w:tcPr>
            <w:tcW w:w="484" w:type="pct"/>
            <w:tcBorders>
              <w:top w:val="nil"/>
              <w:left w:val="nil"/>
              <w:bottom w:val="single" w:color="auto" w:sz="4" w:space="0"/>
              <w:right w:val="single" w:color="auto" w:sz="4" w:space="0"/>
            </w:tcBorders>
            <w:shd w:val="clear" w:color="000000" w:fill="FFFFFF"/>
            <w:vAlign w:val="center"/>
          </w:tcPr>
          <w:p w14:paraId="6E33BC2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51C6AD9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12</w:t>
            </w:r>
          </w:p>
        </w:tc>
        <w:tc>
          <w:tcPr>
            <w:tcW w:w="548" w:type="pct"/>
            <w:tcBorders>
              <w:top w:val="nil"/>
              <w:left w:val="nil"/>
              <w:bottom w:val="single" w:color="auto" w:sz="4" w:space="0"/>
              <w:right w:val="single" w:color="auto" w:sz="4" w:space="0"/>
            </w:tcBorders>
            <w:shd w:val="clear" w:color="000000" w:fill="FFFFFF"/>
            <w:vAlign w:val="center"/>
          </w:tcPr>
          <w:p w14:paraId="4DFD558A">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4ABA4003">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1D21A081">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19</w:t>
            </w:r>
          </w:p>
        </w:tc>
        <w:tc>
          <w:tcPr>
            <w:tcW w:w="1170" w:type="pct"/>
            <w:tcBorders>
              <w:top w:val="nil"/>
              <w:left w:val="nil"/>
              <w:bottom w:val="single" w:color="auto" w:sz="4" w:space="0"/>
              <w:right w:val="single" w:color="auto" w:sz="4" w:space="0"/>
            </w:tcBorders>
            <w:shd w:val="clear" w:color="000000" w:fill="FFFFFF"/>
            <w:vAlign w:val="center"/>
          </w:tcPr>
          <w:p w14:paraId="2E173E4B">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Comuna Vasilati</w:t>
            </w:r>
          </w:p>
        </w:tc>
        <w:tc>
          <w:tcPr>
            <w:tcW w:w="561" w:type="pct"/>
            <w:tcBorders>
              <w:top w:val="nil"/>
              <w:left w:val="nil"/>
              <w:bottom w:val="single" w:color="auto" w:sz="4" w:space="0"/>
              <w:right w:val="single" w:color="auto" w:sz="4" w:space="0"/>
            </w:tcBorders>
            <w:shd w:val="clear" w:color="000000" w:fill="FFFFFF"/>
            <w:vAlign w:val="center"/>
          </w:tcPr>
          <w:p w14:paraId="4CBD9D62">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22</w:t>
            </w:r>
          </w:p>
        </w:tc>
        <w:tc>
          <w:tcPr>
            <w:tcW w:w="484" w:type="pct"/>
            <w:tcBorders>
              <w:top w:val="nil"/>
              <w:left w:val="nil"/>
              <w:bottom w:val="single" w:color="auto" w:sz="4" w:space="0"/>
              <w:right w:val="single" w:color="auto" w:sz="4" w:space="0"/>
            </w:tcBorders>
            <w:shd w:val="clear" w:color="000000" w:fill="FFFFFF"/>
            <w:vAlign w:val="center"/>
          </w:tcPr>
          <w:p w14:paraId="214BA626">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2</w:t>
            </w:r>
          </w:p>
        </w:tc>
        <w:tc>
          <w:tcPr>
            <w:tcW w:w="484" w:type="pct"/>
            <w:tcBorders>
              <w:top w:val="nil"/>
              <w:left w:val="nil"/>
              <w:bottom w:val="single" w:color="auto" w:sz="4" w:space="0"/>
              <w:right w:val="single" w:color="auto" w:sz="4" w:space="0"/>
            </w:tcBorders>
            <w:shd w:val="clear" w:color="000000" w:fill="FFFFFF"/>
            <w:vAlign w:val="center"/>
          </w:tcPr>
          <w:p w14:paraId="6E31C8B5">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484" w:type="pct"/>
            <w:tcBorders>
              <w:top w:val="nil"/>
              <w:left w:val="nil"/>
              <w:bottom w:val="single" w:color="auto" w:sz="4" w:space="0"/>
              <w:right w:val="single" w:color="auto" w:sz="4" w:space="0"/>
            </w:tcBorders>
            <w:shd w:val="clear" w:color="000000" w:fill="FFFFFF"/>
            <w:vAlign w:val="center"/>
          </w:tcPr>
          <w:p w14:paraId="06EDBDD8">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13</w:t>
            </w:r>
          </w:p>
        </w:tc>
        <w:tc>
          <w:tcPr>
            <w:tcW w:w="484" w:type="pct"/>
            <w:tcBorders>
              <w:top w:val="nil"/>
              <w:left w:val="nil"/>
              <w:bottom w:val="single" w:color="auto" w:sz="4" w:space="0"/>
              <w:right w:val="single" w:color="auto" w:sz="4" w:space="0"/>
            </w:tcBorders>
            <w:shd w:val="clear" w:color="000000" w:fill="FFFFFF"/>
            <w:vAlign w:val="center"/>
          </w:tcPr>
          <w:p w14:paraId="6998C522">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7</w:t>
            </w:r>
          </w:p>
        </w:tc>
        <w:tc>
          <w:tcPr>
            <w:tcW w:w="548" w:type="pct"/>
            <w:tcBorders>
              <w:top w:val="nil"/>
              <w:left w:val="nil"/>
              <w:bottom w:val="single" w:color="auto" w:sz="4" w:space="0"/>
              <w:right w:val="single" w:color="auto" w:sz="4" w:space="0"/>
            </w:tcBorders>
            <w:shd w:val="clear" w:color="000000" w:fill="FFFFFF"/>
            <w:vAlign w:val="center"/>
          </w:tcPr>
          <w:p w14:paraId="24CF9600">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r>
      <w:tr w14:paraId="4ABDA137">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66368DE7">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1170" w:type="pct"/>
            <w:tcBorders>
              <w:top w:val="nil"/>
              <w:left w:val="nil"/>
              <w:bottom w:val="single" w:color="auto" w:sz="4" w:space="0"/>
              <w:right w:val="single" w:color="auto" w:sz="4" w:space="0"/>
            </w:tcBorders>
            <w:shd w:val="clear" w:color="000000" w:fill="FFFFFF"/>
            <w:vAlign w:val="center"/>
          </w:tcPr>
          <w:p w14:paraId="55EEB673">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Total platforme construite</w:t>
            </w:r>
          </w:p>
        </w:tc>
        <w:tc>
          <w:tcPr>
            <w:tcW w:w="561" w:type="pct"/>
            <w:tcBorders>
              <w:top w:val="nil"/>
              <w:left w:val="nil"/>
              <w:bottom w:val="single" w:color="auto" w:sz="4" w:space="0"/>
              <w:right w:val="single" w:color="auto" w:sz="4" w:space="0"/>
            </w:tcBorders>
            <w:shd w:val="clear" w:color="000000" w:fill="FFFFFF"/>
            <w:vAlign w:val="center"/>
          </w:tcPr>
          <w:p w14:paraId="41DA4A52">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616</w:t>
            </w:r>
          </w:p>
        </w:tc>
        <w:tc>
          <w:tcPr>
            <w:tcW w:w="484" w:type="pct"/>
            <w:tcBorders>
              <w:top w:val="nil"/>
              <w:left w:val="nil"/>
              <w:bottom w:val="single" w:color="auto" w:sz="4" w:space="0"/>
              <w:right w:val="single" w:color="auto" w:sz="4" w:space="0"/>
            </w:tcBorders>
            <w:shd w:val="clear" w:color="000000" w:fill="FFFFFF"/>
            <w:vAlign w:val="center"/>
          </w:tcPr>
          <w:p w14:paraId="6E61FEE2">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287</w:t>
            </w:r>
          </w:p>
        </w:tc>
        <w:tc>
          <w:tcPr>
            <w:tcW w:w="484" w:type="pct"/>
            <w:tcBorders>
              <w:top w:val="nil"/>
              <w:left w:val="nil"/>
              <w:bottom w:val="single" w:color="auto" w:sz="4" w:space="0"/>
              <w:right w:val="single" w:color="auto" w:sz="4" w:space="0"/>
            </w:tcBorders>
            <w:shd w:val="clear" w:color="000000" w:fill="FFFFFF"/>
            <w:vAlign w:val="center"/>
          </w:tcPr>
          <w:p w14:paraId="407C0ECD">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103</w:t>
            </w:r>
          </w:p>
        </w:tc>
        <w:tc>
          <w:tcPr>
            <w:tcW w:w="484" w:type="pct"/>
            <w:tcBorders>
              <w:top w:val="nil"/>
              <w:left w:val="nil"/>
              <w:bottom w:val="single" w:color="auto" w:sz="4" w:space="0"/>
              <w:right w:val="single" w:color="auto" w:sz="4" w:space="0"/>
            </w:tcBorders>
            <w:shd w:val="clear" w:color="000000" w:fill="FFFFFF"/>
            <w:vAlign w:val="center"/>
          </w:tcPr>
          <w:p w14:paraId="72509B1F">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152</w:t>
            </w:r>
          </w:p>
        </w:tc>
        <w:tc>
          <w:tcPr>
            <w:tcW w:w="484" w:type="pct"/>
            <w:tcBorders>
              <w:top w:val="nil"/>
              <w:left w:val="nil"/>
              <w:bottom w:val="single" w:color="auto" w:sz="4" w:space="0"/>
              <w:right w:val="single" w:color="auto" w:sz="4" w:space="0"/>
            </w:tcBorders>
            <w:shd w:val="clear" w:color="000000" w:fill="FFFFFF"/>
            <w:vAlign w:val="center"/>
          </w:tcPr>
          <w:p w14:paraId="195BED80">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54</w:t>
            </w:r>
          </w:p>
        </w:tc>
        <w:tc>
          <w:tcPr>
            <w:tcW w:w="548" w:type="pct"/>
            <w:tcBorders>
              <w:top w:val="nil"/>
              <w:left w:val="nil"/>
              <w:bottom w:val="single" w:color="auto" w:sz="4" w:space="0"/>
              <w:right w:val="single" w:color="auto" w:sz="4" w:space="0"/>
            </w:tcBorders>
            <w:shd w:val="clear" w:color="000000" w:fill="FFFFFF"/>
            <w:vAlign w:val="center"/>
          </w:tcPr>
          <w:p w14:paraId="76B2F714">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20</w:t>
            </w:r>
          </w:p>
        </w:tc>
      </w:tr>
      <w:tr w14:paraId="650340A6">
        <w:tblPrEx>
          <w:tblCellMar>
            <w:top w:w="0" w:type="dxa"/>
            <w:left w:w="108" w:type="dxa"/>
            <w:bottom w:w="0" w:type="dxa"/>
            <w:right w:w="108" w:type="dxa"/>
          </w:tblCellMar>
        </w:tblPrEx>
        <w:trPr>
          <w:trHeight w:val="300" w:hRule="atLeast"/>
        </w:trPr>
        <w:tc>
          <w:tcPr>
            <w:tcW w:w="785" w:type="pct"/>
            <w:tcBorders>
              <w:top w:val="nil"/>
              <w:left w:val="single" w:color="auto" w:sz="4" w:space="0"/>
              <w:bottom w:val="single" w:color="auto" w:sz="4" w:space="0"/>
              <w:right w:val="single" w:color="auto" w:sz="4" w:space="0"/>
            </w:tcBorders>
            <w:shd w:val="clear" w:color="000000" w:fill="FFFFFF"/>
            <w:vAlign w:val="center"/>
          </w:tcPr>
          <w:p w14:paraId="67DEAAFF">
            <w:pPr>
              <w:spacing w:after="0" w:line="240" w:lineRule="auto"/>
              <w:ind w:firstLine="160" w:firstLineChars="100"/>
              <w:rPr>
                <w:rFonts w:ascii="Arial" w:hAnsi="Arial" w:eastAsia="Times New Roman" w:cs="Arial"/>
                <w:color w:val="1A1C1E"/>
                <w:sz w:val="16"/>
                <w:szCs w:val="16"/>
              </w:rPr>
            </w:pPr>
            <w:r>
              <w:rPr>
                <w:rFonts w:ascii="Arial" w:hAnsi="Arial" w:eastAsia="Times New Roman" w:cs="Arial"/>
                <w:color w:val="1A1C1E"/>
                <w:sz w:val="16"/>
                <w:szCs w:val="16"/>
              </w:rPr>
              <w:t> </w:t>
            </w:r>
          </w:p>
        </w:tc>
        <w:tc>
          <w:tcPr>
            <w:tcW w:w="1170" w:type="pct"/>
            <w:tcBorders>
              <w:top w:val="nil"/>
              <w:left w:val="nil"/>
              <w:bottom w:val="single" w:color="auto" w:sz="4" w:space="0"/>
              <w:right w:val="single" w:color="auto" w:sz="4" w:space="0"/>
            </w:tcBorders>
            <w:shd w:val="clear" w:color="000000" w:fill="FFFFFF"/>
            <w:vAlign w:val="center"/>
          </w:tcPr>
          <w:p w14:paraId="6452E7AE">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Total containere noi</w:t>
            </w:r>
          </w:p>
        </w:tc>
        <w:tc>
          <w:tcPr>
            <w:tcW w:w="561" w:type="pct"/>
            <w:tcBorders>
              <w:top w:val="nil"/>
              <w:left w:val="nil"/>
              <w:bottom w:val="single" w:color="auto" w:sz="4" w:space="0"/>
              <w:right w:val="single" w:color="auto" w:sz="4" w:space="0"/>
            </w:tcBorders>
            <w:shd w:val="clear" w:color="000000" w:fill="FFFFFF"/>
            <w:vAlign w:val="center"/>
          </w:tcPr>
          <w:p w14:paraId="5B8EDF64">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1285</w:t>
            </w:r>
          </w:p>
        </w:tc>
        <w:tc>
          <w:tcPr>
            <w:tcW w:w="484" w:type="pct"/>
            <w:tcBorders>
              <w:top w:val="nil"/>
              <w:left w:val="nil"/>
              <w:bottom w:val="single" w:color="auto" w:sz="4" w:space="0"/>
              <w:right w:val="single" w:color="auto" w:sz="4" w:space="0"/>
            </w:tcBorders>
            <w:shd w:val="clear" w:color="000000" w:fill="FFFFFF"/>
            <w:vAlign w:val="center"/>
          </w:tcPr>
          <w:p w14:paraId="131CEFB9">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287</w:t>
            </w:r>
          </w:p>
        </w:tc>
        <w:tc>
          <w:tcPr>
            <w:tcW w:w="484" w:type="pct"/>
            <w:tcBorders>
              <w:top w:val="nil"/>
              <w:left w:val="nil"/>
              <w:bottom w:val="single" w:color="auto" w:sz="4" w:space="0"/>
              <w:right w:val="single" w:color="auto" w:sz="4" w:space="0"/>
            </w:tcBorders>
            <w:shd w:val="clear" w:color="000000" w:fill="FFFFFF"/>
            <w:vAlign w:val="center"/>
          </w:tcPr>
          <w:p w14:paraId="5825515D">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206</w:t>
            </w:r>
          </w:p>
        </w:tc>
        <w:tc>
          <w:tcPr>
            <w:tcW w:w="484" w:type="pct"/>
            <w:tcBorders>
              <w:top w:val="nil"/>
              <w:left w:val="nil"/>
              <w:bottom w:val="single" w:color="auto" w:sz="4" w:space="0"/>
              <w:right w:val="single" w:color="auto" w:sz="4" w:space="0"/>
            </w:tcBorders>
            <w:shd w:val="clear" w:color="000000" w:fill="FFFFFF"/>
            <w:vAlign w:val="center"/>
          </w:tcPr>
          <w:p w14:paraId="2AAF4FBA">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456</w:t>
            </w:r>
          </w:p>
        </w:tc>
        <w:tc>
          <w:tcPr>
            <w:tcW w:w="484" w:type="pct"/>
            <w:tcBorders>
              <w:top w:val="nil"/>
              <w:left w:val="nil"/>
              <w:bottom w:val="single" w:color="auto" w:sz="4" w:space="0"/>
              <w:right w:val="single" w:color="auto" w:sz="4" w:space="0"/>
            </w:tcBorders>
            <w:shd w:val="clear" w:color="000000" w:fill="FFFFFF"/>
            <w:vAlign w:val="center"/>
          </w:tcPr>
          <w:p w14:paraId="22925E7A">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216</w:t>
            </w:r>
          </w:p>
        </w:tc>
        <w:tc>
          <w:tcPr>
            <w:tcW w:w="548" w:type="pct"/>
            <w:tcBorders>
              <w:top w:val="nil"/>
              <w:left w:val="nil"/>
              <w:bottom w:val="single" w:color="auto" w:sz="4" w:space="0"/>
              <w:right w:val="single" w:color="auto" w:sz="4" w:space="0"/>
            </w:tcBorders>
            <w:shd w:val="clear" w:color="000000" w:fill="FFFFFF"/>
            <w:vAlign w:val="center"/>
          </w:tcPr>
          <w:p w14:paraId="643F21DE">
            <w:pPr>
              <w:spacing w:after="0" w:line="240" w:lineRule="auto"/>
              <w:ind w:firstLine="160" w:firstLineChars="100"/>
              <w:rPr>
                <w:rFonts w:ascii="Arial" w:hAnsi="Arial" w:eastAsia="Times New Roman" w:cs="Arial"/>
                <w:b/>
                <w:bCs/>
                <w:color w:val="1A1C1E"/>
                <w:sz w:val="16"/>
                <w:szCs w:val="16"/>
              </w:rPr>
            </w:pPr>
            <w:r>
              <w:rPr>
                <w:rFonts w:ascii="Arial" w:hAnsi="Arial" w:eastAsia="Times New Roman" w:cs="Arial"/>
                <w:b/>
                <w:bCs/>
                <w:color w:val="1A1C1E"/>
                <w:sz w:val="16"/>
                <w:szCs w:val="16"/>
              </w:rPr>
              <w:t>120</w:t>
            </w:r>
          </w:p>
        </w:tc>
      </w:tr>
    </w:tbl>
    <w:p w14:paraId="0B6165B4">
      <w:pPr>
        <w:spacing w:after="0" w:line="240" w:lineRule="auto"/>
        <w:rPr>
          <w:rFonts w:eastAsia="Times New Roman" w:asciiTheme="majorHAnsi" w:hAnsiTheme="majorHAnsi" w:cstheme="majorHAnsi"/>
          <w:b/>
          <w:bCs/>
          <w:sz w:val="24"/>
          <w:szCs w:val="24"/>
        </w:rPr>
      </w:pPr>
    </w:p>
    <w:p w14:paraId="73D4CF23">
      <w:pPr>
        <w:rPr>
          <w:rFonts w:asciiTheme="majorHAnsi" w:hAnsiTheme="majorHAnsi" w:cstheme="majorHAnsi"/>
          <w:sz w:val="24"/>
          <w:szCs w:val="24"/>
          <w:lang w:val="ro-RO" w:eastAsia="en-GB"/>
        </w:rPr>
      </w:pPr>
    </w:p>
    <w:tbl>
      <w:tblPr>
        <w:tblStyle w:val="12"/>
        <w:tblW w:w="5000" w:type="pct"/>
        <w:tblInd w:w="0" w:type="dxa"/>
        <w:tblLayout w:type="autofit"/>
        <w:tblCellMar>
          <w:top w:w="0" w:type="dxa"/>
          <w:left w:w="0" w:type="dxa"/>
          <w:bottom w:w="0" w:type="dxa"/>
          <w:right w:w="0" w:type="dxa"/>
        </w:tblCellMar>
      </w:tblPr>
      <w:tblGrid>
        <w:gridCol w:w="2034"/>
        <w:gridCol w:w="3025"/>
        <w:gridCol w:w="1393"/>
        <w:gridCol w:w="1206"/>
        <w:gridCol w:w="1207"/>
        <w:gridCol w:w="1207"/>
      </w:tblGrid>
      <w:tr w14:paraId="538B6796">
        <w:tblPrEx>
          <w:tblCellMar>
            <w:top w:w="0" w:type="dxa"/>
            <w:left w:w="0" w:type="dxa"/>
            <w:bottom w:w="0" w:type="dxa"/>
            <w:right w:w="0" w:type="dxa"/>
          </w:tblCellMar>
        </w:tblPrEx>
        <w:trPr>
          <w:trHeight w:val="1500" w:hRule="atLeast"/>
        </w:trPr>
        <w:tc>
          <w:tcPr>
            <w:tcW w:w="1024" w:type="pct"/>
            <w:tcBorders>
              <w:top w:val="single" w:color="auto" w:sz="4" w:space="0"/>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046D9DEE">
            <w:pPr>
              <w:ind w:firstLine="160" w:firstLineChars="100"/>
              <w:rPr>
                <w:rFonts w:ascii="Arial" w:hAnsi="Arial" w:cs="Arial"/>
                <w:b/>
                <w:bCs/>
                <w:color w:val="1A1C1E"/>
                <w:sz w:val="16"/>
                <w:szCs w:val="16"/>
              </w:rPr>
            </w:pPr>
            <w:r>
              <w:rPr>
                <w:rFonts w:ascii="Arial" w:hAnsi="Arial" w:cs="Arial"/>
                <w:b/>
                <w:bCs/>
                <w:color w:val="1A1C1E"/>
                <w:sz w:val="16"/>
                <w:szCs w:val="16"/>
              </w:rPr>
              <w:t>Categorie / Tip platformă</w:t>
            </w:r>
          </w:p>
        </w:tc>
        <w:tc>
          <w:tcPr>
            <w:tcW w:w="1516"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C506223">
            <w:pPr>
              <w:ind w:firstLine="160" w:firstLineChars="100"/>
              <w:rPr>
                <w:rFonts w:ascii="Arial" w:hAnsi="Arial" w:cs="Arial"/>
                <w:b/>
                <w:bCs/>
                <w:color w:val="1A1C1E"/>
                <w:sz w:val="16"/>
                <w:szCs w:val="16"/>
              </w:rPr>
            </w:pPr>
            <w:r>
              <w:rPr>
                <w:rFonts w:ascii="Arial" w:hAnsi="Arial" w:cs="Arial"/>
                <w:b/>
                <w:bCs/>
                <w:color w:val="1A1C1E"/>
                <w:sz w:val="16"/>
                <w:szCs w:val="16"/>
              </w:rPr>
              <w:t>Denumire locație, amplasare (Proiect PHARE)</w:t>
            </w:r>
          </w:p>
        </w:tc>
        <w:tc>
          <w:tcPr>
            <w:tcW w:w="706"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2D1DF23">
            <w:pPr>
              <w:ind w:firstLine="160" w:firstLineChars="100"/>
              <w:rPr>
                <w:rFonts w:ascii="Arial" w:hAnsi="Arial" w:cs="Arial"/>
                <w:b/>
                <w:bCs/>
                <w:color w:val="1A1C1E"/>
                <w:sz w:val="16"/>
                <w:szCs w:val="16"/>
              </w:rPr>
            </w:pPr>
            <w:r>
              <w:rPr>
                <w:rFonts w:ascii="Arial" w:hAnsi="Arial" w:cs="Arial"/>
                <w:b/>
                <w:bCs/>
                <w:color w:val="1A1C1E"/>
                <w:sz w:val="16"/>
                <w:szCs w:val="16"/>
              </w:rPr>
              <w:t>Containere Metal (1,1 mc) - Reziduale</w:t>
            </w:r>
          </w:p>
        </w:tc>
        <w:tc>
          <w:tcPr>
            <w:tcW w:w="587"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86A1676">
            <w:pPr>
              <w:ind w:firstLine="160" w:firstLineChars="100"/>
              <w:rPr>
                <w:rFonts w:ascii="Arial" w:hAnsi="Arial" w:cs="Arial"/>
                <w:b/>
                <w:bCs/>
                <w:color w:val="1A1C1E"/>
                <w:sz w:val="16"/>
                <w:szCs w:val="16"/>
              </w:rPr>
            </w:pPr>
            <w:r>
              <w:rPr>
                <w:rFonts w:ascii="Arial" w:hAnsi="Arial" w:cs="Arial"/>
                <w:b/>
                <w:bCs/>
                <w:color w:val="1A1C1E"/>
                <w:sz w:val="16"/>
                <w:szCs w:val="16"/>
              </w:rPr>
              <w:t>Containere Metal (1,1 mc Hartie/Carton</w:t>
            </w:r>
          </w:p>
        </w:tc>
        <w:tc>
          <w:tcPr>
            <w:tcW w:w="579"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8EC710D">
            <w:pPr>
              <w:ind w:firstLine="160" w:firstLineChars="100"/>
              <w:rPr>
                <w:rFonts w:ascii="Arial" w:hAnsi="Arial" w:cs="Arial"/>
                <w:b/>
                <w:bCs/>
                <w:color w:val="1A1C1E"/>
                <w:sz w:val="16"/>
                <w:szCs w:val="16"/>
              </w:rPr>
            </w:pPr>
            <w:r>
              <w:rPr>
                <w:rFonts w:ascii="Arial" w:hAnsi="Arial" w:cs="Arial"/>
                <w:b/>
                <w:bCs/>
                <w:color w:val="1A1C1E"/>
                <w:sz w:val="16"/>
                <w:szCs w:val="16"/>
              </w:rPr>
              <w:t>Containere Metal (1,1 mc - Plastic</w:t>
            </w:r>
          </w:p>
        </w:tc>
        <w:tc>
          <w:tcPr>
            <w:tcW w:w="588"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1B9E4CE">
            <w:pPr>
              <w:ind w:firstLine="160" w:firstLineChars="100"/>
              <w:rPr>
                <w:rFonts w:ascii="Arial" w:hAnsi="Arial" w:cs="Arial"/>
                <w:b/>
                <w:bCs/>
                <w:color w:val="1A1C1E"/>
                <w:sz w:val="16"/>
                <w:szCs w:val="16"/>
              </w:rPr>
            </w:pPr>
            <w:r>
              <w:rPr>
                <w:rFonts w:ascii="Arial" w:hAnsi="Arial" w:cs="Arial"/>
                <w:b/>
                <w:bCs/>
                <w:color w:val="1A1C1E"/>
                <w:sz w:val="16"/>
                <w:szCs w:val="16"/>
              </w:rPr>
              <w:t>Containere Metal (1,1 mc - Sticlă</w:t>
            </w:r>
          </w:p>
        </w:tc>
      </w:tr>
      <w:tr w14:paraId="7F9EF9EF">
        <w:tblPrEx>
          <w:tblCellMar>
            <w:top w:w="0" w:type="dxa"/>
            <w:left w:w="0" w:type="dxa"/>
            <w:bottom w:w="0" w:type="dxa"/>
            <w:right w:w="0" w:type="dxa"/>
          </w:tblCellMar>
        </w:tblPrEx>
        <w:trPr>
          <w:trHeight w:val="6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611BA8A">
            <w:pPr>
              <w:ind w:firstLine="160" w:firstLineChars="100"/>
              <w:rPr>
                <w:rFonts w:ascii="Arial" w:hAnsi="Arial" w:cs="Arial"/>
                <w:b/>
                <w:bCs/>
                <w:color w:val="1A1C1E"/>
                <w:sz w:val="16"/>
                <w:szCs w:val="16"/>
              </w:rPr>
            </w:pPr>
            <w:r>
              <w:rPr>
                <w:rFonts w:ascii="Arial" w:hAnsi="Arial" w:cs="Arial"/>
                <w:b/>
                <w:bCs/>
                <w:color w:val="1A1C1E"/>
                <w:sz w:val="16"/>
                <w:szCs w:val="16"/>
              </w:rPr>
              <w:t>I. Zona de blocuri (33 puncte)</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12E10D5">
            <w:pPr>
              <w:ind w:firstLine="160" w:firstLineChars="100"/>
              <w:rPr>
                <w:rFonts w:ascii="Arial" w:hAnsi="Arial" w:cs="Arial"/>
                <w:color w:val="1A1C1E"/>
                <w:sz w:val="16"/>
                <w:szCs w:val="16"/>
              </w:rPr>
            </w:pPr>
            <w:r>
              <w:rPr>
                <w:rFonts w:ascii="Arial" w:hAnsi="Arial" w:cs="Arial"/>
                <w:color w:val="1A1C1E"/>
                <w:sz w:val="16"/>
                <w:szCs w:val="16"/>
              </w:rPr>
              <w:t>Bdul 1 Decembrie 1918 - intersecție M. Eminescu</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F4886E8">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C6C4FB8">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23B0CBA">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E640EF8">
            <w:pPr>
              <w:ind w:firstLine="160" w:firstLineChars="100"/>
              <w:rPr>
                <w:rFonts w:ascii="Arial" w:hAnsi="Arial" w:cs="Arial"/>
                <w:color w:val="1A1C1E"/>
                <w:sz w:val="16"/>
                <w:szCs w:val="16"/>
              </w:rPr>
            </w:pPr>
            <w:r>
              <w:rPr>
                <w:rFonts w:ascii="Arial" w:hAnsi="Arial" w:cs="Arial"/>
                <w:color w:val="1A1C1E"/>
                <w:sz w:val="16"/>
                <w:szCs w:val="16"/>
              </w:rPr>
              <w:t>1</w:t>
            </w:r>
          </w:p>
        </w:tc>
      </w:tr>
      <w:tr w14:paraId="3EBEE3D4">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10E74EB9">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4C3BD4A">
            <w:pPr>
              <w:ind w:firstLine="160" w:firstLineChars="100"/>
              <w:rPr>
                <w:rFonts w:ascii="Arial" w:hAnsi="Arial" w:cs="Arial"/>
                <w:color w:val="1A1C1E"/>
                <w:sz w:val="16"/>
                <w:szCs w:val="16"/>
              </w:rPr>
            </w:pPr>
            <w:r>
              <w:rPr>
                <w:rFonts w:ascii="Arial" w:hAnsi="Arial" w:cs="Arial"/>
                <w:color w:val="1A1C1E"/>
                <w:sz w:val="16"/>
                <w:szCs w:val="16"/>
              </w:rPr>
              <w:t>Str. Luceafărului (Farmacie BIG)</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34418E8F">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206D326">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ADF326B">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F9E1601">
            <w:pPr>
              <w:ind w:firstLine="160" w:firstLineChars="100"/>
              <w:rPr>
                <w:rFonts w:ascii="Arial" w:hAnsi="Arial" w:cs="Arial"/>
                <w:color w:val="1A1C1E"/>
                <w:sz w:val="16"/>
                <w:szCs w:val="16"/>
              </w:rPr>
            </w:pPr>
            <w:r>
              <w:rPr>
                <w:rFonts w:ascii="Arial" w:hAnsi="Arial" w:cs="Arial"/>
                <w:color w:val="1A1C1E"/>
                <w:sz w:val="16"/>
                <w:szCs w:val="16"/>
              </w:rPr>
              <w:t>1</w:t>
            </w:r>
          </w:p>
        </w:tc>
      </w:tr>
      <w:tr w14:paraId="287F4EBE">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C371016">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770EE31">
            <w:pPr>
              <w:ind w:firstLine="160" w:firstLineChars="100"/>
              <w:rPr>
                <w:rFonts w:ascii="Arial" w:hAnsi="Arial" w:cs="Arial"/>
                <w:color w:val="1A1C1E"/>
                <w:sz w:val="16"/>
                <w:szCs w:val="16"/>
              </w:rPr>
            </w:pPr>
            <w:r>
              <w:rPr>
                <w:rFonts w:ascii="Arial" w:hAnsi="Arial" w:cs="Arial"/>
                <w:color w:val="1A1C1E"/>
                <w:sz w:val="16"/>
                <w:szCs w:val="16"/>
              </w:rPr>
              <w:t>Bdul 1 Decembrie 1918</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326E8B3E">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5E0A143">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5977C14">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F7FE4F5">
            <w:pPr>
              <w:ind w:firstLine="160" w:firstLineChars="100"/>
              <w:rPr>
                <w:rFonts w:ascii="Arial" w:hAnsi="Arial" w:cs="Arial"/>
                <w:color w:val="1A1C1E"/>
                <w:sz w:val="16"/>
                <w:szCs w:val="16"/>
              </w:rPr>
            </w:pPr>
            <w:r>
              <w:rPr>
                <w:rFonts w:ascii="Arial" w:hAnsi="Arial" w:cs="Arial"/>
                <w:color w:val="1A1C1E"/>
                <w:sz w:val="16"/>
                <w:szCs w:val="16"/>
              </w:rPr>
              <w:t>1</w:t>
            </w:r>
          </w:p>
        </w:tc>
      </w:tr>
      <w:tr w14:paraId="0171D6D0">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6FC8A4B">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1522CBA">
            <w:pPr>
              <w:ind w:firstLine="160" w:firstLineChars="100"/>
              <w:rPr>
                <w:rFonts w:ascii="Arial" w:hAnsi="Arial" w:cs="Arial"/>
                <w:color w:val="1A1C1E"/>
                <w:sz w:val="16"/>
                <w:szCs w:val="16"/>
              </w:rPr>
            </w:pPr>
            <w:r>
              <w:rPr>
                <w:rFonts w:ascii="Arial" w:hAnsi="Arial" w:cs="Arial"/>
                <w:color w:val="1A1C1E"/>
                <w:sz w:val="16"/>
                <w:szCs w:val="16"/>
              </w:rPr>
              <w:t>Bdul 1 Decembrie 1918</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188A8801">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5905D31">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E53D792">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181F3C6">
            <w:pPr>
              <w:ind w:firstLine="160" w:firstLineChars="100"/>
              <w:rPr>
                <w:rFonts w:ascii="Arial" w:hAnsi="Arial" w:cs="Arial"/>
                <w:color w:val="1A1C1E"/>
                <w:sz w:val="16"/>
                <w:szCs w:val="16"/>
              </w:rPr>
            </w:pPr>
            <w:r>
              <w:rPr>
                <w:rFonts w:ascii="Arial" w:hAnsi="Arial" w:cs="Arial"/>
                <w:color w:val="1A1C1E"/>
                <w:sz w:val="16"/>
                <w:szCs w:val="16"/>
              </w:rPr>
              <w:t>1</w:t>
            </w:r>
          </w:p>
        </w:tc>
      </w:tr>
      <w:tr w14:paraId="0B685FAA">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074AA1EA">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53231E6">
            <w:pPr>
              <w:ind w:firstLine="160" w:firstLineChars="100"/>
              <w:rPr>
                <w:rFonts w:ascii="Arial" w:hAnsi="Arial" w:cs="Arial"/>
                <w:color w:val="1A1C1E"/>
                <w:sz w:val="16"/>
                <w:szCs w:val="16"/>
              </w:rPr>
            </w:pPr>
            <w:r>
              <w:rPr>
                <w:rFonts w:ascii="Arial" w:hAnsi="Arial" w:cs="Arial"/>
                <w:color w:val="1A1C1E"/>
                <w:sz w:val="16"/>
                <w:szCs w:val="16"/>
              </w:rPr>
              <w:t>Bdul 1 Decembrie 1918</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01B12A20">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4A9B617">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DBB4721">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4A4A55B">
            <w:pPr>
              <w:ind w:firstLine="160" w:firstLineChars="100"/>
              <w:rPr>
                <w:rFonts w:ascii="Arial" w:hAnsi="Arial" w:cs="Arial"/>
                <w:color w:val="1A1C1E"/>
                <w:sz w:val="16"/>
                <w:szCs w:val="16"/>
              </w:rPr>
            </w:pPr>
            <w:r>
              <w:rPr>
                <w:rFonts w:ascii="Arial" w:hAnsi="Arial" w:cs="Arial"/>
                <w:color w:val="1A1C1E"/>
                <w:sz w:val="16"/>
                <w:szCs w:val="16"/>
              </w:rPr>
              <w:t>1</w:t>
            </w:r>
          </w:p>
        </w:tc>
      </w:tr>
      <w:tr w14:paraId="16C8D3F6">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E2ABACD">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84D0D3D">
            <w:pPr>
              <w:ind w:firstLine="160" w:firstLineChars="100"/>
              <w:rPr>
                <w:rFonts w:ascii="Arial" w:hAnsi="Arial" w:cs="Arial"/>
                <w:color w:val="1A1C1E"/>
                <w:sz w:val="16"/>
                <w:szCs w:val="16"/>
              </w:rPr>
            </w:pPr>
            <w:r>
              <w:rPr>
                <w:rFonts w:ascii="Arial" w:hAnsi="Arial" w:cs="Arial"/>
                <w:color w:val="1A1C1E"/>
                <w:sz w:val="16"/>
                <w:szCs w:val="16"/>
              </w:rPr>
              <w:t>Bdul 1 Decembrie 1918, (Regie)</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0F018A92">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92DB95D">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A2CF2B5">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968065D">
            <w:pPr>
              <w:ind w:firstLine="160" w:firstLineChars="100"/>
              <w:rPr>
                <w:rFonts w:ascii="Arial" w:hAnsi="Arial" w:cs="Arial"/>
                <w:color w:val="1A1C1E"/>
                <w:sz w:val="16"/>
                <w:szCs w:val="16"/>
              </w:rPr>
            </w:pPr>
            <w:r>
              <w:rPr>
                <w:rFonts w:ascii="Arial" w:hAnsi="Arial" w:cs="Arial"/>
                <w:color w:val="1A1C1E"/>
                <w:sz w:val="16"/>
                <w:szCs w:val="16"/>
              </w:rPr>
              <w:t>1</w:t>
            </w:r>
          </w:p>
        </w:tc>
      </w:tr>
      <w:tr w14:paraId="1BB15623">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178445B">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DE3358A">
            <w:pPr>
              <w:ind w:firstLine="160" w:firstLineChars="100"/>
              <w:rPr>
                <w:rFonts w:ascii="Arial" w:hAnsi="Arial" w:cs="Arial"/>
                <w:color w:val="1A1C1E"/>
                <w:sz w:val="16"/>
                <w:szCs w:val="16"/>
              </w:rPr>
            </w:pPr>
            <w:r>
              <w:rPr>
                <w:rFonts w:ascii="Arial" w:hAnsi="Arial" w:cs="Arial"/>
                <w:color w:val="1A1C1E"/>
                <w:sz w:val="16"/>
                <w:szCs w:val="16"/>
              </w:rPr>
              <w:t>Bdul 1 Decembrie 1918</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4089F135">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6F764AF">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BDE4CAA">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A2FED59">
            <w:pPr>
              <w:ind w:firstLine="160" w:firstLineChars="100"/>
              <w:rPr>
                <w:rFonts w:ascii="Arial" w:hAnsi="Arial" w:cs="Arial"/>
                <w:color w:val="1A1C1E"/>
                <w:sz w:val="16"/>
                <w:szCs w:val="16"/>
              </w:rPr>
            </w:pPr>
            <w:r>
              <w:rPr>
                <w:rFonts w:ascii="Arial" w:hAnsi="Arial" w:cs="Arial"/>
                <w:color w:val="1A1C1E"/>
                <w:sz w:val="16"/>
                <w:szCs w:val="16"/>
              </w:rPr>
              <w:t>1</w:t>
            </w:r>
          </w:p>
        </w:tc>
      </w:tr>
      <w:tr w14:paraId="2F7C068B">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7D423848">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0760B81">
            <w:pPr>
              <w:ind w:firstLine="160" w:firstLineChars="100"/>
              <w:rPr>
                <w:rFonts w:ascii="Arial" w:hAnsi="Arial" w:cs="Arial"/>
                <w:color w:val="1A1C1E"/>
                <w:sz w:val="16"/>
                <w:szCs w:val="16"/>
              </w:rPr>
            </w:pPr>
            <w:r>
              <w:rPr>
                <w:rFonts w:ascii="Arial" w:hAnsi="Arial" w:cs="Arial"/>
                <w:color w:val="1A1C1E"/>
                <w:sz w:val="16"/>
                <w:szCs w:val="16"/>
              </w:rPr>
              <w:t>Bdul 1 Decembrie 1918</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7BA43CAF">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6B90A45">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3CBED47">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15AB26F">
            <w:pPr>
              <w:ind w:firstLine="160" w:firstLineChars="100"/>
              <w:rPr>
                <w:rFonts w:ascii="Arial" w:hAnsi="Arial" w:cs="Arial"/>
                <w:color w:val="1A1C1E"/>
                <w:sz w:val="16"/>
                <w:szCs w:val="16"/>
              </w:rPr>
            </w:pPr>
            <w:r>
              <w:rPr>
                <w:rFonts w:ascii="Arial" w:hAnsi="Arial" w:cs="Arial"/>
                <w:color w:val="1A1C1E"/>
                <w:sz w:val="16"/>
                <w:szCs w:val="16"/>
              </w:rPr>
              <w:t>1</w:t>
            </w:r>
          </w:p>
        </w:tc>
      </w:tr>
      <w:tr w14:paraId="220F374E">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4413E181">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9BEF7FE">
            <w:pPr>
              <w:ind w:firstLine="160" w:firstLineChars="100"/>
              <w:rPr>
                <w:rFonts w:ascii="Arial" w:hAnsi="Arial" w:cs="Arial"/>
                <w:color w:val="1A1C1E"/>
                <w:sz w:val="16"/>
                <w:szCs w:val="16"/>
              </w:rPr>
            </w:pPr>
            <w:r>
              <w:rPr>
                <w:rFonts w:ascii="Arial" w:hAnsi="Arial" w:cs="Arial"/>
                <w:color w:val="1A1C1E"/>
                <w:sz w:val="16"/>
                <w:szCs w:val="16"/>
              </w:rPr>
              <w:t>Bdul 1 Decembrie 1918</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3E3C94DA">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5275746">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14BD75F">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592212B">
            <w:pPr>
              <w:ind w:firstLine="160" w:firstLineChars="100"/>
              <w:rPr>
                <w:rFonts w:ascii="Arial" w:hAnsi="Arial" w:cs="Arial"/>
                <w:color w:val="1A1C1E"/>
                <w:sz w:val="16"/>
                <w:szCs w:val="16"/>
              </w:rPr>
            </w:pPr>
            <w:r>
              <w:rPr>
                <w:rFonts w:ascii="Arial" w:hAnsi="Arial" w:cs="Arial"/>
                <w:color w:val="1A1C1E"/>
                <w:sz w:val="16"/>
                <w:szCs w:val="16"/>
              </w:rPr>
              <w:t>1</w:t>
            </w:r>
          </w:p>
        </w:tc>
      </w:tr>
      <w:tr w14:paraId="5887E532">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CC96628">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560D690">
            <w:pPr>
              <w:ind w:firstLine="160" w:firstLineChars="100"/>
              <w:rPr>
                <w:rFonts w:ascii="Arial" w:hAnsi="Arial" w:cs="Arial"/>
                <w:color w:val="1A1C1E"/>
                <w:sz w:val="16"/>
                <w:szCs w:val="16"/>
              </w:rPr>
            </w:pPr>
            <w:r>
              <w:rPr>
                <w:rFonts w:ascii="Arial" w:hAnsi="Arial" w:cs="Arial"/>
                <w:color w:val="1A1C1E"/>
                <w:sz w:val="16"/>
                <w:szCs w:val="16"/>
              </w:rPr>
              <w:t>Bdul 1 Decembrie 1918</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3F141779">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0D5498A">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172D8AD">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DEF1865">
            <w:pPr>
              <w:ind w:firstLine="160" w:firstLineChars="100"/>
              <w:rPr>
                <w:rFonts w:ascii="Arial" w:hAnsi="Arial" w:cs="Arial"/>
                <w:color w:val="1A1C1E"/>
                <w:sz w:val="16"/>
                <w:szCs w:val="16"/>
              </w:rPr>
            </w:pPr>
            <w:r>
              <w:rPr>
                <w:rFonts w:ascii="Arial" w:hAnsi="Arial" w:cs="Arial"/>
                <w:color w:val="1A1C1E"/>
                <w:sz w:val="16"/>
                <w:szCs w:val="16"/>
              </w:rPr>
              <w:t>1</w:t>
            </w:r>
          </w:p>
        </w:tc>
      </w:tr>
      <w:tr w14:paraId="7FEDFD15">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70709331">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9CBAB73">
            <w:pPr>
              <w:ind w:firstLine="160" w:firstLineChars="100"/>
              <w:rPr>
                <w:rFonts w:ascii="Arial" w:hAnsi="Arial" w:cs="Arial"/>
                <w:color w:val="1A1C1E"/>
                <w:sz w:val="16"/>
                <w:szCs w:val="16"/>
              </w:rPr>
            </w:pPr>
            <w:r>
              <w:rPr>
                <w:rFonts w:ascii="Arial" w:hAnsi="Arial" w:cs="Arial"/>
                <w:color w:val="1A1C1E"/>
                <w:sz w:val="16"/>
                <w:szCs w:val="16"/>
              </w:rPr>
              <w:t>Bdul Republicii, bl. E</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057D1CF1">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BCC0BF0">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DF2CD7A">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6C1B29C">
            <w:pPr>
              <w:ind w:firstLine="160" w:firstLineChars="100"/>
              <w:rPr>
                <w:rFonts w:ascii="Arial" w:hAnsi="Arial" w:cs="Arial"/>
                <w:color w:val="1A1C1E"/>
                <w:sz w:val="16"/>
                <w:szCs w:val="16"/>
              </w:rPr>
            </w:pPr>
            <w:r>
              <w:rPr>
                <w:rFonts w:ascii="Arial" w:hAnsi="Arial" w:cs="Arial"/>
                <w:color w:val="1A1C1E"/>
                <w:sz w:val="16"/>
                <w:szCs w:val="16"/>
              </w:rPr>
              <w:t>1</w:t>
            </w:r>
          </w:p>
        </w:tc>
      </w:tr>
      <w:tr w14:paraId="6E08EAFD">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8131CEA">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0493AD0">
            <w:pPr>
              <w:ind w:firstLine="160" w:firstLineChars="100"/>
              <w:rPr>
                <w:rFonts w:ascii="Arial" w:hAnsi="Arial" w:cs="Arial"/>
                <w:color w:val="1A1C1E"/>
                <w:sz w:val="16"/>
                <w:szCs w:val="16"/>
              </w:rPr>
            </w:pPr>
            <w:r>
              <w:rPr>
                <w:rFonts w:ascii="Arial" w:hAnsi="Arial" w:cs="Arial"/>
                <w:color w:val="1A1C1E"/>
                <w:sz w:val="16"/>
                <w:szCs w:val="16"/>
              </w:rPr>
              <w:t>Bdul Republicii, bl. Mic (REMZY)</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5462166D">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2033DC5">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165972A">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16515FB">
            <w:pPr>
              <w:ind w:firstLine="160" w:firstLineChars="100"/>
              <w:rPr>
                <w:rFonts w:ascii="Arial" w:hAnsi="Arial" w:cs="Arial"/>
                <w:color w:val="1A1C1E"/>
                <w:sz w:val="16"/>
                <w:szCs w:val="16"/>
              </w:rPr>
            </w:pPr>
            <w:r>
              <w:rPr>
                <w:rFonts w:ascii="Arial" w:hAnsi="Arial" w:cs="Arial"/>
                <w:color w:val="1A1C1E"/>
                <w:sz w:val="16"/>
                <w:szCs w:val="16"/>
              </w:rPr>
              <w:t>1</w:t>
            </w:r>
          </w:p>
        </w:tc>
      </w:tr>
      <w:tr w14:paraId="26F8B5E9">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72BDD93">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8E03F60">
            <w:pPr>
              <w:ind w:firstLine="160" w:firstLineChars="100"/>
              <w:rPr>
                <w:rFonts w:ascii="Arial" w:hAnsi="Arial" w:cs="Arial"/>
                <w:color w:val="1A1C1E"/>
                <w:sz w:val="16"/>
                <w:szCs w:val="16"/>
              </w:rPr>
            </w:pPr>
            <w:r>
              <w:rPr>
                <w:rFonts w:ascii="Arial" w:hAnsi="Arial" w:cs="Arial"/>
                <w:color w:val="1A1C1E"/>
                <w:sz w:val="16"/>
                <w:szCs w:val="16"/>
              </w:rPr>
              <w:t>Bdul Republicii, (CT-1)</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6DEBF9B9">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0D822B9">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EB8D811">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445DB3F">
            <w:pPr>
              <w:ind w:firstLine="160" w:firstLineChars="100"/>
              <w:rPr>
                <w:rFonts w:ascii="Arial" w:hAnsi="Arial" w:cs="Arial"/>
                <w:color w:val="1A1C1E"/>
                <w:sz w:val="16"/>
                <w:szCs w:val="16"/>
              </w:rPr>
            </w:pPr>
            <w:r>
              <w:rPr>
                <w:rFonts w:ascii="Arial" w:hAnsi="Arial" w:cs="Arial"/>
                <w:color w:val="1A1C1E"/>
                <w:sz w:val="16"/>
                <w:szCs w:val="16"/>
              </w:rPr>
              <w:t>1</w:t>
            </w:r>
          </w:p>
        </w:tc>
      </w:tr>
      <w:tr w14:paraId="57458E6B">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E678410">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4421A2D">
            <w:pPr>
              <w:ind w:firstLine="160" w:firstLineChars="100"/>
              <w:rPr>
                <w:rFonts w:ascii="Arial" w:hAnsi="Arial" w:cs="Arial"/>
                <w:color w:val="1A1C1E"/>
                <w:sz w:val="16"/>
                <w:szCs w:val="16"/>
              </w:rPr>
            </w:pPr>
            <w:r>
              <w:rPr>
                <w:rFonts w:ascii="Arial" w:hAnsi="Arial" w:cs="Arial"/>
                <w:color w:val="1A1C1E"/>
                <w:sz w:val="16"/>
                <w:szCs w:val="16"/>
              </w:rPr>
              <w:t>Bdul Republicii, bl. D</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06F30B50">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505C32C">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91D30EC">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FEAA195">
            <w:pPr>
              <w:ind w:firstLine="160" w:firstLineChars="100"/>
              <w:rPr>
                <w:rFonts w:ascii="Arial" w:hAnsi="Arial" w:cs="Arial"/>
                <w:color w:val="1A1C1E"/>
                <w:sz w:val="16"/>
                <w:szCs w:val="16"/>
              </w:rPr>
            </w:pPr>
            <w:r>
              <w:rPr>
                <w:rFonts w:ascii="Arial" w:hAnsi="Arial" w:cs="Arial"/>
                <w:color w:val="1A1C1E"/>
                <w:sz w:val="16"/>
                <w:szCs w:val="16"/>
              </w:rPr>
              <w:t>1</w:t>
            </w:r>
          </w:p>
        </w:tc>
      </w:tr>
      <w:tr w14:paraId="0015600D">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2758F0A">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2FD4941">
            <w:pPr>
              <w:ind w:firstLine="160" w:firstLineChars="100"/>
              <w:rPr>
                <w:rFonts w:ascii="Arial" w:hAnsi="Arial" w:cs="Arial"/>
                <w:color w:val="1A1C1E"/>
                <w:sz w:val="16"/>
                <w:szCs w:val="16"/>
              </w:rPr>
            </w:pPr>
            <w:r>
              <w:rPr>
                <w:rFonts w:ascii="Arial" w:hAnsi="Arial" w:cs="Arial"/>
                <w:color w:val="1A1C1E"/>
                <w:sz w:val="16"/>
                <w:szCs w:val="16"/>
              </w:rPr>
              <w:t>Str. Heliade Rădulescu (CT-9)</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19EFF531">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59E2395">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EC7C93F">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1803F9F">
            <w:pPr>
              <w:ind w:firstLine="160" w:firstLineChars="100"/>
              <w:rPr>
                <w:rFonts w:ascii="Arial" w:hAnsi="Arial" w:cs="Arial"/>
                <w:color w:val="1A1C1E"/>
                <w:sz w:val="16"/>
                <w:szCs w:val="16"/>
              </w:rPr>
            </w:pPr>
            <w:r>
              <w:rPr>
                <w:rFonts w:ascii="Arial" w:hAnsi="Arial" w:cs="Arial"/>
                <w:color w:val="1A1C1E"/>
                <w:sz w:val="16"/>
                <w:szCs w:val="16"/>
              </w:rPr>
              <w:t>1</w:t>
            </w:r>
          </w:p>
        </w:tc>
      </w:tr>
      <w:tr w14:paraId="30FFF707">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4F12896B">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52EBEA4">
            <w:pPr>
              <w:ind w:firstLine="160" w:firstLineChars="100"/>
              <w:rPr>
                <w:rFonts w:ascii="Arial" w:hAnsi="Arial" w:cs="Arial"/>
                <w:color w:val="1A1C1E"/>
                <w:sz w:val="16"/>
                <w:szCs w:val="16"/>
              </w:rPr>
            </w:pPr>
            <w:r>
              <w:rPr>
                <w:rFonts w:ascii="Arial" w:hAnsi="Arial" w:cs="Arial"/>
                <w:color w:val="1A1C1E"/>
                <w:sz w:val="16"/>
                <w:szCs w:val="16"/>
              </w:rPr>
              <w:t>Str. M. Bravu, bl. Z</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3D5468DA">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A4753C7">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D65D84D">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727E819">
            <w:pPr>
              <w:ind w:firstLine="160" w:firstLineChars="100"/>
              <w:rPr>
                <w:rFonts w:ascii="Arial" w:hAnsi="Arial" w:cs="Arial"/>
                <w:color w:val="1A1C1E"/>
                <w:sz w:val="16"/>
                <w:szCs w:val="16"/>
              </w:rPr>
            </w:pPr>
            <w:r>
              <w:rPr>
                <w:rFonts w:ascii="Arial" w:hAnsi="Arial" w:cs="Arial"/>
                <w:color w:val="1A1C1E"/>
                <w:sz w:val="16"/>
                <w:szCs w:val="16"/>
              </w:rPr>
              <w:t>1</w:t>
            </w:r>
          </w:p>
        </w:tc>
      </w:tr>
      <w:tr w14:paraId="72F66CBB">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6B48941">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70267EB">
            <w:pPr>
              <w:ind w:firstLine="160" w:firstLineChars="100"/>
              <w:rPr>
                <w:rFonts w:ascii="Arial" w:hAnsi="Arial" w:cs="Arial"/>
                <w:color w:val="1A1C1E"/>
                <w:sz w:val="16"/>
                <w:szCs w:val="16"/>
              </w:rPr>
            </w:pPr>
            <w:r>
              <w:rPr>
                <w:rFonts w:ascii="Arial" w:hAnsi="Arial" w:cs="Arial"/>
                <w:color w:val="1A1C1E"/>
                <w:sz w:val="16"/>
                <w:szCs w:val="16"/>
              </w:rPr>
              <w:t>Str. Mircea Eliade</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72596C06">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B921139">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DAB990A">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B1AECAD">
            <w:pPr>
              <w:ind w:firstLine="160" w:firstLineChars="100"/>
              <w:rPr>
                <w:rFonts w:ascii="Arial" w:hAnsi="Arial" w:cs="Arial"/>
                <w:color w:val="1A1C1E"/>
                <w:sz w:val="16"/>
                <w:szCs w:val="16"/>
              </w:rPr>
            </w:pPr>
            <w:r>
              <w:rPr>
                <w:rFonts w:ascii="Arial" w:hAnsi="Arial" w:cs="Arial"/>
                <w:color w:val="1A1C1E"/>
                <w:sz w:val="16"/>
                <w:szCs w:val="16"/>
              </w:rPr>
              <w:t>1</w:t>
            </w:r>
          </w:p>
        </w:tc>
      </w:tr>
      <w:tr w14:paraId="489365CD">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72B63180">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295E72C">
            <w:pPr>
              <w:ind w:firstLine="160" w:firstLineChars="100"/>
              <w:rPr>
                <w:rFonts w:ascii="Arial" w:hAnsi="Arial" w:cs="Arial"/>
                <w:color w:val="1A1C1E"/>
                <w:sz w:val="16"/>
                <w:szCs w:val="16"/>
              </w:rPr>
            </w:pPr>
            <w:r>
              <w:rPr>
                <w:rFonts w:ascii="Arial" w:hAnsi="Arial" w:cs="Arial"/>
                <w:color w:val="1A1C1E"/>
                <w:sz w:val="16"/>
                <w:szCs w:val="16"/>
              </w:rPr>
              <w:t>Str. M. Bravu (Cimitir)</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5BD25D92">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05C9B08">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BB45872">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0B205C1">
            <w:pPr>
              <w:ind w:firstLine="160" w:firstLineChars="100"/>
              <w:rPr>
                <w:rFonts w:ascii="Arial" w:hAnsi="Arial" w:cs="Arial"/>
                <w:color w:val="1A1C1E"/>
                <w:sz w:val="16"/>
                <w:szCs w:val="16"/>
              </w:rPr>
            </w:pPr>
            <w:r>
              <w:rPr>
                <w:rFonts w:ascii="Arial" w:hAnsi="Arial" w:cs="Arial"/>
                <w:color w:val="1A1C1E"/>
                <w:sz w:val="16"/>
                <w:szCs w:val="16"/>
              </w:rPr>
              <w:t>1</w:t>
            </w:r>
          </w:p>
        </w:tc>
      </w:tr>
      <w:tr w14:paraId="5493BAB3">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59B53526">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7C4E9A5">
            <w:pPr>
              <w:ind w:firstLine="160" w:firstLineChars="100"/>
              <w:rPr>
                <w:rFonts w:ascii="Arial" w:hAnsi="Arial" w:cs="Arial"/>
                <w:color w:val="1A1C1E"/>
                <w:sz w:val="16"/>
                <w:szCs w:val="16"/>
              </w:rPr>
            </w:pPr>
            <w:r>
              <w:rPr>
                <w:rFonts w:ascii="Arial" w:hAnsi="Arial" w:cs="Arial"/>
                <w:color w:val="1A1C1E"/>
                <w:sz w:val="16"/>
                <w:szCs w:val="16"/>
              </w:rPr>
              <w:t>Aleea Flacăra</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78441590">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6FC1F1C">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142614A">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A9B5835">
            <w:pPr>
              <w:ind w:firstLine="160" w:firstLineChars="100"/>
              <w:rPr>
                <w:rFonts w:ascii="Arial" w:hAnsi="Arial" w:cs="Arial"/>
                <w:color w:val="1A1C1E"/>
                <w:sz w:val="16"/>
                <w:szCs w:val="16"/>
              </w:rPr>
            </w:pPr>
            <w:r>
              <w:rPr>
                <w:rFonts w:ascii="Arial" w:hAnsi="Arial" w:cs="Arial"/>
                <w:color w:val="1A1C1E"/>
                <w:sz w:val="16"/>
                <w:szCs w:val="16"/>
              </w:rPr>
              <w:t>1</w:t>
            </w:r>
          </w:p>
        </w:tc>
      </w:tr>
      <w:tr w14:paraId="7067EEFC">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426E4FE0">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CFB1EF7">
            <w:pPr>
              <w:ind w:firstLine="160" w:firstLineChars="100"/>
              <w:rPr>
                <w:rFonts w:ascii="Arial" w:hAnsi="Arial" w:cs="Arial"/>
                <w:color w:val="1A1C1E"/>
                <w:sz w:val="16"/>
                <w:szCs w:val="16"/>
              </w:rPr>
            </w:pPr>
            <w:r>
              <w:rPr>
                <w:rFonts w:ascii="Arial" w:hAnsi="Arial" w:cs="Arial"/>
                <w:color w:val="1A1C1E"/>
                <w:sz w:val="16"/>
                <w:szCs w:val="16"/>
              </w:rPr>
              <w:t>Str. Cuza Vodă - intersecție N. Bălcescu (8 etaje)</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68DFB45B">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91703F6">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2FFECB4">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F28844B">
            <w:pPr>
              <w:ind w:firstLine="160" w:firstLineChars="100"/>
              <w:rPr>
                <w:rFonts w:ascii="Arial" w:hAnsi="Arial" w:cs="Arial"/>
                <w:color w:val="1A1C1E"/>
                <w:sz w:val="16"/>
                <w:szCs w:val="16"/>
              </w:rPr>
            </w:pPr>
            <w:r>
              <w:rPr>
                <w:rFonts w:ascii="Arial" w:hAnsi="Arial" w:cs="Arial"/>
                <w:color w:val="1A1C1E"/>
                <w:sz w:val="16"/>
                <w:szCs w:val="16"/>
              </w:rPr>
              <w:t>1</w:t>
            </w:r>
          </w:p>
        </w:tc>
      </w:tr>
      <w:tr w14:paraId="1354D4F5">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5E482D29">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1F9623A">
            <w:pPr>
              <w:ind w:firstLine="160" w:firstLineChars="100"/>
              <w:rPr>
                <w:rFonts w:ascii="Arial" w:hAnsi="Arial" w:cs="Arial"/>
                <w:color w:val="1A1C1E"/>
                <w:sz w:val="16"/>
                <w:szCs w:val="16"/>
              </w:rPr>
            </w:pPr>
            <w:r>
              <w:rPr>
                <w:rFonts w:ascii="Arial" w:hAnsi="Arial" w:cs="Arial"/>
                <w:color w:val="1A1C1E"/>
                <w:sz w:val="16"/>
                <w:szCs w:val="16"/>
              </w:rPr>
              <w:t>Str. Cuza Vodă (CT-8)</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273A06DD">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826242C">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A46AEA8">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4A75AD8">
            <w:pPr>
              <w:ind w:firstLine="160" w:firstLineChars="100"/>
              <w:rPr>
                <w:rFonts w:ascii="Arial" w:hAnsi="Arial" w:cs="Arial"/>
                <w:color w:val="1A1C1E"/>
                <w:sz w:val="16"/>
                <w:szCs w:val="16"/>
              </w:rPr>
            </w:pPr>
            <w:r>
              <w:rPr>
                <w:rFonts w:ascii="Arial" w:hAnsi="Arial" w:cs="Arial"/>
                <w:color w:val="1A1C1E"/>
                <w:sz w:val="16"/>
                <w:szCs w:val="16"/>
              </w:rPr>
              <w:t>1</w:t>
            </w:r>
          </w:p>
        </w:tc>
      </w:tr>
      <w:tr w14:paraId="624243CD">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87A6F3B">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C09F510">
            <w:pPr>
              <w:ind w:firstLine="160" w:firstLineChars="100"/>
              <w:rPr>
                <w:rFonts w:ascii="Arial" w:hAnsi="Arial" w:cs="Arial"/>
                <w:color w:val="1A1C1E"/>
                <w:sz w:val="16"/>
                <w:szCs w:val="16"/>
              </w:rPr>
            </w:pPr>
            <w:r>
              <w:rPr>
                <w:rFonts w:ascii="Arial" w:hAnsi="Arial" w:cs="Arial"/>
                <w:color w:val="1A1C1E"/>
                <w:sz w:val="16"/>
                <w:szCs w:val="16"/>
              </w:rPr>
              <w:t>Bdul Tineretului (CT-7)</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350B3D5B">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B3D9E09">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5E467CE">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66F2DF1">
            <w:pPr>
              <w:ind w:firstLine="160" w:firstLineChars="100"/>
              <w:rPr>
                <w:rFonts w:ascii="Arial" w:hAnsi="Arial" w:cs="Arial"/>
                <w:color w:val="1A1C1E"/>
                <w:sz w:val="16"/>
                <w:szCs w:val="16"/>
              </w:rPr>
            </w:pPr>
            <w:r>
              <w:rPr>
                <w:rFonts w:ascii="Arial" w:hAnsi="Arial" w:cs="Arial"/>
                <w:color w:val="1A1C1E"/>
                <w:sz w:val="16"/>
                <w:szCs w:val="16"/>
              </w:rPr>
              <w:t>1</w:t>
            </w:r>
          </w:p>
        </w:tc>
      </w:tr>
      <w:tr w14:paraId="3BFB6FCD">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32FF3BB">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1A601C3">
            <w:pPr>
              <w:ind w:firstLine="160" w:firstLineChars="100"/>
              <w:rPr>
                <w:rFonts w:ascii="Arial" w:hAnsi="Arial" w:cs="Arial"/>
                <w:color w:val="1A1C1E"/>
                <w:sz w:val="16"/>
                <w:szCs w:val="16"/>
              </w:rPr>
            </w:pPr>
            <w:r>
              <w:rPr>
                <w:rFonts w:ascii="Arial" w:hAnsi="Arial" w:cs="Arial"/>
                <w:color w:val="1A1C1E"/>
                <w:sz w:val="16"/>
                <w:szCs w:val="16"/>
              </w:rPr>
              <w:t>Bdul Tineretului, bl. 105 (NAGY)</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589E4B7D">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BC2D659">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CA5F4C5">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5ABD446">
            <w:pPr>
              <w:ind w:firstLine="160" w:firstLineChars="100"/>
              <w:rPr>
                <w:rFonts w:ascii="Arial" w:hAnsi="Arial" w:cs="Arial"/>
                <w:color w:val="1A1C1E"/>
                <w:sz w:val="16"/>
                <w:szCs w:val="16"/>
              </w:rPr>
            </w:pPr>
            <w:r>
              <w:rPr>
                <w:rFonts w:ascii="Arial" w:hAnsi="Arial" w:cs="Arial"/>
                <w:color w:val="1A1C1E"/>
                <w:sz w:val="16"/>
                <w:szCs w:val="16"/>
              </w:rPr>
              <w:t>1</w:t>
            </w:r>
          </w:p>
        </w:tc>
      </w:tr>
      <w:tr w14:paraId="6398AA66">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7FCD44E">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9697D17">
            <w:pPr>
              <w:ind w:firstLine="160" w:firstLineChars="100"/>
              <w:rPr>
                <w:rFonts w:ascii="Arial" w:hAnsi="Arial" w:cs="Arial"/>
                <w:color w:val="1A1C1E"/>
                <w:sz w:val="16"/>
                <w:szCs w:val="16"/>
              </w:rPr>
            </w:pPr>
            <w:r>
              <w:rPr>
                <w:rFonts w:ascii="Arial" w:hAnsi="Arial" w:cs="Arial"/>
                <w:color w:val="1A1C1E"/>
                <w:sz w:val="16"/>
                <w:szCs w:val="16"/>
              </w:rPr>
              <w:t>Bdul Tineretului, bl. 127 (Baie)</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5EF0C381">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5891849">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7757BFE">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1228016">
            <w:pPr>
              <w:ind w:firstLine="160" w:firstLineChars="100"/>
              <w:rPr>
                <w:rFonts w:ascii="Arial" w:hAnsi="Arial" w:cs="Arial"/>
                <w:color w:val="1A1C1E"/>
                <w:sz w:val="16"/>
                <w:szCs w:val="16"/>
              </w:rPr>
            </w:pPr>
            <w:r>
              <w:rPr>
                <w:rFonts w:ascii="Arial" w:hAnsi="Arial" w:cs="Arial"/>
                <w:color w:val="1A1C1E"/>
                <w:sz w:val="16"/>
                <w:szCs w:val="16"/>
              </w:rPr>
              <w:t>1</w:t>
            </w:r>
          </w:p>
        </w:tc>
      </w:tr>
      <w:tr w14:paraId="74AD39B4">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72CE0629">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4CF3D71">
            <w:pPr>
              <w:ind w:firstLine="160" w:firstLineChars="100"/>
              <w:rPr>
                <w:rFonts w:ascii="Arial" w:hAnsi="Arial" w:cs="Arial"/>
                <w:color w:val="1A1C1E"/>
                <w:sz w:val="16"/>
                <w:szCs w:val="16"/>
              </w:rPr>
            </w:pPr>
            <w:r>
              <w:rPr>
                <w:rFonts w:ascii="Arial" w:hAnsi="Arial" w:cs="Arial"/>
                <w:color w:val="1A1C1E"/>
                <w:sz w:val="16"/>
                <w:szCs w:val="16"/>
              </w:rPr>
              <w:t>Str. Alex. Iliescu (CT-5) - (CEC)</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7D74FD47">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C2575D9">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426AC6C">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AB1739E">
            <w:pPr>
              <w:ind w:firstLine="160" w:firstLineChars="100"/>
              <w:rPr>
                <w:rFonts w:ascii="Arial" w:hAnsi="Arial" w:cs="Arial"/>
                <w:color w:val="1A1C1E"/>
                <w:sz w:val="16"/>
                <w:szCs w:val="16"/>
              </w:rPr>
            </w:pPr>
            <w:r>
              <w:rPr>
                <w:rFonts w:ascii="Arial" w:hAnsi="Arial" w:cs="Arial"/>
                <w:color w:val="1A1C1E"/>
                <w:sz w:val="16"/>
                <w:szCs w:val="16"/>
              </w:rPr>
              <w:t>1</w:t>
            </w:r>
          </w:p>
        </w:tc>
      </w:tr>
      <w:tr w14:paraId="7A9DF6E2">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48BAF45">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DCFADB9">
            <w:pPr>
              <w:ind w:firstLine="160" w:firstLineChars="100"/>
              <w:rPr>
                <w:rFonts w:ascii="Arial" w:hAnsi="Arial" w:cs="Arial"/>
                <w:color w:val="1A1C1E"/>
                <w:sz w:val="16"/>
                <w:szCs w:val="16"/>
              </w:rPr>
            </w:pPr>
            <w:r>
              <w:rPr>
                <w:rFonts w:ascii="Arial" w:hAnsi="Arial" w:cs="Arial"/>
                <w:color w:val="1A1C1E"/>
                <w:sz w:val="16"/>
                <w:szCs w:val="16"/>
              </w:rPr>
              <w:t>Str. Argeșului, bl. Colț</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5348933C">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245368C">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44A52DA">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25965AA">
            <w:pPr>
              <w:ind w:firstLine="160" w:firstLineChars="100"/>
              <w:rPr>
                <w:rFonts w:ascii="Arial" w:hAnsi="Arial" w:cs="Arial"/>
                <w:color w:val="1A1C1E"/>
                <w:sz w:val="16"/>
                <w:szCs w:val="16"/>
              </w:rPr>
            </w:pPr>
            <w:r>
              <w:rPr>
                <w:rFonts w:ascii="Arial" w:hAnsi="Arial" w:cs="Arial"/>
                <w:color w:val="1A1C1E"/>
                <w:sz w:val="16"/>
                <w:szCs w:val="16"/>
              </w:rPr>
              <w:t>1</w:t>
            </w:r>
          </w:p>
        </w:tc>
      </w:tr>
      <w:tr w14:paraId="1A036AF0">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19152AEC">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C1C6C16">
            <w:pPr>
              <w:ind w:firstLine="160" w:firstLineChars="100"/>
              <w:rPr>
                <w:rFonts w:ascii="Arial" w:hAnsi="Arial" w:cs="Arial"/>
                <w:color w:val="1A1C1E"/>
                <w:sz w:val="16"/>
                <w:szCs w:val="16"/>
              </w:rPr>
            </w:pPr>
            <w:r>
              <w:rPr>
                <w:rFonts w:ascii="Arial" w:hAnsi="Arial" w:cs="Arial"/>
                <w:color w:val="1A1C1E"/>
                <w:sz w:val="16"/>
                <w:szCs w:val="16"/>
              </w:rPr>
              <w:t>Str. Alex. Iliescu, bl. C1-C5</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496B655A">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81C13F9">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8370EFA">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346464A">
            <w:pPr>
              <w:ind w:firstLine="160" w:firstLineChars="100"/>
              <w:rPr>
                <w:rFonts w:ascii="Arial" w:hAnsi="Arial" w:cs="Arial"/>
                <w:color w:val="1A1C1E"/>
                <w:sz w:val="16"/>
                <w:szCs w:val="16"/>
              </w:rPr>
            </w:pPr>
            <w:r>
              <w:rPr>
                <w:rFonts w:ascii="Arial" w:hAnsi="Arial" w:cs="Arial"/>
                <w:color w:val="1A1C1E"/>
                <w:sz w:val="16"/>
                <w:szCs w:val="16"/>
              </w:rPr>
              <w:t>1</w:t>
            </w:r>
          </w:p>
        </w:tc>
      </w:tr>
      <w:tr w14:paraId="4EF003EB">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102A3BCD">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F44ED4E">
            <w:pPr>
              <w:ind w:firstLine="160" w:firstLineChars="100"/>
              <w:rPr>
                <w:rFonts w:ascii="Arial" w:hAnsi="Arial" w:cs="Arial"/>
                <w:color w:val="1A1C1E"/>
                <w:sz w:val="16"/>
                <w:szCs w:val="16"/>
              </w:rPr>
            </w:pPr>
            <w:r>
              <w:rPr>
                <w:rFonts w:ascii="Arial" w:hAnsi="Arial" w:cs="Arial"/>
                <w:color w:val="1A1C1E"/>
                <w:sz w:val="16"/>
                <w:szCs w:val="16"/>
              </w:rPr>
              <w:t>Str. Alex. Iliescu, (CT-6)</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5250AE43">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C3A33E0">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FE51C06">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370F190">
            <w:pPr>
              <w:ind w:firstLine="160" w:firstLineChars="100"/>
              <w:rPr>
                <w:rFonts w:ascii="Arial" w:hAnsi="Arial" w:cs="Arial"/>
                <w:color w:val="1A1C1E"/>
                <w:sz w:val="16"/>
                <w:szCs w:val="16"/>
              </w:rPr>
            </w:pPr>
            <w:r>
              <w:rPr>
                <w:rFonts w:ascii="Arial" w:hAnsi="Arial" w:cs="Arial"/>
                <w:color w:val="1A1C1E"/>
                <w:sz w:val="16"/>
                <w:szCs w:val="16"/>
              </w:rPr>
              <w:t>1</w:t>
            </w:r>
          </w:p>
        </w:tc>
      </w:tr>
      <w:tr w14:paraId="02CAD89D">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8D329B5">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7F3EEB5">
            <w:pPr>
              <w:ind w:firstLine="160" w:firstLineChars="100"/>
              <w:rPr>
                <w:rFonts w:ascii="Arial" w:hAnsi="Arial" w:cs="Arial"/>
                <w:color w:val="1A1C1E"/>
                <w:sz w:val="16"/>
                <w:szCs w:val="16"/>
              </w:rPr>
            </w:pPr>
            <w:r>
              <w:rPr>
                <w:rFonts w:ascii="Arial" w:hAnsi="Arial" w:cs="Arial"/>
                <w:color w:val="1A1C1E"/>
                <w:sz w:val="16"/>
                <w:szCs w:val="16"/>
              </w:rPr>
              <w:t>Str. Alex. Iliescu, bl. F4</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34194316">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82F78B6">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036B029">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D111121">
            <w:pPr>
              <w:ind w:firstLine="160" w:firstLineChars="100"/>
              <w:rPr>
                <w:rFonts w:ascii="Arial" w:hAnsi="Arial" w:cs="Arial"/>
                <w:color w:val="1A1C1E"/>
                <w:sz w:val="16"/>
                <w:szCs w:val="16"/>
              </w:rPr>
            </w:pPr>
            <w:r>
              <w:rPr>
                <w:rFonts w:ascii="Arial" w:hAnsi="Arial" w:cs="Arial"/>
                <w:color w:val="1A1C1E"/>
                <w:sz w:val="16"/>
                <w:szCs w:val="16"/>
              </w:rPr>
              <w:t>1</w:t>
            </w:r>
          </w:p>
        </w:tc>
      </w:tr>
      <w:tr w14:paraId="65808E3C">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AE4A64C">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0CC9257">
            <w:pPr>
              <w:ind w:firstLine="160" w:firstLineChars="100"/>
              <w:rPr>
                <w:rFonts w:ascii="Arial" w:hAnsi="Arial" w:cs="Arial"/>
                <w:color w:val="1A1C1E"/>
                <w:sz w:val="16"/>
                <w:szCs w:val="16"/>
              </w:rPr>
            </w:pPr>
            <w:r>
              <w:rPr>
                <w:rFonts w:ascii="Arial" w:hAnsi="Arial" w:cs="Arial"/>
                <w:color w:val="1A1C1E"/>
                <w:sz w:val="16"/>
                <w:szCs w:val="16"/>
              </w:rPr>
              <w:t>Str. Nicolae Belea nr. 3</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7317178D">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7EF777B">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8C77BE2">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7E84A8B">
            <w:pPr>
              <w:ind w:firstLine="160" w:firstLineChars="100"/>
              <w:rPr>
                <w:rFonts w:ascii="Arial" w:hAnsi="Arial" w:cs="Arial"/>
                <w:color w:val="1A1C1E"/>
                <w:sz w:val="16"/>
                <w:szCs w:val="16"/>
              </w:rPr>
            </w:pPr>
            <w:r>
              <w:rPr>
                <w:rFonts w:ascii="Arial" w:hAnsi="Arial" w:cs="Arial"/>
                <w:color w:val="1A1C1E"/>
                <w:sz w:val="16"/>
                <w:szCs w:val="16"/>
              </w:rPr>
              <w:t>1</w:t>
            </w:r>
          </w:p>
        </w:tc>
      </w:tr>
      <w:tr w14:paraId="154FA49E">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0FDD888A">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0CBC975">
            <w:pPr>
              <w:ind w:firstLine="160" w:firstLineChars="100"/>
              <w:rPr>
                <w:rFonts w:ascii="Arial" w:hAnsi="Arial" w:cs="Arial"/>
                <w:color w:val="1A1C1E"/>
                <w:sz w:val="16"/>
                <w:szCs w:val="16"/>
              </w:rPr>
            </w:pPr>
            <w:r>
              <w:rPr>
                <w:rFonts w:ascii="Arial" w:hAnsi="Arial" w:cs="Arial"/>
                <w:color w:val="1A1C1E"/>
                <w:sz w:val="16"/>
                <w:szCs w:val="16"/>
              </w:rPr>
              <w:t>Str. Nicolae Belea (Piață)</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64FC779A">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4853094">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4A56B3E">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90FFC52">
            <w:pPr>
              <w:ind w:firstLine="160" w:firstLineChars="100"/>
              <w:rPr>
                <w:rFonts w:ascii="Arial" w:hAnsi="Arial" w:cs="Arial"/>
                <w:color w:val="1A1C1E"/>
                <w:sz w:val="16"/>
                <w:szCs w:val="16"/>
              </w:rPr>
            </w:pPr>
            <w:r>
              <w:rPr>
                <w:rFonts w:ascii="Arial" w:hAnsi="Arial" w:cs="Arial"/>
                <w:color w:val="1A1C1E"/>
                <w:sz w:val="16"/>
                <w:szCs w:val="16"/>
              </w:rPr>
              <w:t>1</w:t>
            </w:r>
          </w:p>
        </w:tc>
      </w:tr>
      <w:tr w14:paraId="302BF8EB">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B6AF82C">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1BF815B">
            <w:pPr>
              <w:ind w:firstLine="160" w:firstLineChars="100"/>
              <w:rPr>
                <w:rFonts w:ascii="Arial" w:hAnsi="Arial" w:cs="Arial"/>
                <w:color w:val="1A1C1E"/>
                <w:sz w:val="16"/>
                <w:szCs w:val="16"/>
              </w:rPr>
            </w:pPr>
            <w:r>
              <w:rPr>
                <w:rFonts w:ascii="Arial" w:hAnsi="Arial" w:cs="Arial"/>
                <w:color w:val="1A1C1E"/>
                <w:sz w:val="16"/>
                <w:szCs w:val="16"/>
              </w:rPr>
              <w:t>Str. Pescarilor - intersecție Piață Mercur</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6AD263F0">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450CCE6">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AD15DCF">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D08A843">
            <w:pPr>
              <w:ind w:firstLine="160" w:firstLineChars="100"/>
              <w:rPr>
                <w:rFonts w:ascii="Arial" w:hAnsi="Arial" w:cs="Arial"/>
                <w:color w:val="1A1C1E"/>
                <w:sz w:val="16"/>
                <w:szCs w:val="16"/>
              </w:rPr>
            </w:pPr>
            <w:r>
              <w:rPr>
                <w:rFonts w:ascii="Arial" w:hAnsi="Arial" w:cs="Arial"/>
                <w:color w:val="1A1C1E"/>
                <w:sz w:val="16"/>
                <w:szCs w:val="16"/>
              </w:rPr>
              <w:t>1</w:t>
            </w:r>
          </w:p>
        </w:tc>
      </w:tr>
      <w:tr w14:paraId="2F73F442">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1F91C66">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CC34467">
            <w:pPr>
              <w:ind w:firstLine="160" w:firstLineChars="100"/>
              <w:rPr>
                <w:rFonts w:ascii="Arial" w:hAnsi="Arial" w:cs="Arial"/>
                <w:color w:val="1A1C1E"/>
                <w:sz w:val="16"/>
                <w:szCs w:val="16"/>
              </w:rPr>
            </w:pPr>
            <w:r>
              <w:rPr>
                <w:rFonts w:ascii="Arial" w:hAnsi="Arial" w:cs="Arial"/>
                <w:color w:val="1A1C1E"/>
                <w:sz w:val="16"/>
                <w:szCs w:val="16"/>
              </w:rPr>
              <w:t>Aleea Cuza Vodă (cămine)</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tcPr>
          <w:p w14:paraId="1A240AF9">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3C5A721">
            <w:pPr>
              <w:ind w:firstLine="160" w:firstLineChars="100"/>
              <w:rPr>
                <w:rFonts w:ascii="Arial" w:hAnsi="Arial" w:cs="Arial"/>
                <w:color w:val="1A1C1E"/>
                <w:sz w:val="16"/>
                <w:szCs w:val="16"/>
              </w:rPr>
            </w:pPr>
            <w:r>
              <w:rPr>
                <w:rFonts w:ascii="Arial" w:hAnsi="Arial" w:cs="Arial"/>
                <w:color w:val="1A1C1E"/>
                <w:sz w:val="16"/>
                <w:szCs w:val="16"/>
              </w:rPr>
              <w:t>1</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0A9916E">
            <w:pPr>
              <w:ind w:firstLine="160" w:firstLineChars="100"/>
              <w:rPr>
                <w:rFonts w:ascii="Arial" w:hAnsi="Arial" w:cs="Arial"/>
                <w:color w:val="1A1C1E"/>
                <w:sz w:val="16"/>
                <w:szCs w:val="16"/>
              </w:rPr>
            </w:pPr>
            <w:r>
              <w:rPr>
                <w:rFonts w:ascii="Arial" w:hAnsi="Arial" w:cs="Arial"/>
                <w:color w:val="1A1C1E"/>
                <w:sz w:val="16"/>
                <w:szCs w:val="16"/>
              </w:rPr>
              <w:t>1</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43CE6EE">
            <w:pPr>
              <w:ind w:firstLine="160" w:firstLineChars="100"/>
              <w:rPr>
                <w:rFonts w:ascii="Arial" w:hAnsi="Arial" w:cs="Arial"/>
                <w:color w:val="1A1C1E"/>
                <w:sz w:val="16"/>
                <w:szCs w:val="16"/>
              </w:rPr>
            </w:pPr>
            <w:r>
              <w:rPr>
                <w:rFonts w:ascii="Arial" w:hAnsi="Arial" w:cs="Arial"/>
                <w:color w:val="1A1C1E"/>
                <w:sz w:val="16"/>
                <w:szCs w:val="16"/>
              </w:rPr>
              <w:t>1</w:t>
            </w:r>
          </w:p>
        </w:tc>
      </w:tr>
      <w:tr w14:paraId="616079D0">
        <w:tblPrEx>
          <w:tblCellMar>
            <w:top w:w="0" w:type="dxa"/>
            <w:left w:w="0" w:type="dxa"/>
            <w:bottom w:w="0" w:type="dxa"/>
            <w:right w:w="0" w:type="dxa"/>
          </w:tblCellMar>
        </w:tblPrEx>
        <w:trPr>
          <w:trHeight w:val="6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0E6E4501">
            <w:pPr>
              <w:ind w:firstLine="160" w:firstLineChars="100"/>
              <w:rPr>
                <w:rFonts w:ascii="Arial" w:hAnsi="Arial" w:cs="Arial"/>
                <w:b/>
                <w:bCs/>
                <w:color w:val="1A1C1E"/>
                <w:sz w:val="16"/>
                <w:szCs w:val="16"/>
              </w:rPr>
            </w:pPr>
            <w:r>
              <w:rPr>
                <w:rFonts w:ascii="Arial" w:hAnsi="Arial" w:cs="Arial"/>
                <w:b/>
                <w:bCs/>
                <w:color w:val="1A1C1E"/>
                <w:sz w:val="16"/>
                <w:szCs w:val="16"/>
              </w:rPr>
              <w:t>Subtotal (Zone de blocuri)</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759F451">
            <w:pPr>
              <w:ind w:firstLine="160" w:firstLineChars="100"/>
              <w:rPr>
                <w:rFonts w:ascii="Arial" w:hAnsi="Arial" w:cs="Arial"/>
                <w:color w:val="1A1C1E"/>
                <w:sz w:val="16"/>
                <w:szCs w:val="16"/>
              </w:rPr>
            </w:pPr>
            <w:r>
              <w:rPr>
                <w:rFonts w:ascii="Arial" w:hAnsi="Arial" w:cs="Arial"/>
                <w:color w:val="1A1C1E"/>
                <w:sz w:val="16"/>
                <w:szCs w:val="16"/>
              </w:rPr>
              <w:t> </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0FEAB6C">
            <w:pPr>
              <w:ind w:firstLine="160" w:firstLineChars="100"/>
              <w:rPr>
                <w:rFonts w:ascii="Arial" w:hAnsi="Arial" w:cs="Arial"/>
                <w:b/>
                <w:bCs/>
                <w:color w:val="1A1C1E"/>
                <w:sz w:val="16"/>
                <w:szCs w:val="16"/>
              </w:rPr>
            </w:pPr>
            <w:r>
              <w:rPr>
                <w:rFonts w:ascii="Arial" w:hAnsi="Arial" w:cs="Arial"/>
                <w:b/>
                <w:bCs/>
                <w:color w:val="1A1C1E"/>
                <w:sz w:val="16"/>
                <w:szCs w:val="16"/>
              </w:rPr>
              <w:t>33</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502FDE4">
            <w:pPr>
              <w:ind w:firstLine="160" w:firstLineChars="100"/>
              <w:rPr>
                <w:rFonts w:ascii="Arial" w:hAnsi="Arial" w:cs="Arial"/>
                <w:b/>
                <w:bCs/>
                <w:color w:val="1A1C1E"/>
                <w:sz w:val="16"/>
                <w:szCs w:val="16"/>
              </w:rPr>
            </w:pPr>
            <w:r>
              <w:rPr>
                <w:rFonts w:ascii="Arial" w:hAnsi="Arial" w:cs="Arial"/>
                <w:b/>
                <w:bCs/>
                <w:color w:val="1A1C1E"/>
                <w:sz w:val="16"/>
                <w:szCs w:val="16"/>
              </w:rPr>
              <w:t>33</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ED2DB63">
            <w:pPr>
              <w:ind w:firstLine="160" w:firstLineChars="100"/>
              <w:rPr>
                <w:rFonts w:ascii="Arial" w:hAnsi="Arial" w:cs="Arial"/>
                <w:b/>
                <w:bCs/>
                <w:color w:val="1A1C1E"/>
                <w:sz w:val="16"/>
                <w:szCs w:val="16"/>
              </w:rPr>
            </w:pPr>
            <w:r>
              <w:rPr>
                <w:rFonts w:ascii="Arial" w:hAnsi="Arial" w:cs="Arial"/>
                <w:b/>
                <w:bCs/>
                <w:color w:val="1A1C1E"/>
                <w:sz w:val="16"/>
                <w:szCs w:val="16"/>
              </w:rPr>
              <w:t>33</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A372A59">
            <w:pPr>
              <w:ind w:firstLine="160" w:firstLineChars="100"/>
              <w:rPr>
                <w:rFonts w:ascii="Arial" w:hAnsi="Arial" w:cs="Arial"/>
                <w:b/>
                <w:bCs/>
                <w:color w:val="1A1C1E"/>
                <w:sz w:val="16"/>
                <w:szCs w:val="16"/>
              </w:rPr>
            </w:pPr>
            <w:r>
              <w:rPr>
                <w:rFonts w:ascii="Arial" w:hAnsi="Arial" w:cs="Arial"/>
                <w:b/>
                <w:bCs/>
                <w:color w:val="1A1C1E"/>
                <w:sz w:val="16"/>
                <w:szCs w:val="16"/>
              </w:rPr>
              <w:t>33</w:t>
            </w:r>
          </w:p>
        </w:tc>
      </w:tr>
      <w:tr w14:paraId="2AECA5A7">
        <w:tblPrEx>
          <w:tblCellMar>
            <w:top w:w="0" w:type="dxa"/>
            <w:left w:w="0" w:type="dxa"/>
            <w:bottom w:w="0" w:type="dxa"/>
            <w:right w:w="0" w:type="dxa"/>
          </w:tblCellMar>
        </w:tblPrEx>
        <w:trPr>
          <w:trHeight w:val="9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4D2E0677">
            <w:pPr>
              <w:ind w:firstLine="160" w:firstLineChars="100"/>
              <w:rPr>
                <w:rFonts w:ascii="Arial" w:hAnsi="Arial" w:cs="Arial"/>
                <w:b/>
                <w:bCs/>
                <w:color w:val="1A1C1E"/>
                <w:sz w:val="16"/>
                <w:szCs w:val="16"/>
              </w:rPr>
            </w:pPr>
            <w:r>
              <w:rPr>
                <w:rFonts w:ascii="Arial" w:hAnsi="Arial" w:cs="Arial"/>
                <w:b/>
                <w:bCs/>
                <w:color w:val="1A1C1E"/>
                <w:sz w:val="16"/>
                <w:szCs w:val="16"/>
              </w:rPr>
              <w:t>II. Agenți economici (18 containere metalice)</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9BADE44">
            <w:pPr>
              <w:ind w:firstLine="160" w:firstLineChars="100"/>
              <w:rPr>
                <w:rFonts w:ascii="Arial" w:hAnsi="Arial" w:cs="Arial"/>
                <w:color w:val="1A1C1E"/>
                <w:sz w:val="16"/>
                <w:szCs w:val="16"/>
              </w:rPr>
            </w:pPr>
            <w:r>
              <w:rPr>
                <w:rFonts w:ascii="Arial" w:hAnsi="Arial" w:cs="Arial"/>
                <w:color w:val="1A1C1E"/>
                <w:sz w:val="16"/>
                <w:szCs w:val="16"/>
              </w:rPr>
              <w:t>Tradanubius SA - Bdul 1 Decembrie nr. 35</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0EDCB25">
            <w:pPr>
              <w:ind w:firstLine="160" w:firstLineChars="100"/>
              <w:rPr>
                <w:rFonts w:ascii="Arial" w:hAnsi="Arial" w:cs="Arial"/>
                <w:color w:val="1A1C1E"/>
                <w:sz w:val="16"/>
                <w:szCs w:val="16"/>
              </w:rPr>
            </w:pPr>
            <w:r>
              <w:rPr>
                <w:rFonts w:ascii="Arial" w:hAnsi="Arial" w:cs="Arial"/>
                <w:color w:val="1A1C1E"/>
                <w:sz w:val="16"/>
                <w:szCs w:val="16"/>
              </w:rPr>
              <w:t>2</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D970869">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62A5FEF">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2AF5214">
            <w:pPr>
              <w:ind w:firstLine="160" w:firstLineChars="100"/>
              <w:rPr>
                <w:rFonts w:ascii="Arial" w:hAnsi="Arial" w:cs="Arial"/>
                <w:color w:val="1A1C1E"/>
                <w:sz w:val="16"/>
                <w:szCs w:val="16"/>
              </w:rPr>
            </w:pPr>
            <w:r>
              <w:rPr>
                <w:rFonts w:ascii="Arial" w:hAnsi="Arial" w:cs="Arial"/>
                <w:color w:val="1A1C1E"/>
                <w:sz w:val="16"/>
                <w:szCs w:val="16"/>
              </w:rPr>
              <w:t>-</w:t>
            </w:r>
          </w:p>
        </w:tc>
      </w:tr>
      <w:tr w14:paraId="3E43DB02">
        <w:tblPrEx>
          <w:tblCellMar>
            <w:top w:w="0" w:type="dxa"/>
            <w:left w:w="0" w:type="dxa"/>
            <w:bottom w:w="0" w:type="dxa"/>
            <w:right w:w="0" w:type="dxa"/>
          </w:tblCellMar>
        </w:tblPrEx>
        <w:trPr>
          <w:trHeight w:val="855"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539BD015">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B8A9C5C">
            <w:pPr>
              <w:ind w:firstLine="160" w:firstLineChars="100"/>
              <w:rPr>
                <w:rFonts w:ascii="Arial" w:hAnsi="Arial" w:cs="Arial"/>
                <w:color w:val="1A1C1E"/>
                <w:sz w:val="16"/>
                <w:szCs w:val="16"/>
              </w:rPr>
            </w:pPr>
            <w:r>
              <w:rPr>
                <w:rFonts w:ascii="Arial" w:hAnsi="Arial" w:cs="Arial"/>
                <w:color w:val="1A1C1E"/>
                <w:sz w:val="16"/>
                <w:szCs w:val="16"/>
              </w:rPr>
              <w:t>Căminul de persoane vârstnice Sf. Gheorghe (Str. Alex. Iliescu 85B)</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F9D2A06">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B61EF4A">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725ABD2">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B3D6B22">
            <w:pPr>
              <w:ind w:firstLine="160" w:firstLineChars="100"/>
              <w:rPr>
                <w:rFonts w:ascii="Arial" w:hAnsi="Arial" w:cs="Arial"/>
                <w:color w:val="1A1C1E"/>
                <w:sz w:val="16"/>
                <w:szCs w:val="16"/>
              </w:rPr>
            </w:pPr>
            <w:r>
              <w:rPr>
                <w:rFonts w:ascii="Arial" w:hAnsi="Arial" w:cs="Arial"/>
                <w:color w:val="1A1C1E"/>
                <w:sz w:val="16"/>
                <w:szCs w:val="16"/>
              </w:rPr>
              <w:t>-</w:t>
            </w:r>
          </w:p>
        </w:tc>
      </w:tr>
      <w:tr w14:paraId="1A23A615">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4C35A588">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11C2906">
            <w:pPr>
              <w:ind w:firstLine="160" w:firstLineChars="100"/>
              <w:rPr>
                <w:rFonts w:ascii="Arial" w:hAnsi="Arial" w:cs="Arial"/>
                <w:color w:val="1A1C1E"/>
                <w:sz w:val="16"/>
                <w:szCs w:val="16"/>
              </w:rPr>
            </w:pPr>
            <w:r>
              <w:rPr>
                <w:rFonts w:ascii="Arial" w:hAnsi="Arial" w:cs="Arial"/>
                <w:color w:val="1A1C1E"/>
                <w:sz w:val="16"/>
                <w:szCs w:val="16"/>
              </w:rPr>
              <w:t>Nicolas Company - Bdul Republicii nr. 54</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05EA41E">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9CB0409">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C66D842">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0835A16">
            <w:pPr>
              <w:ind w:firstLine="160" w:firstLineChars="100"/>
              <w:rPr>
                <w:rFonts w:ascii="Arial" w:hAnsi="Arial" w:cs="Arial"/>
                <w:color w:val="1A1C1E"/>
                <w:sz w:val="16"/>
                <w:szCs w:val="16"/>
              </w:rPr>
            </w:pPr>
            <w:r>
              <w:rPr>
                <w:rFonts w:ascii="Arial" w:hAnsi="Arial" w:cs="Arial"/>
                <w:color w:val="1A1C1E"/>
                <w:sz w:val="16"/>
                <w:szCs w:val="16"/>
              </w:rPr>
              <w:t>-</w:t>
            </w:r>
          </w:p>
        </w:tc>
      </w:tr>
      <w:tr w14:paraId="655317F0">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4A72DEC">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C999CB5">
            <w:pPr>
              <w:ind w:firstLine="160" w:firstLineChars="100"/>
              <w:rPr>
                <w:rFonts w:ascii="Arial" w:hAnsi="Arial" w:cs="Arial"/>
                <w:color w:val="1A1C1E"/>
                <w:sz w:val="16"/>
                <w:szCs w:val="16"/>
              </w:rPr>
            </w:pPr>
            <w:r>
              <w:rPr>
                <w:rFonts w:ascii="Arial" w:hAnsi="Arial" w:cs="Arial"/>
                <w:color w:val="1A1C1E"/>
                <w:sz w:val="16"/>
                <w:szCs w:val="16"/>
              </w:rPr>
              <w:t>Sc. Generală "Spiru Haret" - Str. M. Eminescu nr. 23</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C1DD420">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F5F9995">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193A751">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886C57C">
            <w:pPr>
              <w:ind w:firstLine="160" w:firstLineChars="100"/>
              <w:rPr>
                <w:rFonts w:ascii="Arial" w:hAnsi="Arial" w:cs="Arial"/>
                <w:color w:val="1A1C1E"/>
                <w:sz w:val="16"/>
                <w:szCs w:val="16"/>
              </w:rPr>
            </w:pPr>
            <w:r>
              <w:rPr>
                <w:rFonts w:ascii="Arial" w:hAnsi="Arial" w:cs="Arial"/>
                <w:color w:val="1A1C1E"/>
                <w:sz w:val="16"/>
                <w:szCs w:val="16"/>
              </w:rPr>
              <w:t>-</w:t>
            </w:r>
          </w:p>
        </w:tc>
      </w:tr>
      <w:tr w14:paraId="31DE0C7F">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FCA2FA0">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A91D402">
            <w:pPr>
              <w:ind w:firstLine="160" w:firstLineChars="100"/>
              <w:rPr>
                <w:rFonts w:ascii="Arial" w:hAnsi="Arial" w:cs="Arial"/>
                <w:color w:val="1A1C1E"/>
                <w:sz w:val="16"/>
                <w:szCs w:val="16"/>
              </w:rPr>
            </w:pPr>
            <w:r>
              <w:rPr>
                <w:rFonts w:ascii="Arial" w:hAnsi="Arial" w:cs="Arial"/>
                <w:color w:val="1A1C1E"/>
                <w:sz w:val="16"/>
                <w:szCs w:val="16"/>
              </w:rPr>
              <w:t>ISU - Detașament Pompieri Oltenița (Șos. Portului nr. 1)</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77F241F">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3999978">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6A1731F">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ACA66FF">
            <w:pPr>
              <w:ind w:firstLine="160" w:firstLineChars="100"/>
              <w:rPr>
                <w:rFonts w:ascii="Arial" w:hAnsi="Arial" w:cs="Arial"/>
                <w:color w:val="1A1C1E"/>
                <w:sz w:val="16"/>
                <w:szCs w:val="16"/>
              </w:rPr>
            </w:pPr>
            <w:r>
              <w:rPr>
                <w:rFonts w:ascii="Arial" w:hAnsi="Arial" w:cs="Arial"/>
                <w:color w:val="1A1C1E"/>
                <w:sz w:val="16"/>
                <w:szCs w:val="16"/>
              </w:rPr>
              <w:t>-</w:t>
            </w:r>
          </w:p>
        </w:tc>
      </w:tr>
      <w:tr w14:paraId="64E3F5AF">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E921F08">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6BD46E8">
            <w:pPr>
              <w:ind w:firstLine="160" w:firstLineChars="100"/>
              <w:rPr>
                <w:rFonts w:ascii="Arial" w:hAnsi="Arial" w:cs="Arial"/>
                <w:color w:val="1A1C1E"/>
                <w:sz w:val="16"/>
                <w:szCs w:val="16"/>
              </w:rPr>
            </w:pPr>
            <w:r>
              <w:rPr>
                <w:rFonts w:ascii="Arial" w:hAnsi="Arial" w:cs="Arial"/>
                <w:color w:val="1A1C1E"/>
                <w:sz w:val="16"/>
                <w:szCs w:val="16"/>
              </w:rPr>
              <w:t>Primăria Municipiului Oltenița (Bdul Republicii nr. 40)</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655F352">
            <w:pPr>
              <w:ind w:firstLine="160" w:firstLineChars="100"/>
              <w:rPr>
                <w:rFonts w:ascii="Arial" w:hAnsi="Arial" w:cs="Arial"/>
                <w:color w:val="1A1C1E"/>
                <w:sz w:val="16"/>
                <w:szCs w:val="16"/>
              </w:rPr>
            </w:pPr>
            <w:r>
              <w:rPr>
                <w:rFonts w:ascii="Arial" w:hAnsi="Arial" w:cs="Arial"/>
                <w:color w:val="1A1C1E"/>
                <w:sz w:val="16"/>
                <w:szCs w:val="16"/>
              </w:rPr>
              <w:t>4</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A645DBD">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76D0A67">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D34FD3E">
            <w:pPr>
              <w:ind w:firstLine="160" w:firstLineChars="100"/>
              <w:rPr>
                <w:rFonts w:ascii="Arial" w:hAnsi="Arial" w:cs="Arial"/>
                <w:color w:val="1A1C1E"/>
                <w:sz w:val="16"/>
                <w:szCs w:val="16"/>
              </w:rPr>
            </w:pPr>
            <w:r>
              <w:rPr>
                <w:rFonts w:ascii="Arial" w:hAnsi="Arial" w:cs="Arial"/>
                <w:color w:val="1A1C1E"/>
                <w:sz w:val="16"/>
                <w:szCs w:val="16"/>
              </w:rPr>
              <w:t>-</w:t>
            </w:r>
          </w:p>
        </w:tc>
      </w:tr>
      <w:tr w14:paraId="6CEB8555">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18552354">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538FE72">
            <w:pPr>
              <w:ind w:firstLine="160" w:firstLineChars="100"/>
              <w:rPr>
                <w:rFonts w:ascii="Arial" w:hAnsi="Arial" w:cs="Arial"/>
                <w:color w:val="1A1C1E"/>
                <w:sz w:val="16"/>
                <w:szCs w:val="16"/>
              </w:rPr>
            </w:pPr>
            <w:r>
              <w:rPr>
                <w:rFonts w:ascii="Arial" w:hAnsi="Arial" w:cs="Arial"/>
                <w:color w:val="1A1C1E"/>
                <w:sz w:val="16"/>
                <w:szCs w:val="16"/>
              </w:rPr>
              <w:t>Spitalul Municipal Oltenița (Str. Argeșului nr. 134)</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6862658">
            <w:pPr>
              <w:ind w:firstLine="160" w:firstLineChars="100"/>
              <w:rPr>
                <w:rFonts w:ascii="Arial" w:hAnsi="Arial" w:cs="Arial"/>
                <w:color w:val="1A1C1E"/>
                <w:sz w:val="16"/>
                <w:szCs w:val="16"/>
              </w:rPr>
            </w:pPr>
            <w:r>
              <w:rPr>
                <w:rFonts w:ascii="Arial" w:hAnsi="Arial" w:cs="Arial"/>
                <w:color w:val="1A1C1E"/>
                <w:sz w:val="16"/>
                <w:szCs w:val="16"/>
              </w:rPr>
              <w:t>2</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379CA06">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24809AC">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0A7B584">
            <w:pPr>
              <w:ind w:firstLine="160" w:firstLineChars="100"/>
              <w:rPr>
                <w:rFonts w:ascii="Arial" w:hAnsi="Arial" w:cs="Arial"/>
                <w:color w:val="1A1C1E"/>
                <w:sz w:val="16"/>
                <w:szCs w:val="16"/>
              </w:rPr>
            </w:pPr>
            <w:r>
              <w:rPr>
                <w:rFonts w:ascii="Arial" w:hAnsi="Arial" w:cs="Arial"/>
                <w:color w:val="1A1C1E"/>
                <w:sz w:val="16"/>
                <w:szCs w:val="16"/>
              </w:rPr>
              <w:t>-</w:t>
            </w:r>
          </w:p>
        </w:tc>
      </w:tr>
      <w:tr w14:paraId="48DC9584">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266FBCD">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3D6ACEE">
            <w:pPr>
              <w:ind w:firstLine="160" w:firstLineChars="100"/>
              <w:rPr>
                <w:rFonts w:ascii="Arial" w:hAnsi="Arial" w:cs="Arial"/>
                <w:color w:val="1A1C1E"/>
                <w:sz w:val="16"/>
                <w:szCs w:val="16"/>
              </w:rPr>
            </w:pPr>
            <w:r>
              <w:rPr>
                <w:rFonts w:ascii="Arial" w:hAnsi="Arial" w:cs="Arial"/>
                <w:color w:val="1A1C1E"/>
                <w:sz w:val="16"/>
                <w:szCs w:val="16"/>
              </w:rPr>
              <w:t>Lic. Tehnologic "N. Bălcescu" (Șos. Portului nr. 3)</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DB50EE9">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609E26D">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4404B03">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18A7CA5">
            <w:pPr>
              <w:ind w:firstLine="160" w:firstLineChars="100"/>
              <w:rPr>
                <w:rFonts w:ascii="Arial" w:hAnsi="Arial" w:cs="Arial"/>
                <w:color w:val="1A1C1E"/>
                <w:sz w:val="16"/>
                <w:szCs w:val="16"/>
              </w:rPr>
            </w:pPr>
            <w:r>
              <w:rPr>
                <w:rFonts w:ascii="Arial" w:hAnsi="Arial" w:cs="Arial"/>
                <w:color w:val="1A1C1E"/>
                <w:sz w:val="16"/>
                <w:szCs w:val="16"/>
              </w:rPr>
              <w:t>-</w:t>
            </w:r>
          </w:p>
        </w:tc>
      </w:tr>
      <w:tr w14:paraId="06842A14">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5160BF0C">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78DFDE3">
            <w:pPr>
              <w:ind w:firstLine="160" w:firstLineChars="100"/>
              <w:rPr>
                <w:rFonts w:ascii="Arial" w:hAnsi="Arial" w:cs="Arial"/>
                <w:color w:val="1A1C1E"/>
                <w:sz w:val="16"/>
                <w:szCs w:val="16"/>
              </w:rPr>
            </w:pPr>
            <w:r>
              <w:rPr>
                <w:rFonts w:ascii="Arial" w:hAnsi="Arial" w:cs="Arial"/>
                <w:color w:val="1A1C1E"/>
                <w:sz w:val="16"/>
                <w:szCs w:val="16"/>
              </w:rPr>
              <w:t>Lic. Teoretic "Neagoe Basarab" (Bdul Tineretului nr. 151)</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D51AEBA">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1A8F76D">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A28F320">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0040D70">
            <w:pPr>
              <w:ind w:firstLine="160" w:firstLineChars="100"/>
              <w:rPr>
                <w:rFonts w:ascii="Arial" w:hAnsi="Arial" w:cs="Arial"/>
                <w:color w:val="1A1C1E"/>
                <w:sz w:val="16"/>
                <w:szCs w:val="16"/>
              </w:rPr>
            </w:pPr>
            <w:r>
              <w:rPr>
                <w:rFonts w:ascii="Arial" w:hAnsi="Arial" w:cs="Arial"/>
                <w:color w:val="1A1C1E"/>
                <w:sz w:val="16"/>
                <w:szCs w:val="16"/>
              </w:rPr>
              <w:t>-</w:t>
            </w:r>
          </w:p>
        </w:tc>
      </w:tr>
      <w:tr w14:paraId="1926470D">
        <w:tblPrEx>
          <w:tblCellMar>
            <w:top w:w="0" w:type="dxa"/>
            <w:left w:w="0" w:type="dxa"/>
            <w:bottom w:w="0" w:type="dxa"/>
            <w:right w:w="0" w:type="dxa"/>
          </w:tblCellMar>
        </w:tblPrEx>
        <w:trPr>
          <w:trHeight w:val="3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174EF113">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A831508">
            <w:pPr>
              <w:ind w:firstLine="160" w:firstLineChars="100"/>
              <w:rPr>
                <w:rFonts w:ascii="Arial" w:hAnsi="Arial" w:cs="Arial"/>
                <w:color w:val="1A1C1E"/>
                <w:sz w:val="16"/>
                <w:szCs w:val="16"/>
              </w:rPr>
            </w:pPr>
            <w:r>
              <w:rPr>
                <w:rFonts w:ascii="Arial" w:hAnsi="Arial" w:cs="Arial"/>
                <w:color w:val="1A1C1E"/>
                <w:sz w:val="16"/>
                <w:szCs w:val="16"/>
              </w:rPr>
              <w:t>Stentor (Șos. Portului nr. 158)</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1CAB76A">
            <w:pPr>
              <w:ind w:firstLine="160" w:firstLineChars="100"/>
              <w:rPr>
                <w:rFonts w:ascii="Arial" w:hAnsi="Arial" w:cs="Arial"/>
                <w:color w:val="1A1C1E"/>
                <w:sz w:val="16"/>
                <w:szCs w:val="16"/>
              </w:rPr>
            </w:pPr>
            <w:r>
              <w:rPr>
                <w:rFonts w:ascii="Arial" w:hAnsi="Arial" w:cs="Arial"/>
                <w:color w:val="1A1C1E"/>
                <w:sz w:val="16"/>
                <w:szCs w:val="16"/>
              </w:rPr>
              <w:t>2</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8EB195F">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E3956BB">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8C142A4">
            <w:pPr>
              <w:ind w:firstLine="160" w:firstLineChars="100"/>
              <w:rPr>
                <w:rFonts w:ascii="Arial" w:hAnsi="Arial" w:cs="Arial"/>
                <w:color w:val="1A1C1E"/>
                <w:sz w:val="16"/>
                <w:szCs w:val="16"/>
              </w:rPr>
            </w:pPr>
            <w:r>
              <w:rPr>
                <w:rFonts w:ascii="Arial" w:hAnsi="Arial" w:cs="Arial"/>
                <w:color w:val="1A1C1E"/>
                <w:sz w:val="16"/>
                <w:szCs w:val="16"/>
              </w:rPr>
              <w:t>-</w:t>
            </w:r>
          </w:p>
        </w:tc>
      </w:tr>
      <w:tr w14:paraId="78ADB6C5">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C807D69">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8580E1F">
            <w:pPr>
              <w:ind w:firstLine="160" w:firstLineChars="100"/>
              <w:rPr>
                <w:rFonts w:ascii="Arial" w:hAnsi="Arial" w:cs="Arial"/>
                <w:color w:val="1A1C1E"/>
                <w:sz w:val="16"/>
                <w:szCs w:val="16"/>
              </w:rPr>
            </w:pPr>
            <w:r>
              <w:rPr>
                <w:rFonts w:ascii="Arial" w:hAnsi="Arial" w:cs="Arial"/>
                <w:color w:val="1A1C1E"/>
                <w:sz w:val="16"/>
                <w:szCs w:val="16"/>
              </w:rPr>
              <w:t>Lic. Tehnic "Ion Ghica" (Str. Argeșului nr. 100)</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522812C">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7C23A85">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14BC960">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3791F2D">
            <w:pPr>
              <w:ind w:firstLine="160" w:firstLineChars="100"/>
              <w:rPr>
                <w:rFonts w:ascii="Arial" w:hAnsi="Arial" w:cs="Arial"/>
                <w:color w:val="1A1C1E"/>
                <w:sz w:val="16"/>
                <w:szCs w:val="16"/>
              </w:rPr>
            </w:pPr>
            <w:r>
              <w:rPr>
                <w:rFonts w:ascii="Arial" w:hAnsi="Arial" w:cs="Arial"/>
                <w:color w:val="1A1C1E"/>
                <w:sz w:val="16"/>
                <w:szCs w:val="16"/>
              </w:rPr>
              <w:t>-</w:t>
            </w:r>
          </w:p>
        </w:tc>
      </w:tr>
      <w:tr w14:paraId="2F14C6B8">
        <w:tblPrEx>
          <w:tblCellMar>
            <w:top w:w="0" w:type="dxa"/>
            <w:left w:w="0" w:type="dxa"/>
            <w:bottom w:w="0" w:type="dxa"/>
            <w:right w:w="0" w:type="dxa"/>
          </w:tblCellMar>
        </w:tblPrEx>
        <w:trPr>
          <w:trHeight w:val="57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B4990F6">
            <w:pPr>
              <w:ind w:firstLine="160" w:firstLineChars="100"/>
              <w:rPr>
                <w:rFonts w:ascii="Arial" w:hAnsi="Arial" w:cs="Arial"/>
                <w:color w:val="1A1C1E"/>
                <w:sz w:val="16"/>
                <w:szCs w:val="16"/>
              </w:rPr>
            </w:pPr>
            <w:r>
              <w:rPr>
                <w:rFonts w:ascii="Arial" w:hAnsi="Arial" w:cs="Arial"/>
                <w:color w:val="1A1C1E"/>
                <w:sz w:val="16"/>
                <w:szCs w:val="16"/>
              </w:rPr>
              <w:t> </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04B0EB4">
            <w:pPr>
              <w:ind w:firstLine="160" w:firstLineChars="100"/>
              <w:rPr>
                <w:rFonts w:ascii="Arial" w:hAnsi="Arial" w:cs="Arial"/>
                <w:color w:val="1A1C1E"/>
                <w:sz w:val="16"/>
                <w:szCs w:val="16"/>
              </w:rPr>
            </w:pPr>
            <w:r>
              <w:rPr>
                <w:rFonts w:ascii="Arial" w:hAnsi="Arial" w:cs="Arial"/>
                <w:color w:val="1A1C1E"/>
                <w:sz w:val="16"/>
                <w:szCs w:val="16"/>
              </w:rPr>
              <w:t>Mașini Hibrid SRL (Șos. Portului nr. 45)</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A7FC0FF">
            <w:pPr>
              <w:ind w:firstLine="160" w:firstLineChars="100"/>
              <w:rPr>
                <w:rFonts w:ascii="Arial" w:hAnsi="Arial" w:cs="Arial"/>
                <w:color w:val="1A1C1E"/>
                <w:sz w:val="16"/>
                <w:szCs w:val="16"/>
              </w:rPr>
            </w:pPr>
            <w:r>
              <w:rPr>
                <w:rFonts w:ascii="Arial" w:hAnsi="Arial" w:cs="Arial"/>
                <w:color w:val="1A1C1E"/>
                <w:sz w:val="16"/>
                <w:szCs w:val="16"/>
              </w:rPr>
              <w:t>1</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21BB38F">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BC41BE9">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D6FA4DF">
            <w:pPr>
              <w:ind w:firstLine="160" w:firstLineChars="100"/>
              <w:rPr>
                <w:rFonts w:ascii="Arial" w:hAnsi="Arial" w:cs="Arial"/>
                <w:color w:val="1A1C1E"/>
                <w:sz w:val="16"/>
                <w:szCs w:val="16"/>
              </w:rPr>
            </w:pPr>
            <w:r>
              <w:rPr>
                <w:rFonts w:ascii="Arial" w:hAnsi="Arial" w:cs="Arial"/>
                <w:color w:val="1A1C1E"/>
                <w:sz w:val="16"/>
                <w:szCs w:val="16"/>
              </w:rPr>
              <w:t>-</w:t>
            </w:r>
          </w:p>
        </w:tc>
      </w:tr>
      <w:tr w14:paraId="0E58664E">
        <w:tblPrEx>
          <w:tblCellMar>
            <w:top w:w="0" w:type="dxa"/>
            <w:left w:w="0" w:type="dxa"/>
            <w:bottom w:w="0" w:type="dxa"/>
            <w:right w:w="0" w:type="dxa"/>
          </w:tblCellMar>
        </w:tblPrEx>
        <w:trPr>
          <w:trHeight w:val="6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4B18542A">
            <w:pPr>
              <w:ind w:firstLine="160" w:firstLineChars="100"/>
              <w:rPr>
                <w:rFonts w:ascii="Arial" w:hAnsi="Arial" w:cs="Arial"/>
                <w:b/>
                <w:bCs/>
                <w:color w:val="1A1C1E"/>
                <w:sz w:val="16"/>
                <w:szCs w:val="16"/>
              </w:rPr>
            </w:pPr>
            <w:r>
              <w:rPr>
                <w:rFonts w:ascii="Arial" w:hAnsi="Arial" w:cs="Arial"/>
                <w:b/>
                <w:bCs/>
                <w:color w:val="1A1C1E"/>
                <w:sz w:val="16"/>
                <w:szCs w:val="16"/>
              </w:rPr>
              <w:t>Subtotal (Agenți economici)</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F61A87E">
            <w:pPr>
              <w:ind w:firstLine="160" w:firstLineChars="100"/>
              <w:rPr>
                <w:rFonts w:ascii="Arial" w:hAnsi="Arial" w:cs="Arial"/>
                <w:color w:val="1A1C1E"/>
                <w:sz w:val="16"/>
                <w:szCs w:val="16"/>
              </w:rPr>
            </w:pPr>
            <w:r>
              <w:rPr>
                <w:rFonts w:ascii="Arial" w:hAnsi="Arial" w:cs="Arial"/>
                <w:color w:val="1A1C1E"/>
                <w:sz w:val="16"/>
                <w:szCs w:val="16"/>
              </w:rPr>
              <w:t> </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089F6C9">
            <w:pPr>
              <w:ind w:firstLine="160" w:firstLineChars="100"/>
              <w:rPr>
                <w:rFonts w:ascii="Arial" w:hAnsi="Arial" w:cs="Arial"/>
                <w:b/>
                <w:bCs/>
                <w:color w:val="1A1C1E"/>
                <w:sz w:val="16"/>
                <w:szCs w:val="16"/>
              </w:rPr>
            </w:pPr>
            <w:r>
              <w:rPr>
                <w:rFonts w:ascii="Arial" w:hAnsi="Arial" w:cs="Arial"/>
                <w:b/>
                <w:bCs/>
                <w:color w:val="1A1C1E"/>
                <w:sz w:val="16"/>
                <w:szCs w:val="16"/>
              </w:rPr>
              <w:t>18</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7CD7787">
            <w:pPr>
              <w:ind w:firstLine="160" w:firstLineChars="100"/>
              <w:rPr>
                <w:rFonts w:ascii="Arial" w:hAnsi="Arial" w:cs="Arial"/>
                <w:color w:val="1A1C1E"/>
                <w:sz w:val="16"/>
                <w:szCs w:val="16"/>
              </w:rPr>
            </w:pPr>
            <w:r>
              <w:rPr>
                <w:rFonts w:ascii="Arial" w:hAnsi="Arial" w:cs="Arial"/>
                <w:color w:val="1A1C1E"/>
                <w:sz w:val="16"/>
                <w:szCs w:val="16"/>
              </w:rPr>
              <w:t>-</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06F4F36">
            <w:pPr>
              <w:ind w:firstLine="160" w:firstLineChars="100"/>
              <w:rPr>
                <w:rFonts w:ascii="Arial" w:hAnsi="Arial" w:cs="Arial"/>
                <w:color w:val="1A1C1E"/>
                <w:sz w:val="16"/>
                <w:szCs w:val="16"/>
              </w:rPr>
            </w:pPr>
            <w:r>
              <w:rPr>
                <w:rFonts w:ascii="Arial" w:hAnsi="Arial" w:cs="Arial"/>
                <w:color w:val="1A1C1E"/>
                <w:sz w:val="16"/>
                <w:szCs w:val="16"/>
              </w:rPr>
              <w:t>-</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93E83F1">
            <w:pPr>
              <w:ind w:firstLine="160" w:firstLineChars="100"/>
              <w:rPr>
                <w:rFonts w:ascii="Arial" w:hAnsi="Arial" w:cs="Arial"/>
                <w:color w:val="1A1C1E"/>
                <w:sz w:val="16"/>
                <w:szCs w:val="16"/>
              </w:rPr>
            </w:pPr>
            <w:r>
              <w:rPr>
                <w:rFonts w:ascii="Arial" w:hAnsi="Arial" w:cs="Arial"/>
                <w:color w:val="1A1C1E"/>
                <w:sz w:val="16"/>
                <w:szCs w:val="16"/>
              </w:rPr>
              <w:t>-</w:t>
            </w:r>
          </w:p>
        </w:tc>
      </w:tr>
      <w:tr w14:paraId="1D33B824">
        <w:tblPrEx>
          <w:tblCellMar>
            <w:top w:w="0" w:type="dxa"/>
            <w:left w:w="0" w:type="dxa"/>
            <w:bottom w:w="0" w:type="dxa"/>
            <w:right w:w="0" w:type="dxa"/>
          </w:tblCellMar>
        </w:tblPrEx>
        <w:trPr>
          <w:trHeight w:val="600" w:hRule="atLeast"/>
        </w:trPr>
        <w:tc>
          <w:tcPr>
            <w:tcW w:w="1024"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70598930">
            <w:pPr>
              <w:ind w:firstLine="160" w:firstLineChars="100"/>
              <w:rPr>
                <w:rFonts w:ascii="Arial" w:hAnsi="Arial" w:cs="Arial"/>
                <w:b/>
                <w:bCs/>
                <w:color w:val="1A1C1E"/>
                <w:sz w:val="16"/>
                <w:szCs w:val="16"/>
              </w:rPr>
            </w:pPr>
            <w:r>
              <w:rPr>
                <w:rFonts w:ascii="Arial" w:hAnsi="Arial" w:cs="Arial"/>
                <w:b/>
                <w:bCs/>
                <w:color w:val="1A1C1E"/>
                <w:sz w:val="16"/>
                <w:szCs w:val="16"/>
              </w:rPr>
              <w:t>TOTAL GENERAL</w:t>
            </w:r>
          </w:p>
        </w:tc>
        <w:tc>
          <w:tcPr>
            <w:tcW w:w="151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5F0E1E3">
            <w:pPr>
              <w:ind w:firstLine="160" w:firstLineChars="100"/>
              <w:rPr>
                <w:rFonts w:ascii="Arial" w:hAnsi="Arial" w:cs="Arial"/>
                <w:color w:val="1A1C1E"/>
                <w:sz w:val="16"/>
                <w:szCs w:val="16"/>
              </w:rPr>
            </w:pPr>
            <w:r>
              <w:rPr>
                <w:rFonts w:ascii="Arial" w:hAnsi="Arial" w:cs="Arial"/>
                <w:color w:val="1A1C1E"/>
                <w:sz w:val="16"/>
                <w:szCs w:val="16"/>
              </w:rPr>
              <w:t> </w:t>
            </w:r>
          </w:p>
        </w:tc>
        <w:tc>
          <w:tcPr>
            <w:tcW w:w="706"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5168738">
            <w:pPr>
              <w:ind w:firstLine="160" w:firstLineChars="100"/>
              <w:rPr>
                <w:rFonts w:ascii="Arial" w:hAnsi="Arial" w:cs="Arial"/>
                <w:b/>
                <w:bCs/>
                <w:color w:val="1A1C1E"/>
                <w:sz w:val="16"/>
                <w:szCs w:val="16"/>
              </w:rPr>
            </w:pPr>
            <w:r>
              <w:rPr>
                <w:rFonts w:ascii="Arial" w:hAnsi="Arial" w:cs="Arial"/>
                <w:b/>
                <w:bCs/>
                <w:color w:val="1A1C1E"/>
                <w:sz w:val="16"/>
                <w:szCs w:val="16"/>
              </w:rPr>
              <w:t>65</w:t>
            </w:r>
          </w:p>
        </w:tc>
        <w:tc>
          <w:tcPr>
            <w:tcW w:w="587"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C4E73AA">
            <w:pPr>
              <w:ind w:firstLine="160" w:firstLineChars="100"/>
              <w:rPr>
                <w:rFonts w:ascii="Arial" w:hAnsi="Arial" w:cs="Arial"/>
                <w:b/>
                <w:bCs/>
                <w:color w:val="1A1C1E"/>
                <w:sz w:val="16"/>
                <w:szCs w:val="16"/>
              </w:rPr>
            </w:pPr>
            <w:r>
              <w:rPr>
                <w:rFonts w:ascii="Arial" w:hAnsi="Arial" w:cs="Arial"/>
                <w:b/>
                <w:bCs/>
                <w:color w:val="1A1C1E"/>
                <w:sz w:val="16"/>
                <w:szCs w:val="16"/>
              </w:rPr>
              <w:t>33</w:t>
            </w:r>
          </w:p>
        </w:tc>
        <w:tc>
          <w:tcPr>
            <w:tcW w:w="579"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8B83891">
            <w:pPr>
              <w:ind w:firstLine="160" w:firstLineChars="100"/>
              <w:rPr>
                <w:rFonts w:ascii="Arial" w:hAnsi="Arial" w:cs="Arial"/>
                <w:b/>
                <w:bCs/>
                <w:color w:val="1A1C1E"/>
                <w:sz w:val="16"/>
                <w:szCs w:val="16"/>
              </w:rPr>
            </w:pPr>
            <w:r>
              <w:rPr>
                <w:rFonts w:ascii="Arial" w:hAnsi="Arial" w:cs="Arial"/>
                <w:b/>
                <w:bCs/>
                <w:color w:val="1A1C1E"/>
                <w:sz w:val="16"/>
                <w:szCs w:val="16"/>
              </w:rPr>
              <w:t>33</w:t>
            </w:r>
          </w:p>
        </w:tc>
        <w:tc>
          <w:tcPr>
            <w:tcW w:w="588"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E5EFD98">
            <w:pPr>
              <w:ind w:firstLine="160" w:firstLineChars="100"/>
              <w:rPr>
                <w:rFonts w:ascii="Arial" w:hAnsi="Arial" w:cs="Arial"/>
                <w:b/>
                <w:bCs/>
                <w:color w:val="1A1C1E"/>
                <w:sz w:val="16"/>
                <w:szCs w:val="16"/>
              </w:rPr>
            </w:pPr>
            <w:r>
              <w:rPr>
                <w:rFonts w:ascii="Arial" w:hAnsi="Arial" w:cs="Arial"/>
                <w:b/>
                <w:bCs/>
                <w:color w:val="1A1C1E"/>
                <w:sz w:val="16"/>
                <w:szCs w:val="16"/>
              </w:rPr>
              <w:t>33</w:t>
            </w:r>
          </w:p>
        </w:tc>
      </w:tr>
    </w:tbl>
    <w:p w14:paraId="2472E840">
      <w:pPr>
        <w:rPr>
          <w:rFonts w:asciiTheme="majorHAnsi" w:hAnsiTheme="majorHAnsi" w:cstheme="majorHAnsi"/>
          <w:sz w:val="24"/>
          <w:szCs w:val="24"/>
          <w:lang w:val="ro-RO" w:eastAsia="en-GB"/>
        </w:rPr>
      </w:pPr>
      <w:r>
        <w:rPr>
          <w:rFonts w:asciiTheme="majorHAnsi" w:hAnsiTheme="majorHAnsi" w:cstheme="majorHAnsi"/>
          <w:sz w:val="24"/>
          <w:szCs w:val="24"/>
          <w:lang w:val="ro-RO" w:eastAsia="en-GB"/>
        </w:rPr>
        <w:t xml:space="preserve"> </w:t>
      </w:r>
    </w:p>
    <w:p w14:paraId="6E6469B0">
      <w:pPr>
        <w:rPr>
          <w:rFonts w:asciiTheme="majorHAnsi" w:hAnsiTheme="majorHAnsi" w:cstheme="majorHAnsi"/>
          <w:sz w:val="24"/>
          <w:szCs w:val="24"/>
          <w:lang w:val="ro-RO" w:eastAsia="en-GB"/>
        </w:rPr>
      </w:pPr>
      <w:r>
        <w:rPr>
          <w:rFonts w:asciiTheme="majorHAnsi" w:hAnsiTheme="majorHAnsi" w:cstheme="majorHAnsi"/>
          <w:sz w:val="24"/>
          <w:szCs w:val="24"/>
          <w:lang w:val="ro-RO" w:eastAsia="en-GB"/>
        </w:rPr>
        <w:t xml:space="preserve"> </w:t>
      </w:r>
    </w:p>
    <w:p w14:paraId="057CABEC">
      <w:pPr>
        <w:rPr>
          <w:rFonts w:ascii="Arial" w:hAnsi="Arial" w:cs="Arial"/>
          <w:sz w:val="20"/>
          <w:szCs w:val="20"/>
          <w:lang w:eastAsia="en-GB"/>
        </w:rPr>
      </w:pPr>
      <w:r>
        <w:rPr>
          <w:rFonts w:ascii="Arial" w:hAnsi="Arial" w:cs="Arial"/>
          <w:sz w:val="20"/>
          <w:szCs w:val="20"/>
          <w:lang w:eastAsia="en-GB"/>
        </w:rPr>
        <w:t>Informatii suplimentare Mun. Oltenita:</w:t>
      </w:r>
    </w:p>
    <w:p w14:paraId="4C72ACE0">
      <w:pPr>
        <w:rPr>
          <w:rFonts w:ascii="Arial" w:hAnsi="Arial" w:cs="Arial"/>
          <w:sz w:val="20"/>
          <w:szCs w:val="20"/>
          <w:lang w:val="ro-RO" w:eastAsia="en-GB"/>
        </w:rPr>
      </w:pPr>
      <w:r>
        <w:rPr>
          <w:rFonts w:ascii="Arial" w:hAnsi="Arial" w:cs="Arial"/>
          <w:b/>
          <w:bCs/>
          <w:sz w:val="20"/>
          <w:szCs w:val="20"/>
          <w:lang w:eastAsia="en-GB"/>
        </w:rPr>
        <w:t>Proiect P.N.R.R. Ecoinsule:</w:t>
      </w:r>
      <w:r>
        <w:rPr>
          <w:rFonts w:ascii="Arial" w:hAnsi="Arial" w:cs="Arial"/>
          <w:sz w:val="20"/>
          <w:szCs w:val="20"/>
          <w:lang w:eastAsia="en-GB"/>
        </w:rPr>
        <w:t xml:space="preserve"> Este aprobat un proiect pentru construirea unui număr de </w:t>
      </w:r>
      <w:r>
        <w:rPr>
          <w:rFonts w:ascii="Arial" w:hAnsi="Arial" w:cs="Arial"/>
          <w:b/>
          <w:bCs/>
          <w:sz w:val="20"/>
          <w:szCs w:val="20"/>
          <w:lang w:eastAsia="en-GB"/>
        </w:rPr>
        <w:t>50 ecoinsule</w:t>
      </w:r>
      <w:r>
        <w:rPr>
          <w:rFonts w:ascii="Arial" w:hAnsi="Arial" w:cs="Arial"/>
          <w:sz w:val="20"/>
          <w:szCs w:val="20"/>
          <w:lang w:eastAsia="en-GB"/>
        </w:rPr>
        <w:t>, „INSULE ECOLOGICE DIGITALIZATE ÎN MUNICIPIUL OLTENIȚA”, cod proiect: C311B0122000066 (insule supraterane încasetate cu 5 containere de câte 1.1 metri cubi)</w:t>
      </w:r>
      <w:r>
        <w:rPr>
          <w:rFonts w:ascii="Arial" w:hAnsi="Arial" w:cs="Arial"/>
          <w:sz w:val="20"/>
          <w:szCs w:val="20"/>
          <w:lang w:val="ro-RO" w:eastAsia="en-GB"/>
        </w:rPr>
        <w:t xml:space="preserve"> </w:t>
      </w:r>
    </w:p>
    <w:p w14:paraId="25EFB19A">
      <w:pPr>
        <w:rPr>
          <w:rFonts w:ascii="Arial" w:hAnsi="Arial" w:cs="Arial"/>
          <w:sz w:val="20"/>
          <w:szCs w:val="20"/>
          <w:lang w:val="ro-RO" w:eastAsia="en-GB"/>
        </w:rPr>
      </w:pPr>
      <w:r>
        <w:rPr>
          <w:rFonts w:ascii="Arial" w:hAnsi="Arial" w:cs="Arial"/>
          <w:b/>
          <w:bCs/>
          <w:sz w:val="20"/>
          <w:szCs w:val="20"/>
          <w:lang w:eastAsia="en-GB"/>
        </w:rPr>
        <w:t>Proiect P.N.R.R. CAV:</w:t>
      </w:r>
      <w:r>
        <w:rPr>
          <w:rFonts w:ascii="Arial" w:hAnsi="Arial" w:cs="Arial"/>
          <w:sz w:val="20"/>
          <w:szCs w:val="20"/>
          <w:lang w:eastAsia="en-GB"/>
        </w:rPr>
        <w:t xml:space="preserve"> Referitor la spații amenajate pentru colectarea ocazională a deșeurilor din construcții, voluminoase și periculoase, vă informăm că avem </w:t>
      </w:r>
      <w:r>
        <w:rPr>
          <w:rFonts w:ascii="Arial" w:hAnsi="Arial" w:cs="Arial"/>
          <w:b/>
          <w:bCs/>
          <w:sz w:val="20"/>
          <w:szCs w:val="20"/>
          <w:lang w:eastAsia="en-GB"/>
        </w:rPr>
        <w:t>1 Proiect în curs de execuție (finalizat 85%)</w:t>
      </w:r>
      <w:r>
        <w:rPr>
          <w:rFonts w:ascii="Arial" w:hAnsi="Arial" w:cs="Arial"/>
          <w:sz w:val="20"/>
          <w:szCs w:val="20"/>
          <w:lang w:eastAsia="en-GB"/>
        </w:rPr>
        <w:t>, pentru: „ÎNFIINȚARE CENTRU DE COLECTARE PRIN APORT VOLUNTAR ÎN MUNICIPIUL OLTENIȚA”, cod proiect C311A0122000334.”</w:t>
      </w:r>
      <w:r>
        <w:rPr>
          <w:rFonts w:ascii="Arial" w:hAnsi="Arial" w:cs="Arial"/>
          <w:sz w:val="20"/>
          <w:szCs w:val="20"/>
          <w:lang w:val="ro-RO" w:eastAsia="en-GB"/>
        </w:rPr>
        <w:t xml:space="preserve"> -Nu face obiectul delegarii.</w:t>
      </w:r>
    </w:p>
    <w:p w14:paraId="3E3084A5">
      <w:pPr>
        <w:rPr>
          <w:rFonts w:ascii="Arial" w:hAnsi="Arial" w:cs="Arial"/>
          <w:sz w:val="20"/>
          <w:szCs w:val="20"/>
          <w:lang w:eastAsia="en-GB"/>
        </w:rPr>
      </w:pPr>
      <w:r>
        <w:rPr>
          <w:rFonts w:ascii="Arial" w:hAnsi="Arial" w:cs="Arial"/>
          <w:sz w:val="20"/>
          <w:szCs w:val="20"/>
          <w:lang w:eastAsia="en-GB"/>
        </w:rPr>
        <w:t>Se deruleaza procedura pentru achiziționarea a 6 containere pentru textile.</w:t>
      </w:r>
    </w:p>
    <w:p w14:paraId="18F103D9">
      <w:pPr>
        <w:rPr>
          <w:rFonts w:asciiTheme="majorHAnsi" w:hAnsiTheme="majorHAnsi" w:cstheme="majorHAnsi"/>
          <w:sz w:val="24"/>
          <w:szCs w:val="24"/>
          <w:lang w:eastAsia="en-GB"/>
        </w:rPr>
      </w:pPr>
      <w:r>
        <w:rPr>
          <w:rFonts w:asciiTheme="majorHAnsi" w:hAnsiTheme="majorHAnsi" w:cstheme="majorHAnsi"/>
          <w:sz w:val="24"/>
          <w:szCs w:val="24"/>
          <w:lang w:eastAsia="en-GB"/>
        </w:rPr>
        <w:t>Amplasare Platforme Betonate - Municipiul Oltenița</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2"/>
      </w:tblGrid>
      <w:tr w14:paraId="4939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2" w:type="dxa"/>
          </w:tcPr>
          <w:p w14:paraId="69340109">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 </w:t>
            </w:r>
            <w:r>
              <w:rPr>
                <w:rFonts w:asciiTheme="majorHAnsi" w:hAnsiTheme="majorHAnsi" w:cstheme="majorHAnsi"/>
                <w:b/>
                <w:bCs/>
                <w:sz w:val="24"/>
                <w:szCs w:val="24"/>
                <w:lang w:eastAsia="en-GB"/>
              </w:rPr>
              <w:t>Bd. 1 Decembrie 1918</w:t>
            </w:r>
            <w:r>
              <w:rPr>
                <w:rFonts w:asciiTheme="majorHAnsi" w:hAnsiTheme="majorHAnsi" w:cstheme="majorHAnsi"/>
                <w:sz w:val="24"/>
                <w:szCs w:val="24"/>
                <w:lang w:eastAsia="en-GB"/>
              </w:rPr>
              <w:t xml:space="preserve"> – intersecție cu Str. Mihai Eminescu</w:t>
            </w:r>
          </w:p>
          <w:p w14:paraId="0B18B6A0">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 </w:t>
            </w:r>
            <w:r>
              <w:rPr>
                <w:rFonts w:asciiTheme="majorHAnsi" w:hAnsiTheme="majorHAnsi" w:cstheme="majorHAnsi"/>
                <w:b/>
                <w:bCs/>
                <w:sz w:val="24"/>
                <w:szCs w:val="24"/>
                <w:lang w:eastAsia="en-GB"/>
              </w:rPr>
              <w:t>Str. Luceafărului</w:t>
            </w:r>
            <w:r>
              <w:rPr>
                <w:rFonts w:asciiTheme="majorHAnsi" w:hAnsiTheme="majorHAnsi" w:cstheme="majorHAnsi"/>
                <w:sz w:val="24"/>
                <w:szCs w:val="24"/>
                <w:lang w:eastAsia="en-GB"/>
              </w:rPr>
              <w:t xml:space="preserve"> (Farmacie BIG)</w:t>
            </w:r>
          </w:p>
          <w:p w14:paraId="4E22D15F">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3. </w:t>
            </w:r>
            <w:r>
              <w:rPr>
                <w:rFonts w:asciiTheme="majorHAnsi" w:hAnsiTheme="majorHAnsi" w:cstheme="majorHAnsi"/>
                <w:b/>
                <w:bCs/>
                <w:sz w:val="24"/>
                <w:szCs w:val="24"/>
                <w:lang w:eastAsia="en-GB"/>
              </w:rPr>
              <w:t>Bd. 1 Decembrie</w:t>
            </w:r>
          </w:p>
          <w:p w14:paraId="28C6FAA9">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4. </w:t>
            </w:r>
            <w:r>
              <w:rPr>
                <w:rFonts w:asciiTheme="majorHAnsi" w:hAnsiTheme="majorHAnsi" w:cstheme="majorHAnsi"/>
                <w:b/>
                <w:bCs/>
                <w:sz w:val="24"/>
                <w:szCs w:val="24"/>
                <w:lang w:eastAsia="en-GB"/>
              </w:rPr>
              <w:t>Bd. 1 Decembrie</w:t>
            </w:r>
          </w:p>
          <w:p w14:paraId="748AF45E">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5. </w:t>
            </w:r>
            <w:r>
              <w:rPr>
                <w:rFonts w:asciiTheme="majorHAnsi" w:hAnsiTheme="majorHAnsi" w:cstheme="majorHAnsi"/>
                <w:b/>
                <w:bCs/>
                <w:sz w:val="24"/>
                <w:szCs w:val="24"/>
                <w:lang w:eastAsia="en-GB"/>
              </w:rPr>
              <w:t>Bd. 1 Decembrie</w:t>
            </w:r>
          </w:p>
          <w:p w14:paraId="11CDA539">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6. </w:t>
            </w:r>
            <w:r>
              <w:rPr>
                <w:rFonts w:asciiTheme="majorHAnsi" w:hAnsiTheme="majorHAnsi" w:cstheme="majorHAnsi"/>
                <w:b/>
                <w:bCs/>
                <w:sz w:val="24"/>
                <w:szCs w:val="24"/>
                <w:lang w:eastAsia="en-GB"/>
              </w:rPr>
              <w:t>Bd. 1 Decembrie</w:t>
            </w:r>
            <w:r>
              <w:rPr>
                <w:rFonts w:asciiTheme="majorHAnsi" w:hAnsiTheme="majorHAnsi" w:cstheme="majorHAnsi"/>
                <w:sz w:val="24"/>
                <w:szCs w:val="24"/>
                <w:lang w:eastAsia="en-GB"/>
              </w:rPr>
              <w:t xml:space="preserve"> (Regia de tutun)</w:t>
            </w:r>
          </w:p>
          <w:p w14:paraId="194844EA">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7. </w:t>
            </w:r>
            <w:r>
              <w:rPr>
                <w:rFonts w:asciiTheme="majorHAnsi" w:hAnsiTheme="majorHAnsi" w:cstheme="majorHAnsi"/>
                <w:b/>
                <w:bCs/>
                <w:sz w:val="24"/>
                <w:szCs w:val="24"/>
                <w:lang w:eastAsia="en-GB"/>
              </w:rPr>
              <w:t>Bd. 1 Decembrie</w:t>
            </w:r>
          </w:p>
          <w:p w14:paraId="04888A3F">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8. </w:t>
            </w:r>
            <w:r>
              <w:rPr>
                <w:rFonts w:asciiTheme="majorHAnsi" w:hAnsiTheme="majorHAnsi" w:cstheme="majorHAnsi"/>
                <w:b/>
                <w:bCs/>
                <w:sz w:val="24"/>
                <w:szCs w:val="24"/>
                <w:lang w:eastAsia="en-GB"/>
              </w:rPr>
              <w:t>Bd. 1 Decembrie</w:t>
            </w:r>
          </w:p>
          <w:p w14:paraId="052C4013">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9. </w:t>
            </w:r>
            <w:r>
              <w:rPr>
                <w:rFonts w:asciiTheme="majorHAnsi" w:hAnsiTheme="majorHAnsi" w:cstheme="majorHAnsi"/>
                <w:b/>
                <w:bCs/>
                <w:sz w:val="24"/>
                <w:szCs w:val="24"/>
                <w:lang w:eastAsia="en-GB"/>
              </w:rPr>
              <w:t>Bd. 1 Decembrie</w:t>
            </w:r>
          </w:p>
          <w:p w14:paraId="0DA2BA53">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10. </w:t>
            </w:r>
            <w:r>
              <w:rPr>
                <w:rFonts w:asciiTheme="majorHAnsi" w:hAnsiTheme="majorHAnsi" w:cstheme="majorHAnsi"/>
                <w:b/>
                <w:bCs/>
                <w:sz w:val="24"/>
                <w:szCs w:val="24"/>
                <w:lang w:eastAsia="en-GB"/>
              </w:rPr>
              <w:t>Bd. 1 Decembrie</w:t>
            </w:r>
          </w:p>
          <w:p w14:paraId="36D2B614">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11. </w:t>
            </w:r>
            <w:r>
              <w:rPr>
                <w:rFonts w:asciiTheme="majorHAnsi" w:hAnsiTheme="majorHAnsi" w:cstheme="majorHAnsi"/>
                <w:b/>
                <w:bCs/>
                <w:sz w:val="24"/>
                <w:szCs w:val="24"/>
                <w:lang w:eastAsia="en-GB"/>
              </w:rPr>
              <w:t>Bd. Republicii</w:t>
            </w:r>
            <w:r>
              <w:rPr>
                <w:rFonts w:asciiTheme="majorHAnsi" w:hAnsiTheme="majorHAnsi" w:cstheme="majorHAnsi"/>
                <w:sz w:val="24"/>
                <w:szCs w:val="24"/>
                <w:lang w:eastAsia="en-GB"/>
              </w:rPr>
              <w:t>, bl. E</w:t>
            </w:r>
          </w:p>
          <w:p w14:paraId="4C9FF262">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12. </w:t>
            </w:r>
            <w:r>
              <w:rPr>
                <w:rFonts w:asciiTheme="majorHAnsi" w:hAnsiTheme="majorHAnsi" w:cstheme="majorHAnsi"/>
                <w:b/>
                <w:bCs/>
                <w:sz w:val="24"/>
                <w:szCs w:val="24"/>
                <w:lang w:eastAsia="en-GB"/>
              </w:rPr>
              <w:t>Bd. Republicii</w:t>
            </w:r>
            <w:r>
              <w:rPr>
                <w:rFonts w:asciiTheme="majorHAnsi" w:hAnsiTheme="majorHAnsi" w:cstheme="majorHAnsi"/>
                <w:sz w:val="24"/>
                <w:szCs w:val="24"/>
                <w:lang w:eastAsia="en-GB"/>
              </w:rPr>
              <w:t>, bloc Mic</w:t>
            </w:r>
          </w:p>
          <w:p w14:paraId="2F2280A1">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13. </w:t>
            </w:r>
            <w:r>
              <w:rPr>
                <w:rFonts w:asciiTheme="majorHAnsi" w:hAnsiTheme="majorHAnsi" w:cstheme="majorHAnsi"/>
                <w:b/>
                <w:bCs/>
                <w:sz w:val="24"/>
                <w:szCs w:val="24"/>
                <w:lang w:eastAsia="en-GB"/>
              </w:rPr>
              <w:t>Bd. Republicii</w:t>
            </w:r>
            <w:r>
              <w:rPr>
                <w:rFonts w:asciiTheme="majorHAnsi" w:hAnsiTheme="majorHAnsi" w:cstheme="majorHAnsi"/>
                <w:sz w:val="24"/>
                <w:szCs w:val="24"/>
                <w:lang w:eastAsia="en-GB"/>
              </w:rPr>
              <w:t>, CT-1</w:t>
            </w:r>
          </w:p>
          <w:p w14:paraId="59AD70F6">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14. </w:t>
            </w:r>
            <w:r>
              <w:rPr>
                <w:rFonts w:asciiTheme="majorHAnsi" w:hAnsiTheme="majorHAnsi" w:cstheme="majorHAnsi"/>
                <w:b/>
                <w:bCs/>
                <w:sz w:val="24"/>
                <w:szCs w:val="24"/>
                <w:lang w:eastAsia="en-GB"/>
              </w:rPr>
              <w:t>Bd. Republicii</w:t>
            </w:r>
            <w:r>
              <w:rPr>
                <w:rFonts w:asciiTheme="majorHAnsi" w:hAnsiTheme="majorHAnsi" w:cstheme="majorHAnsi"/>
                <w:sz w:val="24"/>
                <w:szCs w:val="24"/>
                <w:lang w:eastAsia="en-GB"/>
              </w:rPr>
              <w:t>, bl. D</w:t>
            </w:r>
          </w:p>
          <w:p w14:paraId="6DD36A5A">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15. </w:t>
            </w:r>
            <w:r>
              <w:rPr>
                <w:rFonts w:asciiTheme="majorHAnsi" w:hAnsiTheme="majorHAnsi" w:cstheme="majorHAnsi"/>
                <w:b/>
                <w:bCs/>
                <w:sz w:val="24"/>
                <w:szCs w:val="24"/>
                <w:lang w:eastAsia="en-GB"/>
              </w:rPr>
              <w:t>Str. Heliade Rădulescu</w:t>
            </w:r>
            <w:r>
              <w:rPr>
                <w:rFonts w:asciiTheme="majorHAnsi" w:hAnsiTheme="majorHAnsi" w:cstheme="majorHAnsi"/>
                <w:sz w:val="24"/>
                <w:szCs w:val="24"/>
                <w:lang w:eastAsia="en-GB"/>
              </w:rPr>
              <w:t>, CT-9</w:t>
            </w:r>
          </w:p>
          <w:p w14:paraId="62A3E87E">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16. </w:t>
            </w:r>
            <w:r>
              <w:rPr>
                <w:rFonts w:asciiTheme="majorHAnsi" w:hAnsiTheme="majorHAnsi" w:cstheme="majorHAnsi"/>
                <w:b/>
                <w:bCs/>
                <w:sz w:val="24"/>
                <w:szCs w:val="24"/>
                <w:lang w:eastAsia="en-GB"/>
              </w:rPr>
              <w:t>Str. Mihai Bravu</w:t>
            </w:r>
            <w:r>
              <w:rPr>
                <w:rFonts w:asciiTheme="majorHAnsi" w:hAnsiTheme="majorHAnsi" w:cstheme="majorHAnsi"/>
                <w:sz w:val="24"/>
                <w:szCs w:val="24"/>
                <w:lang w:eastAsia="en-GB"/>
              </w:rPr>
              <w:t>, bl. Z</w:t>
            </w:r>
          </w:p>
          <w:p w14:paraId="451B15E5">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17. </w:t>
            </w:r>
            <w:r>
              <w:rPr>
                <w:rFonts w:asciiTheme="majorHAnsi" w:hAnsiTheme="majorHAnsi" w:cstheme="majorHAnsi"/>
                <w:b/>
                <w:bCs/>
                <w:sz w:val="24"/>
                <w:szCs w:val="24"/>
                <w:lang w:eastAsia="en-GB"/>
              </w:rPr>
              <w:t>Str. Mircea Eliade</w:t>
            </w:r>
          </w:p>
          <w:p w14:paraId="3B23D027">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18. </w:t>
            </w:r>
            <w:r>
              <w:rPr>
                <w:rFonts w:asciiTheme="majorHAnsi" w:hAnsiTheme="majorHAnsi" w:cstheme="majorHAnsi"/>
                <w:b/>
                <w:bCs/>
                <w:sz w:val="24"/>
                <w:szCs w:val="24"/>
                <w:lang w:eastAsia="en-GB"/>
              </w:rPr>
              <w:t>Str. Mihai Bravu</w:t>
            </w:r>
            <w:r>
              <w:rPr>
                <w:rFonts w:asciiTheme="majorHAnsi" w:hAnsiTheme="majorHAnsi" w:cstheme="majorHAnsi"/>
                <w:sz w:val="24"/>
                <w:szCs w:val="24"/>
                <w:lang w:eastAsia="en-GB"/>
              </w:rPr>
              <w:t>, Cimitir</w:t>
            </w:r>
          </w:p>
          <w:p w14:paraId="67F53977">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19. </w:t>
            </w:r>
            <w:r>
              <w:rPr>
                <w:rFonts w:asciiTheme="majorHAnsi" w:hAnsiTheme="majorHAnsi" w:cstheme="majorHAnsi"/>
                <w:b/>
                <w:bCs/>
                <w:sz w:val="24"/>
                <w:szCs w:val="24"/>
                <w:lang w:eastAsia="en-GB"/>
              </w:rPr>
              <w:t>Aleea Flacăra</w:t>
            </w:r>
          </w:p>
          <w:p w14:paraId="45AA6724">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20. </w:t>
            </w:r>
            <w:r>
              <w:rPr>
                <w:rFonts w:asciiTheme="majorHAnsi" w:hAnsiTheme="majorHAnsi" w:cstheme="majorHAnsi"/>
                <w:b/>
                <w:bCs/>
                <w:sz w:val="24"/>
                <w:szCs w:val="24"/>
                <w:lang w:eastAsia="en-GB"/>
              </w:rPr>
              <w:t>Str. Cuza-Vodă</w:t>
            </w:r>
            <w:r>
              <w:rPr>
                <w:rFonts w:asciiTheme="majorHAnsi" w:hAnsiTheme="majorHAnsi" w:cstheme="majorHAnsi"/>
                <w:sz w:val="24"/>
                <w:szCs w:val="24"/>
                <w:lang w:eastAsia="en-GB"/>
              </w:rPr>
              <w:t xml:space="preserve"> – intersecție cu Str. Nicolae Bălcescu</w:t>
            </w:r>
          </w:p>
          <w:p w14:paraId="3543B2E9">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21. </w:t>
            </w:r>
            <w:r>
              <w:rPr>
                <w:rFonts w:asciiTheme="majorHAnsi" w:hAnsiTheme="majorHAnsi" w:cstheme="majorHAnsi"/>
                <w:b/>
                <w:bCs/>
                <w:sz w:val="24"/>
                <w:szCs w:val="24"/>
                <w:lang w:eastAsia="en-GB"/>
              </w:rPr>
              <w:t>Str. Cuza-Vodă</w:t>
            </w:r>
            <w:r>
              <w:rPr>
                <w:rFonts w:asciiTheme="majorHAnsi" w:hAnsiTheme="majorHAnsi" w:cstheme="majorHAnsi"/>
                <w:sz w:val="24"/>
                <w:szCs w:val="24"/>
                <w:lang w:eastAsia="en-GB"/>
              </w:rPr>
              <w:t>, CT-8</w:t>
            </w:r>
          </w:p>
          <w:p w14:paraId="01335E87">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22. </w:t>
            </w:r>
            <w:r>
              <w:rPr>
                <w:rFonts w:asciiTheme="majorHAnsi" w:hAnsiTheme="majorHAnsi" w:cstheme="majorHAnsi"/>
                <w:b/>
                <w:bCs/>
                <w:sz w:val="24"/>
                <w:szCs w:val="24"/>
                <w:lang w:eastAsia="en-GB"/>
              </w:rPr>
              <w:t>Bd. Tineretului</w:t>
            </w:r>
            <w:r>
              <w:rPr>
                <w:rFonts w:asciiTheme="majorHAnsi" w:hAnsiTheme="majorHAnsi" w:cstheme="majorHAnsi"/>
                <w:sz w:val="24"/>
                <w:szCs w:val="24"/>
                <w:lang w:eastAsia="en-GB"/>
              </w:rPr>
              <w:t>, CT-7</w:t>
            </w:r>
          </w:p>
          <w:p w14:paraId="2ABE1844">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23. </w:t>
            </w:r>
            <w:r>
              <w:rPr>
                <w:rFonts w:asciiTheme="majorHAnsi" w:hAnsiTheme="majorHAnsi" w:cstheme="majorHAnsi"/>
                <w:b/>
                <w:bCs/>
                <w:sz w:val="24"/>
                <w:szCs w:val="24"/>
                <w:lang w:eastAsia="en-GB"/>
              </w:rPr>
              <w:t>Bd. Tineretului</w:t>
            </w:r>
            <w:r>
              <w:rPr>
                <w:rFonts w:asciiTheme="majorHAnsi" w:hAnsiTheme="majorHAnsi" w:cstheme="majorHAnsi"/>
                <w:sz w:val="24"/>
                <w:szCs w:val="24"/>
                <w:lang w:eastAsia="en-GB"/>
              </w:rPr>
              <w:t>, bl. 105</w:t>
            </w:r>
          </w:p>
          <w:p w14:paraId="59B5BD86">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24. </w:t>
            </w:r>
            <w:r>
              <w:rPr>
                <w:rFonts w:asciiTheme="majorHAnsi" w:hAnsiTheme="majorHAnsi" w:cstheme="majorHAnsi"/>
                <w:b/>
                <w:bCs/>
                <w:sz w:val="24"/>
                <w:szCs w:val="24"/>
                <w:lang w:eastAsia="en-GB"/>
              </w:rPr>
              <w:t>Bd. Tineretului</w:t>
            </w:r>
            <w:r>
              <w:rPr>
                <w:rFonts w:asciiTheme="majorHAnsi" w:hAnsiTheme="majorHAnsi" w:cstheme="majorHAnsi"/>
                <w:sz w:val="24"/>
                <w:szCs w:val="24"/>
                <w:lang w:eastAsia="en-GB"/>
              </w:rPr>
              <w:t>, bl. 127 (Baie)</w:t>
            </w:r>
          </w:p>
          <w:p w14:paraId="2C349456">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25. </w:t>
            </w:r>
            <w:r>
              <w:rPr>
                <w:rFonts w:asciiTheme="majorHAnsi" w:hAnsiTheme="majorHAnsi" w:cstheme="majorHAnsi"/>
                <w:b/>
                <w:bCs/>
                <w:sz w:val="24"/>
                <w:szCs w:val="24"/>
                <w:lang w:eastAsia="en-GB"/>
              </w:rPr>
              <w:t>Str. Alexandru Iliescu</w:t>
            </w:r>
            <w:r>
              <w:rPr>
                <w:rFonts w:asciiTheme="majorHAnsi" w:hAnsiTheme="majorHAnsi" w:cstheme="majorHAnsi"/>
                <w:sz w:val="24"/>
                <w:szCs w:val="24"/>
                <w:lang w:eastAsia="en-GB"/>
              </w:rPr>
              <w:t>, CT-5 – CEC</w:t>
            </w:r>
          </w:p>
          <w:p w14:paraId="782B7085">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26. </w:t>
            </w:r>
            <w:r>
              <w:rPr>
                <w:rFonts w:asciiTheme="majorHAnsi" w:hAnsiTheme="majorHAnsi" w:cstheme="majorHAnsi"/>
                <w:b/>
                <w:bCs/>
                <w:sz w:val="24"/>
                <w:szCs w:val="24"/>
                <w:lang w:eastAsia="en-GB"/>
              </w:rPr>
              <w:t>Str. Argeșului</w:t>
            </w:r>
            <w:r>
              <w:rPr>
                <w:rFonts w:asciiTheme="majorHAnsi" w:hAnsiTheme="majorHAnsi" w:cstheme="majorHAnsi"/>
                <w:sz w:val="24"/>
                <w:szCs w:val="24"/>
                <w:lang w:eastAsia="en-GB"/>
              </w:rPr>
              <w:t>, bl. Colț</w:t>
            </w:r>
          </w:p>
          <w:p w14:paraId="358890E2">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27. </w:t>
            </w:r>
            <w:r>
              <w:rPr>
                <w:rFonts w:asciiTheme="majorHAnsi" w:hAnsiTheme="majorHAnsi" w:cstheme="majorHAnsi"/>
                <w:b/>
                <w:bCs/>
                <w:sz w:val="24"/>
                <w:szCs w:val="24"/>
                <w:lang w:eastAsia="en-GB"/>
              </w:rPr>
              <w:t>Str. Alexandru Iliescu</w:t>
            </w:r>
            <w:r>
              <w:rPr>
                <w:rFonts w:asciiTheme="majorHAnsi" w:hAnsiTheme="majorHAnsi" w:cstheme="majorHAnsi"/>
                <w:sz w:val="24"/>
                <w:szCs w:val="24"/>
                <w:lang w:eastAsia="en-GB"/>
              </w:rPr>
              <w:t>, bl. C1-C5</w:t>
            </w:r>
          </w:p>
          <w:p w14:paraId="532AFD9A">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28. </w:t>
            </w:r>
            <w:r>
              <w:rPr>
                <w:rFonts w:asciiTheme="majorHAnsi" w:hAnsiTheme="majorHAnsi" w:cstheme="majorHAnsi"/>
                <w:b/>
                <w:bCs/>
                <w:sz w:val="24"/>
                <w:szCs w:val="24"/>
                <w:lang w:eastAsia="en-GB"/>
              </w:rPr>
              <w:t>Str. Alexandru Iliescu</w:t>
            </w:r>
            <w:r>
              <w:rPr>
                <w:rFonts w:asciiTheme="majorHAnsi" w:hAnsiTheme="majorHAnsi" w:cstheme="majorHAnsi"/>
                <w:sz w:val="24"/>
                <w:szCs w:val="24"/>
                <w:lang w:eastAsia="en-GB"/>
              </w:rPr>
              <w:t>, CT-6</w:t>
            </w:r>
          </w:p>
          <w:p w14:paraId="334FCC12">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29. </w:t>
            </w:r>
            <w:r>
              <w:rPr>
                <w:rFonts w:asciiTheme="majorHAnsi" w:hAnsiTheme="majorHAnsi" w:cstheme="majorHAnsi"/>
                <w:b/>
                <w:bCs/>
                <w:sz w:val="24"/>
                <w:szCs w:val="24"/>
                <w:lang w:eastAsia="en-GB"/>
              </w:rPr>
              <w:t>Str. Alexandru Iliescu</w:t>
            </w:r>
            <w:r>
              <w:rPr>
                <w:rFonts w:asciiTheme="majorHAnsi" w:hAnsiTheme="majorHAnsi" w:cstheme="majorHAnsi"/>
                <w:sz w:val="24"/>
                <w:szCs w:val="24"/>
                <w:lang w:eastAsia="en-GB"/>
              </w:rPr>
              <w:t>, bl. F4</w:t>
            </w:r>
          </w:p>
          <w:p w14:paraId="1754A130">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30. </w:t>
            </w:r>
            <w:r>
              <w:rPr>
                <w:rFonts w:asciiTheme="majorHAnsi" w:hAnsiTheme="majorHAnsi" w:cstheme="majorHAnsi"/>
                <w:b/>
                <w:bCs/>
                <w:sz w:val="24"/>
                <w:szCs w:val="24"/>
                <w:lang w:eastAsia="en-GB"/>
              </w:rPr>
              <w:t>Str. Nicolae Belea</w:t>
            </w:r>
            <w:r>
              <w:rPr>
                <w:rFonts w:asciiTheme="majorHAnsi" w:hAnsiTheme="majorHAnsi" w:cstheme="majorHAnsi"/>
                <w:sz w:val="24"/>
                <w:szCs w:val="24"/>
                <w:lang w:eastAsia="en-GB"/>
              </w:rPr>
              <w:t xml:space="preserve"> nr. 3</w:t>
            </w:r>
          </w:p>
          <w:p w14:paraId="24B86F54">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31. </w:t>
            </w:r>
            <w:r>
              <w:rPr>
                <w:rFonts w:asciiTheme="majorHAnsi" w:hAnsiTheme="majorHAnsi" w:cstheme="majorHAnsi"/>
                <w:b/>
                <w:bCs/>
                <w:sz w:val="24"/>
                <w:szCs w:val="24"/>
                <w:lang w:eastAsia="en-GB"/>
              </w:rPr>
              <w:t>Str. Nicolae Belea</w:t>
            </w:r>
            <w:r>
              <w:rPr>
                <w:rFonts w:asciiTheme="majorHAnsi" w:hAnsiTheme="majorHAnsi" w:cstheme="majorHAnsi"/>
                <w:sz w:val="24"/>
                <w:szCs w:val="24"/>
                <w:lang w:eastAsia="en-GB"/>
              </w:rPr>
              <w:t xml:space="preserve"> (Piață)</w:t>
            </w:r>
          </w:p>
          <w:p w14:paraId="5293A888">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32. </w:t>
            </w:r>
            <w:r>
              <w:rPr>
                <w:rFonts w:asciiTheme="majorHAnsi" w:hAnsiTheme="majorHAnsi" w:cstheme="majorHAnsi"/>
                <w:b/>
                <w:bCs/>
                <w:sz w:val="24"/>
                <w:szCs w:val="24"/>
                <w:lang w:eastAsia="en-GB"/>
              </w:rPr>
              <w:t>Str. Pescarilor</w:t>
            </w:r>
            <w:r>
              <w:rPr>
                <w:rFonts w:asciiTheme="majorHAnsi" w:hAnsiTheme="majorHAnsi" w:cstheme="majorHAnsi"/>
                <w:sz w:val="24"/>
                <w:szCs w:val="24"/>
                <w:lang w:eastAsia="en-GB"/>
              </w:rPr>
              <w:t xml:space="preserve"> – intersecție cu Piața Mercur</w:t>
            </w:r>
          </w:p>
          <w:p w14:paraId="05B53A08">
            <w:pPr>
              <w:spacing w:after="200" w:line="276" w:lineRule="auto"/>
              <w:rPr>
                <w:rFonts w:asciiTheme="majorHAnsi" w:hAnsiTheme="majorHAnsi" w:cstheme="majorHAnsi"/>
                <w:sz w:val="24"/>
                <w:szCs w:val="24"/>
                <w:lang w:eastAsia="en-GB"/>
              </w:rPr>
            </w:pPr>
            <w:r>
              <w:rPr>
                <w:rFonts w:asciiTheme="majorHAnsi" w:hAnsiTheme="majorHAnsi" w:cstheme="majorHAnsi"/>
                <w:sz w:val="24"/>
                <w:szCs w:val="24"/>
                <w:lang w:eastAsia="en-GB"/>
              </w:rPr>
              <w:t xml:space="preserve">33. </w:t>
            </w:r>
            <w:r>
              <w:rPr>
                <w:rFonts w:asciiTheme="majorHAnsi" w:hAnsiTheme="majorHAnsi" w:cstheme="majorHAnsi"/>
                <w:b/>
                <w:bCs/>
                <w:sz w:val="24"/>
                <w:szCs w:val="24"/>
                <w:lang w:eastAsia="en-GB"/>
              </w:rPr>
              <w:t>Aleea Cuza-Vodă</w:t>
            </w:r>
            <w:r>
              <w:rPr>
                <w:rFonts w:asciiTheme="majorHAnsi" w:hAnsiTheme="majorHAnsi" w:cstheme="majorHAnsi"/>
                <w:sz w:val="24"/>
                <w:szCs w:val="24"/>
                <w:lang w:eastAsia="en-GB"/>
              </w:rPr>
              <w:t xml:space="preserve"> (cămine Turol)</w:t>
            </w:r>
          </w:p>
          <w:p w14:paraId="476D5A9B">
            <w:pPr>
              <w:spacing w:after="0" w:line="240" w:lineRule="auto"/>
              <w:rPr>
                <w:rFonts w:asciiTheme="majorHAnsi" w:hAnsiTheme="majorHAnsi" w:cstheme="majorHAnsi"/>
                <w:sz w:val="24"/>
                <w:szCs w:val="24"/>
                <w:lang w:eastAsia="en-GB"/>
              </w:rPr>
            </w:pPr>
          </w:p>
        </w:tc>
      </w:tr>
    </w:tbl>
    <w:p w14:paraId="3B4D6CCE">
      <w:pPr>
        <w:rPr>
          <w:rFonts w:asciiTheme="majorHAnsi" w:hAnsiTheme="majorHAnsi" w:cstheme="majorHAnsi"/>
          <w:sz w:val="24"/>
          <w:szCs w:val="24"/>
          <w:lang w:eastAsia="en-GB"/>
        </w:rPr>
      </w:pPr>
    </w:p>
    <w:p w14:paraId="5B216F76">
      <w:pPr>
        <w:rPr>
          <w:rFonts w:asciiTheme="majorHAnsi" w:hAnsiTheme="majorHAnsi" w:cstheme="majorHAnsi"/>
          <w:sz w:val="24"/>
          <w:szCs w:val="24"/>
          <w:lang w:eastAsia="en-GB"/>
        </w:rPr>
      </w:pPr>
      <w:r>
        <w:rPr>
          <w:rFonts w:asciiTheme="majorHAnsi" w:hAnsiTheme="majorHAnsi" w:cstheme="majorHAnsi"/>
          <w:sz w:val="24"/>
          <w:szCs w:val="24"/>
          <w:lang w:eastAsia="en-GB"/>
        </w:rPr>
        <w:t xml:space="preserve">Toate aceste platforme sunt în prezent echipate cu câte </w:t>
      </w:r>
      <w:r>
        <w:rPr>
          <w:rFonts w:asciiTheme="majorHAnsi" w:hAnsiTheme="majorHAnsi" w:cstheme="majorHAnsi"/>
          <w:b/>
          <w:bCs/>
          <w:sz w:val="24"/>
          <w:szCs w:val="24"/>
          <w:lang w:eastAsia="en-GB"/>
        </w:rPr>
        <w:t>3 containere metalice</w:t>
      </w:r>
      <w:r>
        <w:rPr>
          <w:rFonts w:asciiTheme="majorHAnsi" w:hAnsiTheme="majorHAnsi" w:cstheme="majorHAnsi"/>
          <w:sz w:val="24"/>
          <w:szCs w:val="24"/>
          <w:lang w:eastAsia="en-GB"/>
        </w:rPr>
        <w:t xml:space="preserve"> de 1,1 mc fiecare.</w:t>
      </w:r>
    </w:p>
    <w:p w14:paraId="1F00186D">
      <w:pPr>
        <w:rPr>
          <w:rFonts w:asciiTheme="majorHAnsi" w:hAnsiTheme="majorHAnsi" w:cstheme="majorHAnsi"/>
          <w:sz w:val="24"/>
          <w:szCs w:val="24"/>
          <w:lang w:eastAsia="en-GB"/>
        </w:rPr>
      </w:pPr>
      <w:r>
        <w:rPr>
          <w:rFonts w:asciiTheme="majorHAnsi" w:hAnsiTheme="majorHAnsi" w:cstheme="majorHAnsi"/>
          <w:sz w:val="24"/>
          <w:szCs w:val="24"/>
          <w:lang w:eastAsia="en-GB"/>
        </w:rPr>
        <w:t>Platforme subterane</w:t>
      </w:r>
    </w:p>
    <w:tbl>
      <w:tblPr>
        <w:tblStyle w:val="12"/>
        <w:tblW w:w="0" w:type="auto"/>
        <w:tblCellSpacing w:w="15" w:type="dxa"/>
        <w:tblInd w:w="0" w:type="dxa"/>
        <w:tblLayout w:type="autofit"/>
        <w:tblCellMar>
          <w:top w:w="0" w:type="dxa"/>
          <w:left w:w="0" w:type="dxa"/>
          <w:bottom w:w="0" w:type="dxa"/>
          <w:right w:w="0" w:type="dxa"/>
        </w:tblCellMar>
      </w:tblPr>
      <w:tblGrid>
        <w:gridCol w:w="743"/>
        <w:gridCol w:w="5082"/>
        <w:gridCol w:w="2495"/>
      </w:tblGrid>
      <w:tr w14:paraId="24C9B3D6">
        <w:tblPrEx>
          <w:tblCellMar>
            <w:top w:w="0" w:type="dxa"/>
            <w:left w:w="0" w:type="dxa"/>
            <w:bottom w:w="0" w:type="dxa"/>
            <w:right w:w="0" w:type="dxa"/>
          </w:tblCellMar>
        </w:tblPrEx>
        <w:trPr>
          <w:tblHeade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CC31876">
            <w:pPr>
              <w:rPr>
                <w:rFonts w:asciiTheme="majorHAnsi" w:hAnsiTheme="majorHAnsi" w:cstheme="majorHAnsi"/>
                <w:sz w:val="24"/>
                <w:szCs w:val="24"/>
                <w:u w:val="single"/>
                <w:lang w:eastAsia="en-GB"/>
              </w:rPr>
            </w:pPr>
            <w:r>
              <w:rPr>
                <w:rFonts w:asciiTheme="majorHAnsi" w:hAnsiTheme="majorHAnsi" w:cstheme="majorHAnsi"/>
                <w:b/>
                <w:bCs/>
                <w:sz w:val="24"/>
                <w:szCs w:val="24"/>
                <w:u w:val="single"/>
                <w:lang w:eastAsia="en-GB"/>
              </w:rPr>
              <w:t>Nr.</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38E438D">
            <w:pPr>
              <w:rPr>
                <w:rFonts w:asciiTheme="majorHAnsi" w:hAnsiTheme="majorHAnsi" w:cstheme="majorHAnsi"/>
                <w:sz w:val="24"/>
                <w:szCs w:val="24"/>
                <w:u w:val="single"/>
                <w:lang w:eastAsia="en-GB"/>
              </w:rPr>
            </w:pPr>
            <w:r>
              <w:rPr>
                <w:rFonts w:asciiTheme="majorHAnsi" w:hAnsiTheme="majorHAnsi" w:cstheme="majorHAnsi"/>
                <w:b/>
                <w:bCs/>
                <w:sz w:val="24"/>
                <w:szCs w:val="24"/>
                <w:u w:val="single"/>
                <w:lang w:eastAsia="en-GB"/>
              </w:rPr>
              <w:t>Amplasare adresa</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3C26C84">
            <w:pPr>
              <w:rPr>
                <w:rFonts w:asciiTheme="majorHAnsi" w:hAnsiTheme="majorHAnsi" w:cstheme="majorHAnsi"/>
                <w:sz w:val="24"/>
                <w:szCs w:val="24"/>
                <w:u w:val="single"/>
                <w:lang w:eastAsia="en-GB"/>
              </w:rPr>
            </w:pPr>
            <w:r>
              <w:rPr>
                <w:rFonts w:asciiTheme="majorHAnsi" w:hAnsiTheme="majorHAnsi" w:cstheme="majorHAnsi"/>
                <w:b/>
                <w:bCs/>
                <w:sz w:val="24"/>
                <w:szCs w:val="24"/>
                <w:u w:val="single"/>
                <w:lang w:eastAsia="en-GB"/>
              </w:rPr>
              <w:t>Platforme subterane</w:t>
            </w:r>
          </w:p>
        </w:tc>
      </w:tr>
      <w:tr w14:paraId="0867EFCB">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6904CED7">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1</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87FED7C">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Str. Luceafarului (Farmacie BIG)</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EC6B704">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1</w:t>
            </w:r>
          </w:p>
        </w:tc>
      </w:tr>
      <w:tr w14:paraId="497EDA4F">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6670256">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2</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8D14A94">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Bdul Republicii, (CT-1)</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6026BF1E">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1</w:t>
            </w:r>
          </w:p>
        </w:tc>
      </w:tr>
      <w:tr w14:paraId="3CCBDD8D">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289DE92">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3</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E2C40A9">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Str. Cuza Voda - intersectie N. Balcescu (8 etaje)</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2B96106">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1</w:t>
            </w:r>
          </w:p>
        </w:tc>
      </w:tr>
      <w:tr w14:paraId="10EC6BAD">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3FF30CD">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4</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0002CB9">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Bdul Tineretului (CT-7)</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41C07F9C">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1</w:t>
            </w:r>
          </w:p>
        </w:tc>
      </w:tr>
      <w:tr w14:paraId="298B5C64">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8EB83D1">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5</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E2CDD10">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Bdul Tineretului bl. 105 (NAGY)</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A299D7A">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1</w:t>
            </w:r>
          </w:p>
        </w:tc>
      </w:tr>
      <w:tr w14:paraId="5DB8C399">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62642099">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6</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643773B">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Bdul Tineretului, bl. 127 (Baie)</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541F09E">
            <w:pPr>
              <w:rPr>
                <w:rFonts w:asciiTheme="majorHAnsi" w:hAnsiTheme="majorHAnsi" w:cstheme="majorHAnsi"/>
                <w:sz w:val="24"/>
                <w:szCs w:val="24"/>
                <w:u w:val="single"/>
                <w:lang w:eastAsia="en-GB"/>
              </w:rPr>
            </w:pPr>
            <w:r>
              <w:rPr>
                <w:rFonts w:asciiTheme="majorHAnsi" w:hAnsiTheme="majorHAnsi" w:cstheme="majorHAnsi"/>
                <w:sz w:val="24"/>
                <w:szCs w:val="24"/>
                <w:u w:val="single"/>
                <w:lang w:eastAsia="en-GB"/>
              </w:rPr>
              <w:t>1</w:t>
            </w:r>
          </w:p>
        </w:tc>
      </w:tr>
      <w:tr w14:paraId="79A64261">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434BB7F">
            <w:pPr>
              <w:rPr>
                <w:rFonts w:asciiTheme="majorHAnsi" w:hAnsiTheme="majorHAnsi" w:cstheme="majorHAnsi"/>
                <w:sz w:val="24"/>
                <w:szCs w:val="24"/>
                <w:u w:val="single"/>
                <w:lang w:eastAsia="en-GB"/>
              </w:rPr>
            </w:pP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4609B4BA">
            <w:pPr>
              <w:rPr>
                <w:rFonts w:asciiTheme="majorHAnsi" w:hAnsiTheme="majorHAnsi" w:cstheme="majorHAnsi"/>
                <w:sz w:val="24"/>
                <w:szCs w:val="24"/>
                <w:u w:val="single"/>
                <w:lang w:eastAsia="en-GB"/>
              </w:rPr>
            </w:pPr>
            <w:r>
              <w:rPr>
                <w:rFonts w:asciiTheme="majorHAnsi" w:hAnsiTheme="majorHAnsi" w:cstheme="majorHAnsi"/>
                <w:b/>
                <w:bCs/>
                <w:sz w:val="24"/>
                <w:szCs w:val="24"/>
                <w:u w:val="single"/>
                <w:lang w:eastAsia="en-GB"/>
              </w:rPr>
              <w:t>TOTAL</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D67293F">
            <w:pPr>
              <w:rPr>
                <w:rFonts w:asciiTheme="majorHAnsi" w:hAnsiTheme="majorHAnsi" w:cstheme="majorHAnsi"/>
                <w:sz w:val="24"/>
                <w:szCs w:val="24"/>
                <w:u w:val="single"/>
                <w:lang w:eastAsia="en-GB"/>
              </w:rPr>
            </w:pPr>
            <w:r>
              <w:rPr>
                <w:rFonts w:asciiTheme="majorHAnsi" w:hAnsiTheme="majorHAnsi" w:cstheme="majorHAnsi"/>
                <w:b/>
                <w:bCs/>
                <w:sz w:val="24"/>
                <w:szCs w:val="24"/>
                <w:u w:val="single"/>
                <w:lang w:eastAsia="en-GB"/>
              </w:rPr>
              <w:t>6</w:t>
            </w:r>
          </w:p>
        </w:tc>
      </w:tr>
    </w:tbl>
    <w:p w14:paraId="699EE248">
      <w:pPr>
        <w:rPr>
          <w:rFonts w:asciiTheme="majorHAnsi" w:hAnsiTheme="majorHAnsi" w:cstheme="majorHAnsi"/>
          <w:sz w:val="24"/>
          <w:szCs w:val="24"/>
          <w:u w:val="single"/>
          <w:lang w:val="ro-RO" w:eastAsia="en-GB"/>
        </w:rPr>
      </w:pPr>
    </w:p>
    <w:p w14:paraId="4F10203D">
      <w:pPr>
        <w:rPr>
          <w:rFonts w:asciiTheme="majorHAnsi" w:hAnsiTheme="majorHAnsi" w:cstheme="majorHAnsi"/>
          <w:sz w:val="24"/>
          <w:szCs w:val="24"/>
          <w:u w:val="single"/>
          <w:lang w:val="ro-RO" w:eastAsia="en-GB"/>
        </w:rPr>
      </w:pPr>
    </w:p>
    <w:p w14:paraId="6F6E21AB">
      <w:pPr>
        <w:rPr>
          <w:rFonts w:asciiTheme="majorHAnsi" w:hAnsiTheme="majorHAnsi" w:cstheme="majorHAnsi"/>
          <w:sz w:val="24"/>
          <w:szCs w:val="24"/>
          <w:u w:val="single"/>
          <w:lang w:val="ro-RO" w:eastAsia="en-GB"/>
        </w:rPr>
      </w:pPr>
      <w:r>
        <w:rPr>
          <w:rFonts w:asciiTheme="majorHAnsi" w:hAnsiTheme="majorHAnsi" w:cstheme="majorHAnsi"/>
          <w:sz w:val="24"/>
          <w:szCs w:val="24"/>
          <w:u w:val="single"/>
          <w:lang w:val="ro-RO" w:eastAsia="en-GB"/>
        </w:rPr>
        <w:t xml:space="preserve"> Informatii Oras Budesti</w:t>
      </w:r>
    </w:p>
    <w:p w14:paraId="6342F2EF">
      <w:pPr>
        <w:rPr>
          <w:rFonts w:asciiTheme="majorHAnsi" w:hAnsiTheme="majorHAnsi" w:cstheme="majorHAnsi"/>
          <w:sz w:val="24"/>
          <w:szCs w:val="24"/>
          <w:lang w:eastAsia="en-GB"/>
        </w:rPr>
      </w:pPr>
      <w:r>
        <w:rPr>
          <w:rFonts w:asciiTheme="majorHAnsi" w:hAnsiTheme="majorHAnsi" w:cstheme="majorHAnsi"/>
          <w:b/>
          <w:bCs/>
          <w:sz w:val="24"/>
          <w:szCs w:val="24"/>
          <w:lang w:eastAsia="en-GB"/>
        </w:rPr>
        <w:t>Numărul de platforme ce vor fi echipate cu containere:</w:t>
      </w:r>
      <w:r>
        <w:rPr>
          <w:rFonts w:asciiTheme="majorHAnsi" w:hAnsiTheme="majorHAnsi" w:cstheme="majorHAnsi"/>
          <w:sz w:val="24"/>
          <w:szCs w:val="24"/>
          <w:lang w:eastAsia="en-GB"/>
        </w:rPr>
        <w:t xml:space="preserve"> total </w:t>
      </w:r>
      <w:r>
        <w:rPr>
          <w:rFonts w:asciiTheme="majorHAnsi" w:hAnsiTheme="majorHAnsi" w:cstheme="majorHAnsi"/>
          <w:b/>
          <w:bCs/>
          <w:sz w:val="24"/>
          <w:szCs w:val="24"/>
          <w:lang w:eastAsia="en-GB"/>
        </w:rPr>
        <w:t>91</w:t>
      </w:r>
      <w:r>
        <w:rPr>
          <w:rFonts w:asciiTheme="majorHAnsi" w:hAnsiTheme="majorHAnsi" w:cstheme="majorHAnsi"/>
          <w:sz w:val="24"/>
          <w:szCs w:val="24"/>
          <w:lang w:eastAsia="en-GB"/>
        </w:rPr>
        <w:t>, din care:</w:t>
      </w:r>
    </w:p>
    <w:p w14:paraId="1A6EA753">
      <w:pPr>
        <w:rPr>
          <w:rFonts w:asciiTheme="majorHAnsi" w:hAnsiTheme="majorHAnsi" w:cstheme="majorHAnsi"/>
          <w:sz w:val="24"/>
          <w:szCs w:val="24"/>
          <w:lang w:eastAsia="en-GB"/>
        </w:rPr>
      </w:pPr>
      <w:r>
        <w:rPr>
          <w:rFonts w:asciiTheme="majorHAnsi" w:hAnsiTheme="majorHAnsi" w:cstheme="majorHAnsi"/>
          <w:sz w:val="24"/>
          <w:szCs w:val="24"/>
          <w:lang w:eastAsia="en-GB"/>
        </w:rPr>
        <w:t>    ◦ Satul Aprozi: 11</w:t>
      </w:r>
    </w:p>
    <w:p w14:paraId="2215CF3B">
      <w:pPr>
        <w:rPr>
          <w:rFonts w:asciiTheme="majorHAnsi" w:hAnsiTheme="majorHAnsi" w:cstheme="majorHAnsi"/>
          <w:sz w:val="24"/>
          <w:szCs w:val="24"/>
          <w:lang w:eastAsia="en-GB"/>
        </w:rPr>
      </w:pPr>
      <w:r>
        <w:rPr>
          <w:rFonts w:asciiTheme="majorHAnsi" w:hAnsiTheme="majorHAnsi" w:cstheme="majorHAnsi"/>
          <w:sz w:val="24"/>
          <w:szCs w:val="24"/>
          <w:lang w:eastAsia="en-GB"/>
        </w:rPr>
        <w:t>    ◦ Orașul Budești: 65</w:t>
      </w:r>
    </w:p>
    <w:p w14:paraId="39BBC720">
      <w:pPr>
        <w:rPr>
          <w:rFonts w:asciiTheme="majorHAnsi" w:hAnsiTheme="majorHAnsi" w:cstheme="majorHAnsi"/>
          <w:sz w:val="24"/>
          <w:szCs w:val="24"/>
          <w:lang w:eastAsia="en-GB"/>
        </w:rPr>
      </w:pPr>
      <w:r>
        <w:rPr>
          <w:rFonts w:asciiTheme="majorHAnsi" w:hAnsiTheme="majorHAnsi" w:cstheme="majorHAnsi"/>
          <w:sz w:val="24"/>
          <w:szCs w:val="24"/>
          <w:lang w:eastAsia="en-GB"/>
        </w:rPr>
        <w:t>    ◦ Satul Gruiu: 9</w:t>
      </w:r>
    </w:p>
    <w:p w14:paraId="73D2F568">
      <w:pPr>
        <w:rPr>
          <w:rFonts w:asciiTheme="majorHAnsi" w:hAnsiTheme="majorHAnsi" w:cstheme="majorHAnsi"/>
          <w:sz w:val="24"/>
          <w:szCs w:val="24"/>
          <w:lang w:eastAsia="en-GB"/>
        </w:rPr>
      </w:pPr>
      <w:r>
        <w:rPr>
          <w:rFonts w:asciiTheme="majorHAnsi" w:hAnsiTheme="majorHAnsi" w:cstheme="majorHAnsi"/>
          <w:sz w:val="24"/>
          <w:szCs w:val="24"/>
          <w:lang w:eastAsia="en-GB"/>
        </w:rPr>
        <w:t>    ◦ Satul Buciumeni: 6</w:t>
      </w:r>
    </w:p>
    <w:p w14:paraId="277429B5">
      <w:pPr>
        <w:rPr>
          <w:rFonts w:asciiTheme="majorHAnsi" w:hAnsiTheme="majorHAnsi" w:cstheme="majorHAnsi"/>
          <w:sz w:val="24"/>
          <w:szCs w:val="24"/>
          <w:lang w:eastAsia="en-GB"/>
        </w:rPr>
      </w:pPr>
      <w:r>
        <w:rPr>
          <w:rFonts w:asciiTheme="majorHAnsi" w:hAnsiTheme="majorHAnsi" w:cstheme="majorHAnsi"/>
          <w:b/>
          <w:bCs/>
          <w:sz w:val="24"/>
          <w:szCs w:val="24"/>
          <w:lang w:eastAsia="en-GB"/>
        </w:rPr>
        <w:t>Numărul de platforme pentru sticlă și textile (și locația acestora):</w:t>
      </w:r>
      <w:r>
        <w:rPr>
          <w:rFonts w:asciiTheme="majorHAnsi" w:hAnsiTheme="majorHAnsi" w:cstheme="majorHAnsi"/>
          <w:sz w:val="24"/>
          <w:szCs w:val="24"/>
          <w:lang w:eastAsia="en-GB"/>
        </w:rPr>
        <w:t xml:space="preserve"> total </w:t>
      </w:r>
      <w:r>
        <w:rPr>
          <w:rFonts w:asciiTheme="majorHAnsi" w:hAnsiTheme="majorHAnsi" w:cstheme="majorHAnsi"/>
          <w:b/>
          <w:bCs/>
          <w:sz w:val="24"/>
          <w:szCs w:val="24"/>
          <w:lang w:eastAsia="en-GB"/>
        </w:rPr>
        <w:t>38</w:t>
      </w:r>
      <w:r>
        <w:rPr>
          <w:rFonts w:asciiTheme="majorHAnsi" w:hAnsiTheme="majorHAnsi" w:cstheme="majorHAnsi"/>
          <w:sz w:val="24"/>
          <w:szCs w:val="24"/>
          <w:lang w:eastAsia="en-GB"/>
        </w:rPr>
        <w:t>, din care:</w:t>
      </w:r>
    </w:p>
    <w:p w14:paraId="2E70D095">
      <w:pPr>
        <w:rPr>
          <w:rFonts w:asciiTheme="majorHAnsi" w:hAnsiTheme="majorHAnsi" w:cstheme="majorHAnsi"/>
          <w:sz w:val="24"/>
          <w:szCs w:val="24"/>
          <w:lang w:eastAsia="en-GB"/>
        </w:rPr>
      </w:pPr>
      <w:r>
        <w:rPr>
          <w:rFonts w:asciiTheme="majorHAnsi" w:hAnsiTheme="majorHAnsi" w:cstheme="majorHAnsi"/>
          <w:sz w:val="24"/>
          <w:szCs w:val="24"/>
          <w:lang w:eastAsia="en-GB"/>
        </w:rPr>
        <w:t>    ◦ Satul Aprozi: 5</w:t>
      </w:r>
    </w:p>
    <w:p w14:paraId="38FEB713">
      <w:pPr>
        <w:rPr>
          <w:rFonts w:asciiTheme="majorHAnsi" w:hAnsiTheme="majorHAnsi" w:cstheme="majorHAnsi"/>
          <w:sz w:val="24"/>
          <w:szCs w:val="24"/>
          <w:lang w:eastAsia="en-GB"/>
        </w:rPr>
      </w:pPr>
      <w:r>
        <w:rPr>
          <w:rFonts w:asciiTheme="majorHAnsi" w:hAnsiTheme="majorHAnsi" w:cstheme="majorHAnsi"/>
          <w:sz w:val="24"/>
          <w:szCs w:val="24"/>
          <w:lang w:eastAsia="en-GB"/>
        </w:rPr>
        <w:t>    ◦ Orașul Budești: 28</w:t>
      </w:r>
    </w:p>
    <w:p w14:paraId="1EC230AA">
      <w:pPr>
        <w:rPr>
          <w:rFonts w:asciiTheme="majorHAnsi" w:hAnsiTheme="majorHAnsi" w:cstheme="majorHAnsi"/>
          <w:sz w:val="24"/>
          <w:szCs w:val="24"/>
          <w:lang w:eastAsia="en-GB"/>
        </w:rPr>
      </w:pPr>
      <w:r>
        <w:rPr>
          <w:rFonts w:asciiTheme="majorHAnsi" w:hAnsiTheme="majorHAnsi" w:cstheme="majorHAnsi"/>
          <w:sz w:val="24"/>
          <w:szCs w:val="24"/>
          <w:lang w:eastAsia="en-GB"/>
        </w:rPr>
        <w:t>    ◦ Satul Gruiu: 3</w:t>
      </w:r>
    </w:p>
    <w:p w14:paraId="1AD1BEA7">
      <w:pPr>
        <w:rPr>
          <w:rFonts w:asciiTheme="majorHAnsi" w:hAnsiTheme="majorHAnsi" w:cstheme="majorHAnsi"/>
          <w:sz w:val="24"/>
          <w:szCs w:val="24"/>
          <w:lang w:eastAsia="en-GB"/>
        </w:rPr>
      </w:pPr>
      <w:r>
        <w:rPr>
          <w:rFonts w:asciiTheme="majorHAnsi" w:hAnsiTheme="majorHAnsi" w:cstheme="majorHAnsi"/>
          <w:sz w:val="24"/>
          <w:szCs w:val="24"/>
          <w:lang w:eastAsia="en-GB"/>
        </w:rPr>
        <w:t>    ◦ Satul Buciumeni: 2</w:t>
      </w:r>
    </w:p>
    <w:p w14:paraId="36C775E9">
      <w:pPr>
        <w:rPr>
          <w:rFonts w:asciiTheme="majorHAnsi" w:hAnsiTheme="majorHAnsi" w:cstheme="majorHAnsi"/>
          <w:sz w:val="24"/>
          <w:szCs w:val="24"/>
          <w:u w:val="single"/>
          <w:lang w:val="ro-RO" w:eastAsia="en-GB"/>
        </w:rPr>
      </w:pPr>
      <w:r>
        <w:rPr>
          <w:rFonts w:asciiTheme="majorHAnsi" w:hAnsiTheme="majorHAnsi" w:cstheme="majorHAnsi"/>
          <w:sz w:val="24"/>
          <w:szCs w:val="24"/>
          <w:u w:val="single"/>
          <w:lang w:val="ro-RO" w:eastAsia="en-GB"/>
        </w:rPr>
        <w:br w:type="page"/>
      </w:r>
    </w:p>
    <w:p w14:paraId="0D8821E1">
      <w:pPr>
        <w:spacing w:after="0" w:line="240" w:lineRule="auto"/>
        <w:rPr>
          <w:rFonts w:asciiTheme="majorHAnsi" w:hAnsiTheme="majorHAnsi" w:cstheme="majorHAnsi"/>
          <w:sz w:val="24"/>
          <w:szCs w:val="24"/>
          <w:lang w:val="ro-RO" w:eastAsia="en-GB"/>
        </w:rPr>
      </w:pPr>
    </w:p>
    <w:p w14:paraId="62EF4ACF">
      <w:pPr>
        <w:pStyle w:val="4"/>
        <w:spacing w:before="0" w:line="240" w:lineRule="auto"/>
        <w:rPr>
          <w:rFonts w:cstheme="majorHAnsi"/>
          <w:color w:val="auto"/>
          <w:sz w:val="24"/>
          <w:szCs w:val="24"/>
        </w:rPr>
      </w:pPr>
      <w:bookmarkStart w:id="9" w:name="_ANEXA_Nr._4"/>
      <w:bookmarkEnd w:id="9"/>
      <w:r>
        <w:rPr>
          <w:rFonts w:cstheme="majorHAnsi"/>
          <w:color w:val="auto"/>
          <w:sz w:val="24"/>
          <w:szCs w:val="24"/>
        </w:rPr>
        <w:t>ANEXA Nr. 4 la caietul de sarcini</w:t>
      </w:r>
    </w:p>
    <w:p w14:paraId="407E96A5">
      <w:pPr>
        <w:spacing w:after="0" w:line="240" w:lineRule="auto"/>
        <w:jc w:val="both"/>
        <w:rPr>
          <w:rFonts w:eastAsia="Times New Roman" w:asciiTheme="majorHAnsi" w:hAnsiTheme="majorHAnsi" w:cstheme="majorHAnsi"/>
          <w:sz w:val="24"/>
          <w:szCs w:val="24"/>
        </w:rPr>
      </w:pPr>
    </w:p>
    <w:p w14:paraId="0B5AF323">
      <w:pPr>
        <w:spacing w:after="0" w:line="240" w:lineRule="auto"/>
        <w:jc w:val="center"/>
        <w:rPr>
          <w:rFonts w:eastAsia="Times New Roman" w:asciiTheme="majorHAnsi" w:hAnsiTheme="majorHAnsi" w:cstheme="majorHAnsi"/>
          <w:b/>
          <w:bCs/>
          <w:sz w:val="24"/>
          <w:szCs w:val="24"/>
        </w:rPr>
      </w:pPr>
      <w:r>
        <w:rPr>
          <w:rFonts w:eastAsia="Times New Roman" w:asciiTheme="majorHAnsi" w:hAnsiTheme="majorHAnsi" w:cstheme="majorHAnsi"/>
          <w:b/>
          <w:bCs/>
          <w:sz w:val="24"/>
          <w:szCs w:val="24"/>
        </w:rPr>
        <w:t>Lista punctelor de colectare şi lista persoanelor juridice cu regim special pentru colectarea deşeurilor reziduale şi biodeșeurilor</w:t>
      </w:r>
    </w:p>
    <w:p w14:paraId="6C84B8FF">
      <w:pPr>
        <w:spacing w:after="0" w:line="240" w:lineRule="auto"/>
        <w:jc w:val="both"/>
        <w:rPr>
          <w:rFonts w:eastAsia="Times New Roman" w:asciiTheme="majorHAnsi" w:hAnsiTheme="majorHAnsi" w:cstheme="majorHAnsi"/>
          <w:b/>
          <w:bCs/>
          <w:sz w:val="24"/>
          <w:szCs w:val="24"/>
        </w:rPr>
      </w:pPr>
    </w:p>
    <w:p w14:paraId="00811BB0">
      <w:pPr>
        <w:spacing w:after="0" w:line="240" w:lineRule="auto"/>
        <w:rPr>
          <w:rFonts w:asciiTheme="majorHAnsi" w:hAnsiTheme="majorHAnsi" w:cstheme="majorHAnsi"/>
          <w:sz w:val="24"/>
          <w:szCs w:val="24"/>
          <w:lang w:val="ro-RO"/>
        </w:rPr>
      </w:pPr>
    </w:p>
    <w:tbl>
      <w:tblPr>
        <w:tblStyle w:val="12"/>
        <w:tblW w:w="5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1"/>
        <w:gridCol w:w="1277"/>
        <w:gridCol w:w="1160"/>
        <w:gridCol w:w="1160"/>
      </w:tblGrid>
      <w:tr w14:paraId="11D7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shd w:val="clear" w:color="auto" w:fill="C6D9F0" w:themeFill="text2" w:themeFillTint="33"/>
            <w:noWrap/>
            <w:vAlign w:val="bottom"/>
          </w:tcPr>
          <w:p w14:paraId="58A58720">
            <w:pPr>
              <w:spacing w:after="0" w:line="240" w:lineRule="auto"/>
              <w:rPr>
                <w:rFonts w:ascii="Calibri" w:hAnsi="Calibri" w:eastAsia="Times New Roman" w:cs="Calibri"/>
                <w:color w:val="000000"/>
              </w:rPr>
            </w:pPr>
            <w:r>
              <w:rPr>
                <w:rFonts w:ascii="Calibri" w:hAnsi="Calibri" w:eastAsia="Times New Roman" w:cs="Calibri"/>
                <w:color w:val="000000"/>
              </w:rPr>
              <w:t>ST Oltenita</w:t>
            </w:r>
          </w:p>
        </w:tc>
        <w:tc>
          <w:tcPr>
            <w:tcW w:w="1277" w:type="dxa"/>
            <w:shd w:val="clear" w:color="auto" w:fill="C6D9F0" w:themeFill="text2" w:themeFillTint="33"/>
            <w:noWrap/>
            <w:vAlign w:val="bottom"/>
          </w:tcPr>
          <w:p w14:paraId="18EF1CA7">
            <w:pPr>
              <w:spacing w:after="0" w:line="240" w:lineRule="auto"/>
              <w:rPr>
                <w:rFonts w:ascii="Calibri" w:hAnsi="Calibri" w:eastAsia="Times New Roman" w:cs="Calibri"/>
                <w:color w:val="000000"/>
              </w:rPr>
            </w:pPr>
            <w:r>
              <w:rPr>
                <w:rFonts w:ascii="Calibri" w:hAnsi="Calibri" w:eastAsia="Times New Roman" w:cs="Calibri"/>
                <w:color w:val="000000"/>
              </w:rPr>
              <w:t>Nr. grădinițe</w:t>
            </w:r>
          </w:p>
        </w:tc>
        <w:tc>
          <w:tcPr>
            <w:tcW w:w="1160" w:type="dxa"/>
            <w:shd w:val="clear" w:color="auto" w:fill="C6D9F0" w:themeFill="text2" w:themeFillTint="33"/>
            <w:noWrap/>
            <w:vAlign w:val="bottom"/>
          </w:tcPr>
          <w:p w14:paraId="282AED1D">
            <w:pPr>
              <w:spacing w:after="0" w:line="240" w:lineRule="auto"/>
              <w:rPr>
                <w:rFonts w:ascii="Calibri" w:hAnsi="Calibri" w:eastAsia="Times New Roman" w:cs="Calibri"/>
                <w:color w:val="000000"/>
              </w:rPr>
            </w:pPr>
            <w:r>
              <w:rPr>
                <w:rFonts w:ascii="Calibri" w:hAnsi="Calibri" w:eastAsia="Times New Roman" w:cs="Calibri"/>
                <w:color w:val="000000"/>
              </w:rPr>
              <w:t>Nr. școli</w:t>
            </w:r>
          </w:p>
        </w:tc>
        <w:tc>
          <w:tcPr>
            <w:tcW w:w="1160" w:type="dxa"/>
            <w:shd w:val="clear" w:color="auto" w:fill="C6D9F0" w:themeFill="text2" w:themeFillTint="33"/>
          </w:tcPr>
          <w:p w14:paraId="6DE4CB3C">
            <w:pPr>
              <w:spacing w:after="0" w:line="240" w:lineRule="auto"/>
              <w:jc w:val="center"/>
              <w:rPr>
                <w:rFonts w:ascii="Calibri" w:hAnsi="Calibri" w:eastAsia="Times New Roman" w:cs="Calibri"/>
                <w:color w:val="000000"/>
              </w:rPr>
            </w:pPr>
            <w:r>
              <w:rPr>
                <w:rFonts w:ascii="Calibri" w:hAnsi="Calibri" w:eastAsia="Times New Roman" w:cs="Calibri"/>
                <w:color w:val="000000"/>
              </w:rPr>
              <w:t>Nr. Licee</w:t>
            </w:r>
          </w:p>
        </w:tc>
      </w:tr>
      <w:tr w14:paraId="36C4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099C08C3">
            <w:pPr>
              <w:spacing w:after="0" w:line="240" w:lineRule="auto"/>
              <w:rPr>
                <w:rFonts w:ascii="Calibri" w:hAnsi="Calibri" w:eastAsia="Times New Roman" w:cs="Calibri"/>
                <w:color w:val="000000"/>
              </w:rPr>
            </w:pPr>
            <w:r>
              <w:rPr>
                <w:rFonts w:ascii="Calibri" w:hAnsi="Calibri" w:eastAsia="Times New Roman" w:cs="Calibri"/>
                <w:color w:val="000000"/>
              </w:rPr>
              <w:t>Olteniţa</w:t>
            </w:r>
          </w:p>
        </w:tc>
        <w:tc>
          <w:tcPr>
            <w:tcW w:w="1277" w:type="dxa"/>
            <w:noWrap/>
            <w:vAlign w:val="bottom"/>
          </w:tcPr>
          <w:p w14:paraId="65815338">
            <w:pPr>
              <w:spacing w:after="0" w:line="240" w:lineRule="auto"/>
              <w:jc w:val="right"/>
              <w:rPr>
                <w:rFonts w:ascii="Calibri" w:hAnsi="Calibri" w:eastAsia="Times New Roman" w:cs="Calibri"/>
                <w:color w:val="000000"/>
              </w:rPr>
            </w:pPr>
            <w:r>
              <w:rPr>
                <w:rFonts w:ascii="Calibri" w:hAnsi="Calibri" w:eastAsia="Times New Roman" w:cs="Calibri"/>
                <w:color w:val="000000"/>
              </w:rPr>
              <w:t>7</w:t>
            </w:r>
          </w:p>
        </w:tc>
        <w:tc>
          <w:tcPr>
            <w:tcW w:w="1160" w:type="dxa"/>
            <w:noWrap/>
            <w:vAlign w:val="bottom"/>
          </w:tcPr>
          <w:p w14:paraId="2D627F8F">
            <w:pPr>
              <w:spacing w:after="0" w:line="240" w:lineRule="auto"/>
              <w:jc w:val="right"/>
              <w:rPr>
                <w:rFonts w:ascii="Calibri" w:hAnsi="Calibri" w:eastAsia="Times New Roman" w:cs="Calibri"/>
                <w:color w:val="000000"/>
              </w:rPr>
            </w:pPr>
            <w:r>
              <w:rPr>
                <w:rFonts w:ascii="Calibri" w:hAnsi="Calibri" w:eastAsia="Times New Roman" w:cs="Calibri"/>
                <w:color w:val="000000"/>
              </w:rPr>
              <w:t>5</w:t>
            </w:r>
          </w:p>
        </w:tc>
        <w:tc>
          <w:tcPr>
            <w:tcW w:w="1160" w:type="dxa"/>
          </w:tcPr>
          <w:p w14:paraId="5D9996D0">
            <w:pPr>
              <w:spacing w:after="0" w:line="240" w:lineRule="auto"/>
              <w:jc w:val="center"/>
              <w:rPr>
                <w:rFonts w:ascii="Calibri" w:hAnsi="Calibri" w:eastAsia="Times New Roman" w:cs="Calibri"/>
                <w:color w:val="000000"/>
              </w:rPr>
            </w:pPr>
            <w:r>
              <w:rPr>
                <w:rFonts w:ascii="Calibri" w:hAnsi="Calibri" w:eastAsia="Times New Roman" w:cs="Calibri"/>
                <w:color w:val="000000"/>
              </w:rPr>
              <w:t>2</w:t>
            </w:r>
          </w:p>
        </w:tc>
      </w:tr>
      <w:tr w14:paraId="4E98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26AC4B4B">
            <w:pPr>
              <w:spacing w:after="0" w:line="240" w:lineRule="auto"/>
              <w:rPr>
                <w:rFonts w:ascii="Calibri" w:hAnsi="Calibri" w:eastAsia="Times New Roman" w:cs="Calibri"/>
                <w:color w:val="000000"/>
              </w:rPr>
            </w:pPr>
            <w:r>
              <w:rPr>
                <w:rFonts w:ascii="Calibri" w:hAnsi="Calibri" w:eastAsia="Times New Roman" w:cs="Calibri"/>
                <w:color w:val="000000"/>
              </w:rPr>
              <w:t>Budeşti</w:t>
            </w:r>
          </w:p>
        </w:tc>
        <w:tc>
          <w:tcPr>
            <w:tcW w:w="1277" w:type="dxa"/>
            <w:noWrap/>
            <w:vAlign w:val="bottom"/>
          </w:tcPr>
          <w:p w14:paraId="06E6F4F6">
            <w:pPr>
              <w:spacing w:after="0" w:line="240" w:lineRule="auto"/>
              <w:jc w:val="right"/>
              <w:rPr>
                <w:rFonts w:ascii="Calibri" w:hAnsi="Calibri" w:eastAsia="Times New Roman" w:cs="Calibri"/>
                <w:color w:val="000000"/>
              </w:rPr>
            </w:pPr>
            <w:r>
              <w:rPr>
                <w:rFonts w:ascii="Calibri" w:hAnsi="Calibri" w:eastAsia="Times New Roman" w:cs="Calibri"/>
                <w:color w:val="000000"/>
              </w:rPr>
              <w:t>4</w:t>
            </w:r>
          </w:p>
        </w:tc>
        <w:tc>
          <w:tcPr>
            <w:tcW w:w="1160" w:type="dxa"/>
            <w:noWrap/>
            <w:vAlign w:val="bottom"/>
          </w:tcPr>
          <w:p w14:paraId="65502495">
            <w:pPr>
              <w:spacing w:after="0" w:line="240" w:lineRule="auto"/>
              <w:jc w:val="right"/>
              <w:rPr>
                <w:rFonts w:ascii="Calibri" w:hAnsi="Calibri" w:eastAsia="Times New Roman" w:cs="Calibri"/>
                <w:color w:val="000000"/>
              </w:rPr>
            </w:pPr>
            <w:r>
              <w:rPr>
                <w:rFonts w:ascii="Calibri" w:hAnsi="Calibri" w:eastAsia="Times New Roman" w:cs="Calibri"/>
                <w:color w:val="000000"/>
              </w:rPr>
              <w:t>4</w:t>
            </w:r>
          </w:p>
        </w:tc>
        <w:tc>
          <w:tcPr>
            <w:tcW w:w="1160" w:type="dxa"/>
          </w:tcPr>
          <w:p w14:paraId="4E4F568A">
            <w:pPr>
              <w:spacing w:after="0" w:line="240" w:lineRule="auto"/>
              <w:jc w:val="center"/>
              <w:rPr>
                <w:rFonts w:ascii="Calibri" w:hAnsi="Calibri" w:eastAsia="Times New Roman" w:cs="Calibri"/>
                <w:color w:val="000000"/>
              </w:rPr>
            </w:pPr>
          </w:p>
        </w:tc>
      </w:tr>
      <w:tr w14:paraId="7B38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4449C032">
            <w:pPr>
              <w:spacing w:after="0" w:line="240" w:lineRule="auto"/>
              <w:rPr>
                <w:rFonts w:ascii="Calibri" w:hAnsi="Calibri" w:eastAsia="Times New Roman" w:cs="Calibri"/>
                <w:color w:val="000000"/>
              </w:rPr>
            </w:pPr>
            <w:r>
              <w:rPr>
                <w:rFonts w:ascii="Calibri" w:hAnsi="Calibri" w:eastAsia="Times New Roman" w:cs="Calibri"/>
                <w:color w:val="000000"/>
              </w:rPr>
              <w:t>Total zona urbana</w:t>
            </w:r>
          </w:p>
        </w:tc>
        <w:tc>
          <w:tcPr>
            <w:tcW w:w="1277" w:type="dxa"/>
            <w:noWrap/>
            <w:vAlign w:val="bottom"/>
          </w:tcPr>
          <w:p w14:paraId="44BBCBF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60" w:type="dxa"/>
            <w:noWrap/>
            <w:vAlign w:val="bottom"/>
          </w:tcPr>
          <w:p w14:paraId="738CCA4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60" w:type="dxa"/>
          </w:tcPr>
          <w:p w14:paraId="2778070C">
            <w:pPr>
              <w:spacing w:after="0" w:line="240" w:lineRule="auto"/>
              <w:jc w:val="center"/>
              <w:rPr>
                <w:rFonts w:ascii="Calibri" w:hAnsi="Calibri" w:eastAsia="Times New Roman" w:cs="Calibri"/>
                <w:color w:val="000000"/>
              </w:rPr>
            </w:pPr>
          </w:p>
        </w:tc>
      </w:tr>
      <w:tr w14:paraId="2E5D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4D8996D0">
            <w:pPr>
              <w:spacing w:after="0" w:line="240" w:lineRule="auto"/>
              <w:rPr>
                <w:rFonts w:ascii="Calibri" w:hAnsi="Calibri" w:eastAsia="Times New Roman" w:cs="Calibri"/>
                <w:color w:val="000000"/>
              </w:rPr>
            </w:pPr>
            <w:r>
              <w:rPr>
                <w:rFonts w:ascii="Calibri" w:hAnsi="Calibri" w:eastAsia="Times New Roman" w:cs="Calibri"/>
                <w:color w:val="000000"/>
              </w:rPr>
              <w:t>Căscioarele</w:t>
            </w:r>
          </w:p>
        </w:tc>
        <w:tc>
          <w:tcPr>
            <w:tcW w:w="1277" w:type="dxa"/>
            <w:noWrap/>
            <w:vAlign w:val="bottom"/>
          </w:tcPr>
          <w:p w14:paraId="5FA2EED9">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noWrap/>
            <w:vAlign w:val="bottom"/>
          </w:tcPr>
          <w:p w14:paraId="08B1F6FE">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tcPr>
          <w:p w14:paraId="6CC1623C">
            <w:pPr>
              <w:spacing w:after="0" w:line="240" w:lineRule="auto"/>
              <w:jc w:val="center"/>
              <w:rPr>
                <w:rFonts w:ascii="Calibri" w:hAnsi="Calibri" w:eastAsia="Times New Roman" w:cs="Calibri"/>
                <w:color w:val="000000"/>
              </w:rPr>
            </w:pPr>
          </w:p>
        </w:tc>
      </w:tr>
      <w:tr w14:paraId="4278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45C4F5D8">
            <w:pPr>
              <w:spacing w:after="0" w:line="240" w:lineRule="auto"/>
              <w:rPr>
                <w:rFonts w:ascii="Calibri" w:hAnsi="Calibri" w:eastAsia="Times New Roman" w:cs="Calibri"/>
                <w:color w:val="000000"/>
              </w:rPr>
            </w:pPr>
            <w:r>
              <w:rPr>
                <w:rFonts w:ascii="Calibri" w:hAnsi="Calibri" w:eastAsia="Times New Roman" w:cs="Calibri"/>
                <w:color w:val="000000"/>
              </w:rPr>
              <w:t>Chirnogi</w:t>
            </w:r>
          </w:p>
        </w:tc>
        <w:tc>
          <w:tcPr>
            <w:tcW w:w="1277" w:type="dxa"/>
            <w:noWrap/>
            <w:vAlign w:val="bottom"/>
          </w:tcPr>
          <w:p w14:paraId="2D55721F">
            <w:pPr>
              <w:spacing w:after="0" w:line="240" w:lineRule="auto"/>
              <w:jc w:val="right"/>
              <w:rPr>
                <w:rFonts w:ascii="Calibri" w:hAnsi="Calibri" w:eastAsia="Times New Roman" w:cs="Calibri"/>
                <w:color w:val="000000"/>
              </w:rPr>
            </w:pPr>
            <w:r>
              <w:rPr>
                <w:rFonts w:ascii="Calibri" w:hAnsi="Calibri" w:eastAsia="Times New Roman" w:cs="Calibri"/>
                <w:color w:val="000000"/>
              </w:rPr>
              <w:t>2</w:t>
            </w:r>
          </w:p>
        </w:tc>
        <w:tc>
          <w:tcPr>
            <w:tcW w:w="1160" w:type="dxa"/>
            <w:noWrap/>
            <w:vAlign w:val="bottom"/>
          </w:tcPr>
          <w:p w14:paraId="4207DB64">
            <w:pPr>
              <w:spacing w:after="0" w:line="240" w:lineRule="auto"/>
              <w:jc w:val="right"/>
              <w:rPr>
                <w:rFonts w:ascii="Calibri" w:hAnsi="Calibri" w:eastAsia="Times New Roman" w:cs="Calibri"/>
                <w:color w:val="000000"/>
              </w:rPr>
            </w:pPr>
            <w:r>
              <w:rPr>
                <w:rFonts w:ascii="Calibri" w:hAnsi="Calibri" w:eastAsia="Times New Roman" w:cs="Calibri"/>
                <w:color w:val="000000"/>
              </w:rPr>
              <w:t>2</w:t>
            </w:r>
          </w:p>
        </w:tc>
        <w:tc>
          <w:tcPr>
            <w:tcW w:w="1160" w:type="dxa"/>
          </w:tcPr>
          <w:p w14:paraId="7B9AD901">
            <w:pPr>
              <w:spacing w:after="0" w:line="240" w:lineRule="auto"/>
              <w:jc w:val="center"/>
              <w:rPr>
                <w:rFonts w:ascii="Calibri" w:hAnsi="Calibri" w:eastAsia="Times New Roman" w:cs="Calibri"/>
                <w:color w:val="000000"/>
              </w:rPr>
            </w:pPr>
          </w:p>
        </w:tc>
      </w:tr>
      <w:tr w14:paraId="62AA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1D33124D">
            <w:pPr>
              <w:spacing w:after="0" w:line="240" w:lineRule="auto"/>
              <w:rPr>
                <w:rFonts w:ascii="Calibri" w:hAnsi="Calibri" w:eastAsia="Times New Roman" w:cs="Calibri"/>
                <w:color w:val="000000"/>
              </w:rPr>
            </w:pPr>
            <w:r>
              <w:rPr>
                <w:rFonts w:ascii="Calibri" w:hAnsi="Calibri" w:eastAsia="Times New Roman" w:cs="Calibri"/>
                <w:color w:val="000000"/>
              </w:rPr>
              <w:t>Chiselet</w:t>
            </w:r>
          </w:p>
        </w:tc>
        <w:tc>
          <w:tcPr>
            <w:tcW w:w="1277" w:type="dxa"/>
            <w:noWrap/>
            <w:vAlign w:val="bottom"/>
          </w:tcPr>
          <w:p w14:paraId="1AD91E67">
            <w:pPr>
              <w:spacing w:after="0" w:line="240" w:lineRule="auto"/>
              <w:jc w:val="right"/>
              <w:rPr>
                <w:rFonts w:ascii="Calibri" w:hAnsi="Calibri" w:eastAsia="Times New Roman" w:cs="Calibri"/>
                <w:color w:val="000000"/>
              </w:rPr>
            </w:pPr>
            <w:r>
              <w:rPr>
                <w:rFonts w:ascii="Calibri" w:hAnsi="Calibri" w:eastAsia="Times New Roman" w:cs="Calibri"/>
                <w:color w:val="000000"/>
              </w:rPr>
              <w:t>2</w:t>
            </w:r>
          </w:p>
        </w:tc>
        <w:tc>
          <w:tcPr>
            <w:tcW w:w="1160" w:type="dxa"/>
            <w:noWrap/>
            <w:vAlign w:val="bottom"/>
          </w:tcPr>
          <w:p w14:paraId="16700633">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tcPr>
          <w:p w14:paraId="2773A591">
            <w:pPr>
              <w:spacing w:after="0" w:line="240" w:lineRule="auto"/>
              <w:jc w:val="center"/>
              <w:rPr>
                <w:rFonts w:ascii="Calibri" w:hAnsi="Calibri" w:eastAsia="Times New Roman" w:cs="Calibri"/>
                <w:color w:val="000000"/>
              </w:rPr>
            </w:pPr>
          </w:p>
        </w:tc>
      </w:tr>
      <w:tr w14:paraId="300B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4450B59C">
            <w:pPr>
              <w:spacing w:after="0" w:line="240" w:lineRule="auto"/>
              <w:rPr>
                <w:rFonts w:ascii="Calibri" w:hAnsi="Calibri" w:eastAsia="Times New Roman" w:cs="Calibri"/>
                <w:color w:val="000000"/>
              </w:rPr>
            </w:pPr>
            <w:r>
              <w:rPr>
                <w:rFonts w:ascii="Calibri" w:hAnsi="Calibri" w:eastAsia="Times New Roman" w:cs="Calibri"/>
                <w:color w:val="000000"/>
              </w:rPr>
              <w:t>Crivăț</w:t>
            </w:r>
          </w:p>
        </w:tc>
        <w:tc>
          <w:tcPr>
            <w:tcW w:w="1277" w:type="dxa"/>
            <w:noWrap/>
            <w:vAlign w:val="bottom"/>
          </w:tcPr>
          <w:p w14:paraId="1DE16B60">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noWrap/>
            <w:vAlign w:val="bottom"/>
          </w:tcPr>
          <w:p w14:paraId="6BE0F460">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tcPr>
          <w:p w14:paraId="0B438D4A">
            <w:pPr>
              <w:spacing w:after="0" w:line="240" w:lineRule="auto"/>
              <w:jc w:val="center"/>
              <w:rPr>
                <w:rFonts w:ascii="Calibri" w:hAnsi="Calibri" w:eastAsia="Times New Roman" w:cs="Calibri"/>
                <w:color w:val="000000"/>
              </w:rPr>
            </w:pPr>
          </w:p>
        </w:tc>
      </w:tr>
      <w:tr w14:paraId="727C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552B4209">
            <w:pPr>
              <w:spacing w:after="0" w:line="240" w:lineRule="auto"/>
              <w:rPr>
                <w:rFonts w:ascii="Calibri" w:hAnsi="Calibri" w:eastAsia="Times New Roman" w:cs="Calibri"/>
                <w:color w:val="000000"/>
              </w:rPr>
            </w:pPr>
            <w:r>
              <w:rPr>
                <w:rFonts w:ascii="Calibri" w:hAnsi="Calibri" w:eastAsia="Times New Roman" w:cs="Calibri"/>
                <w:color w:val="000000"/>
              </w:rPr>
              <w:t>Curcani</w:t>
            </w:r>
          </w:p>
        </w:tc>
        <w:tc>
          <w:tcPr>
            <w:tcW w:w="1277" w:type="dxa"/>
            <w:noWrap/>
            <w:vAlign w:val="bottom"/>
          </w:tcPr>
          <w:p w14:paraId="160F4D45">
            <w:pPr>
              <w:spacing w:after="0" w:line="240" w:lineRule="auto"/>
              <w:jc w:val="right"/>
              <w:rPr>
                <w:rFonts w:ascii="Calibri" w:hAnsi="Calibri" w:eastAsia="Times New Roman" w:cs="Calibri"/>
                <w:color w:val="000000"/>
              </w:rPr>
            </w:pPr>
            <w:r>
              <w:rPr>
                <w:rFonts w:ascii="Calibri" w:hAnsi="Calibri" w:eastAsia="Times New Roman" w:cs="Calibri"/>
                <w:color w:val="000000"/>
              </w:rPr>
              <w:t>2</w:t>
            </w:r>
          </w:p>
        </w:tc>
        <w:tc>
          <w:tcPr>
            <w:tcW w:w="1160" w:type="dxa"/>
            <w:noWrap/>
            <w:vAlign w:val="bottom"/>
          </w:tcPr>
          <w:p w14:paraId="64141BD1">
            <w:pPr>
              <w:spacing w:after="0" w:line="240" w:lineRule="auto"/>
              <w:jc w:val="right"/>
              <w:rPr>
                <w:rFonts w:ascii="Calibri" w:hAnsi="Calibri" w:eastAsia="Times New Roman" w:cs="Calibri"/>
                <w:color w:val="000000"/>
              </w:rPr>
            </w:pPr>
            <w:r>
              <w:rPr>
                <w:rFonts w:ascii="Calibri" w:hAnsi="Calibri" w:eastAsia="Times New Roman" w:cs="Calibri"/>
                <w:color w:val="000000"/>
              </w:rPr>
              <w:t>2</w:t>
            </w:r>
          </w:p>
        </w:tc>
        <w:tc>
          <w:tcPr>
            <w:tcW w:w="1160" w:type="dxa"/>
          </w:tcPr>
          <w:p w14:paraId="639600D6">
            <w:pPr>
              <w:spacing w:after="0" w:line="240" w:lineRule="auto"/>
              <w:jc w:val="center"/>
              <w:rPr>
                <w:rFonts w:ascii="Calibri" w:hAnsi="Calibri" w:eastAsia="Times New Roman" w:cs="Calibri"/>
                <w:color w:val="000000"/>
              </w:rPr>
            </w:pPr>
          </w:p>
        </w:tc>
      </w:tr>
      <w:tr w14:paraId="196E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1CFBF896">
            <w:pPr>
              <w:spacing w:after="0" w:line="240" w:lineRule="auto"/>
              <w:rPr>
                <w:rFonts w:ascii="Calibri" w:hAnsi="Calibri" w:eastAsia="Times New Roman" w:cs="Calibri"/>
                <w:color w:val="000000"/>
              </w:rPr>
            </w:pPr>
            <w:r>
              <w:rPr>
                <w:rFonts w:ascii="Calibri" w:hAnsi="Calibri" w:eastAsia="Times New Roman" w:cs="Calibri"/>
                <w:color w:val="000000"/>
              </w:rPr>
              <w:t>Frumuşani</w:t>
            </w:r>
          </w:p>
        </w:tc>
        <w:tc>
          <w:tcPr>
            <w:tcW w:w="1277" w:type="dxa"/>
            <w:noWrap/>
            <w:vAlign w:val="bottom"/>
          </w:tcPr>
          <w:p w14:paraId="048B939C">
            <w:pPr>
              <w:spacing w:after="0" w:line="240" w:lineRule="auto"/>
              <w:jc w:val="right"/>
              <w:rPr>
                <w:rFonts w:ascii="Calibri" w:hAnsi="Calibri" w:eastAsia="Times New Roman" w:cs="Calibri"/>
                <w:color w:val="000000"/>
              </w:rPr>
            </w:pPr>
            <w:r>
              <w:rPr>
                <w:rFonts w:ascii="Calibri" w:hAnsi="Calibri" w:eastAsia="Times New Roman" w:cs="Calibri"/>
                <w:color w:val="000000"/>
              </w:rPr>
              <w:t>6</w:t>
            </w:r>
          </w:p>
        </w:tc>
        <w:tc>
          <w:tcPr>
            <w:tcW w:w="1160" w:type="dxa"/>
            <w:noWrap/>
            <w:vAlign w:val="bottom"/>
          </w:tcPr>
          <w:p w14:paraId="79AA6843">
            <w:pPr>
              <w:spacing w:after="0" w:line="240" w:lineRule="auto"/>
              <w:jc w:val="right"/>
              <w:rPr>
                <w:rFonts w:ascii="Calibri" w:hAnsi="Calibri" w:eastAsia="Times New Roman" w:cs="Calibri"/>
                <w:color w:val="000000"/>
              </w:rPr>
            </w:pPr>
            <w:r>
              <w:rPr>
                <w:rFonts w:ascii="Calibri" w:hAnsi="Calibri" w:eastAsia="Times New Roman" w:cs="Calibri"/>
                <w:color w:val="000000"/>
              </w:rPr>
              <w:t>7</w:t>
            </w:r>
          </w:p>
        </w:tc>
        <w:tc>
          <w:tcPr>
            <w:tcW w:w="1160" w:type="dxa"/>
          </w:tcPr>
          <w:p w14:paraId="15757549">
            <w:pPr>
              <w:spacing w:after="0" w:line="240" w:lineRule="auto"/>
              <w:jc w:val="center"/>
              <w:rPr>
                <w:rFonts w:ascii="Calibri" w:hAnsi="Calibri" w:eastAsia="Times New Roman" w:cs="Calibri"/>
                <w:color w:val="000000"/>
              </w:rPr>
            </w:pPr>
          </w:p>
        </w:tc>
      </w:tr>
      <w:tr w14:paraId="391D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4BA40F6A">
            <w:pPr>
              <w:spacing w:after="0" w:line="240" w:lineRule="auto"/>
              <w:rPr>
                <w:rFonts w:ascii="Calibri" w:hAnsi="Calibri" w:eastAsia="Times New Roman" w:cs="Calibri"/>
                <w:color w:val="000000"/>
              </w:rPr>
            </w:pPr>
            <w:r>
              <w:rPr>
                <w:rFonts w:ascii="Calibri" w:hAnsi="Calibri" w:eastAsia="Times New Roman" w:cs="Calibri"/>
                <w:color w:val="000000"/>
              </w:rPr>
              <w:t>Fundeni</w:t>
            </w:r>
          </w:p>
        </w:tc>
        <w:tc>
          <w:tcPr>
            <w:tcW w:w="1277" w:type="dxa"/>
            <w:noWrap/>
            <w:vAlign w:val="bottom"/>
          </w:tcPr>
          <w:p w14:paraId="6A07F583">
            <w:pPr>
              <w:spacing w:after="0" w:line="240" w:lineRule="auto"/>
              <w:jc w:val="right"/>
              <w:rPr>
                <w:rFonts w:ascii="Calibri" w:hAnsi="Calibri" w:eastAsia="Times New Roman" w:cs="Calibri"/>
                <w:color w:val="000000"/>
              </w:rPr>
            </w:pPr>
            <w:r>
              <w:rPr>
                <w:rFonts w:ascii="Calibri" w:hAnsi="Calibri" w:eastAsia="Times New Roman" w:cs="Calibri"/>
                <w:color w:val="000000"/>
              </w:rPr>
              <w:t>3</w:t>
            </w:r>
          </w:p>
        </w:tc>
        <w:tc>
          <w:tcPr>
            <w:tcW w:w="1160" w:type="dxa"/>
            <w:noWrap/>
            <w:vAlign w:val="bottom"/>
          </w:tcPr>
          <w:p w14:paraId="4E62A33E">
            <w:pPr>
              <w:spacing w:after="0" w:line="240" w:lineRule="auto"/>
              <w:jc w:val="right"/>
              <w:rPr>
                <w:rFonts w:ascii="Calibri" w:hAnsi="Calibri" w:eastAsia="Times New Roman" w:cs="Calibri"/>
                <w:color w:val="000000"/>
              </w:rPr>
            </w:pPr>
            <w:r>
              <w:rPr>
                <w:rFonts w:ascii="Calibri" w:hAnsi="Calibri" w:eastAsia="Times New Roman" w:cs="Calibri"/>
                <w:color w:val="000000"/>
              </w:rPr>
              <w:t>3</w:t>
            </w:r>
          </w:p>
        </w:tc>
        <w:tc>
          <w:tcPr>
            <w:tcW w:w="1160" w:type="dxa"/>
          </w:tcPr>
          <w:p w14:paraId="5124D5D7">
            <w:pPr>
              <w:spacing w:after="0" w:line="240" w:lineRule="auto"/>
              <w:jc w:val="center"/>
              <w:rPr>
                <w:rFonts w:ascii="Calibri" w:hAnsi="Calibri" w:eastAsia="Times New Roman" w:cs="Calibri"/>
                <w:color w:val="000000"/>
              </w:rPr>
            </w:pPr>
          </w:p>
        </w:tc>
      </w:tr>
      <w:tr w14:paraId="31AD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3591B89B">
            <w:pPr>
              <w:spacing w:after="0" w:line="240" w:lineRule="auto"/>
              <w:rPr>
                <w:rFonts w:ascii="Calibri" w:hAnsi="Calibri" w:eastAsia="Times New Roman" w:cs="Calibri"/>
                <w:color w:val="000000"/>
              </w:rPr>
            </w:pPr>
            <w:r>
              <w:rPr>
                <w:rFonts w:ascii="Calibri" w:hAnsi="Calibri" w:eastAsia="Times New Roman" w:cs="Calibri"/>
                <w:color w:val="000000"/>
              </w:rPr>
              <w:t>Gălbinaşi</w:t>
            </w:r>
          </w:p>
        </w:tc>
        <w:tc>
          <w:tcPr>
            <w:tcW w:w="1277" w:type="dxa"/>
            <w:noWrap/>
            <w:vAlign w:val="bottom"/>
          </w:tcPr>
          <w:p w14:paraId="3CFFEFA5">
            <w:pPr>
              <w:spacing w:after="0" w:line="240" w:lineRule="auto"/>
              <w:jc w:val="right"/>
              <w:rPr>
                <w:rFonts w:ascii="Calibri" w:hAnsi="Calibri" w:eastAsia="Times New Roman" w:cs="Calibri"/>
                <w:color w:val="000000"/>
              </w:rPr>
            </w:pPr>
            <w:r>
              <w:rPr>
                <w:rFonts w:ascii="Calibri" w:hAnsi="Calibri" w:eastAsia="Times New Roman" w:cs="Calibri"/>
                <w:color w:val="000000"/>
              </w:rPr>
              <w:t>2</w:t>
            </w:r>
          </w:p>
        </w:tc>
        <w:tc>
          <w:tcPr>
            <w:tcW w:w="1160" w:type="dxa"/>
            <w:noWrap/>
            <w:vAlign w:val="bottom"/>
          </w:tcPr>
          <w:p w14:paraId="41995061">
            <w:pPr>
              <w:spacing w:after="0" w:line="240" w:lineRule="auto"/>
              <w:jc w:val="right"/>
              <w:rPr>
                <w:rFonts w:ascii="Calibri" w:hAnsi="Calibri" w:eastAsia="Times New Roman" w:cs="Calibri"/>
                <w:color w:val="000000"/>
              </w:rPr>
            </w:pPr>
            <w:r>
              <w:rPr>
                <w:rFonts w:ascii="Calibri" w:hAnsi="Calibri" w:eastAsia="Times New Roman" w:cs="Calibri"/>
                <w:color w:val="000000"/>
              </w:rPr>
              <w:t>2</w:t>
            </w:r>
          </w:p>
        </w:tc>
        <w:tc>
          <w:tcPr>
            <w:tcW w:w="1160" w:type="dxa"/>
          </w:tcPr>
          <w:p w14:paraId="00CED6B9">
            <w:pPr>
              <w:spacing w:after="0" w:line="240" w:lineRule="auto"/>
              <w:jc w:val="center"/>
              <w:rPr>
                <w:rFonts w:ascii="Calibri" w:hAnsi="Calibri" w:eastAsia="Times New Roman" w:cs="Calibri"/>
                <w:color w:val="000000"/>
              </w:rPr>
            </w:pPr>
          </w:p>
        </w:tc>
      </w:tr>
      <w:tr w14:paraId="3BFC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63223A98">
            <w:pPr>
              <w:spacing w:after="0" w:line="240" w:lineRule="auto"/>
              <w:rPr>
                <w:rFonts w:ascii="Calibri" w:hAnsi="Calibri" w:eastAsia="Times New Roman" w:cs="Calibri"/>
                <w:color w:val="000000"/>
              </w:rPr>
            </w:pPr>
            <w:r>
              <w:rPr>
                <w:rFonts w:ascii="Calibri" w:hAnsi="Calibri" w:eastAsia="Times New Roman" w:cs="Calibri"/>
                <w:color w:val="000000"/>
              </w:rPr>
              <w:t>Luica</w:t>
            </w:r>
          </w:p>
        </w:tc>
        <w:tc>
          <w:tcPr>
            <w:tcW w:w="1277" w:type="dxa"/>
            <w:noWrap/>
            <w:vAlign w:val="bottom"/>
          </w:tcPr>
          <w:p w14:paraId="261024A7">
            <w:pPr>
              <w:spacing w:after="0" w:line="240" w:lineRule="auto"/>
              <w:jc w:val="right"/>
              <w:rPr>
                <w:rFonts w:ascii="Calibri" w:hAnsi="Calibri" w:eastAsia="Times New Roman" w:cs="Calibri"/>
                <w:color w:val="000000"/>
              </w:rPr>
            </w:pPr>
            <w:r>
              <w:rPr>
                <w:rFonts w:ascii="Calibri" w:hAnsi="Calibri" w:eastAsia="Times New Roman" w:cs="Calibri"/>
                <w:color w:val="000000"/>
              </w:rPr>
              <w:t>0</w:t>
            </w:r>
          </w:p>
        </w:tc>
        <w:tc>
          <w:tcPr>
            <w:tcW w:w="1160" w:type="dxa"/>
            <w:noWrap/>
            <w:vAlign w:val="bottom"/>
          </w:tcPr>
          <w:p w14:paraId="545AD722">
            <w:pPr>
              <w:spacing w:after="0" w:line="240" w:lineRule="auto"/>
              <w:jc w:val="right"/>
              <w:rPr>
                <w:rFonts w:ascii="Calibri" w:hAnsi="Calibri" w:eastAsia="Times New Roman" w:cs="Calibri"/>
                <w:color w:val="000000"/>
              </w:rPr>
            </w:pPr>
            <w:r>
              <w:rPr>
                <w:rFonts w:ascii="Calibri" w:hAnsi="Calibri" w:eastAsia="Times New Roman" w:cs="Calibri"/>
                <w:color w:val="000000"/>
              </w:rPr>
              <w:t>0</w:t>
            </w:r>
          </w:p>
        </w:tc>
        <w:tc>
          <w:tcPr>
            <w:tcW w:w="1160" w:type="dxa"/>
          </w:tcPr>
          <w:p w14:paraId="79818A66">
            <w:pPr>
              <w:spacing w:after="0" w:line="240" w:lineRule="auto"/>
              <w:jc w:val="center"/>
              <w:rPr>
                <w:rFonts w:ascii="Calibri" w:hAnsi="Calibri" w:eastAsia="Times New Roman" w:cs="Calibri"/>
                <w:color w:val="000000"/>
              </w:rPr>
            </w:pPr>
          </w:p>
        </w:tc>
      </w:tr>
      <w:tr w14:paraId="7722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52EE5BCE">
            <w:pPr>
              <w:spacing w:after="0" w:line="240" w:lineRule="auto"/>
              <w:rPr>
                <w:rFonts w:ascii="Calibri" w:hAnsi="Calibri" w:eastAsia="Times New Roman" w:cs="Calibri"/>
                <w:color w:val="000000"/>
              </w:rPr>
            </w:pPr>
            <w:r>
              <w:rPr>
                <w:rFonts w:ascii="Calibri" w:hAnsi="Calibri" w:eastAsia="Times New Roman" w:cs="Calibri"/>
                <w:color w:val="000000"/>
              </w:rPr>
              <w:t>Mitreni</w:t>
            </w:r>
          </w:p>
        </w:tc>
        <w:tc>
          <w:tcPr>
            <w:tcW w:w="1277" w:type="dxa"/>
            <w:noWrap/>
            <w:vAlign w:val="bottom"/>
          </w:tcPr>
          <w:p w14:paraId="71EC722E">
            <w:pPr>
              <w:spacing w:after="0" w:line="240" w:lineRule="auto"/>
              <w:jc w:val="right"/>
              <w:rPr>
                <w:rFonts w:ascii="Calibri" w:hAnsi="Calibri" w:eastAsia="Times New Roman" w:cs="Calibri"/>
                <w:color w:val="000000"/>
              </w:rPr>
            </w:pPr>
            <w:r>
              <w:rPr>
                <w:rFonts w:ascii="Calibri" w:hAnsi="Calibri" w:eastAsia="Times New Roman" w:cs="Calibri"/>
                <w:color w:val="000000"/>
              </w:rPr>
              <w:t>3</w:t>
            </w:r>
          </w:p>
        </w:tc>
        <w:tc>
          <w:tcPr>
            <w:tcW w:w="1160" w:type="dxa"/>
            <w:noWrap/>
            <w:vAlign w:val="bottom"/>
          </w:tcPr>
          <w:p w14:paraId="16E55609">
            <w:pPr>
              <w:spacing w:after="0" w:line="240" w:lineRule="auto"/>
              <w:jc w:val="right"/>
              <w:rPr>
                <w:rFonts w:ascii="Calibri" w:hAnsi="Calibri" w:eastAsia="Times New Roman" w:cs="Calibri"/>
                <w:color w:val="000000"/>
              </w:rPr>
            </w:pPr>
            <w:r>
              <w:rPr>
                <w:rFonts w:ascii="Calibri" w:hAnsi="Calibri" w:eastAsia="Times New Roman" w:cs="Calibri"/>
                <w:color w:val="000000"/>
              </w:rPr>
              <w:t>3</w:t>
            </w:r>
          </w:p>
        </w:tc>
        <w:tc>
          <w:tcPr>
            <w:tcW w:w="1160" w:type="dxa"/>
          </w:tcPr>
          <w:p w14:paraId="265BE9BE">
            <w:pPr>
              <w:spacing w:after="0" w:line="240" w:lineRule="auto"/>
              <w:jc w:val="center"/>
              <w:rPr>
                <w:rFonts w:ascii="Calibri" w:hAnsi="Calibri" w:eastAsia="Times New Roman" w:cs="Calibri"/>
                <w:color w:val="000000"/>
              </w:rPr>
            </w:pPr>
          </w:p>
        </w:tc>
      </w:tr>
      <w:tr w14:paraId="6246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79DF4FF4">
            <w:pPr>
              <w:spacing w:after="0" w:line="240" w:lineRule="auto"/>
              <w:rPr>
                <w:rFonts w:ascii="Calibri" w:hAnsi="Calibri" w:eastAsia="Times New Roman" w:cs="Calibri"/>
                <w:color w:val="000000"/>
              </w:rPr>
            </w:pPr>
            <w:r>
              <w:rPr>
                <w:rFonts w:ascii="Calibri" w:hAnsi="Calibri" w:eastAsia="Times New Roman" w:cs="Calibri"/>
                <w:color w:val="000000"/>
              </w:rPr>
              <w:t>Nana</w:t>
            </w:r>
          </w:p>
        </w:tc>
        <w:tc>
          <w:tcPr>
            <w:tcW w:w="1277" w:type="dxa"/>
            <w:noWrap/>
            <w:vAlign w:val="bottom"/>
          </w:tcPr>
          <w:p w14:paraId="52D82E03">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noWrap/>
            <w:vAlign w:val="bottom"/>
          </w:tcPr>
          <w:p w14:paraId="4A6A1224">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tcPr>
          <w:p w14:paraId="681652CA">
            <w:pPr>
              <w:spacing w:after="0" w:line="240" w:lineRule="auto"/>
              <w:jc w:val="center"/>
              <w:rPr>
                <w:rFonts w:ascii="Calibri" w:hAnsi="Calibri" w:eastAsia="Times New Roman" w:cs="Calibri"/>
                <w:color w:val="000000"/>
              </w:rPr>
            </w:pPr>
          </w:p>
        </w:tc>
      </w:tr>
      <w:tr w14:paraId="59A9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4EA2878C">
            <w:pPr>
              <w:spacing w:after="0" w:line="240" w:lineRule="auto"/>
              <w:rPr>
                <w:rFonts w:ascii="Calibri" w:hAnsi="Calibri" w:eastAsia="Times New Roman" w:cs="Calibri"/>
                <w:color w:val="000000"/>
              </w:rPr>
            </w:pPr>
            <w:r>
              <w:rPr>
                <w:rFonts w:ascii="Calibri" w:hAnsi="Calibri" w:eastAsia="Times New Roman" w:cs="Calibri"/>
                <w:color w:val="000000"/>
              </w:rPr>
              <w:t>Plătăreşti</w:t>
            </w:r>
          </w:p>
        </w:tc>
        <w:tc>
          <w:tcPr>
            <w:tcW w:w="1277" w:type="dxa"/>
            <w:noWrap/>
            <w:vAlign w:val="bottom"/>
          </w:tcPr>
          <w:p w14:paraId="6E593CE8">
            <w:pPr>
              <w:spacing w:after="0" w:line="240" w:lineRule="auto"/>
              <w:jc w:val="right"/>
              <w:rPr>
                <w:rFonts w:ascii="Calibri" w:hAnsi="Calibri" w:eastAsia="Times New Roman" w:cs="Calibri"/>
                <w:color w:val="000000"/>
              </w:rPr>
            </w:pPr>
            <w:r>
              <w:rPr>
                <w:rFonts w:ascii="Calibri" w:hAnsi="Calibri" w:eastAsia="Times New Roman" w:cs="Calibri"/>
                <w:color w:val="000000"/>
              </w:rPr>
              <w:t>0</w:t>
            </w:r>
          </w:p>
        </w:tc>
        <w:tc>
          <w:tcPr>
            <w:tcW w:w="1160" w:type="dxa"/>
            <w:noWrap/>
            <w:vAlign w:val="bottom"/>
          </w:tcPr>
          <w:p w14:paraId="70828158">
            <w:pPr>
              <w:spacing w:after="0" w:line="240" w:lineRule="auto"/>
              <w:jc w:val="right"/>
              <w:rPr>
                <w:rFonts w:ascii="Calibri" w:hAnsi="Calibri" w:eastAsia="Times New Roman" w:cs="Calibri"/>
                <w:color w:val="000000"/>
              </w:rPr>
            </w:pPr>
            <w:r>
              <w:rPr>
                <w:rFonts w:ascii="Calibri" w:hAnsi="Calibri" w:eastAsia="Times New Roman" w:cs="Calibri"/>
                <w:color w:val="000000"/>
              </w:rPr>
              <w:t>0</w:t>
            </w:r>
          </w:p>
        </w:tc>
        <w:tc>
          <w:tcPr>
            <w:tcW w:w="1160" w:type="dxa"/>
          </w:tcPr>
          <w:p w14:paraId="42D73C77">
            <w:pPr>
              <w:spacing w:after="0" w:line="240" w:lineRule="auto"/>
              <w:jc w:val="center"/>
              <w:rPr>
                <w:rFonts w:ascii="Calibri" w:hAnsi="Calibri" w:eastAsia="Times New Roman" w:cs="Calibri"/>
                <w:color w:val="000000"/>
              </w:rPr>
            </w:pPr>
          </w:p>
        </w:tc>
      </w:tr>
      <w:tr w14:paraId="4F0B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45FADC44">
            <w:pPr>
              <w:spacing w:after="0" w:line="240" w:lineRule="auto"/>
              <w:rPr>
                <w:rFonts w:ascii="Calibri" w:hAnsi="Calibri" w:eastAsia="Times New Roman" w:cs="Calibri"/>
                <w:color w:val="000000"/>
              </w:rPr>
            </w:pPr>
            <w:r>
              <w:rPr>
                <w:rFonts w:ascii="Calibri" w:hAnsi="Calibri" w:eastAsia="Times New Roman" w:cs="Calibri"/>
                <w:color w:val="000000"/>
              </w:rPr>
              <w:t>Radovanu</w:t>
            </w:r>
          </w:p>
        </w:tc>
        <w:tc>
          <w:tcPr>
            <w:tcW w:w="1277" w:type="dxa"/>
            <w:noWrap/>
            <w:vAlign w:val="bottom"/>
          </w:tcPr>
          <w:p w14:paraId="2736F17E">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noWrap/>
            <w:vAlign w:val="bottom"/>
          </w:tcPr>
          <w:p w14:paraId="01DB2447">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tcPr>
          <w:p w14:paraId="28EF396C">
            <w:pPr>
              <w:spacing w:after="0" w:line="240" w:lineRule="auto"/>
              <w:jc w:val="center"/>
              <w:rPr>
                <w:rFonts w:ascii="Calibri" w:hAnsi="Calibri" w:eastAsia="Times New Roman" w:cs="Calibri"/>
                <w:color w:val="000000"/>
              </w:rPr>
            </w:pPr>
          </w:p>
        </w:tc>
      </w:tr>
      <w:tr w14:paraId="2474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0258DC2E">
            <w:pPr>
              <w:spacing w:after="0" w:line="240" w:lineRule="auto"/>
              <w:rPr>
                <w:rFonts w:ascii="Calibri" w:hAnsi="Calibri" w:eastAsia="Times New Roman" w:cs="Calibri"/>
                <w:color w:val="000000"/>
              </w:rPr>
            </w:pPr>
            <w:r>
              <w:rPr>
                <w:rFonts w:ascii="Calibri" w:hAnsi="Calibri" w:eastAsia="Times New Roman" w:cs="Calibri"/>
                <w:color w:val="000000"/>
              </w:rPr>
              <w:t>Șoldanu</w:t>
            </w:r>
          </w:p>
        </w:tc>
        <w:tc>
          <w:tcPr>
            <w:tcW w:w="1277" w:type="dxa"/>
            <w:noWrap/>
            <w:vAlign w:val="bottom"/>
          </w:tcPr>
          <w:p w14:paraId="6D6C3435">
            <w:pPr>
              <w:spacing w:after="0" w:line="240" w:lineRule="auto"/>
              <w:jc w:val="right"/>
              <w:rPr>
                <w:rFonts w:ascii="Calibri" w:hAnsi="Calibri" w:eastAsia="Times New Roman" w:cs="Calibri"/>
                <w:color w:val="000000"/>
              </w:rPr>
            </w:pPr>
            <w:r>
              <w:rPr>
                <w:rFonts w:ascii="Calibri" w:hAnsi="Calibri" w:eastAsia="Times New Roman" w:cs="Calibri"/>
                <w:color w:val="000000"/>
              </w:rPr>
              <w:t>1</w:t>
            </w:r>
          </w:p>
        </w:tc>
        <w:tc>
          <w:tcPr>
            <w:tcW w:w="1160" w:type="dxa"/>
            <w:noWrap/>
            <w:vAlign w:val="bottom"/>
          </w:tcPr>
          <w:p w14:paraId="6B1BCC2A">
            <w:pPr>
              <w:spacing w:after="0" w:line="240" w:lineRule="auto"/>
              <w:jc w:val="right"/>
              <w:rPr>
                <w:rFonts w:ascii="Calibri" w:hAnsi="Calibri" w:eastAsia="Times New Roman" w:cs="Calibri"/>
                <w:color w:val="000000"/>
              </w:rPr>
            </w:pPr>
            <w:r>
              <w:rPr>
                <w:rFonts w:ascii="Calibri" w:hAnsi="Calibri" w:eastAsia="Times New Roman" w:cs="Calibri"/>
                <w:color w:val="000000"/>
              </w:rPr>
              <w:t>2</w:t>
            </w:r>
          </w:p>
        </w:tc>
        <w:tc>
          <w:tcPr>
            <w:tcW w:w="1160" w:type="dxa"/>
          </w:tcPr>
          <w:p w14:paraId="06EFA939">
            <w:pPr>
              <w:spacing w:after="0" w:line="240" w:lineRule="auto"/>
              <w:jc w:val="center"/>
              <w:rPr>
                <w:rFonts w:ascii="Calibri" w:hAnsi="Calibri" w:eastAsia="Times New Roman" w:cs="Calibri"/>
                <w:color w:val="000000"/>
              </w:rPr>
            </w:pPr>
          </w:p>
        </w:tc>
      </w:tr>
      <w:tr w14:paraId="11BF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1C791C3E">
            <w:pPr>
              <w:spacing w:after="0" w:line="240" w:lineRule="auto"/>
              <w:rPr>
                <w:rFonts w:ascii="Calibri" w:hAnsi="Calibri" w:eastAsia="Times New Roman" w:cs="Calibri"/>
                <w:color w:val="000000"/>
              </w:rPr>
            </w:pPr>
            <w:r>
              <w:rPr>
                <w:rFonts w:ascii="Calibri" w:hAnsi="Calibri" w:eastAsia="Times New Roman" w:cs="Calibri"/>
                <w:color w:val="000000"/>
              </w:rPr>
              <w:t>Spanţov</w:t>
            </w:r>
          </w:p>
        </w:tc>
        <w:tc>
          <w:tcPr>
            <w:tcW w:w="1277" w:type="dxa"/>
            <w:noWrap/>
            <w:vAlign w:val="bottom"/>
          </w:tcPr>
          <w:p w14:paraId="61BA0E8E">
            <w:pPr>
              <w:spacing w:after="0" w:line="240" w:lineRule="auto"/>
              <w:jc w:val="right"/>
              <w:rPr>
                <w:rFonts w:ascii="Calibri" w:hAnsi="Calibri" w:eastAsia="Times New Roman" w:cs="Calibri"/>
                <w:color w:val="000000"/>
              </w:rPr>
            </w:pPr>
            <w:r>
              <w:rPr>
                <w:rFonts w:ascii="Calibri" w:hAnsi="Calibri" w:eastAsia="Times New Roman" w:cs="Calibri"/>
                <w:color w:val="000000"/>
              </w:rPr>
              <w:t>4</w:t>
            </w:r>
          </w:p>
        </w:tc>
        <w:tc>
          <w:tcPr>
            <w:tcW w:w="1160" w:type="dxa"/>
            <w:noWrap/>
            <w:vAlign w:val="bottom"/>
          </w:tcPr>
          <w:p w14:paraId="39CD3D92">
            <w:pPr>
              <w:spacing w:after="0" w:line="240" w:lineRule="auto"/>
              <w:jc w:val="right"/>
              <w:rPr>
                <w:rFonts w:ascii="Calibri" w:hAnsi="Calibri" w:eastAsia="Times New Roman" w:cs="Calibri"/>
                <w:color w:val="000000"/>
              </w:rPr>
            </w:pPr>
            <w:r>
              <w:rPr>
                <w:rFonts w:ascii="Calibri" w:hAnsi="Calibri" w:eastAsia="Times New Roman" w:cs="Calibri"/>
                <w:color w:val="000000"/>
              </w:rPr>
              <w:t>2</w:t>
            </w:r>
          </w:p>
        </w:tc>
        <w:tc>
          <w:tcPr>
            <w:tcW w:w="1160" w:type="dxa"/>
          </w:tcPr>
          <w:p w14:paraId="1229912A">
            <w:pPr>
              <w:spacing w:after="0" w:line="240" w:lineRule="auto"/>
              <w:jc w:val="center"/>
              <w:rPr>
                <w:rFonts w:ascii="Calibri" w:hAnsi="Calibri" w:eastAsia="Times New Roman" w:cs="Calibri"/>
                <w:color w:val="000000"/>
              </w:rPr>
            </w:pPr>
          </w:p>
        </w:tc>
      </w:tr>
      <w:tr w14:paraId="222C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07C1757E">
            <w:pPr>
              <w:spacing w:after="0" w:line="240" w:lineRule="auto"/>
              <w:rPr>
                <w:rFonts w:ascii="Calibri" w:hAnsi="Calibri" w:eastAsia="Times New Roman" w:cs="Calibri"/>
                <w:color w:val="000000"/>
              </w:rPr>
            </w:pPr>
            <w:r>
              <w:rPr>
                <w:rFonts w:ascii="Calibri" w:hAnsi="Calibri" w:eastAsia="Times New Roman" w:cs="Calibri"/>
                <w:color w:val="000000"/>
              </w:rPr>
              <w:t>Ulmeni</w:t>
            </w:r>
          </w:p>
        </w:tc>
        <w:tc>
          <w:tcPr>
            <w:tcW w:w="1277" w:type="dxa"/>
            <w:noWrap/>
            <w:vAlign w:val="bottom"/>
          </w:tcPr>
          <w:p w14:paraId="5DD065F1">
            <w:pPr>
              <w:spacing w:after="0" w:line="240" w:lineRule="auto"/>
              <w:jc w:val="right"/>
              <w:rPr>
                <w:rFonts w:ascii="Calibri" w:hAnsi="Calibri" w:eastAsia="Times New Roman" w:cs="Calibri"/>
                <w:color w:val="000000"/>
              </w:rPr>
            </w:pPr>
            <w:r>
              <w:rPr>
                <w:rFonts w:ascii="Calibri" w:hAnsi="Calibri" w:eastAsia="Times New Roman" w:cs="Calibri"/>
                <w:color w:val="000000"/>
              </w:rPr>
              <w:t>3</w:t>
            </w:r>
          </w:p>
        </w:tc>
        <w:tc>
          <w:tcPr>
            <w:tcW w:w="1160" w:type="dxa"/>
            <w:noWrap/>
            <w:vAlign w:val="bottom"/>
          </w:tcPr>
          <w:p w14:paraId="1EE3BF3F">
            <w:pPr>
              <w:spacing w:after="0" w:line="240" w:lineRule="auto"/>
              <w:jc w:val="right"/>
              <w:rPr>
                <w:rFonts w:ascii="Calibri" w:hAnsi="Calibri" w:eastAsia="Times New Roman" w:cs="Calibri"/>
                <w:color w:val="000000"/>
              </w:rPr>
            </w:pPr>
            <w:r>
              <w:rPr>
                <w:rFonts w:ascii="Calibri" w:hAnsi="Calibri" w:eastAsia="Times New Roman" w:cs="Calibri"/>
                <w:color w:val="000000"/>
              </w:rPr>
              <w:t>3</w:t>
            </w:r>
          </w:p>
        </w:tc>
        <w:tc>
          <w:tcPr>
            <w:tcW w:w="1160" w:type="dxa"/>
          </w:tcPr>
          <w:p w14:paraId="63876792">
            <w:pPr>
              <w:spacing w:after="0" w:line="240" w:lineRule="auto"/>
              <w:jc w:val="center"/>
              <w:rPr>
                <w:rFonts w:ascii="Calibri" w:hAnsi="Calibri" w:eastAsia="Times New Roman" w:cs="Calibri"/>
                <w:color w:val="000000"/>
              </w:rPr>
            </w:pPr>
          </w:p>
        </w:tc>
      </w:tr>
      <w:tr w14:paraId="788C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2265C00B">
            <w:pPr>
              <w:spacing w:after="0" w:line="240" w:lineRule="auto"/>
              <w:rPr>
                <w:rFonts w:ascii="Calibri" w:hAnsi="Calibri" w:eastAsia="Times New Roman" w:cs="Calibri"/>
                <w:color w:val="000000"/>
              </w:rPr>
            </w:pPr>
            <w:r>
              <w:rPr>
                <w:rFonts w:ascii="Calibri" w:hAnsi="Calibri" w:eastAsia="Times New Roman" w:cs="Calibri"/>
                <w:color w:val="000000"/>
              </w:rPr>
              <w:t>Vasilaţi</w:t>
            </w:r>
          </w:p>
        </w:tc>
        <w:tc>
          <w:tcPr>
            <w:tcW w:w="1277" w:type="dxa"/>
            <w:noWrap/>
            <w:vAlign w:val="bottom"/>
          </w:tcPr>
          <w:p w14:paraId="75119BE1">
            <w:pPr>
              <w:spacing w:after="0" w:line="240" w:lineRule="auto"/>
              <w:jc w:val="right"/>
              <w:rPr>
                <w:rFonts w:ascii="Calibri" w:hAnsi="Calibri" w:eastAsia="Times New Roman" w:cs="Calibri"/>
                <w:color w:val="000000"/>
              </w:rPr>
            </w:pPr>
            <w:r>
              <w:rPr>
                <w:rFonts w:ascii="Calibri" w:hAnsi="Calibri" w:eastAsia="Times New Roman" w:cs="Calibri"/>
                <w:color w:val="000000"/>
              </w:rPr>
              <w:t>0</w:t>
            </w:r>
          </w:p>
        </w:tc>
        <w:tc>
          <w:tcPr>
            <w:tcW w:w="1160" w:type="dxa"/>
            <w:noWrap/>
            <w:vAlign w:val="bottom"/>
          </w:tcPr>
          <w:p w14:paraId="3F96000C">
            <w:pPr>
              <w:spacing w:after="0" w:line="240" w:lineRule="auto"/>
              <w:jc w:val="right"/>
              <w:rPr>
                <w:rFonts w:ascii="Calibri" w:hAnsi="Calibri" w:eastAsia="Times New Roman" w:cs="Calibri"/>
                <w:color w:val="000000"/>
              </w:rPr>
            </w:pPr>
            <w:r>
              <w:rPr>
                <w:rFonts w:ascii="Calibri" w:hAnsi="Calibri" w:eastAsia="Times New Roman" w:cs="Calibri"/>
                <w:color w:val="000000"/>
              </w:rPr>
              <w:t>0</w:t>
            </w:r>
          </w:p>
        </w:tc>
        <w:tc>
          <w:tcPr>
            <w:tcW w:w="1160" w:type="dxa"/>
          </w:tcPr>
          <w:p w14:paraId="1857C5A6">
            <w:pPr>
              <w:spacing w:after="0" w:line="240" w:lineRule="auto"/>
              <w:jc w:val="center"/>
              <w:rPr>
                <w:rFonts w:ascii="Calibri" w:hAnsi="Calibri" w:eastAsia="Times New Roman" w:cs="Calibri"/>
                <w:color w:val="000000"/>
              </w:rPr>
            </w:pPr>
          </w:p>
        </w:tc>
      </w:tr>
      <w:tr w14:paraId="01DC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41" w:type="dxa"/>
            <w:noWrap/>
            <w:vAlign w:val="bottom"/>
          </w:tcPr>
          <w:p w14:paraId="4743BF07">
            <w:pPr>
              <w:spacing w:after="0" w:line="240" w:lineRule="auto"/>
              <w:rPr>
                <w:rFonts w:ascii="Calibri" w:hAnsi="Calibri" w:eastAsia="Times New Roman" w:cs="Calibri"/>
                <w:color w:val="000000"/>
              </w:rPr>
            </w:pPr>
            <w:r>
              <w:rPr>
                <w:rFonts w:ascii="Calibri" w:hAnsi="Calibri" w:eastAsia="Times New Roman" w:cs="Calibri"/>
                <w:color w:val="000000"/>
              </w:rPr>
              <w:t>TOTAL RURAL</w:t>
            </w:r>
          </w:p>
        </w:tc>
        <w:tc>
          <w:tcPr>
            <w:tcW w:w="1277" w:type="dxa"/>
            <w:noWrap/>
            <w:vAlign w:val="bottom"/>
          </w:tcPr>
          <w:p w14:paraId="76BF9A72">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60" w:type="dxa"/>
            <w:noWrap/>
            <w:vAlign w:val="bottom"/>
          </w:tcPr>
          <w:p w14:paraId="2F94FDE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60" w:type="dxa"/>
          </w:tcPr>
          <w:p w14:paraId="70E993B9">
            <w:pPr>
              <w:keepNext/>
              <w:spacing w:after="0" w:line="240" w:lineRule="auto"/>
              <w:jc w:val="center"/>
              <w:rPr>
                <w:rFonts w:ascii="Calibri" w:hAnsi="Calibri" w:eastAsia="Times New Roman" w:cs="Calibri"/>
                <w:color w:val="000000"/>
              </w:rPr>
            </w:pPr>
          </w:p>
        </w:tc>
      </w:tr>
    </w:tbl>
    <w:p w14:paraId="1C55C383">
      <w:pPr>
        <w:pStyle w:val="18"/>
      </w:pPr>
      <w:r>
        <w:t xml:space="preserve">Tabel </w:t>
      </w:r>
      <w:r>
        <w:fldChar w:fldCharType="begin"/>
      </w:r>
      <w:r>
        <w:instrText xml:space="preserve"> STYLEREF 1 \s </w:instrText>
      </w:r>
      <w:r>
        <w:fldChar w:fldCharType="separate"/>
      </w:r>
      <w:r>
        <w:t>0</w:t>
      </w:r>
      <w:r>
        <w:fldChar w:fldCharType="end"/>
      </w:r>
      <w:r>
        <w:noBreakHyphen/>
      </w:r>
      <w:r>
        <w:fldChar w:fldCharType="begin"/>
      </w:r>
      <w:r>
        <w:instrText xml:space="preserve"> SEQ Tabel \* ARABIC \s 1 </w:instrText>
      </w:r>
      <w:r>
        <w:fldChar w:fldCharType="separate"/>
      </w:r>
      <w:r>
        <w:t>16</w:t>
      </w:r>
      <w:r>
        <w:fldChar w:fldCharType="end"/>
      </w:r>
    </w:p>
    <w:p w14:paraId="6DA59695">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br w:type="page"/>
      </w:r>
    </w:p>
    <w:p w14:paraId="22DE4D1C">
      <w:pPr>
        <w:pStyle w:val="4"/>
        <w:spacing w:before="0" w:line="240" w:lineRule="auto"/>
        <w:rPr>
          <w:rFonts w:cstheme="majorHAnsi"/>
          <w:color w:val="auto"/>
          <w:sz w:val="24"/>
          <w:szCs w:val="24"/>
        </w:rPr>
      </w:pPr>
      <w:bookmarkStart w:id="10" w:name="_ANEXA_Nr._5"/>
      <w:bookmarkEnd w:id="10"/>
      <w:r>
        <w:rPr>
          <w:rFonts w:cstheme="majorHAnsi"/>
          <w:color w:val="auto"/>
          <w:sz w:val="24"/>
          <w:szCs w:val="24"/>
        </w:rPr>
        <w:t>ANEXA Nr. 5 la caietul de sarcini</w:t>
      </w:r>
    </w:p>
    <w:p w14:paraId="7A6E1865">
      <w:pPr>
        <w:spacing w:after="0" w:line="240" w:lineRule="auto"/>
        <w:jc w:val="both"/>
        <w:rPr>
          <w:rFonts w:eastAsia="Times New Roman" w:asciiTheme="majorHAnsi" w:hAnsiTheme="majorHAnsi" w:cstheme="majorHAnsi"/>
          <w:sz w:val="24"/>
          <w:szCs w:val="24"/>
        </w:rPr>
      </w:pPr>
    </w:p>
    <w:p w14:paraId="70D03E0B">
      <w:pPr>
        <w:spacing w:after="0" w:line="240" w:lineRule="auto"/>
        <w:jc w:val="both"/>
        <w:rPr>
          <w:rFonts w:eastAsia="Times New Roman" w:asciiTheme="majorHAnsi" w:hAnsiTheme="majorHAnsi" w:cstheme="majorHAnsi"/>
          <w:b/>
          <w:bCs/>
          <w:sz w:val="24"/>
          <w:szCs w:val="24"/>
        </w:rPr>
      </w:pPr>
      <w:r>
        <w:rPr>
          <w:rFonts w:eastAsia="Times New Roman" w:asciiTheme="majorHAnsi" w:hAnsiTheme="majorHAnsi" w:cstheme="majorHAnsi"/>
          <w:b/>
          <w:bCs/>
          <w:sz w:val="24"/>
          <w:szCs w:val="24"/>
        </w:rPr>
        <w:t>Frecvenţa de colectare al fracţiilor de deşeuri municipale în aria de delegare</w:t>
      </w:r>
    </w:p>
    <w:p w14:paraId="2B6D9F81">
      <w:pPr>
        <w:spacing w:after="0" w:line="240" w:lineRule="auto"/>
        <w:jc w:val="both"/>
        <w:rPr>
          <w:rFonts w:eastAsia="Times New Roman" w:asciiTheme="majorHAnsi" w:hAnsiTheme="majorHAnsi" w:cstheme="majorHAnsi"/>
          <w:b/>
          <w:bCs/>
          <w:sz w:val="24"/>
          <w:szCs w:val="24"/>
        </w:rPr>
      </w:pPr>
    </w:p>
    <w:p w14:paraId="064B5BC9">
      <w:pPr>
        <w:widowControl w:val="0"/>
        <w:numPr>
          <w:ilvl w:val="1"/>
          <w:numId w:val="23"/>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Frecvența de colectare a </w:t>
      </w:r>
      <w:r>
        <w:rPr>
          <w:rFonts w:asciiTheme="majorHAnsi" w:hAnsiTheme="majorHAnsi" w:cstheme="majorHAnsi"/>
          <w:sz w:val="24"/>
          <w:szCs w:val="24"/>
          <w:u w:val="single"/>
          <w:lang w:val="ro-RO"/>
        </w:rPr>
        <w:t>deșeurilor menajere reziduale</w:t>
      </w:r>
      <w:r>
        <w:rPr>
          <w:rFonts w:asciiTheme="majorHAnsi" w:hAnsiTheme="majorHAnsi" w:cstheme="majorHAnsi"/>
          <w:sz w:val="24"/>
          <w:szCs w:val="24"/>
          <w:lang w:val="ro-RO"/>
        </w:rPr>
        <w:t xml:space="preserve"> în mediul urban din zonele de blocuri este de 3 ori pe saptamana (156 ridicari/an) iar în zona de case este de 1 data pe saptamana (52 ridicari/an).</w:t>
      </w:r>
    </w:p>
    <w:p w14:paraId="140CE039">
      <w:pPr>
        <w:widowControl w:val="0"/>
        <w:numPr>
          <w:ilvl w:val="1"/>
          <w:numId w:val="23"/>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Frecvența de colectare a deșeurilor menajere reziduale în mediul rural este de 1 data pe saptamana;</w:t>
      </w:r>
    </w:p>
    <w:p w14:paraId="4D02B902">
      <w:pPr>
        <w:spacing w:after="0" w:line="240" w:lineRule="auto"/>
        <w:jc w:val="both"/>
        <w:rPr>
          <w:rFonts w:asciiTheme="majorHAnsi" w:hAnsiTheme="majorHAnsi" w:cstheme="majorHAnsi"/>
          <w:sz w:val="24"/>
          <w:szCs w:val="24"/>
          <w:lang w:val="ro-RO"/>
        </w:rPr>
      </w:pPr>
    </w:p>
    <w:p w14:paraId="7C805472">
      <w:pPr>
        <w:widowControl w:val="0"/>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Frecvența de colectare a deșeurilor menajere reciclabile colectate separat este de</w:t>
      </w:r>
    </w:p>
    <w:p w14:paraId="623487A2">
      <w:pPr>
        <w:widowControl w:val="0"/>
        <w:numPr>
          <w:ilvl w:val="1"/>
          <w:numId w:val="24"/>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Deșeurile de hârtie și carton de la populație din mediul urban zona blocuri – 1 data pe saptamana (52 ridicari/an)</w:t>
      </w:r>
    </w:p>
    <w:p w14:paraId="14443330">
      <w:pPr>
        <w:widowControl w:val="0"/>
        <w:numPr>
          <w:ilvl w:val="1"/>
          <w:numId w:val="24"/>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Deșeurile de hârtie și carton de la populație din mediul urban zona case – 1 data la doua saptamani  (26 ridicari/an)</w:t>
      </w:r>
    </w:p>
    <w:p w14:paraId="176C6A0B">
      <w:pPr>
        <w:widowControl w:val="0"/>
        <w:numPr>
          <w:ilvl w:val="1"/>
          <w:numId w:val="24"/>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Deșeurile de plastic si metal de la populație din mediul urban zona de blocuri  - 1 data pe saptamana (52 ridicări/an)</w:t>
      </w:r>
    </w:p>
    <w:p w14:paraId="352CE4EA">
      <w:pPr>
        <w:widowControl w:val="0"/>
        <w:numPr>
          <w:ilvl w:val="1"/>
          <w:numId w:val="24"/>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Deșeurile de plastic si metal de la populație din mediul urban zona de case  - 1 data la 2 sapt (26 ridicări/an)</w:t>
      </w:r>
    </w:p>
    <w:p w14:paraId="1656B256">
      <w:pPr>
        <w:widowControl w:val="0"/>
        <w:numPr>
          <w:ilvl w:val="1"/>
          <w:numId w:val="24"/>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Deșeurile de hârtie și carton de la populație din mediul rural – 1 data la 4 saptamani (13 ridicari/an)</w:t>
      </w:r>
    </w:p>
    <w:p w14:paraId="1704521B">
      <w:pPr>
        <w:widowControl w:val="0"/>
        <w:numPr>
          <w:ilvl w:val="1"/>
          <w:numId w:val="24"/>
        </w:numPr>
        <w:tabs>
          <w:tab w:val="left" w:pos="3242"/>
        </w:tabs>
        <w:spacing w:after="0" w:line="240" w:lineRule="auto"/>
        <w:jc w:val="both"/>
        <w:rPr>
          <w:rFonts w:asciiTheme="majorHAnsi" w:hAnsiTheme="majorHAnsi" w:cstheme="majorHAnsi"/>
          <w:strike/>
          <w:sz w:val="24"/>
          <w:szCs w:val="24"/>
          <w:lang w:val="ro-RO"/>
        </w:rPr>
      </w:pPr>
      <w:r>
        <w:rPr>
          <w:rFonts w:asciiTheme="majorHAnsi" w:hAnsiTheme="majorHAnsi" w:cstheme="majorHAnsi"/>
          <w:sz w:val="24"/>
          <w:szCs w:val="24"/>
          <w:lang w:val="ro-RO"/>
        </w:rPr>
        <w:t>Deșeurile de plastic și metal de la populație din mediul rural – 1 data la 4 saptamani (13 ridicari/an)</w:t>
      </w:r>
    </w:p>
    <w:p w14:paraId="1BCE8684">
      <w:pPr>
        <w:widowControl w:val="0"/>
        <w:numPr>
          <w:ilvl w:val="1"/>
          <w:numId w:val="24"/>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Deșeurile de sticlă de la populație din mediul urban  – 1 data la 4 saptamani (13 ridicari/an) in zona de blocuri si 1 data/luna in zona de case. Cu acordul delegatarului, Intervalul de timp poate fi micșorat/mărit de delegat în funcție de gradul de umplere a recipientelor corelat cu implementarea SGR.</w:t>
      </w:r>
    </w:p>
    <w:p w14:paraId="5D0B2BFA">
      <w:pPr>
        <w:widowControl w:val="0"/>
        <w:numPr>
          <w:ilvl w:val="1"/>
          <w:numId w:val="24"/>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Deșeurile de sticlă de la populație din mediul rural  – 1 data la 4 saptamani (13 ridicari/an)  în cazul umplerii recipientelor de colectare în acest interval. Intervalul de timp poate fi micșorat/mărit de delegat în funcție de gradul de umplere a recipientelor corelat cu implementarea SGR.</w:t>
      </w:r>
    </w:p>
    <w:p w14:paraId="10A2EE3D">
      <w:pPr>
        <w:widowControl w:val="0"/>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Delegatul cu acordul Delegatarului poate să varieze frecvența de colectare a sticlei, pe baza cantităților medii generate și a capacității de depozitare. Vor fi de asemenea colectate toate materialele plasate lângă recipiente in măsura in care corespund fracției colectate.</w:t>
      </w:r>
    </w:p>
    <w:p w14:paraId="434EFF57">
      <w:pPr>
        <w:widowControl w:val="0"/>
        <w:numPr>
          <w:ilvl w:val="1"/>
          <w:numId w:val="24"/>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Avand in vedere cantitatile de deseuri reciclabile colectate in anul anterior, deseurile reciclabile de hartie si carton si plastic si metal vor fi colectate impreuna in acelasi sac de colectare de 120 l pus la dispoozitie de operator conform frecventelor mentionate.</w:t>
      </w:r>
    </w:p>
    <w:p w14:paraId="559A5A86">
      <w:pPr>
        <w:widowControl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Frecvența de colectare a </w:t>
      </w:r>
      <w:r>
        <w:rPr>
          <w:rFonts w:asciiTheme="majorHAnsi" w:hAnsiTheme="majorHAnsi" w:cstheme="majorHAnsi"/>
          <w:sz w:val="24"/>
          <w:szCs w:val="24"/>
          <w:u w:val="single"/>
          <w:lang w:val="ro-RO"/>
        </w:rPr>
        <w:t>biodeșeurilor menajere</w:t>
      </w:r>
      <w:r>
        <w:rPr>
          <w:rFonts w:asciiTheme="majorHAnsi" w:hAnsiTheme="majorHAnsi" w:cstheme="majorHAnsi"/>
          <w:sz w:val="24"/>
          <w:szCs w:val="24"/>
          <w:lang w:val="ro-RO"/>
        </w:rPr>
        <w:t xml:space="preserve"> este de 2 ori pe saptamana (104 ridicari/an) in zona de blocuri iar in zona de case de 1 data pe saptamana (52 ridicări/an).  </w:t>
      </w:r>
    </w:p>
    <w:p w14:paraId="1D8FA1A5">
      <w:pPr>
        <w:widowControl w:val="0"/>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Biodeseurile si deșeurile verzi din mediul rural</w:t>
      </w:r>
    </w:p>
    <w:p w14:paraId="2A38FE0D">
      <w:pPr>
        <w:widowControl w:val="0"/>
        <w:numPr>
          <w:ilvl w:val="1"/>
          <w:numId w:val="12"/>
        </w:numPr>
        <w:tabs>
          <w:tab w:val="left" w:pos="3242"/>
        </w:tabs>
        <w:spacing w:after="0" w:line="240" w:lineRule="auto"/>
        <w:jc w:val="both"/>
        <w:rPr>
          <w:rFonts w:asciiTheme="majorHAnsi" w:hAnsiTheme="majorHAnsi" w:cstheme="majorHAnsi"/>
          <w:strike/>
          <w:sz w:val="24"/>
          <w:szCs w:val="24"/>
          <w:lang w:val="ro-RO"/>
        </w:rPr>
      </w:pPr>
      <w:r>
        <w:rPr>
          <w:rFonts w:asciiTheme="majorHAnsi" w:hAnsiTheme="majorHAnsi" w:cstheme="majorHAnsi"/>
          <w:sz w:val="24"/>
          <w:szCs w:val="24"/>
          <w:lang w:val="ro-RO"/>
        </w:rPr>
        <w:t xml:space="preserve">In zona rurala se promovează varianta compostării individuale pentru bio-deseuri. </w:t>
      </w:r>
    </w:p>
    <w:p w14:paraId="6776FAA8">
      <w:pPr>
        <w:widowControl w:val="0"/>
        <w:numPr>
          <w:ilvl w:val="1"/>
          <w:numId w:val="12"/>
        </w:numPr>
        <w:tabs>
          <w:tab w:val="left" w:pos="3242"/>
        </w:tabs>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Delegatul va putrea institui un sistem de colectare la cerere a deșeurilor verzi provenite din grădini individuale (iarba, frunze, crengi, resturi vegetale etc) prin închirierea de pubele utilizatorilor sau prin sistemul de saci preplătiți. Prin sistem „la cerere” din partea utilizatorilor. Modalitatea de realizare va fi determinata de numarul solicitarilor din fiecare UAT in parte.</w:t>
      </w:r>
    </w:p>
    <w:p w14:paraId="25FA1D86">
      <w:pPr>
        <w:spacing w:after="0" w:line="240" w:lineRule="auto"/>
        <w:jc w:val="both"/>
        <w:rPr>
          <w:rFonts w:asciiTheme="majorHAnsi" w:hAnsiTheme="majorHAnsi" w:cstheme="majorHAnsi"/>
          <w:sz w:val="24"/>
          <w:szCs w:val="24"/>
          <w:lang w:val="ro-RO"/>
        </w:rPr>
      </w:pPr>
    </w:p>
    <w:tbl>
      <w:tblPr>
        <w:tblStyle w:val="12"/>
        <w:tblW w:w="8400" w:type="dxa"/>
        <w:tblInd w:w="0" w:type="dxa"/>
        <w:tblLayout w:type="autofit"/>
        <w:tblCellMar>
          <w:top w:w="0" w:type="dxa"/>
          <w:left w:w="108" w:type="dxa"/>
          <w:bottom w:w="0" w:type="dxa"/>
          <w:right w:w="108" w:type="dxa"/>
        </w:tblCellMar>
      </w:tblPr>
      <w:tblGrid>
        <w:gridCol w:w="1760"/>
        <w:gridCol w:w="1017"/>
        <w:gridCol w:w="1300"/>
        <w:gridCol w:w="1017"/>
        <w:gridCol w:w="1080"/>
        <w:gridCol w:w="1100"/>
        <w:gridCol w:w="1240"/>
      </w:tblGrid>
      <w:tr w14:paraId="5DF3E08F">
        <w:tblPrEx>
          <w:tblCellMar>
            <w:top w:w="0" w:type="dxa"/>
            <w:left w:w="108" w:type="dxa"/>
            <w:bottom w:w="0" w:type="dxa"/>
            <w:right w:w="108" w:type="dxa"/>
          </w:tblCellMar>
        </w:tblPrEx>
        <w:trPr>
          <w:trHeight w:val="1665" w:hRule="atLeast"/>
        </w:trPr>
        <w:tc>
          <w:tcPr>
            <w:tcW w:w="1760" w:type="dxa"/>
            <w:vMerge w:val="restart"/>
            <w:tcBorders>
              <w:top w:val="single" w:color="auto" w:sz="4" w:space="0"/>
              <w:left w:val="single" w:color="auto" w:sz="4" w:space="0"/>
              <w:bottom w:val="single" w:color="auto" w:sz="4" w:space="0"/>
              <w:right w:val="single" w:color="auto" w:sz="4" w:space="0"/>
            </w:tcBorders>
            <w:vAlign w:val="center"/>
          </w:tcPr>
          <w:p w14:paraId="310E17E8">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Aria de delegare </w:t>
            </w:r>
          </w:p>
        </w:tc>
        <w:tc>
          <w:tcPr>
            <w:tcW w:w="2260" w:type="dxa"/>
            <w:gridSpan w:val="2"/>
            <w:tcBorders>
              <w:top w:val="single" w:color="auto" w:sz="4" w:space="0"/>
              <w:left w:val="nil"/>
              <w:bottom w:val="single" w:color="auto" w:sz="4" w:space="0"/>
              <w:right w:val="single" w:color="auto" w:sz="4" w:space="0"/>
            </w:tcBorders>
            <w:vAlign w:val="center"/>
          </w:tcPr>
          <w:p w14:paraId="04B7ED10">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Frecvenţa/zilele de colectare din punctele de colectare şi de la persoanele juridice, în perioada 1 aprilie - 30 septembrie </w:t>
            </w:r>
          </w:p>
        </w:tc>
        <w:tc>
          <w:tcPr>
            <w:tcW w:w="2040" w:type="dxa"/>
            <w:gridSpan w:val="2"/>
            <w:tcBorders>
              <w:top w:val="single" w:color="auto" w:sz="4" w:space="0"/>
              <w:left w:val="nil"/>
              <w:bottom w:val="single" w:color="auto" w:sz="4" w:space="0"/>
              <w:right w:val="single" w:color="auto" w:sz="4" w:space="0"/>
            </w:tcBorders>
            <w:vAlign w:val="center"/>
          </w:tcPr>
          <w:p w14:paraId="1F0E20C2">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Frecvenţa/zilele de colectare de la punctele de colectare şi de la persoanele juridice, în perioada 1 octombrie - 31 martie </w:t>
            </w:r>
          </w:p>
        </w:tc>
        <w:tc>
          <w:tcPr>
            <w:tcW w:w="2340" w:type="dxa"/>
            <w:gridSpan w:val="2"/>
            <w:vMerge w:val="restart"/>
            <w:tcBorders>
              <w:top w:val="single" w:color="auto" w:sz="4" w:space="0"/>
              <w:left w:val="single" w:color="auto" w:sz="4" w:space="0"/>
              <w:bottom w:val="single" w:color="auto" w:sz="4" w:space="0"/>
              <w:right w:val="single" w:color="auto" w:sz="4" w:space="0"/>
            </w:tcBorders>
            <w:vAlign w:val="center"/>
          </w:tcPr>
          <w:p w14:paraId="7C0B70D0">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Frecvenţa/zilele de colectare din "poartă în poartă", de la case/gospodării individuale </w:t>
            </w:r>
          </w:p>
        </w:tc>
      </w:tr>
      <w:tr w14:paraId="16D3C577">
        <w:tblPrEx>
          <w:tblCellMar>
            <w:top w:w="0" w:type="dxa"/>
            <w:left w:w="108" w:type="dxa"/>
            <w:bottom w:w="0" w:type="dxa"/>
            <w:right w:w="108" w:type="dxa"/>
          </w:tblCellMar>
        </w:tblPrEx>
        <w:trPr>
          <w:trHeight w:val="1440" w:hRule="atLeast"/>
        </w:trPr>
        <w:tc>
          <w:tcPr>
            <w:tcW w:w="1760" w:type="dxa"/>
            <w:vMerge w:val="continue"/>
            <w:tcBorders>
              <w:top w:val="single" w:color="auto" w:sz="4" w:space="0"/>
              <w:left w:val="single" w:color="auto" w:sz="4" w:space="0"/>
              <w:bottom w:val="single" w:color="auto" w:sz="4" w:space="0"/>
              <w:right w:val="single" w:color="auto" w:sz="4" w:space="0"/>
            </w:tcBorders>
            <w:vAlign w:val="center"/>
          </w:tcPr>
          <w:p w14:paraId="6FFAB7AC">
            <w:pPr>
              <w:spacing w:after="0" w:line="240" w:lineRule="auto"/>
              <w:rPr>
                <w:rFonts w:ascii="Arial" w:hAnsi="Arial" w:eastAsia="Times New Roman" w:cs="Arial"/>
                <w:color w:val="333333"/>
                <w:sz w:val="18"/>
                <w:szCs w:val="18"/>
              </w:rPr>
            </w:pPr>
          </w:p>
        </w:tc>
        <w:tc>
          <w:tcPr>
            <w:tcW w:w="960" w:type="dxa"/>
            <w:tcBorders>
              <w:top w:val="nil"/>
              <w:left w:val="nil"/>
              <w:bottom w:val="single" w:color="auto" w:sz="4" w:space="0"/>
              <w:right w:val="single" w:color="auto" w:sz="4" w:space="0"/>
            </w:tcBorders>
            <w:vAlign w:val="center"/>
          </w:tcPr>
          <w:p w14:paraId="006526A4">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xml:space="preserve">Zona centrală cu blocuri/PJ regim special </w:t>
            </w:r>
          </w:p>
        </w:tc>
        <w:tc>
          <w:tcPr>
            <w:tcW w:w="1300" w:type="dxa"/>
            <w:tcBorders>
              <w:top w:val="nil"/>
              <w:left w:val="nil"/>
              <w:bottom w:val="single" w:color="auto" w:sz="4" w:space="0"/>
              <w:right w:val="single" w:color="auto" w:sz="4" w:space="0"/>
            </w:tcBorders>
            <w:vAlign w:val="center"/>
          </w:tcPr>
          <w:p w14:paraId="43881D72">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Alte zone cu blocuri/ alte PJ </w:t>
            </w:r>
          </w:p>
        </w:tc>
        <w:tc>
          <w:tcPr>
            <w:tcW w:w="960" w:type="dxa"/>
            <w:tcBorders>
              <w:top w:val="nil"/>
              <w:left w:val="nil"/>
              <w:bottom w:val="single" w:color="auto" w:sz="4" w:space="0"/>
              <w:right w:val="single" w:color="auto" w:sz="4" w:space="0"/>
            </w:tcBorders>
            <w:vAlign w:val="center"/>
          </w:tcPr>
          <w:p w14:paraId="57DE7D46">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xml:space="preserve">Zona centrală cu blocuri/PJ regim special </w:t>
            </w:r>
          </w:p>
        </w:tc>
        <w:tc>
          <w:tcPr>
            <w:tcW w:w="1080" w:type="dxa"/>
            <w:tcBorders>
              <w:top w:val="nil"/>
              <w:left w:val="nil"/>
              <w:bottom w:val="single" w:color="auto" w:sz="4" w:space="0"/>
              <w:right w:val="single" w:color="auto" w:sz="4" w:space="0"/>
            </w:tcBorders>
            <w:vAlign w:val="center"/>
          </w:tcPr>
          <w:p w14:paraId="0D78CD03">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Alte zone cu blocuri/ alte PJ </w:t>
            </w:r>
          </w:p>
        </w:tc>
        <w:tc>
          <w:tcPr>
            <w:tcW w:w="2340" w:type="dxa"/>
            <w:gridSpan w:val="2"/>
            <w:vMerge w:val="continue"/>
            <w:tcBorders>
              <w:top w:val="nil"/>
              <w:left w:val="nil"/>
              <w:bottom w:val="single" w:color="auto" w:sz="4" w:space="0"/>
              <w:right w:val="single" w:color="auto" w:sz="4" w:space="0"/>
            </w:tcBorders>
            <w:vAlign w:val="center"/>
          </w:tcPr>
          <w:p w14:paraId="6E5D92C0">
            <w:pPr>
              <w:spacing w:after="0" w:line="240" w:lineRule="auto"/>
              <w:rPr>
                <w:rFonts w:ascii="Arial" w:hAnsi="Arial" w:eastAsia="Times New Roman" w:cs="Arial"/>
                <w:color w:val="333333"/>
                <w:sz w:val="18"/>
                <w:szCs w:val="18"/>
              </w:rPr>
            </w:pPr>
          </w:p>
        </w:tc>
      </w:tr>
      <w:tr w14:paraId="50CC6E2E">
        <w:tblPrEx>
          <w:tblCellMar>
            <w:top w:w="0" w:type="dxa"/>
            <w:left w:w="108" w:type="dxa"/>
            <w:bottom w:w="0" w:type="dxa"/>
            <w:right w:w="108" w:type="dxa"/>
          </w:tblCellMar>
        </w:tblPrEx>
        <w:trPr>
          <w:trHeight w:val="300" w:hRule="atLeast"/>
        </w:trPr>
        <w:tc>
          <w:tcPr>
            <w:tcW w:w="1760" w:type="dxa"/>
            <w:vMerge w:val="continue"/>
            <w:tcBorders>
              <w:top w:val="single" w:color="auto" w:sz="4" w:space="0"/>
              <w:left w:val="single" w:color="auto" w:sz="4" w:space="0"/>
              <w:bottom w:val="single" w:color="auto" w:sz="4" w:space="0"/>
              <w:right w:val="single" w:color="auto" w:sz="4" w:space="0"/>
            </w:tcBorders>
            <w:vAlign w:val="center"/>
          </w:tcPr>
          <w:p w14:paraId="554B277E">
            <w:pPr>
              <w:spacing w:after="0" w:line="240" w:lineRule="auto"/>
              <w:rPr>
                <w:rFonts w:ascii="Arial" w:hAnsi="Arial" w:eastAsia="Times New Roman" w:cs="Arial"/>
                <w:color w:val="333333"/>
                <w:sz w:val="18"/>
                <w:szCs w:val="18"/>
              </w:rPr>
            </w:pPr>
          </w:p>
        </w:tc>
        <w:tc>
          <w:tcPr>
            <w:tcW w:w="960" w:type="dxa"/>
            <w:tcBorders>
              <w:top w:val="nil"/>
              <w:left w:val="nil"/>
              <w:bottom w:val="single" w:color="auto" w:sz="4" w:space="0"/>
              <w:right w:val="single" w:color="auto" w:sz="4" w:space="0"/>
            </w:tcBorders>
            <w:vAlign w:val="center"/>
          </w:tcPr>
          <w:p w14:paraId="3F36EEA1">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Reziduale </w:t>
            </w:r>
          </w:p>
        </w:tc>
        <w:tc>
          <w:tcPr>
            <w:tcW w:w="1300" w:type="dxa"/>
            <w:tcBorders>
              <w:top w:val="nil"/>
              <w:left w:val="nil"/>
              <w:bottom w:val="single" w:color="auto" w:sz="4" w:space="0"/>
              <w:right w:val="single" w:color="auto" w:sz="4" w:space="0"/>
            </w:tcBorders>
            <w:vAlign w:val="center"/>
          </w:tcPr>
          <w:p w14:paraId="396D78DF">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Biodeşeuri </w:t>
            </w:r>
          </w:p>
        </w:tc>
        <w:tc>
          <w:tcPr>
            <w:tcW w:w="960" w:type="dxa"/>
            <w:tcBorders>
              <w:top w:val="nil"/>
              <w:left w:val="nil"/>
              <w:bottom w:val="single" w:color="auto" w:sz="4" w:space="0"/>
              <w:right w:val="single" w:color="auto" w:sz="4" w:space="0"/>
            </w:tcBorders>
            <w:vAlign w:val="center"/>
          </w:tcPr>
          <w:p w14:paraId="37C2C972">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Reziduale </w:t>
            </w:r>
          </w:p>
        </w:tc>
        <w:tc>
          <w:tcPr>
            <w:tcW w:w="1080" w:type="dxa"/>
            <w:tcBorders>
              <w:top w:val="nil"/>
              <w:left w:val="nil"/>
              <w:bottom w:val="single" w:color="auto" w:sz="4" w:space="0"/>
              <w:right w:val="single" w:color="auto" w:sz="4" w:space="0"/>
            </w:tcBorders>
            <w:vAlign w:val="center"/>
          </w:tcPr>
          <w:p w14:paraId="46B6EA5D">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Biodeşeuri </w:t>
            </w:r>
          </w:p>
        </w:tc>
        <w:tc>
          <w:tcPr>
            <w:tcW w:w="1100" w:type="dxa"/>
            <w:tcBorders>
              <w:top w:val="nil"/>
              <w:left w:val="nil"/>
              <w:bottom w:val="single" w:color="auto" w:sz="4" w:space="0"/>
              <w:right w:val="single" w:color="auto" w:sz="4" w:space="0"/>
            </w:tcBorders>
            <w:vAlign w:val="center"/>
          </w:tcPr>
          <w:p w14:paraId="7249C45A">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Reziduale </w:t>
            </w:r>
          </w:p>
        </w:tc>
        <w:tc>
          <w:tcPr>
            <w:tcW w:w="1240" w:type="dxa"/>
            <w:tcBorders>
              <w:top w:val="nil"/>
              <w:left w:val="nil"/>
              <w:bottom w:val="single" w:color="auto" w:sz="4" w:space="0"/>
              <w:right w:val="single" w:color="auto" w:sz="4" w:space="0"/>
            </w:tcBorders>
            <w:vAlign w:val="center"/>
          </w:tcPr>
          <w:p w14:paraId="12FEB758">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Biodeşeuri </w:t>
            </w:r>
          </w:p>
        </w:tc>
      </w:tr>
      <w:tr w14:paraId="3FAB95C2">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4DABB1ED">
            <w:pPr>
              <w:spacing w:after="0" w:line="240" w:lineRule="auto"/>
              <w:rPr>
                <w:rFonts w:ascii="Calibri" w:hAnsi="Calibri" w:eastAsia="Times New Roman" w:cs="Calibri"/>
                <w:color w:val="000000"/>
              </w:rPr>
            </w:pPr>
            <w:r>
              <w:rPr>
                <w:rFonts w:ascii="Calibri" w:hAnsi="Calibri" w:eastAsia="Times New Roman" w:cs="Calibri"/>
                <w:color w:val="000000"/>
              </w:rPr>
              <w:t xml:space="preserve">OLTENIŢA </w:t>
            </w:r>
          </w:p>
        </w:tc>
        <w:tc>
          <w:tcPr>
            <w:tcW w:w="960" w:type="dxa"/>
            <w:tcBorders>
              <w:top w:val="nil"/>
              <w:left w:val="nil"/>
              <w:bottom w:val="single" w:color="auto" w:sz="4" w:space="0"/>
              <w:right w:val="single" w:color="auto" w:sz="4" w:space="0"/>
            </w:tcBorders>
            <w:noWrap/>
            <w:vAlign w:val="bottom"/>
          </w:tcPr>
          <w:p w14:paraId="4ED5BB6C">
            <w:pPr>
              <w:spacing w:after="0" w:line="240" w:lineRule="auto"/>
              <w:jc w:val="right"/>
              <w:rPr>
                <w:rFonts w:ascii="Calibri" w:hAnsi="Calibri" w:eastAsia="Times New Roman" w:cs="Calibri"/>
                <w:color w:val="000000"/>
              </w:rPr>
            </w:pPr>
            <w:r>
              <w:rPr>
                <w:rFonts w:ascii="Calibri" w:hAnsi="Calibri" w:eastAsia="Times New Roman" w:cs="Calibri"/>
                <w:color w:val="000000"/>
              </w:rPr>
              <w:t>156</w:t>
            </w:r>
          </w:p>
        </w:tc>
        <w:tc>
          <w:tcPr>
            <w:tcW w:w="1300" w:type="dxa"/>
            <w:tcBorders>
              <w:top w:val="nil"/>
              <w:left w:val="nil"/>
              <w:bottom w:val="single" w:color="auto" w:sz="4" w:space="0"/>
              <w:right w:val="single" w:color="auto" w:sz="4" w:space="0"/>
            </w:tcBorders>
            <w:noWrap/>
            <w:vAlign w:val="bottom"/>
          </w:tcPr>
          <w:p w14:paraId="7883EE68">
            <w:pPr>
              <w:spacing w:after="0" w:line="240" w:lineRule="auto"/>
              <w:jc w:val="right"/>
              <w:rPr>
                <w:rFonts w:ascii="Calibri" w:hAnsi="Calibri" w:eastAsia="Times New Roman" w:cs="Calibri"/>
                <w:color w:val="000000"/>
              </w:rPr>
            </w:pPr>
            <w:r>
              <w:rPr>
                <w:rFonts w:ascii="Calibri" w:hAnsi="Calibri" w:eastAsia="Times New Roman" w:cs="Calibri"/>
                <w:color w:val="000000"/>
              </w:rPr>
              <w:t>156</w:t>
            </w:r>
          </w:p>
        </w:tc>
        <w:tc>
          <w:tcPr>
            <w:tcW w:w="960" w:type="dxa"/>
            <w:tcBorders>
              <w:top w:val="nil"/>
              <w:left w:val="nil"/>
              <w:bottom w:val="single" w:color="auto" w:sz="4" w:space="0"/>
              <w:right w:val="single" w:color="auto" w:sz="4" w:space="0"/>
            </w:tcBorders>
            <w:noWrap/>
            <w:vAlign w:val="bottom"/>
          </w:tcPr>
          <w:p w14:paraId="785DF341">
            <w:pPr>
              <w:spacing w:after="0" w:line="240" w:lineRule="auto"/>
              <w:jc w:val="right"/>
              <w:rPr>
                <w:rFonts w:ascii="Calibri" w:hAnsi="Calibri" w:eastAsia="Times New Roman" w:cs="Calibri"/>
                <w:color w:val="000000"/>
              </w:rPr>
            </w:pPr>
            <w:r>
              <w:rPr>
                <w:rFonts w:ascii="Calibri" w:hAnsi="Calibri" w:eastAsia="Times New Roman" w:cs="Calibri"/>
                <w:color w:val="000000"/>
              </w:rPr>
              <w:t>104</w:t>
            </w:r>
          </w:p>
        </w:tc>
        <w:tc>
          <w:tcPr>
            <w:tcW w:w="1080" w:type="dxa"/>
            <w:tcBorders>
              <w:top w:val="nil"/>
              <w:left w:val="nil"/>
              <w:bottom w:val="single" w:color="auto" w:sz="4" w:space="0"/>
              <w:right w:val="single" w:color="auto" w:sz="4" w:space="0"/>
            </w:tcBorders>
            <w:noWrap/>
            <w:vAlign w:val="bottom"/>
          </w:tcPr>
          <w:p w14:paraId="4749FEF9">
            <w:pPr>
              <w:spacing w:after="0" w:line="240" w:lineRule="auto"/>
              <w:jc w:val="right"/>
              <w:rPr>
                <w:rFonts w:ascii="Calibri" w:hAnsi="Calibri" w:eastAsia="Times New Roman" w:cs="Calibri"/>
                <w:color w:val="000000"/>
              </w:rPr>
            </w:pPr>
            <w:r>
              <w:rPr>
                <w:rFonts w:ascii="Calibri" w:hAnsi="Calibri" w:eastAsia="Times New Roman" w:cs="Calibri"/>
                <w:color w:val="000000"/>
              </w:rPr>
              <w:t>104</w:t>
            </w:r>
          </w:p>
        </w:tc>
        <w:tc>
          <w:tcPr>
            <w:tcW w:w="1100" w:type="dxa"/>
            <w:tcBorders>
              <w:top w:val="nil"/>
              <w:left w:val="nil"/>
              <w:bottom w:val="single" w:color="auto" w:sz="4" w:space="0"/>
              <w:right w:val="single" w:color="auto" w:sz="4" w:space="0"/>
            </w:tcBorders>
            <w:noWrap/>
            <w:vAlign w:val="bottom"/>
          </w:tcPr>
          <w:p w14:paraId="7CC761C2">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07FE3E60">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263F0AD2">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349D05C0">
            <w:pPr>
              <w:spacing w:after="0" w:line="240" w:lineRule="auto"/>
              <w:rPr>
                <w:rFonts w:ascii="Calibri" w:hAnsi="Calibri" w:eastAsia="Times New Roman" w:cs="Calibri"/>
                <w:color w:val="000000"/>
              </w:rPr>
            </w:pPr>
            <w:r>
              <w:rPr>
                <w:rFonts w:ascii="Calibri" w:hAnsi="Calibri" w:eastAsia="Times New Roman" w:cs="Calibri"/>
                <w:color w:val="000000"/>
              </w:rPr>
              <w:t>BUDEȘTI</w:t>
            </w:r>
          </w:p>
        </w:tc>
        <w:tc>
          <w:tcPr>
            <w:tcW w:w="960" w:type="dxa"/>
            <w:tcBorders>
              <w:top w:val="nil"/>
              <w:left w:val="nil"/>
              <w:bottom w:val="single" w:color="auto" w:sz="4" w:space="0"/>
              <w:right w:val="single" w:color="auto" w:sz="4" w:space="0"/>
            </w:tcBorders>
            <w:noWrap/>
            <w:vAlign w:val="bottom"/>
          </w:tcPr>
          <w:p w14:paraId="06F25B2A">
            <w:pPr>
              <w:spacing w:after="0" w:line="240" w:lineRule="auto"/>
              <w:jc w:val="right"/>
              <w:rPr>
                <w:rFonts w:ascii="Calibri" w:hAnsi="Calibri" w:eastAsia="Times New Roman" w:cs="Calibri"/>
                <w:color w:val="000000"/>
              </w:rPr>
            </w:pPr>
            <w:r>
              <w:rPr>
                <w:rFonts w:ascii="Calibri" w:hAnsi="Calibri" w:eastAsia="Times New Roman" w:cs="Calibri"/>
                <w:color w:val="000000"/>
              </w:rPr>
              <w:t>156</w:t>
            </w:r>
          </w:p>
        </w:tc>
        <w:tc>
          <w:tcPr>
            <w:tcW w:w="1300" w:type="dxa"/>
            <w:tcBorders>
              <w:top w:val="nil"/>
              <w:left w:val="nil"/>
              <w:bottom w:val="single" w:color="auto" w:sz="4" w:space="0"/>
              <w:right w:val="single" w:color="auto" w:sz="4" w:space="0"/>
            </w:tcBorders>
            <w:noWrap/>
            <w:vAlign w:val="bottom"/>
          </w:tcPr>
          <w:p w14:paraId="1AA00784">
            <w:pPr>
              <w:spacing w:after="0" w:line="240" w:lineRule="auto"/>
              <w:jc w:val="right"/>
              <w:rPr>
                <w:rFonts w:ascii="Calibri" w:hAnsi="Calibri" w:eastAsia="Times New Roman" w:cs="Calibri"/>
                <w:color w:val="000000"/>
              </w:rPr>
            </w:pPr>
            <w:r>
              <w:rPr>
                <w:rFonts w:ascii="Calibri" w:hAnsi="Calibri" w:eastAsia="Times New Roman" w:cs="Calibri"/>
                <w:color w:val="000000"/>
              </w:rPr>
              <w:t>156</w:t>
            </w:r>
          </w:p>
        </w:tc>
        <w:tc>
          <w:tcPr>
            <w:tcW w:w="960" w:type="dxa"/>
            <w:tcBorders>
              <w:top w:val="nil"/>
              <w:left w:val="nil"/>
              <w:bottom w:val="single" w:color="auto" w:sz="4" w:space="0"/>
              <w:right w:val="single" w:color="auto" w:sz="4" w:space="0"/>
            </w:tcBorders>
            <w:noWrap/>
            <w:vAlign w:val="bottom"/>
          </w:tcPr>
          <w:p w14:paraId="084D21B5">
            <w:pPr>
              <w:spacing w:after="0" w:line="240" w:lineRule="auto"/>
              <w:jc w:val="right"/>
              <w:rPr>
                <w:rFonts w:ascii="Calibri" w:hAnsi="Calibri" w:eastAsia="Times New Roman" w:cs="Calibri"/>
                <w:color w:val="000000"/>
              </w:rPr>
            </w:pPr>
            <w:r>
              <w:rPr>
                <w:rFonts w:ascii="Calibri" w:hAnsi="Calibri" w:eastAsia="Times New Roman" w:cs="Calibri"/>
                <w:color w:val="000000"/>
              </w:rPr>
              <w:t>104</w:t>
            </w:r>
          </w:p>
        </w:tc>
        <w:tc>
          <w:tcPr>
            <w:tcW w:w="1080" w:type="dxa"/>
            <w:tcBorders>
              <w:top w:val="nil"/>
              <w:left w:val="nil"/>
              <w:bottom w:val="single" w:color="auto" w:sz="4" w:space="0"/>
              <w:right w:val="single" w:color="auto" w:sz="4" w:space="0"/>
            </w:tcBorders>
            <w:noWrap/>
            <w:vAlign w:val="bottom"/>
          </w:tcPr>
          <w:p w14:paraId="1212CC90">
            <w:pPr>
              <w:spacing w:after="0" w:line="240" w:lineRule="auto"/>
              <w:jc w:val="right"/>
              <w:rPr>
                <w:rFonts w:ascii="Calibri" w:hAnsi="Calibri" w:eastAsia="Times New Roman" w:cs="Calibri"/>
                <w:color w:val="000000"/>
              </w:rPr>
            </w:pPr>
            <w:r>
              <w:rPr>
                <w:rFonts w:ascii="Calibri" w:hAnsi="Calibri" w:eastAsia="Times New Roman" w:cs="Calibri"/>
                <w:color w:val="000000"/>
              </w:rPr>
              <w:t>104</w:t>
            </w:r>
          </w:p>
        </w:tc>
        <w:tc>
          <w:tcPr>
            <w:tcW w:w="1100" w:type="dxa"/>
            <w:tcBorders>
              <w:top w:val="nil"/>
              <w:left w:val="nil"/>
              <w:bottom w:val="single" w:color="auto" w:sz="4" w:space="0"/>
              <w:right w:val="single" w:color="auto" w:sz="4" w:space="0"/>
            </w:tcBorders>
            <w:noWrap/>
            <w:vAlign w:val="bottom"/>
          </w:tcPr>
          <w:p w14:paraId="763E5F70">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51E0558E">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5940CC55">
        <w:tblPrEx>
          <w:tblCellMar>
            <w:top w:w="0" w:type="dxa"/>
            <w:left w:w="108" w:type="dxa"/>
            <w:bottom w:w="0" w:type="dxa"/>
            <w:right w:w="108" w:type="dxa"/>
          </w:tblCellMar>
        </w:tblPrEx>
        <w:trPr>
          <w:trHeight w:val="300" w:hRule="atLeast"/>
        </w:trPr>
        <w:tc>
          <w:tcPr>
            <w:tcW w:w="1760" w:type="dxa"/>
            <w:tcBorders>
              <w:top w:val="nil"/>
              <w:left w:val="single" w:color="auto" w:sz="4" w:space="0"/>
              <w:bottom w:val="single" w:color="auto" w:sz="4" w:space="0"/>
              <w:right w:val="single" w:color="auto" w:sz="4" w:space="0"/>
            </w:tcBorders>
            <w:noWrap/>
            <w:vAlign w:val="bottom"/>
          </w:tcPr>
          <w:p w14:paraId="5B8ED2C9">
            <w:pPr>
              <w:spacing w:after="0" w:line="240" w:lineRule="auto"/>
              <w:rPr>
                <w:rFonts w:ascii="Calibri" w:hAnsi="Calibri" w:eastAsia="Times New Roman" w:cs="Calibri"/>
                <w:b/>
                <w:bCs/>
                <w:color w:val="000000"/>
              </w:rPr>
            </w:pPr>
            <w:r>
              <w:rPr>
                <w:rFonts w:ascii="Calibri" w:hAnsi="Calibri" w:eastAsia="Times New Roman" w:cs="Calibri"/>
                <w:b/>
                <w:bCs/>
                <w:color w:val="000000"/>
              </w:rPr>
              <w:t>Total zona urbana</w:t>
            </w:r>
          </w:p>
        </w:tc>
        <w:tc>
          <w:tcPr>
            <w:tcW w:w="960" w:type="dxa"/>
            <w:tcBorders>
              <w:top w:val="nil"/>
              <w:left w:val="nil"/>
              <w:bottom w:val="single" w:color="auto" w:sz="4" w:space="0"/>
              <w:right w:val="single" w:color="auto" w:sz="4" w:space="0"/>
            </w:tcBorders>
            <w:noWrap/>
            <w:vAlign w:val="bottom"/>
          </w:tcPr>
          <w:p w14:paraId="1139413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5C87867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563D5E0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0B4C857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11A7E63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240" w:type="dxa"/>
            <w:tcBorders>
              <w:top w:val="nil"/>
              <w:left w:val="nil"/>
              <w:bottom w:val="single" w:color="auto" w:sz="4" w:space="0"/>
              <w:right w:val="single" w:color="auto" w:sz="4" w:space="0"/>
            </w:tcBorders>
            <w:noWrap/>
            <w:vAlign w:val="bottom"/>
          </w:tcPr>
          <w:p w14:paraId="7136AABB">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29331C0A">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25EBB139">
            <w:pPr>
              <w:spacing w:after="0" w:line="240" w:lineRule="auto"/>
              <w:rPr>
                <w:rFonts w:ascii="Calibri" w:hAnsi="Calibri" w:eastAsia="Times New Roman" w:cs="Calibri"/>
                <w:color w:val="000000"/>
              </w:rPr>
            </w:pPr>
            <w:r>
              <w:rPr>
                <w:rFonts w:ascii="Calibri" w:hAnsi="Calibri" w:eastAsia="Times New Roman" w:cs="Calibri"/>
                <w:color w:val="000000"/>
              </w:rPr>
              <w:t>CASCIOARELE</w:t>
            </w:r>
          </w:p>
        </w:tc>
        <w:tc>
          <w:tcPr>
            <w:tcW w:w="960" w:type="dxa"/>
            <w:tcBorders>
              <w:top w:val="nil"/>
              <w:left w:val="nil"/>
              <w:bottom w:val="single" w:color="auto" w:sz="4" w:space="0"/>
              <w:right w:val="single" w:color="auto" w:sz="4" w:space="0"/>
            </w:tcBorders>
            <w:noWrap/>
            <w:vAlign w:val="bottom"/>
          </w:tcPr>
          <w:p w14:paraId="5DFA911A">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709D718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6319352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59186B8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18E24F39">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3D05F920">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1180AB06">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28C77630">
            <w:pPr>
              <w:spacing w:after="0" w:line="240" w:lineRule="auto"/>
              <w:rPr>
                <w:rFonts w:ascii="Calibri" w:hAnsi="Calibri" w:eastAsia="Times New Roman" w:cs="Calibri"/>
                <w:color w:val="000000"/>
              </w:rPr>
            </w:pPr>
            <w:r>
              <w:rPr>
                <w:rFonts w:ascii="Calibri" w:hAnsi="Calibri" w:eastAsia="Times New Roman" w:cs="Calibri"/>
                <w:color w:val="000000"/>
              </w:rPr>
              <w:t>CHIRNOGI</w:t>
            </w:r>
          </w:p>
        </w:tc>
        <w:tc>
          <w:tcPr>
            <w:tcW w:w="960" w:type="dxa"/>
            <w:tcBorders>
              <w:top w:val="nil"/>
              <w:left w:val="nil"/>
              <w:bottom w:val="single" w:color="auto" w:sz="4" w:space="0"/>
              <w:right w:val="single" w:color="auto" w:sz="4" w:space="0"/>
            </w:tcBorders>
            <w:noWrap/>
            <w:vAlign w:val="bottom"/>
          </w:tcPr>
          <w:p w14:paraId="070DDF04">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3A314C2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1044759A">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2D60563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63D8111C">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7315418D">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519CC114">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102DAEC5">
            <w:pPr>
              <w:spacing w:after="0" w:line="240" w:lineRule="auto"/>
              <w:rPr>
                <w:rFonts w:ascii="Calibri" w:hAnsi="Calibri" w:eastAsia="Times New Roman" w:cs="Calibri"/>
                <w:color w:val="000000"/>
              </w:rPr>
            </w:pPr>
            <w:r>
              <w:rPr>
                <w:rFonts w:ascii="Calibri" w:hAnsi="Calibri" w:eastAsia="Times New Roman" w:cs="Calibri"/>
                <w:color w:val="000000"/>
              </w:rPr>
              <w:t>CHISELET</w:t>
            </w:r>
          </w:p>
        </w:tc>
        <w:tc>
          <w:tcPr>
            <w:tcW w:w="960" w:type="dxa"/>
            <w:tcBorders>
              <w:top w:val="nil"/>
              <w:left w:val="nil"/>
              <w:bottom w:val="single" w:color="auto" w:sz="4" w:space="0"/>
              <w:right w:val="single" w:color="auto" w:sz="4" w:space="0"/>
            </w:tcBorders>
            <w:noWrap/>
            <w:vAlign w:val="bottom"/>
          </w:tcPr>
          <w:p w14:paraId="439667C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7C17F73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3E73BC1E">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79049B2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40C0C8E3">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3EE77C6A">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44066A6A">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05A7FC8D">
            <w:pPr>
              <w:spacing w:after="0" w:line="240" w:lineRule="auto"/>
              <w:rPr>
                <w:rFonts w:ascii="Calibri" w:hAnsi="Calibri" w:eastAsia="Times New Roman" w:cs="Calibri"/>
                <w:color w:val="000000"/>
              </w:rPr>
            </w:pPr>
            <w:r>
              <w:rPr>
                <w:rFonts w:ascii="Calibri" w:hAnsi="Calibri" w:eastAsia="Times New Roman" w:cs="Calibri"/>
                <w:color w:val="000000"/>
              </w:rPr>
              <w:t>CRIVAȚ</w:t>
            </w:r>
          </w:p>
        </w:tc>
        <w:tc>
          <w:tcPr>
            <w:tcW w:w="960" w:type="dxa"/>
            <w:tcBorders>
              <w:top w:val="nil"/>
              <w:left w:val="nil"/>
              <w:bottom w:val="single" w:color="auto" w:sz="4" w:space="0"/>
              <w:right w:val="single" w:color="auto" w:sz="4" w:space="0"/>
            </w:tcBorders>
            <w:noWrap/>
            <w:vAlign w:val="bottom"/>
          </w:tcPr>
          <w:p w14:paraId="1890705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783349AB">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629E139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6561719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6650D9B2">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46BC61F2">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692E22EB">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452D34C2">
            <w:pPr>
              <w:spacing w:after="0" w:line="240" w:lineRule="auto"/>
              <w:rPr>
                <w:rFonts w:ascii="Calibri" w:hAnsi="Calibri" w:eastAsia="Times New Roman" w:cs="Calibri"/>
                <w:color w:val="000000"/>
              </w:rPr>
            </w:pPr>
            <w:r>
              <w:rPr>
                <w:rFonts w:ascii="Calibri" w:hAnsi="Calibri" w:eastAsia="Times New Roman" w:cs="Calibri"/>
                <w:color w:val="000000"/>
              </w:rPr>
              <w:t>CURCANI</w:t>
            </w:r>
          </w:p>
        </w:tc>
        <w:tc>
          <w:tcPr>
            <w:tcW w:w="960" w:type="dxa"/>
            <w:tcBorders>
              <w:top w:val="nil"/>
              <w:left w:val="nil"/>
              <w:bottom w:val="single" w:color="auto" w:sz="4" w:space="0"/>
              <w:right w:val="single" w:color="auto" w:sz="4" w:space="0"/>
            </w:tcBorders>
            <w:noWrap/>
            <w:vAlign w:val="bottom"/>
          </w:tcPr>
          <w:p w14:paraId="724DBE8E">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2B9443C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71F7E17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4D9134F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56AAFF44">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790FAB5E">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6BCBBD29">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29FE6F42">
            <w:pPr>
              <w:spacing w:after="0" w:line="240" w:lineRule="auto"/>
              <w:rPr>
                <w:rFonts w:ascii="Calibri" w:hAnsi="Calibri" w:eastAsia="Times New Roman" w:cs="Calibri"/>
                <w:color w:val="000000"/>
              </w:rPr>
            </w:pPr>
            <w:r>
              <w:rPr>
                <w:rFonts w:ascii="Calibri" w:hAnsi="Calibri" w:eastAsia="Times New Roman" w:cs="Calibri"/>
                <w:color w:val="000000"/>
              </w:rPr>
              <w:t>FRUMUȘANI</w:t>
            </w:r>
          </w:p>
        </w:tc>
        <w:tc>
          <w:tcPr>
            <w:tcW w:w="960" w:type="dxa"/>
            <w:tcBorders>
              <w:top w:val="nil"/>
              <w:left w:val="nil"/>
              <w:bottom w:val="single" w:color="auto" w:sz="4" w:space="0"/>
              <w:right w:val="single" w:color="auto" w:sz="4" w:space="0"/>
            </w:tcBorders>
            <w:noWrap/>
            <w:vAlign w:val="bottom"/>
          </w:tcPr>
          <w:p w14:paraId="20FF014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71E1EE5E">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03826E9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3DD9FDD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6EECBAAF">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0AC2BCA5">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3DD6D0E4">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0224C915">
            <w:pPr>
              <w:spacing w:after="0" w:line="240" w:lineRule="auto"/>
              <w:rPr>
                <w:rFonts w:ascii="Calibri" w:hAnsi="Calibri" w:eastAsia="Times New Roman" w:cs="Calibri"/>
                <w:color w:val="000000"/>
              </w:rPr>
            </w:pPr>
            <w:r>
              <w:rPr>
                <w:rFonts w:ascii="Calibri" w:hAnsi="Calibri" w:eastAsia="Times New Roman" w:cs="Calibri"/>
                <w:color w:val="000000"/>
              </w:rPr>
              <w:t>FUNDENI</w:t>
            </w:r>
          </w:p>
        </w:tc>
        <w:tc>
          <w:tcPr>
            <w:tcW w:w="960" w:type="dxa"/>
            <w:tcBorders>
              <w:top w:val="nil"/>
              <w:left w:val="nil"/>
              <w:bottom w:val="single" w:color="auto" w:sz="4" w:space="0"/>
              <w:right w:val="single" w:color="auto" w:sz="4" w:space="0"/>
            </w:tcBorders>
            <w:noWrap/>
            <w:vAlign w:val="bottom"/>
          </w:tcPr>
          <w:p w14:paraId="5842CF6B">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161C1CD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4F8AE38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1E46BAA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1A7497DB">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05F25C97">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45ED5904">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751891F8">
            <w:pPr>
              <w:spacing w:after="0" w:line="240" w:lineRule="auto"/>
              <w:rPr>
                <w:rFonts w:ascii="Calibri" w:hAnsi="Calibri" w:eastAsia="Times New Roman" w:cs="Calibri"/>
                <w:color w:val="000000"/>
              </w:rPr>
            </w:pPr>
            <w:r>
              <w:rPr>
                <w:rFonts w:ascii="Calibri" w:hAnsi="Calibri" w:eastAsia="Times New Roman" w:cs="Calibri"/>
                <w:color w:val="000000"/>
              </w:rPr>
              <w:t>GALBINAȘI</w:t>
            </w:r>
          </w:p>
        </w:tc>
        <w:tc>
          <w:tcPr>
            <w:tcW w:w="960" w:type="dxa"/>
            <w:tcBorders>
              <w:top w:val="nil"/>
              <w:left w:val="nil"/>
              <w:bottom w:val="single" w:color="auto" w:sz="4" w:space="0"/>
              <w:right w:val="single" w:color="auto" w:sz="4" w:space="0"/>
            </w:tcBorders>
            <w:noWrap/>
            <w:vAlign w:val="bottom"/>
          </w:tcPr>
          <w:p w14:paraId="4AA4BA7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2C91A23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6A09336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7E0505C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21BC6317">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5332261F">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1A4096EF">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3D7CBB8E">
            <w:pPr>
              <w:spacing w:after="0" w:line="240" w:lineRule="auto"/>
              <w:rPr>
                <w:rFonts w:ascii="Calibri" w:hAnsi="Calibri" w:eastAsia="Times New Roman" w:cs="Calibri"/>
                <w:color w:val="000000"/>
              </w:rPr>
            </w:pPr>
            <w:r>
              <w:rPr>
                <w:rFonts w:ascii="Calibri" w:hAnsi="Calibri" w:eastAsia="Times New Roman" w:cs="Calibri"/>
                <w:color w:val="000000"/>
              </w:rPr>
              <w:t>LUICA</w:t>
            </w:r>
          </w:p>
        </w:tc>
        <w:tc>
          <w:tcPr>
            <w:tcW w:w="960" w:type="dxa"/>
            <w:tcBorders>
              <w:top w:val="nil"/>
              <w:left w:val="nil"/>
              <w:bottom w:val="single" w:color="auto" w:sz="4" w:space="0"/>
              <w:right w:val="single" w:color="auto" w:sz="4" w:space="0"/>
            </w:tcBorders>
            <w:noWrap/>
            <w:vAlign w:val="bottom"/>
          </w:tcPr>
          <w:p w14:paraId="75340CE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68DFDD5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6F3B7AAB">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57DDDC12">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75507262">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2A40FD42">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0FC172D3">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3AEB0D04">
            <w:pPr>
              <w:spacing w:after="0" w:line="240" w:lineRule="auto"/>
              <w:rPr>
                <w:rFonts w:ascii="Calibri" w:hAnsi="Calibri" w:eastAsia="Times New Roman" w:cs="Calibri"/>
                <w:color w:val="000000"/>
              </w:rPr>
            </w:pPr>
            <w:r>
              <w:rPr>
                <w:rFonts w:ascii="Calibri" w:hAnsi="Calibri" w:eastAsia="Times New Roman" w:cs="Calibri"/>
                <w:color w:val="000000"/>
              </w:rPr>
              <w:t>MITRENI</w:t>
            </w:r>
          </w:p>
        </w:tc>
        <w:tc>
          <w:tcPr>
            <w:tcW w:w="960" w:type="dxa"/>
            <w:tcBorders>
              <w:top w:val="nil"/>
              <w:left w:val="nil"/>
              <w:bottom w:val="single" w:color="auto" w:sz="4" w:space="0"/>
              <w:right w:val="single" w:color="auto" w:sz="4" w:space="0"/>
            </w:tcBorders>
            <w:noWrap/>
            <w:vAlign w:val="bottom"/>
          </w:tcPr>
          <w:p w14:paraId="665F232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6AD45AB2">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6FA83C1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2416786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0D15E1DC">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1B86719E">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26391CF5">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0B5EB384">
            <w:pPr>
              <w:spacing w:after="0" w:line="240" w:lineRule="auto"/>
              <w:rPr>
                <w:rFonts w:ascii="Calibri" w:hAnsi="Calibri" w:eastAsia="Times New Roman" w:cs="Calibri"/>
                <w:color w:val="000000"/>
              </w:rPr>
            </w:pPr>
            <w:r>
              <w:rPr>
                <w:rFonts w:ascii="Calibri" w:hAnsi="Calibri" w:eastAsia="Times New Roman" w:cs="Calibri"/>
                <w:color w:val="000000"/>
              </w:rPr>
              <w:t>NANA</w:t>
            </w:r>
          </w:p>
        </w:tc>
        <w:tc>
          <w:tcPr>
            <w:tcW w:w="960" w:type="dxa"/>
            <w:tcBorders>
              <w:top w:val="nil"/>
              <w:left w:val="nil"/>
              <w:bottom w:val="single" w:color="auto" w:sz="4" w:space="0"/>
              <w:right w:val="single" w:color="auto" w:sz="4" w:space="0"/>
            </w:tcBorders>
            <w:noWrap/>
            <w:vAlign w:val="bottom"/>
          </w:tcPr>
          <w:p w14:paraId="4B197E8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2C180E5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31EBA8ED">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38BC6D3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2FB64D51">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7FC0E5B4">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6582E7F3">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7818B280">
            <w:pPr>
              <w:spacing w:after="0" w:line="240" w:lineRule="auto"/>
              <w:rPr>
                <w:rFonts w:ascii="Calibri" w:hAnsi="Calibri" w:eastAsia="Times New Roman" w:cs="Calibri"/>
                <w:color w:val="000000"/>
              </w:rPr>
            </w:pPr>
            <w:r>
              <w:rPr>
                <w:rFonts w:ascii="Calibri" w:hAnsi="Calibri" w:eastAsia="Times New Roman" w:cs="Calibri"/>
                <w:color w:val="000000"/>
              </w:rPr>
              <w:t>PLATAREȘTI</w:t>
            </w:r>
          </w:p>
        </w:tc>
        <w:tc>
          <w:tcPr>
            <w:tcW w:w="960" w:type="dxa"/>
            <w:tcBorders>
              <w:top w:val="nil"/>
              <w:left w:val="nil"/>
              <w:bottom w:val="single" w:color="auto" w:sz="4" w:space="0"/>
              <w:right w:val="single" w:color="auto" w:sz="4" w:space="0"/>
            </w:tcBorders>
            <w:noWrap/>
            <w:vAlign w:val="bottom"/>
          </w:tcPr>
          <w:p w14:paraId="6684CDF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0FDF358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01166FD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54CD4A1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62A157E2">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62B56F7D">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59734D6D">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6A093170">
            <w:pPr>
              <w:spacing w:after="0" w:line="240" w:lineRule="auto"/>
              <w:rPr>
                <w:rFonts w:ascii="Calibri" w:hAnsi="Calibri" w:eastAsia="Times New Roman" w:cs="Calibri"/>
                <w:color w:val="000000"/>
              </w:rPr>
            </w:pPr>
            <w:r>
              <w:rPr>
                <w:rFonts w:ascii="Calibri" w:hAnsi="Calibri" w:eastAsia="Times New Roman" w:cs="Calibri"/>
                <w:color w:val="000000"/>
              </w:rPr>
              <w:t>RADOVANU</w:t>
            </w:r>
          </w:p>
        </w:tc>
        <w:tc>
          <w:tcPr>
            <w:tcW w:w="960" w:type="dxa"/>
            <w:tcBorders>
              <w:top w:val="nil"/>
              <w:left w:val="nil"/>
              <w:bottom w:val="single" w:color="auto" w:sz="4" w:space="0"/>
              <w:right w:val="single" w:color="auto" w:sz="4" w:space="0"/>
            </w:tcBorders>
            <w:noWrap/>
            <w:vAlign w:val="bottom"/>
          </w:tcPr>
          <w:p w14:paraId="7DBA7F8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76BC840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39224D7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7402ECB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2F3F95C0">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3560B101">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64DCE385">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376E352D">
            <w:pPr>
              <w:spacing w:after="0" w:line="240" w:lineRule="auto"/>
              <w:rPr>
                <w:rFonts w:ascii="Calibri" w:hAnsi="Calibri" w:eastAsia="Times New Roman" w:cs="Calibri"/>
                <w:color w:val="000000"/>
              </w:rPr>
            </w:pPr>
            <w:r>
              <w:rPr>
                <w:rFonts w:ascii="Calibri" w:hAnsi="Calibri" w:eastAsia="Times New Roman" w:cs="Calibri"/>
                <w:color w:val="000000"/>
              </w:rPr>
              <w:t>ȘOLDANU</w:t>
            </w:r>
          </w:p>
        </w:tc>
        <w:tc>
          <w:tcPr>
            <w:tcW w:w="960" w:type="dxa"/>
            <w:tcBorders>
              <w:top w:val="nil"/>
              <w:left w:val="nil"/>
              <w:bottom w:val="single" w:color="auto" w:sz="4" w:space="0"/>
              <w:right w:val="single" w:color="auto" w:sz="4" w:space="0"/>
            </w:tcBorders>
            <w:noWrap/>
            <w:vAlign w:val="bottom"/>
          </w:tcPr>
          <w:p w14:paraId="19FACC6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457F4E3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3FE8C842">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605766DD">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141212CA">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14679572">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1E5EC75F">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09114C7F">
            <w:pPr>
              <w:spacing w:after="0" w:line="240" w:lineRule="auto"/>
              <w:rPr>
                <w:rFonts w:ascii="Calibri" w:hAnsi="Calibri" w:eastAsia="Times New Roman" w:cs="Calibri"/>
                <w:color w:val="000000"/>
              </w:rPr>
            </w:pPr>
            <w:r>
              <w:rPr>
                <w:rFonts w:ascii="Calibri" w:hAnsi="Calibri" w:eastAsia="Times New Roman" w:cs="Calibri"/>
                <w:color w:val="000000"/>
              </w:rPr>
              <w:t>SPANȚOV</w:t>
            </w:r>
          </w:p>
        </w:tc>
        <w:tc>
          <w:tcPr>
            <w:tcW w:w="960" w:type="dxa"/>
            <w:tcBorders>
              <w:top w:val="nil"/>
              <w:left w:val="nil"/>
              <w:bottom w:val="single" w:color="auto" w:sz="4" w:space="0"/>
              <w:right w:val="single" w:color="auto" w:sz="4" w:space="0"/>
            </w:tcBorders>
            <w:noWrap/>
            <w:vAlign w:val="bottom"/>
          </w:tcPr>
          <w:p w14:paraId="77B05C2E">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43CD4BD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35E27B8D">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4CAA95E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4745BC46">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59549ED9">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1E71E552">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35134780">
            <w:pPr>
              <w:spacing w:after="0" w:line="240" w:lineRule="auto"/>
              <w:rPr>
                <w:rFonts w:ascii="Calibri" w:hAnsi="Calibri" w:eastAsia="Times New Roman" w:cs="Calibri"/>
                <w:color w:val="000000"/>
              </w:rPr>
            </w:pPr>
            <w:r>
              <w:rPr>
                <w:rFonts w:ascii="Calibri" w:hAnsi="Calibri" w:eastAsia="Times New Roman" w:cs="Calibri"/>
                <w:color w:val="000000"/>
              </w:rPr>
              <w:t>ULMENI</w:t>
            </w:r>
          </w:p>
        </w:tc>
        <w:tc>
          <w:tcPr>
            <w:tcW w:w="960" w:type="dxa"/>
            <w:tcBorders>
              <w:top w:val="nil"/>
              <w:left w:val="nil"/>
              <w:bottom w:val="single" w:color="auto" w:sz="4" w:space="0"/>
              <w:right w:val="single" w:color="auto" w:sz="4" w:space="0"/>
            </w:tcBorders>
            <w:noWrap/>
            <w:vAlign w:val="bottom"/>
          </w:tcPr>
          <w:p w14:paraId="3FAAD7F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182CBA4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06F25C6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1ACFC0E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2F27029B">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069BB4C0">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r w14:paraId="5CAAC811">
        <w:tblPrEx>
          <w:tblCellMar>
            <w:top w:w="0" w:type="dxa"/>
            <w:left w:w="108" w:type="dxa"/>
            <w:bottom w:w="0" w:type="dxa"/>
            <w:right w:w="108" w:type="dxa"/>
          </w:tblCellMar>
        </w:tblPrEx>
        <w:trPr>
          <w:trHeight w:val="315" w:hRule="atLeast"/>
        </w:trPr>
        <w:tc>
          <w:tcPr>
            <w:tcW w:w="1760" w:type="dxa"/>
            <w:tcBorders>
              <w:top w:val="nil"/>
              <w:left w:val="single" w:color="auto" w:sz="4" w:space="0"/>
              <w:bottom w:val="single" w:color="auto" w:sz="4" w:space="0"/>
              <w:right w:val="single" w:color="auto" w:sz="4" w:space="0"/>
            </w:tcBorders>
            <w:noWrap/>
            <w:vAlign w:val="bottom"/>
          </w:tcPr>
          <w:p w14:paraId="12773DC7">
            <w:pPr>
              <w:spacing w:after="0" w:line="240" w:lineRule="auto"/>
              <w:rPr>
                <w:rFonts w:ascii="Calibri" w:hAnsi="Calibri" w:eastAsia="Times New Roman" w:cs="Calibri"/>
                <w:color w:val="000000"/>
              </w:rPr>
            </w:pPr>
            <w:r>
              <w:rPr>
                <w:rFonts w:ascii="Calibri" w:hAnsi="Calibri" w:eastAsia="Times New Roman" w:cs="Calibri"/>
                <w:color w:val="000000"/>
              </w:rPr>
              <w:t>VASILAȚI</w:t>
            </w:r>
          </w:p>
        </w:tc>
        <w:tc>
          <w:tcPr>
            <w:tcW w:w="960" w:type="dxa"/>
            <w:tcBorders>
              <w:top w:val="nil"/>
              <w:left w:val="nil"/>
              <w:bottom w:val="single" w:color="auto" w:sz="4" w:space="0"/>
              <w:right w:val="single" w:color="auto" w:sz="4" w:space="0"/>
            </w:tcBorders>
            <w:noWrap/>
            <w:vAlign w:val="bottom"/>
          </w:tcPr>
          <w:p w14:paraId="0389BD9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300" w:type="dxa"/>
            <w:tcBorders>
              <w:top w:val="nil"/>
              <w:left w:val="nil"/>
              <w:bottom w:val="single" w:color="auto" w:sz="4" w:space="0"/>
              <w:right w:val="single" w:color="auto" w:sz="4" w:space="0"/>
            </w:tcBorders>
            <w:noWrap/>
            <w:vAlign w:val="bottom"/>
          </w:tcPr>
          <w:p w14:paraId="563BB3A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60" w:type="dxa"/>
            <w:tcBorders>
              <w:top w:val="nil"/>
              <w:left w:val="nil"/>
              <w:bottom w:val="single" w:color="auto" w:sz="4" w:space="0"/>
              <w:right w:val="single" w:color="auto" w:sz="4" w:space="0"/>
            </w:tcBorders>
            <w:noWrap/>
            <w:vAlign w:val="bottom"/>
          </w:tcPr>
          <w:p w14:paraId="4B671CE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080" w:type="dxa"/>
            <w:tcBorders>
              <w:top w:val="nil"/>
              <w:left w:val="nil"/>
              <w:bottom w:val="single" w:color="auto" w:sz="4" w:space="0"/>
              <w:right w:val="single" w:color="auto" w:sz="4" w:space="0"/>
            </w:tcBorders>
            <w:noWrap/>
            <w:vAlign w:val="bottom"/>
          </w:tcPr>
          <w:p w14:paraId="4DCC959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1100" w:type="dxa"/>
            <w:tcBorders>
              <w:top w:val="nil"/>
              <w:left w:val="nil"/>
              <w:bottom w:val="single" w:color="auto" w:sz="4" w:space="0"/>
              <w:right w:val="single" w:color="auto" w:sz="4" w:space="0"/>
            </w:tcBorders>
            <w:noWrap/>
            <w:vAlign w:val="bottom"/>
          </w:tcPr>
          <w:p w14:paraId="3C93D397">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c>
          <w:tcPr>
            <w:tcW w:w="1240" w:type="dxa"/>
            <w:tcBorders>
              <w:top w:val="nil"/>
              <w:left w:val="nil"/>
              <w:bottom w:val="single" w:color="auto" w:sz="4" w:space="0"/>
              <w:right w:val="single" w:color="auto" w:sz="4" w:space="0"/>
            </w:tcBorders>
            <w:noWrap/>
            <w:vAlign w:val="bottom"/>
          </w:tcPr>
          <w:p w14:paraId="0E292CDD">
            <w:pPr>
              <w:spacing w:after="0" w:line="240" w:lineRule="auto"/>
              <w:jc w:val="right"/>
              <w:rPr>
                <w:rFonts w:ascii="Calibri" w:hAnsi="Calibri" w:eastAsia="Times New Roman" w:cs="Calibri"/>
                <w:color w:val="000000"/>
              </w:rPr>
            </w:pPr>
            <w:r>
              <w:rPr>
                <w:rFonts w:ascii="Calibri" w:hAnsi="Calibri" w:eastAsia="Times New Roman" w:cs="Calibri"/>
                <w:color w:val="000000"/>
              </w:rPr>
              <w:t>52</w:t>
            </w:r>
          </w:p>
        </w:tc>
      </w:tr>
    </w:tbl>
    <w:p w14:paraId="11626850">
      <w:pPr>
        <w:spacing w:after="0" w:line="240" w:lineRule="auto"/>
        <w:jc w:val="both"/>
        <w:rPr>
          <w:rFonts w:asciiTheme="majorHAnsi" w:hAnsiTheme="majorHAnsi" w:cstheme="majorHAnsi"/>
          <w:sz w:val="24"/>
          <w:szCs w:val="24"/>
          <w:lang w:val="ro-RO"/>
        </w:rPr>
      </w:pPr>
    </w:p>
    <w:p w14:paraId="00A72A6F">
      <w:pPr>
        <w:spacing w:after="0" w:line="240" w:lineRule="auto"/>
        <w:jc w:val="both"/>
        <w:rPr>
          <w:rFonts w:asciiTheme="majorHAnsi" w:hAnsiTheme="majorHAnsi" w:cstheme="majorHAnsi"/>
          <w:sz w:val="24"/>
          <w:szCs w:val="24"/>
          <w:lang w:val="ro-RO"/>
        </w:rPr>
      </w:pPr>
    </w:p>
    <w:p w14:paraId="0F94491A">
      <w:pPr>
        <w:spacing w:after="0" w:line="240" w:lineRule="auto"/>
        <w:jc w:val="both"/>
        <w:rPr>
          <w:rFonts w:asciiTheme="majorHAnsi" w:hAnsiTheme="majorHAnsi" w:cstheme="majorHAnsi"/>
          <w:sz w:val="24"/>
          <w:szCs w:val="24"/>
          <w:lang w:val="ro-RO"/>
        </w:rPr>
      </w:pPr>
    </w:p>
    <w:p w14:paraId="7158EDE9">
      <w:p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Tabel 5.1 </w:t>
      </w:r>
      <w:r>
        <w:rPr>
          <w:rFonts w:asciiTheme="majorHAnsi" w:hAnsiTheme="majorHAnsi" w:cstheme="majorHAnsi"/>
          <w:sz w:val="24"/>
          <w:szCs w:val="24"/>
        </w:rPr>
        <w:t>Frecvenţa de colectare al deşeurilor reziduale şi al biodeşeurilor municipale în aria de delegare</w:t>
      </w:r>
    </w:p>
    <w:p w14:paraId="4A40E460">
      <w:pPr>
        <w:spacing w:after="0" w:line="240" w:lineRule="auto"/>
        <w:jc w:val="both"/>
        <w:rPr>
          <w:rFonts w:asciiTheme="majorHAnsi" w:hAnsiTheme="majorHAnsi" w:cstheme="majorHAnsi"/>
          <w:sz w:val="24"/>
          <w:szCs w:val="24"/>
          <w:lang w:val="ro-RO"/>
        </w:rPr>
      </w:pPr>
    </w:p>
    <w:p w14:paraId="53020E35">
      <w:pPr>
        <w:spacing w:after="0" w:line="240" w:lineRule="auto"/>
        <w:jc w:val="both"/>
        <w:rPr>
          <w:rFonts w:asciiTheme="majorHAnsi" w:hAnsiTheme="majorHAnsi" w:cstheme="majorHAnsi"/>
          <w:sz w:val="24"/>
          <w:szCs w:val="24"/>
        </w:rPr>
      </w:pPr>
      <w:r>
        <w:rPr>
          <w:rFonts w:asciiTheme="majorHAnsi" w:hAnsiTheme="majorHAnsi" w:cstheme="majorHAnsi"/>
          <w:sz w:val="24"/>
          <w:szCs w:val="24"/>
        </w:rPr>
        <w:t>Frecvenţa de colectare al deşeurilor reciclabile municipale în aria de delegare</w:t>
      </w:r>
    </w:p>
    <w:tbl>
      <w:tblPr>
        <w:tblStyle w:val="12"/>
        <w:tblW w:w="8940" w:type="dxa"/>
        <w:tblInd w:w="0" w:type="dxa"/>
        <w:tblLayout w:type="autofit"/>
        <w:tblCellMar>
          <w:top w:w="0" w:type="dxa"/>
          <w:left w:w="108" w:type="dxa"/>
          <w:bottom w:w="0" w:type="dxa"/>
          <w:right w:w="108" w:type="dxa"/>
        </w:tblCellMar>
      </w:tblPr>
      <w:tblGrid>
        <w:gridCol w:w="1679"/>
        <w:gridCol w:w="909"/>
        <w:gridCol w:w="911"/>
        <w:gridCol w:w="900"/>
        <w:gridCol w:w="911"/>
        <w:gridCol w:w="908"/>
        <w:gridCol w:w="911"/>
        <w:gridCol w:w="900"/>
        <w:gridCol w:w="911"/>
      </w:tblGrid>
      <w:tr w14:paraId="59E7116E">
        <w:tblPrEx>
          <w:tblCellMar>
            <w:top w:w="0" w:type="dxa"/>
            <w:left w:w="108" w:type="dxa"/>
            <w:bottom w:w="0" w:type="dxa"/>
            <w:right w:w="108" w:type="dxa"/>
          </w:tblCellMar>
        </w:tblPrEx>
        <w:trPr>
          <w:trHeight w:val="1665" w:hRule="atLeast"/>
        </w:trPr>
        <w:tc>
          <w:tcPr>
            <w:tcW w:w="1679" w:type="dxa"/>
            <w:vMerge w:val="restart"/>
            <w:tcBorders>
              <w:top w:val="single" w:color="auto" w:sz="4" w:space="0"/>
              <w:left w:val="single" w:color="auto" w:sz="4" w:space="0"/>
              <w:bottom w:val="single" w:color="auto" w:sz="4" w:space="0"/>
              <w:right w:val="single" w:color="auto" w:sz="4" w:space="0"/>
            </w:tcBorders>
            <w:vAlign w:val="center"/>
          </w:tcPr>
          <w:p w14:paraId="6361D9C7">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Aria de delegare </w:t>
            </w:r>
          </w:p>
        </w:tc>
        <w:tc>
          <w:tcPr>
            <w:tcW w:w="3631" w:type="dxa"/>
            <w:gridSpan w:val="4"/>
            <w:tcBorders>
              <w:top w:val="single" w:color="auto" w:sz="4" w:space="0"/>
              <w:left w:val="nil"/>
              <w:bottom w:val="single" w:color="auto" w:sz="4" w:space="0"/>
              <w:right w:val="single" w:color="auto" w:sz="4" w:space="0"/>
            </w:tcBorders>
            <w:vAlign w:val="center"/>
          </w:tcPr>
          <w:p w14:paraId="3BECA58C">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Frecvenţa/zilele de colectare din punctele de colectare </w:t>
            </w:r>
          </w:p>
        </w:tc>
        <w:tc>
          <w:tcPr>
            <w:tcW w:w="3630" w:type="dxa"/>
            <w:gridSpan w:val="4"/>
            <w:tcBorders>
              <w:top w:val="single" w:color="auto" w:sz="4" w:space="0"/>
              <w:left w:val="nil"/>
              <w:bottom w:val="single" w:color="auto" w:sz="4" w:space="0"/>
              <w:right w:val="single" w:color="auto" w:sz="4" w:space="0"/>
            </w:tcBorders>
            <w:vAlign w:val="center"/>
          </w:tcPr>
          <w:p w14:paraId="0097C82D">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Frecvenţa/zilele de colectare din "poartă în poartă" şi de la persoanele juridice </w:t>
            </w:r>
          </w:p>
        </w:tc>
      </w:tr>
      <w:tr w14:paraId="33E76921">
        <w:tblPrEx>
          <w:tblCellMar>
            <w:top w:w="0" w:type="dxa"/>
            <w:left w:w="108" w:type="dxa"/>
            <w:bottom w:w="0" w:type="dxa"/>
            <w:right w:w="108" w:type="dxa"/>
          </w:tblCellMar>
        </w:tblPrEx>
        <w:trPr>
          <w:trHeight w:val="1440" w:hRule="atLeast"/>
        </w:trPr>
        <w:tc>
          <w:tcPr>
            <w:tcW w:w="1679" w:type="dxa"/>
            <w:vMerge w:val="continue"/>
            <w:tcBorders>
              <w:top w:val="single" w:color="auto" w:sz="4" w:space="0"/>
              <w:left w:val="single" w:color="auto" w:sz="4" w:space="0"/>
              <w:bottom w:val="single" w:color="auto" w:sz="4" w:space="0"/>
              <w:right w:val="single" w:color="auto" w:sz="4" w:space="0"/>
            </w:tcBorders>
            <w:vAlign w:val="center"/>
          </w:tcPr>
          <w:p w14:paraId="109493D0">
            <w:pPr>
              <w:spacing w:after="0" w:line="240" w:lineRule="auto"/>
              <w:rPr>
                <w:rFonts w:ascii="Arial" w:hAnsi="Arial" w:eastAsia="Times New Roman" w:cs="Arial"/>
                <w:color w:val="333333"/>
                <w:sz w:val="18"/>
                <w:szCs w:val="18"/>
              </w:rPr>
            </w:pPr>
          </w:p>
        </w:tc>
        <w:tc>
          <w:tcPr>
            <w:tcW w:w="909" w:type="dxa"/>
            <w:tcBorders>
              <w:top w:val="nil"/>
              <w:left w:val="nil"/>
              <w:bottom w:val="single" w:color="auto" w:sz="4" w:space="0"/>
              <w:right w:val="single" w:color="auto" w:sz="4" w:space="0"/>
            </w:tcBorders>
            <w:vAlign w:val="center"/>
          </w:tcPr>
          <w:p w14:paraId="2EF75241">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Hârtie şi carton </w:t>
            </w:r>
          </w:p>
        </w:tc>
        <w:tc>
          <w:tcPr>
            <w:tcW w:w="911" w:type="dxa"/>
            <w:tcBorders>
              <w:top w:val="nil"/>
              <w:left w:val="nil"/>
              <w:bottom w:val="single" w:color="auto" w:sz="4" w:space="0"/>
              <w:right w:val="single" w:color="auto" w:sz="4" w:space="0"/>
            </w:tcBorders>
            <w:vAlign w:val="center"/>
          </w:tcPr>
          <w:p w14:paraId="611B4A39">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Plastic şi metal </w:t>
            </w:r>
          </w:p>
        </w:tc>
        <w:tc>
          <w:tcPr>
            <w:tcW w:w="900" w:type="dxa"/>
            <w:tcBorders>
              <w:top w:val="nil"/>
              <w:left w:val="nil"/>
              <w:bottom w:val="single" w:color="auto" w:sz="4" w:space="0"/>
              <w:right w:val="single" w:color="auto" w:sz="4" w:space="0"/>
            </w:tcBorders>
            <w:vAlign w:val="center"/>
          </w:tcPr>
          <w:p w14:paraId="6EFB58E7">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Sticlă </w:t>
            </w:r>
          </w:p>
        </w:tc>
        <w:tc>
          <w:tcPr>
            <w:tcW w:w="911" w:type="dxa"/>
            <w:tcBorders>
              <w:top w:val="nil"/>
              <w:left w:val="nil"/>
              <w:bottom w:val="single" w:color="auto" w:sz="4" w:space="0"/>
              <w:right w:val="single" w:color="auto" w:sz="4" w:space="0"/>
            </w:tcBorders>
            <w:vAlign w:val="center"/>
          </w:tcPr>
          <w:p w14:paraId="3B8E7AD9">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Textile </w:t>
            </w:r>
          </w:p>
        </w:tc>
        <w:tc>
          <w:tcPr>
            <w:tcW w:w="908" w:type="dxa"/>
            <w:tcBorders>
              <w:top w:val="nil"/>
              <w:left w:val="nil"/>
              <w:bottom w:val="single" w:color="auto" w:sz="4" w:space="0"/>
              <w:right w:val="single" w:color="auto" w:sz="4" w:space="0"/>
            </w:tcBorders>
            <w:vAlign w:val="center"/>
          </w:tcPr>
          <w:p w14:paraId="640BA415">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Hârtie şi carton </w:t>
            </w:r>
          </w:p>
        </w:tc>
        <w:tc>
          <w:tcPr>
            <w:tcW w:w="911" w:type="dxa"/>
            <w:tcBorders>
              <w:top w:val="nil"/>
              <w:left w:val="nil"/>
              <w:bottom w:val="single" w:color="auto" w:sz="4" w:space="0"/>
              <w:right w:val="single" w:color="auto" w:sz="4" w:space="0"/>
            </w:tcBorders>
            <w:vAlign w:val="center"/>
          </w:tcPr>
          <w:p w14:paraId="2DA29DE2">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Plastic şi metal </w:t>
            </w:r>
          </w:p>
        </w:tc>
        <w:tc>
          <w:tcPr>
            <w:tcW w:w="900" w:type="dxa"/>
            <w:tcBorders>
              <w:top w:val="nil"/>
              <w:left w:val="nil"/>
              <w:bottom w:val="single" w:color="auto" w:sz="4" w:space="0"/>
              <w:right w:val="single" w:color="auto" w:sz="4" w:space="0"/>
            </w:tcBorders>
            <w:vAlign w:val="center"/>
          </w:tcPr>
          <w:p w14:paraId="528FC24A">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Sticlă </w:t>
            </w:r>
          </w:p>
        </w:tc>
        <w:tc>
          <w:tcPr>
            <w:tcW w:w="911" w:type="dxa"/>
            <w:tcBorders>
              <w:top w:val="nil"/>
              <w:left w:val="nil"/>
              <w:bottom w:val="single" w:color="auto" w:sz="4" w:space="0"/>
              <w:right w:val="single" w:color="auto" w:sz="4" w:space="0"/>
            </w:tcBorders>
            <w:vAlign w:val="center"/>
          </w:tcPr>
          <w:p w14:paraId="701D6CE4">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Textile </w:t>
            </w:r>
          </w:p>
        </w:tc>
      </w:tr>
      <w:tr w14:paraId="0443CEF8">
        <w:tblPrEx>
          <w:tblCellMar>
            <w:top w:w="0" w:type="dxa"/>
            <w:left w:w="108" w:type="dxa"/>
            <w:bottom w:w="0" w:type="dxa"/>
            <w:right w:w="108" w:type="dxa"/>
          </w:tblCellMar>
        </w:tblPrEx>
        <w:trPr>
          <w:trHeight w:val="300" w:hRule="atLeast"/>
        </w:trPr>
        <w:tc>
          <w:tcPr>
            <w:tcW w:w="8940" w:type="dxa"/>
            <w:gridSpan w:val="9"/>
            <w:tcBorders>
              <w:top w:val="single" w:color="auto" w:sz="4" w:space="0"/>
              <w:left w:val="single" w:color="auto" w:sz="4" w:space="0"/>
              <w:bottom w:val="single" w:color="auto" w:sz="4" w:space="0"/>
              <w:right w:val="single" w:color="auto" w:sz="4" w:space="0"/>
            </w:tcBorders>
            <w:vAlign w:val="center"/>
          </w:tcPr>
          <w:p w14:paraId="4FB8EC08">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xml:space="preserve">Zona urbană </w:t>
            </w:r>
          </w:p>
        </w:tc>
      </w:tr>
      <w:tr w14:paraId="357F1CE0">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3867AE53">
            <w:pPr>
              <w:spacing w:after="0" w:line="240" w:lineRule="auto"/>
              <w:rPr>
                <w:rFonts w:ascii="Calibri" w:hAnsi="Calibri" w:eastAsia="Times New Roman" w:cs="Calibri"/>
                <w:color w:val="000000"/>
              </w:rPr>
            </w:pPr>
            <w:r>
              <w:rPr>
                <w:rFonts w:ascii="Calibri" w:hAnsi="Calibri" w:eastAsia="Times New Roman" w:cs="Calibri"/>
                <w:color w:val="000000"/>
              </w:rPr>
              <w:t xml:space="preserve">OLTENIŢA </w:t>
            </w:r>
          </w:p>
        </w:tc>
        <w:tc>
          <w:tcPr>
            <w:tcW w:w="909" w:type="dxa"/>
            <w:tcBorders>
              <w:top w:val="nil"/>
              <w:left w:val="nil"/>
              <w:bottom w:val="single" w:color="auto" w:sz="4" w:space="0"/>
              <w:right w:val="single" w:color="auto" w:sz="4" w:space="0"/>
            </w:tcBorders>
          </w:tcPr>
          <w:p w14:paraId="7C9782C3">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52</w:t>
            </w:r>
          </w:p>
        </w:tc>
        <w:tc>
          <w:tcPr>
            <w:tcW w:w="911" w:type="dxa"/>
            <w:tcBorders>
              <w:top w:val="nil"/>
              <w:left w:val="nil"/>
              <w:bottom w:val="single" w:color="auto" w:sz="4" w:space="0"/>
              <w:right w:val="single" w:color="auto" w:sz="4" w:space="0"/>
            </w:tcBorders>
          </w:tcPr>
          <w:p w14:paraId="5B806029">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52</w:t>
            </w:r>
          </w:p>
        </w:tc>
        <w:tc>
          <w:tcPr>
            <w:tcW w:w="900" w:type="dxa"/>
            <w:tcBorders>
              <w:top w:val="nil"/>
              <w:left w:val="nil"/>
              <w:bottom w:val="single" w:color="auto" w:sz="4" w:space="0"/>
              <w:right w:val="single" w:color="auto" w:sz="4" w:space="0"/>
            </w:tcBorders>
          </w:tcPr>
          <w:p w14:paraId="66F5DF55">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0185A2F0">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08" w:type="dxa"/>
            <w:tcBorders>
              <w:top w:val="nil"/>
              <w:left w:val="nil"/>
              <w:bottom w:val="single" w:color="auto" w:sz="4" w:space="0"/>
              <w:right w:val="single" w:color="auto" w:sz="4" w:space="0"/>
            </w:tcBorders>
          </w:tcPr>
          <w:p w14:paraId="7EC8899B">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26</w:t>
            </w:r>
          </w:p>
        </w:tc>
        <w:tc>
          <w:tcPr>
            <w:tcW w:w="911" w:type="dxa"/>
            <w:tcBorders>
              <w:top w:val="nil"/>
              <w:left w:val="nil"/>
              <w:bottom w:val="single" w:color="auto" w:sz="4" w:space="0"/>
              <w:right w:val="single" w:color="auto" w:sz="4" w:space="0"/>
            </w:tcBorders>
          </w:tcPr>
          <w:p w14:paraId="6E53F6E5">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26</w:t>
            </w:r>
          </w:p>
        </w:tc>
        <w:tc>
          <w:tcPr>
            <w:tcW w:w="900" w:type="dxa"/>
            <w:tcBorders>
              <w:top w:val="nil"/>
              <w:left w:val="nil"/>
              <w:bottom w:val="single" w:color="auto" w:sz="4" w:space="0"/>
              <w:right w:val="single" w:color="auto" w:sz="4" w:space="0"/>
            </w:tcBorders>
          </w:tcPr>
          <w:p w14:paraId="263390AD">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2341FC77">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4DBF7DBE">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68838754">
            <w:pPr>
              <w:spacing w:after="0" w:line="240" w:lineRule="auto"/>
              <w:rPr>
                <w:rFonts w:ascii="Calibri" w:hAnsi="Calibri" w:eastAsia="Times New Roman" w:cs="Calibri"/>
                <w:color w:val="000000"/>
              </w:rPr>
            </w:pPr>
            <w:r>
              <w:rPr>
                <w:rFonts w:ascii="Calibri" w:hAnsi="Calibri" w:eastAsia="Times New Roman" w:cs="Calibri"/>
                <w:color w:val="000000"/>
              </w:rPr>
              <w:t>BUDEȘTI</w:t>
            </w:r>
          </w:p>
        </w:tc>
        <w:tc>
          <w:tcPr>
            <w:tcW w:w="909" w:type="dxa"/>
            <w:tcBorders>
              <w:top w:val="nil"/>
              <w:left w:val="nil"/>
              <w:bottom w:val="single" w:color="auto" w:sz="4" w:space="0"/>
              <w:right w:val="single" w:color="auto" w:sz="4" w:space="0"/>
            </w:tcBorders>
          </w:tcPr>
          <w:p w14:paraId="18EB8612">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52</w:t>
            </w:r>
          </w:p>
        </w:tc>
        <w:tc>
          <w:tcPr>
            <w:tcW w:w="911" w:type="dxa"/>
            <w:tcBorders>
              <w:top w:val="nil"/>
              <w:left w:val="nil"/>
              <w:bottom w:val="single" w:color="auto" w:sz="4" w:space="0"/>
              <w:right w:val="single" w:color="auto" w:sz="4" w:space="0"/>
            </w:tcBorders>
          </w:tcPr>
          <w:p w14:paraId="1E83313D">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52</w:t>
            </w:r>
          </w:p>
        </w:tc>
        <w:tc>
          <w:tcPr>
            <w:tcW w:w="900" w:type="dxa"/>
            <w:tcBorders>
              <w:top w:val="nil"/>
              <w:left w:val="nil"/>
              <w:bottom w:val="single" w:color="auto" w:sz="4" w:space="0"/>
              <w:right w:val="single" w:color="auto" w:sz="4" w:space="0"/>
            </w:tcBorders>
          </w:tcPr>
          <w:p w14:paraId="2A04BCB1">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12C78960">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08" w:type="dxa"/>
            <w:tcBorders>
              <w:top w:val="nil"/>
              <w:left w:val="nil"/>
              <w:bottom w:val="single" w:color="auto" w:sz="4" w:space="0"/>
              <w:right w:val="single" w:color="auto" w:sz="4" w:space="0"/>
            </w:tcBorders>
          </w:tcPr>
          <w:p w14:paraId="0BEDEEC3">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26</w:t>
            </w:r>
          </w:p>
        </w:tc>
        <w:tc>
          <w:tcPr>
            <w:tcW w:w="911" w:type="dxa"/>
            <w:tcBorders>
              <w:top w:val="nil"/>
              <w:left w:val="nil"/>
              <w:bottom w:val="single" w:color="auto" w:sz="4" w:space="0"/>
              <w:right w:val="single" w:color="auto" w:sz="4" w:space="0"/>
            </w:tcBorders>
          </w:tcPr>
          <w:p w14:paraId="41ED5BDF">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26</w:t>
            </w:r>
          </w:p>
        </w:tc>
        <w:tc>
          <w:tcPr>
            <w:tcW w:w="900" w:type="dxa"/>
            <w:tcBorders>
              <w:top w:val="nil"/>
              <w:left w:val="nil"/>
              <w:bottom w:val="single" w:color="auto" w:sz="4" w:space="0"/>
              <w:right w:val="single" w:color="auto" w:sz="4" w:space="0"/>
            </w:tcBorders>
          </w:tcPr>
          <w:p w14:paraId="49EA5A38">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3E93F8E0">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1FAE1785">
        <w:tblPrEx>
          <w:tblCellMar>
            <w:top w:w="0" w:type="dxa"/>
            <w:left w:w="108" w:type="dxa"/>
            <w:bottom w:w="0" w:type="dxa"/>
            <w:right w:w="108" w:type="dxa"/>
          </w:tblCellMar>
        </w:tblPrEx>
        <w:trPr>
          <w:trHeight w:val="300" w:hRule="atLeast"/>
        </w:trPr>
        <w:tc>
          <w:tcPr>
            <w:tcW w:w="1679" w:type="dxa"/>
            <w:tcBorders>
              <w:top w:val="nil"/>
              <w:left w:val="single" w:color="auto" w:sz="4" w:space="0"/>
              <w:bottom w:val="single" w:color="auto" w:sz="4" w:space="0"/>
              <w:right w:val="single" w:color="auto" w:sz="4" w:space="0"/>
            </w:tcBorders>
            <w:noWrap/>
            <w:vAlign w:val="bottom"/>
          </w:tcPr>
          <w:p w14:paraId="4647D018">
            <w:pPr>
              <w:spacing w:after="0" w:line="240" w:lineRule="auto"/>
              <w:rPr>
                <w:rFonts w:ascii="Calibri" w:hAnsi="Calibri" w:eastAsia="Times New Roman" w:cs="Calibri"/>
                <w:b/>
                <w:bCs/>
                <w:color w:val="000000"/>
              </w:rPr>
            </w:pPr>
            <w:r>
              <w:rPr>
                <w:rFonts w:ascii="Calibri" w:hAnsi="Calibri" w:eastAsia="Times New Roman" w:cs="Calibri"/>
                <w:b/>
                <w:bCs/>
                <w:color w:val="000000"/>
              </w:rPr>
              <w:t>Total zona urbana</w:t>
            </w:r>
          </w:p>
        </w:tc>
        <w:tc>
          <w:tcPr>
            <w:tcW w:w="909" w:type="dxa"/>
            <w:tcBorders>
              <w:top w:val="nil"/>
              <w:left w:val="nil"/>
              <w:bottom w:val="single" w:color="auto" w:sz="4" w:space="0"/>
              <w:right w:val="single" w:color="auto" w:sz="4" w:space="0"/>
            </w:tcBorders>
            <w:vAlign w:val="center"/>
          </w:tcPr>
          <w:p w14:paraId="4C06FC0A">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w:t>
            </w:r>
          </w:p>
        </w:tc>
        <w:tc>
          <w:tcPr>
            <w:tcW w:w="911" w:type="dxa"/>
            <w:tcBorders>
              <w:top w:val="nil"/>
              <w:left w:val="nil"/>
              <w:bottom w:val="single" w:color="auto" w:sz="4" w:space="0"/>
              <w:right w:val="single" w:color="auto" w:sz="4" w:space="0"/>
            </w:tcBorders>
            <w:vAlign w:val="center"/>
          </w:tcPr>
          <w:p w14:paraId="42FFE4DF">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w:t>
            </w:r>
          </w:p>
        </w:tc>
        <w:tc>
          <w:tcPr>
            <w:tcW w:w="900" w:type="dxa"/>
            <w:tcBorders>
              <w:top w:val="nil"/>
              <w:left w:val="nil"/>
              <w:bottom w:val="single" w:color="auto" w:sz="4" w:space="0"/>
              <w:right w:val="single" w:color="auto" w:sz="4" w:space="0"/>
            </w:tcBorders>
            <w:vAlign w:val="center"/>
          </w:tcPr>
          <w:p w14:paraId="6DFC25A9">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w:t>
            </w:r>
          </w:p>
        </w:tc>
        <w:tc>
          <w:tcPr>
            <w:tcW w:w="911" w:type="dxa"/>
            <w:tcBorders>
              <w:top w:val="nil"/>
              <w:left w:val="nil"/>
              <w:bottom w:val="single" w:color="auto" w:sz="4" w:space="0"/>
              <w:right w:val="single" w:color="auto" w:sz="4" w:space="0"/>
            </w:tcBorders>
            <w:vAlign w:val="center"/>
          </w:tcPr>
          <w:p w14:paraId="7D3DBEC0">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w:t>
            </w:r>
          </w:p>
        </w:tc>
        <w:tc>
          <w:tcPr>
            <w:tcW w:w="908" w:type="dxa"/>
            <w:tcBorders>
              <w:top w:val="nil"/>
              <w:left w:val="nil"/>
              <w:bottom w:val="single" w:color="auto" w:sz="4" w:space="0"/>
              <w:right w:val="single" w:color="auto" w:sz="4" w:space="0"/>
            </w:tcBorders>
            <w:vAlign w:val="center"/>
          </w:tcPr>
          <w:p w14:paraId="44CBBD6B">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w:t>
            </w:r>
          </w:p>
        </w:tc>
        <w:tc>
          <w:tcPr>
            <w:tcW w:w="911" w:type="dxa"/>
            <w:tcBorders>
              <w:top w:val="nil"/>
              <w:left w:val="nil"/>
              <w:bottom w:val="single" w:color="auto" w:sz="4" w:space="0"/>
              <w:right w:val="single" w:color="auto" w:sz="4" w:space="0"/>
            </w:tcBorders>
            <w:vAlign w:val="center"/>
          </w:tcPr>
          <w:p w14:paraId="572E7A7A">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w:t>
            </w:r>
          </w:p>
        </w:tc>
        <w:tc>
          <w:tcPr>
            <w:tcW w:w="900" w:type="dxa"/>
            <w:tcBorders>
              <w:top w:val="nil"/>
              <w:left w:val="nil"/>
              <w:bottom w:val="single" w:color="auto" w:sz="4" w:space="0"/>
              <w:right w:val="single" w:color="auto" w:sz="4" w:space="0"/>
            </w:tcBorders>
            <w:vAlign w:val="center"/>
          </w:tcPr>
          <w:p w14:paraId="2D1D7489">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w:t>
            </w:r>
          </w:p>
        </w:tc>
        <w:tc>
          <w:tcPr>
            <w:tcW w:w="911" w:type="dxa"/>
            <w:tcBorders>
              <w:top w:val="nil"/>
              <w:left w:val="nil"/>
              <w:bottom w:val="single" w:color="auto" w:sz="4" w:space="0"/>
              <w:right w:val="single" w:color="auto" w:sz="4" w:space="0"/>
            </w:tcBorders>
            <w:vAlign w:val="center"/>
          </w:tcPr>
          <w:p w14:paraId="5E0C79EB">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w:t>
            </w:r>
          </w:p>
        </w:tc>
      </w:tr>
      <w:tr w14:paraId="3AEF40C6">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74C91969">
            <w:pPr>
              <w:spacing w:after="0" w:line="240" w:lineRule="auto"/>
              <w:rPr>
                <w:rFonts w:ascii="Calibri" w:hAnsi="Calibri" w:eastAsia="Times New Roman" w:cs="Calibri"/>
                <w:color w:val="000000"/>
              </w:rPr>
            </w:pPr>
            <w:r>
              <w:rPr>
                <w:rFonts w:ascii="Calibri" w:hAnsi="Calibri" w:eastAsia="Times New Roman" w:cs="Calibri"/>
                <w:color w:val="000000"/>
              </w:rPr>
              <w:t>CASCIOARELE</w:t>
            </w:r>
          </w:p>
        </w:tc>
        <w:tc>
          <w:tcPr>
            <w:tcW w:w="909" w:type="dxa"/>
            <w:tcBorders>
              <w:top w:val="nil"/>
              <w:left w:val="nil"/>
              <w:bottom w:val="single" w:color="auto" w:sz="4" w:space="0"/>
              <w:right w:val="single" w:color="auto" w:sz="4" w:space="0"/>
            </w:tcBorders>
          </w:tcPr>
          <w:p w14:paraId="61E0D804">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11" w:type="dxa"/>
            <w:tcBorders>
              <w:top w:val="nil"/>
              <w:left w:val="nil"/>
              <w:bottom w:val="single" w:color="auto" w:sz="4" w:space="0"/>
              <w:right w:val="single" w:color="auto" w:sz="4" w:space="0"/>
            </w:tcBorders>
          </w:tcPr>
          <w:p w14:paraId="09CBE97F">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00" w:type="dxa"/>
            <w:tcBorders>
              <w:top w:val="nil"/>
              <w:left w:val="nil"/>
              <w:bottom w:val="single" w:color="auto" w:sz="4" w:space="0"/>
              <w:right w:val="single" w:color="auto" w:sz="4" w:space="0"/>
            </w:tcBorders>
          </w:tcPr>
          <w:p w14:paraId="6EC97105">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11" w:type="dxa"/>
            <w:tcBorders>
              <w:top w:val="nil"/>
              <w:left w:val="nil"/>
              <w:bottom w:val="single" w:color="auto" w:sz="4" w:space="0"/>
              <w:right w:val="single" w:color="auto" w:sz="4" w:space="0"/>
            </w:tcBorders>
          </w:tcPr>
          <w:p w14:paraId="4101BC63">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08" w:type="dxa"/>
            <w:tcBorders>
              <w:top w:val="nil"/>
              <w:left w:val="nil"/>
              <w:bottom w:val="single" w:color="auto" w:sz="4" w:space="0"/>
              <w:right w:val="single" w:color="auto" w:sz="4" w:space="0"/>
            </w:tcBorders>
          </w:tcPr>
          <w:p w14:paraId="7AA4E745">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234942F2">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4C9A0193">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4B3B3F11">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7F932AFA">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0794BE5B">
            <w:pPr>
              <w:spacing w:after="0" w:line="240" w:lineRule="auto"/>
              <w:rPr>
                <w:rFonts w:ascii="Calibri" w:hAnsi="Calibri" w:eastAsia="Times New Roman" w:cs="Calibri"/>
                <w:color w:val="000000"/>
              </w:rPr>
            </w:pPr>
            <w:r>
              <w:rPr>
                <w:rFonts w:ascii="Calibri" w:hAnsi="Calibri" w:eastAsia="Times New Roman" w:cs="Calibri"/>
                <w:color w:val="000000"/>
              </w:rPr>
              <w:t>CHIRNOGI</w:t>
            </w:r>
          </w:p>
        </w:tc>
        <w:tc>
          <w:tcPr>
            <w:tcW w:w="909" w:type="dxa"/>
            <w:tcBorders>
              <w:top w:val="nil"/>
              <w:left w:val="nil"/>
              <w:bottom w:val="single" w:color="auto" w:sz="4" w:space="0"/>
              <w:right w:val="single" w:color="auto" w:sz="4" w:space="0"/>
            </w:tcBorders>
          </w:tcPr>
          <w:p w14:paraId="7057550A">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11" w:type="dxa"/>
            <w:tcBorders>
              <w:top w:val="nil"/>
              <w:left w:val="nil"/>
              <w:bottom w:val="single" w:color="auto" w:sz="4" w:space="0"/>
              <w:right w:val="single" w:color="auto" w:sz="4" w:space="0"/>
            </w:tcBorders>
          </w:tcPr>
          <w:p w14:paraId="6166525F">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00" w:type="dxa"/>
            <w:tcBorders>
              <w:top w:val="nil"/>
              <w:left w:val="nil"/>
              <w:bottom w:val="single" w:color="auto" w:sz="4" w:space="0"/>
              <w:right w:val="single" w:color="auto" w:sz="4" w:space="0"/>
            </w:tcBorders>
          </w:tcPr>
          <w:p w14:paraId="2D72FC86">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11" w:type="dxa"/>
            <w:tcBorders>
              <w:top w:val="nil"/>
              <w:left w:val="nil"/>
              <w:bottom w:val="single" w:color="auto" w:sz="4" w:space="0"/>
              <w:right w:val="single" w:color="auto" w:sz="4" w:space="0"/>
            </w:tcBorders>
          </w:tcPr>
          <w:p w14:paraId="2F4E7DBE">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908" w:type="dxa"/>
            <w:tcBorders>
              <w:top w:val="nil"/>
              <w:left w:val="nil"/>
              <w:bottom w:val="single" w:color="auto" w:sz="4" w:space="0"/>
              <w:right w:val="single" w:color="auto" w:sz="4" w:space="0"/>
            </w:tcBorders>
          </w:tcPr>
          <w:p w14:paraId="713AAC6D">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72F5B998">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57DE00EA">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7AD60538">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705171EB">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4BE4BFEA">
            <w:pPr>
              <w:spacing w:after="0" w:line="240" w:lineRule="auto"/>
              <w:rPr>
                <w:rFonts w:ascii="Calibri" w:hAnsi="Calibri" w:eastAsia="Times New Roman" w:cs="Calibri"/>
                <w:color w:val="000000"/>
              </w:rPr>
            </w:pPr>
            <w:r>
              <w:rPr>
                <w:rFonts w:ascii="Calibri" w:hAnsi="Calibri" w:eastAsia="Times New Roman" w:cs="Calibri"/>
                <w:color w:val="000000"/>
              </w:rPr>
              <w:t>CHISELET</w:t>
            </w:r>
          </w:p>
        </w:tc>
        <w:tc>
          <w:tcPr>
            <w:tcW w:w="909" w:type="dxa"/>
            <w:tcBorders>
              <w:top w:val="nil"/>
              <w:left w:val="nil"/>
              <w:bottom w:val="single" w:color="auto" w:sz="4" w:space="0"/>
              <w:right w:val="single" w:color="auto" w:sz="4" w:space="0"/>
            </w:tcBorders>
            <w:noWrap/>
            <w:vAlign w:val="bottom"/>
          </w:tcPr>
          <w:p w14:paraId="21A3610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13CE2E6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67D6C54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355A7CB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6B708A52">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57774AF2">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16831A21">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3E8E3343">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F31E241">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7F8C49BD">
            <w:pPr>
              <w:spacing w:after="0" w:line="240" w:lineRule="auto"/>
              <w:rPr>
                <w:rFonts w:ascii="Calibri" w:hAnsi="Calibri" w:eastAsia="Times New Roman" w:cs="Calibri"/>
                <w:color w:val="000000"/>
              </w:rPr>
            </w:pPr>
            <w:r>
              <w:rPr>
                <w:rFonts w:ascii="Calibri" w:hAnsi="Calibri" w:eastAsia="Times New Roman" w:cs="Calibri"/>
                <w:color w:val="000000"/>
              </w:rPr>
              <w:t>CRIVAȚ</w:t>
            </w:r>
          </w:p>
        </w:tc>
        <w:tc>
          <w:tcPr>
            <w:tcW w:w="909" w:type="dxa"/>
            <w:tcBorders>
              <w:top w:val="nil"/>
              <w:left w:val="nil"/>
              <w:bottom w:val="single" w:color="auto" w:sz="4" w:space="0"/>
              <w:right w:val="single" w:color="auto" w:sz="4" w:space="0"/>
            </w:tcBorders>
            <w:noWrap/>
            <w:vAlign w:val="bottom"/>
          </w:tcPr>
          <w:p w14:paraId="43F5E42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4B3E75D2">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363AE85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0CEFE61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6A59BDD7">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0FD4CCA1">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71BB0910">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2F579D14">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797192AF">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47C1B739">
            <w:pPr>
              <w:spacing w:after="0" w:line="240" w:lineRule="auto"/>
              <w:rPr>
                <w:rFonts w:ascii="Calibri" w:hAnsi="Calibri" w:eastAsia="Times New Roman" w:cs="Calibri"/>
                <w:color w:val="000000"/>
              </w:rPr>
            </w:pPr>
            <w:r>
              <w:rPr>
                <w:rFonts w:ascii="Calibri" w:hAnsi="Calibri" w:eastAsia="Times New Roman" w:cs="Calibri"/>
                <w:color w:val="000000"/>
              </w:rPr>
              <w:t>CURCANI</w:t>
            </w:r>
          </w:p>
        </w:tc>
        <w:tc>
          <w:tcPr>
            <w:tcW w:w="909" w:type="dxa"/>
            <w:tcBorders>
              <w:top w:val="nil"/>
              <w:left w:val="nil"/>
              <w:bottom w:val="single" w:color="auto" w:sz="4" w:space="0"/>
              <w:right w:val="single" w:color="auto" w:sz="4" w:space="0"/>
            </w:tcBorders>
            <w:noWrap/>
            <w:vAlign w:val="bottom"/>
          </w:tcPr>
          <w:p w14:paraId="6D9ED6DA">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01A55E8A">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402872A1">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6AC2618E">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3E256C70">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3CBDD516">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59A48302">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1742D1A6">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0289FEE">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15154B6C">
            <w:pPr>
              <w:spacing w:after="0" w:line="240" w:lineRule="auto"/>
              <w:rPr>
                <w:rFonts w:ascii="Calibri" w:hAnsi="Calibri" w:eastAsia="Times New Roman" w:cs="Calibri"/>
                <w:color w:val="000000"/>
              </w:rPr>
            </w:pPr>
            <w:r>
              <w:rPr>
                <w:rFonts w:ascii="Calibri" w:hAnsi="Calibri" w:eastAsia="Times New Roman" w:cs="Calibri"/>
                <w:color w:val="000000"/>
              </w:rPr>
              <w:t>FRUMUȘANI</w:t>
            </w:r>
          </w:p>
        </w:tc>
        <w:tc>
          <w:tcPr>
            <w:tcW w:w="909" w:type="dxa"/>
            <w:tcBorders>
              <w:top w:val="nil"/>
              <w:left w:val="nil"/>
              <w:bottom w:val="single" w:color="auto" w:sz="4" w:space="0"/>
              <w:right w:val="single" w:color="auto" w:sz="4" w:space="0"/>
            </w:tcBorders>
            <w:noWrap/>
            <w:vAlign w:val="bottom"/>
          </w:tcPr>
          <w:p w14:paraId="6CFB2DD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7B1ABFD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4C3E650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10B7D51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777637EE">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0D4C933C">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4DB91C51">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5180401E">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7BBC63E8">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718C4FEA">
            <w:pPr>
              <w:spacing w:after="0" w:line="240" w:lineRule="auto"/>
              <w:rPr>
                <w:rFonts w:ascii="Calibri" w:hAnsi="Calibri" w:eastAsia="Times New Roman" w:cs="Calibri"/>
                <w:color w:val="000000"/>
              </w:rPr>
            </w:pPr>
            <w:r>
              <w:rPr>
                <w:rFonts w:ascii="Calibri" w:hAnsi="Calibri" w:eastAsia="Times New Roman" w:cs="Calibri"/>
                <w:color w:val="000000"/>
              </w:rPr>
              <w:t>FUNDENI</w:t>
            </w:r>
          </w:p>
        </w:tc>
        <w:tc>
          <w:tcPr>
            <w:tcW w:w="909" w:type="dxa"/>
            <w:tcBorders>
              <w:top w:val="nil"/>
              <w:left w:val="nil"/>
              <w:bottom w:val="single" w:color="auto" w:sz="4" w:space="0"/>
              <w:right w:val="single" w:color="auto" w:sz="4" w:space="0"/>
            </w:tcBorders>
            <w:noWrap/>
            <w:vAlign w:val="bottom"/>
          </w:tcPr>
          <w:p w14:paraId="2EE2B7C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4AB0F2D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0160AF4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7531A8E2">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0D28E1BD">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7468C36F">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721E66DE">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135D4212">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4E1F2C53">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0551C467">
            <w:pPr>
              <w:spacing w:after="0" w:line="240" w:lineRule="auto"/>
              <w:rPr>
                <w:rFonts w:ascii="Calibri" w:hAnsi="Calibri" w:eastAsia="Times New Roman" w:cs="Calibri"/>
                <w:color w:val="000000"/>
              </w:rPr>
            </w:pPr>
            <w:r>
              <w:rPr>
                <w:rFonts w:ascii="Calibri" w:hAnsi="Calibri" w:eastAsia="Times New Roman" w:cs="Calibri"/>
                <w:color w:val="000000"/>
              </w:rPr>
              <w:t>GALBINAȘI</w:t>
            </w:r>
          </w:p>
        </w:tc>
        <w:tc>
          <w:tcPr>
            <w:tcW w:w="909" w:type="dxa"/>
            <w:tcBorders>
              <w:top w:val="nil"/>
              <w:left w:val="nil"/>
              <w:bottom w:val="single" w:color="auto" w:sz="4" w:space="0"/>
              <w:right w:val="single" w:color="auto" w:sz="4" w:space="0"/>
            </w:tcBorders>
            <w:noWrap/>
            <w:vAlign w:val="bottom"/>
          </w:tcPr>
          <w:p w14:paraId="2CE8667B">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6AB045F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0778E0F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435A004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6EC85F67">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1800EF8D">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76F2B4E2">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581238F0">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15580FFB">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1CF43D87">
            <w:pPr>
              <w:spacing w:after="0" w:line="240" w:lineRule="auto"/>
              <w:rPr>
                <w:rFonts w:ascii="Calibri" w:hAnsi="Calibri" w:eastAsia="Times New Roman" w:cs="Calibri"/>
                <w:color w:val="000000"/>
              </w:rPr>
            </w:pPr>
            <w:r>
              <w:rPr>
                <w:rFonts w:ascii="Calibri" w:hAnsi="Calibri" w:eastAsia="Times New Roman" w:cs="Calibri"/>
                <w:color w:val="000000"/>
              </w:rPr>
              <w:t>LUICA</w:t>
            </w:r>
          </w:p>
        </w:tc>
        <w:tc>
          <w:tcPr>
            <w:tcW w:w="909" w:type="dxa"/>
            <w:tcBorders>
              <w:top w:val="nil"/>
              <w:left w:val="nil"/>
              <w:bottom w:val="single" w:color="auto" w:sz="4" w:space="0"/>
              <w:right w:val="single" w:color="auto" w:sz="4" w:space="0"/>
            </w:tcBorders>
            <w:noWrap/>
            <w:vAlign w:val="bottom"/>
          </w:tcPr>
          <w:p w14:paraId="60E9218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6AB949A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614BA2A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2DAB945F">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2A67C0BA">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69596C98">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26A7F8EF">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1505AA04">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2B7259DC">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6E69D052">
            <w:pPr>
              <w:spacing w:after="0" w:line="240" w:lineRule="auto"/>
              <w:rPr>
                <w:rFonts w:ascii="Calibri" w:hAnsi="Calibri" w:eastAsia="Times New Roman" w:cs="Calibri"/>
                <w:color w:val="000000"/>
              </w:rPr>
            </w:pPr>
            <w:r>
              <w:rPr>
                <w:rFonts w:ascii="Calibri" w:hAnsi="Calibri" w:eastAsia="Times New Roman" w:cs="Calibri"/>
                <w:color w:val="000000"/>
              </w:rPr>
              <w:t>MITRENI</w:t>
            </w:r>
          </w:p>
        </w:tc>
        <w:tc>
          <w:tcPr>
            <w:tcW w:w="909" w:type="dxa"/>
            <w:tcBorders>
              <w:top w:val="nil"/>
              <w:left w:val="nil"/>
              <w:bottom w:val="single" w:color="auto" w:sz="4" w:space="0"/>
              <w:right w:val="single" w:color="auto" w:sz="4" w:space="0"/>
            </w:tcBorders>
            <w:noWrap/>
            <w:vAlign w:val="bottom"/>
          </w:tcPr>
          <w:p w14:paraId="6C69C63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30E5D92A">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7CC8E81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427D81CB">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63E919E4">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0093352C">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2A6B7755">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77CDC102">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6DB14659">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5CEE0CFC">
            <w:pPr>
              <w:spacing w:after="0" w:line="240" w:lineRule="auto"/>
              <w:rPr>
                <w:rFonts w:ascii="Calibri" w:hAnsi="Calibri" w:eastAsia="Times New Roman" w:cs="Calibri"/>
                <w:color w:val="000000"/>
              </w:rPr>
            </w:pPr>
            <w:r>
              <w:rPr>
                <w:rFonts w:ascii="Calibri" w:hAnsi="Calibri" w:eastAsia="Times New Roman" w:cs="Calibri"/>
                <w:color w:val="000000"/>
              </w:rPr>
              <w:t>NANA</w:t>
            </w:r>
          </w:p>
        </w:tc>
        <w:tc>
          <w:tcPr>
            <w:tcW w:w="909" w:type="dxa"/>
            <w:tcBorders>
              <w:top w:val="nil"/>
              <w:left w:val="nil"/>
              <w:bottom w:val="single" w:color="auto" w:sz="4" w:space="0"/>
              <w:right w:val="single" w:color="auto" w:sz="4" w:space="0"/>
            </w:tcBorders>
            <w:noWrap/>
            <w:vAlign w:val="bottom"/>
          </w:tcPr>
          <w:p w14:paraId="3375050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2B4DA89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5D498FA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6A1901F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5C6D23B7">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62000C27">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36DF2ADB">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2A7BE29C">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27D37D35">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44E4AFB4">
            <w:pPr>
              <w:spacing w:after="0" w:line="240" w:lineRule="auto"/>
              <w:rPr>
                <w:rFonts w:ascii="Calibri" w:hAnsi="Calibri" w:eastAsia="Times New Roman" w:cs="Calibri"/>
                <w:color w:val="000000"/>
              </w:rPr>
            </w:pPr>
            <w:r>
              <w:rPr>
                <w:rFonts w:ascii="Calibri" w:hAnsi="Calibri" w:eastAsia="Times New Roman" w:cs="Calibri"/>
                <w:color w:val="000000"/>
              </w:rPr>
              <w:t>PLATAREȘTI</w:t>
            </w:r>
          </w:p>
        </w:tc>
        <w:tc>
          <w:tcPr>
            <w:tcW w:w="909" w:type="dxa"/>
            <w:tcBorders>
              <w:top w:val="nil"/>
              <w:left w:val="nil"/>
              <w:bottom w:val="single" w:color="auto" w:sz="4" w:space="0"/>
              <w:right w:val="single" w:color="auto" w:sz="4" w:space="0"/>
            </w:tcBorders>
            <w:noWrap/>
            <w:vAlign w:val="bottom"/>
          </w:tcPr>
          <w:p w14:paraId="1435717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614EE3B4">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2A826BCD">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686E512A">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6B2CB336">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2CE42198">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46E98B2D">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088D17B7">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65ECAD44">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777716CB">
            <w:pPr>
              <w:spacing w:after="0" w:line="240" w:lineRule="auto"/>
              <w:rPr>
                <w:rFonts w:ascii="Calibri" w:hAnsi="Calibri" w:eastAsia="Times New Roman" w:cs="Calibri"/>
                <w:color w:val="000000"/>
              </w:rPr>
            </w:pPr>
            <w:r>
              <w:rPr>
                <w:rFonts w:ascii="Calibri" w:hAnsi="Calibri" w:eastAsia="Times New Roman" w:cs="Calibri"/>
                <w:color w:val="000000"/>
              </w:rPr>
              <w:t>RADOVANU</w:t>
            </w:r>
          </w:p>
        </w:tc>
        <w:tc>
          <w:tcPr>
            <w:tcW w:w="909" w:type="dxa"/>
            <w:tcBorders>
              <w:top w:val="nil"/>
              <w:left w:val="nil"/>
              <w:bottom w:val="single" w:color="auto" w:sz="4" w:space="0"/>
              <w:right w:val="single" w:color="auto" w:sz="4" w:space="0"/>
            </w:tcBorders>
            <w:noWrap/>
            <w:vAlign w:val="bottom"/>
          </w:tcPr>
          <w:p w14:paraId="2EB260F5">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0C3E708C">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527060A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3C38F6E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7064EF01">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6B31F990">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7740016B">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6D836CAA">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2019E680">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43BFFF1E">
            <w:pPr>
              <w:spacing w:after="0" w:line="240" w:lineRule="auto"/>
              <w:rPr>
                <w:rFonts w:ascii="Calibri" w:hAnsi="Calibri" w:eastAsia="Times New Roman" w:cs="Calibri"/>
                <w:color w:val="000000"/>
              </w:rPr>
            </w:pPr>
            <w:r>
              <w:rPr>
                <w:rFonts w:ascii="Calibri" w:hAnsi="Calibri" w:eastAsia="Times New Roman" w:cs="Calibri"/>
                <w:color w:val="000000"/>
              </w:rPr>
              <w:t>ȘOLDANU</w:t>
            </w:r>
          </w:p>
        </w:tc>
        <w:tc>
          <w:tcPr>
            <w:tcW w:w="909" w:type="dxa"/>
            <w:tcBorders>
              <w:top w:val="nil"/>
              <w:left w:val="nil"/>
              <w:bottom w:val="single" w:color="auto" w:sz="4" w:space="0"/>
              <w:right w:val="single" w:color="auto" w:sz="4" w:space="0"/>
            </w:tcBorders>
            <w:noWrap/>
            <w:vAlign w:val="bottom"/>
          </w:tcPr>
          <w:p w14:paraId="37AAED94">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33690BC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5FF58FEE">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6A9F97F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0795DE43">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1B7C69AA">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0EEE5083">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67937C71">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6BD2BCCB">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1CAC821C">
            <w:pPr>
              <w:spacing w:after="0" w:line="240" w:lineRule="auto"/>
              <w:rPr>
                <w:rFonts w:ascii="Calibri" w:hAnsi="Calibri" w:eastAsia="Times New Roman" w:cs="Calibri"/>
                <w:color w:val="000000"/>
              </w:rPr>
            </w:pPr>
            <w:r>
              <w:rPr>
                <w:rFonts w:ascii="Calibri" w:hAnsi="Calibri" w:eastAsia="Times New Roman" w:cs="Calibri"/>
                <w:color w:val="000000"/>
              </w:rPr>
              <w:t>SPANȚOV</w:t>
            </w:r>
          </w:p>
        </w:tc>
        <w:tc>
          <w:tcPr>
            <w:tcW w:w="909" w:type="dxa"/>
            <w:tcBorders>
              <w:top w:val="nil"/>
              <w:left w:val="nil"/>
              <w:bottom w:val="single" w:color="auto" w:sz="4" w:space="0"/>
              <w:right w:val="single" w:color="auto" w:sz="4" w:space="0"/>
            </w:tcBorders>
            <w:noWrap/>
            <w:vAlign w:val="bottom"/>
          </w:tcPr>
          <w:p w14:paraId="21083C3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53FA23B4">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3E388C8E">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1A74E71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11D276D0">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5224BD0A">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6674FA4D">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30B35BBA">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175C59CC">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0EA1A9DD">
            <w:pPr>
              <w:spacing w:after="0" w:line="240" w:lineRule="auto"/>
              <w:rPr>
                <w:rFonts w:ascii="Calibri" w:hAnsi="Calibri" w:eastAsia="Times New Roman" w:cs="Calibri"/>
                <w:color w:val="000000"/>
              </w:rPr>
            </w:pPr>
            <w:r>
              <w:rPr>
                <w:rFonts w:ascii="Calibri" w:hAnsi="Calibri" w:eastAsia="Times New Roman" w:cs="Calibri"/>
                <w:color w:val="000000"/>
              </w:rPr>
              <w:t>ULMENI</w:t>
            </w:r>
          </w:p>
        </w:tc>
        <w:tc>
          <w:tcPr>
            <w:tcW w:w="909" w:type="dxa"/>
            <w:tcBorders>
              <w:top w:val="nil"/>
              <w:left w:val="nil"/>
              <w:bottom w:val="single" w:color="auto" w:sz="4" w:space="0"/>
              <w:right w:val="single" w:color="auto" w:sz="4" w:space="0"/>
            </w:tcBorders>
            <w:noWrap/>
            <w:vAlign w:val="bottom"/>
          </w:tcPr>
          <w:p w14:paraId="6AFE4F56">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39367E1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7A902F43">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087227A9">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1E683DDC">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2019F4FE">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1ED88679">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73AB8D65">
            <w:pPr>
              <w:spacing w:after="0" w:line="240" w:lineRule="auto"/>
              <w:rPr>
                <w:rFonts w:ascii="Calibri" w:hAnsi="Calibri" w:eastAsia="Times New Roman" w:cs="Calibri"/>
                <w:color w:val="000000"/>
              </w:rPr>
            </w:pPr>
            <w:r>
              <w:rPr>
                <w:rFonts w:ascii="Calibri" w:hAnsi="Calibri" w:eastAsia="Times New Roman" w:cs="Calibri"/>
                <w:color w:val="000000"/>
              </w:rPr>
              <w:t> </w:t>
            </w:r>
          </w:p>
        </w:tc>
      </w:tr>
      <w:tr w14:paraId="39F56B11">
        <w:tblPrEx>
          <w:tblCellMar>
            <w:top w:w="0" w:type="dxa"/>
            <w:left w:w="108" w:type="dxa"/>
            <w:bottom w:w="0" w:type="dxa"/>
            <w:right w:w="108" w:type="dxa"/>
          </w:tblCellMar>
        </w:tblPrEx>
        <w:trPr>
          <w:trHeight w:val="315" w:hRule="atLeast"/>
        </w:trPr>
        <w:tc>
          <w:tcPr>
            <w:tcW w:w="1679" w:type="dxa"/>
            <w:tcBorders>
              <w:top w:val="nil"/>
              <w:left w:val="single" w:color="auto" w:sz="4" w:space="0"/>
              <w:bottom w:val="single" w:color="auto" w:sz="4" w:space="0"/>
              <w:right w:val="single" w:color="auto" w:sz="4" w:space="0"/>
            </w:tcBorders>
            <w:noWrap/>
            <w:vAlign w:val="bottom"/>
          </w:tcPr>
          <w:p w14:paraId="4CEDB58F">
            <w:pPr>
              <w:spacing w:after="0" w:line="240" w:lineRule="auto"/>
              <w:rPr>
                <w:rFonts w:ascii="Calibri" w:hAnsi="Calibri" w:eastAsia="Times New Roman" w:cs="Calibri"/>
                <w:color w:val="000000"/>
              </w:rPr>
            </w:pPr>
            <w:r>
              <w:rPr>
                <w:rFonts w:ascii="Calibri" w:hAnsi="Calibri" w:eastAsia="Times New Roman" w:cs="Calibri"/>
                <w:color w:val="000000"/>
              </w:rPr>
              <w:t>VASILAȚI</w:t>
            </w:r>
          </w:p>
        </w:tc>
        <w:tc>
          <w:tcPr>
            <w:tcW w:w="909" w:type="dxa"/>
            <w:tcBorders>
              <w:top w:val="nil"/>
              <w:left w:val="nil"/>
              <w:bottom w:val="single" w:color="auto" w:sz="4" w:space="0"/>
              <w:right w:val="single" w:color="auto" w:sz="4" w:space="0"/>
            </w:tcBorders>
            <w:noWrap/>
            <w:vAlign w:val="bottom"/>
          </w:tcPr>
          <w:p w14:paraId="565B0F9B">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7E729348">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0" w:type="dxa"/>
            <w:tcBorders>
              <w:top w:val="nil"/>
              <w:left w:val="nil"/>
              <w:bottom w:val="single" w:color="auto" w:sz="4" w:space="0"/>
              <w:right w:val="single" w:color="auto" w:sz="4" w:space="0"/>
            </w:tcBorders>
            <w:noWrap/>
            <w:vAlign w:val="bottom"/>
          </w:tcPr>
          <w:p w14:paraId="0C893987">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11" w:type="dxa"/>
            <w:tcBorders>
              <w:top w:val="nil"/>
              <w:left w:val="nil"/>
              <w:bottom w:val="single" w:color="auto" w:sz="4" w:space="0"/>
              <w:right w:val="single" w:color="auto" w:sz="4" w:space="0"/>
            </w:tcBorders>
            <w:noWrap/>
            <w:vAlign w:val="bottom"/>
          </w:tcPr>
          <w:p w14:paraId="0770BA00">
            <w:pPr>
              <w:spacing w:after="0" w:line="240" w:lineRule="auto"/>
              <w:rPr>
                <w:rFonts w:ascii="Calibri" w:hAnsi="Calibri" w:eastAsia="Times New Roman" w:cs="Calibri"/>
                <w:color w:val="000000"/>
              </w:rPr>
            </w:pPr>
            <w:r>
              <w:rPr>
                <w:rFonts w:ascii="Calibri" w:hAnsi="Calibri" w:eastAsia="Times New Roman" w:cs="Calibri"/>
                <w:color w:val="000000"/>
              </w:rPr>
              <w:t> </w:t>
            </w:r>
          </w:p>
        </w:tc>
        <w:tc>
          <w:tcPr>
            <w:tcW w:w="908" w:type="dxa"/>
            <w:tcBorders>
              <w:top w:val="nil"/>
              <w:left w:val="nil"/>
              <w:bottom w:val="single" w:color="auto" w:sz="4" w:space="0"/>
              <w:right w:val="single" w:color="auto" w:sz="4" w:space="0"/>
            </w:tcBorders>
          </w:tcPr>
          <w:p w14:paraId="0A9C5032">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tcPr>
          <w:p w14:paraId="29BD3880">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00" w:type="dxa"/>
            <w:tcBorders>
              <w:top w:val="nil"/>
              <w:left w:val="nil"/>
              <w:bottom w:val="single" w:color="auto" w:sz="4" w:space="0"/>
              <w:right w:val="single" w:color="auto" w:sz="4" w:space="0"/>
            </w:tcBorders>
          </w:tcPr>
          <w:p w14:paraId="5B2D5207">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13</w:t>
            </w:r>
          </w:p>
        </w:tc>
        <w:tc>
          <w:tcPr>
            <w:tcW w:w="911" w:type="dxa"/>
            <w:tcBorders>
              <w:top w:val="nil"/>
              <w:left w:val="nil"/>
              <w:bottom w:val="single" w:color="auto" w:sz="4" w:space="0"/>
              <w:right w:val="single" w:color="auto" w:sz="4" w:space="0"/>
            </w:tcBorders>
            <w:noWrap/>
            <w:vAlign w:val="bottom"/>
          </w:tcPr>
          <w:p w14:paraId="74B0B3FA">
            <w:pPr>
              <w:spacing w:after="0" w:line="240" w:lineRule="auto"/>
              <w:rPr>
                <w:rFonts w:ascii="Calibri" w:hAnsi="Calibri" w:eastAsia="Times New Roman" w:cs="Calibri"/>
                <w:color w:val="000000"/>
              </w:rPr>
            </w:pPr>
            <w:r>
              <w:rPr>
                <w:rFonts w:ascii="Calibri" w:hAnsi="Calibri" w:eastAsia="Times New Roman" w:cs="Calibri"/>
                <w:color w:val="000000"/>
              </w:rPr>
              <w:t> </w:t>
            </w:r>
          </w:p>
        </w:tc>
      </w:tr>
    </w:tbl>
    <w:p w14:paraId="52F72307">
      <w:pPr>
        <w:spacing w:after="0" w:line="240" w:lineRule="auto"/>
        <w:jc w:val="both"/>
        <w:rPr>
          <w:rFonts w:asciiTheme="majorHAnsi" w:hAnsiTheme="majorHAnsi" w:cstheme="majorHAnsi"/>
          <w:sz w:val="24"/>
          <w:szCs w:val="24"/>
          <w:lang w:val="ro-RO"/>
        </w:rPr>
      </w:pPr>
    </w:p>
    <w:p w14:paraId="2ABB4DFD">
      <w:pPr>
        <w:spacing w:after="0" w:line="240" w:lineRule="auto"/>
        <w:jc w:val="both"/>
        <w:rPr>
          <w:rFonts w:asciiTheme="majorHAnsi" w:hAnsiTheme="majorHAnsi" w:cstheme="majorHAnsi"/>
          <w:sz w:val="24"/>
          <w:szCs w:val="24"/>
        </w:rPr>
      </w:pPr>
      <w:r>
        <w:rPr>
          <w:rFonts w:asciiTheme="majorHAnsi" w:hAnsiTheme="majorHAnsi" w:cstheme="majorHAnsi"/>
          <w:sz w:val="24"/>
          <w:szCs w:val="24"/>
          <w:lang w:val="ro-RO"/>
        </w:rPr>
        <w:t xml:space="preserve">Tabel 5.2 </w:t>
      </w:r>
      <w:r>
        <w:rPr>
          <w:rFonts w:asciiTheme="majorHAnsi" w:hAnsiTheme="majorHAnsi" w:cstheme="majorHAnsi"/>
          <w:sz w:val="24"/>
          <w:szCs w:val="24"/>
        </w:rPr>
        <w:t>Frecvenţa de colectare al deşeurilor reciclabile municipale în aria de delegare</w:t>
      </w:r>
    </w:p>
    <w:p w14:paraId="371447BF">
      <w:pPr>
        <w:spacing w:after="0" w:line="240" w:lineRule="auto"/>
        <w:jc w:val="both"/>
        <w:rPr>
          <w:rFonts w:asciiTheme="majorHAnsi" w:hAnsiTheme="majorHAnsi" w:cstheme="majorHAnsi"/>
          <w:sz w:val="24"/>
          <w:szCs w:val="24"/>
          <w:lang w:val="ro-RO"/>
        </w:rPr>
      </w:pPr>
    </w:p>
    <w:p w14:paraId="04C422B6">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br w:type="page"/>
      </w:r>
    </w:p>
    <w:p w14:paraId="6C3E3235">
      <w:pPr>
        <w:pStyle w:val="4"/>
        <w:spacing w:before="0" w:line="240" w:lineRule="auto"/>
        <w:rPr>
          <w:rFonts w:cstheme="majorHAnsi"/>
          <w:color w:val="auto"/>
          <w:sz w:val="24"/>
          <w:szCs w:val="24"/>
        </w:rPr>
      </w:pPr>
      <w:r>
        <w:rPr>
          <w:rFonts w:cstheme="majorHAnsi"/>
          <w:color w:val="auto"/>
          <w:sz w:val="24"/>
          <w:szCs w:val="24"/>
        </w:rPr>
        <w:t>ANEXA Nr. 5.1 la caietul de sarcini</w:t>
      </w:r>
    </w:p>
    <w:p w14:paraId="0D96E1FD">
      <w:pPr>
        <w:spacing w:after="0" w:line="240" w:lineRule="auto"/>
        <w:jc w:val="both"/>
        <w:rPr>
          <w:rFonts w:asciiTheme="majorHAnsi" w:hAnsiTheme="majorHAnsi" w:cstheme="majorHAnsi"/>
          <w:sz w:val="24"/>
          <w:szCs w:val="24"/>
          <w:lang w:val="ro-RO"/>
        </w:rPr>
      </w:pPr>
    </w:p>
    <w:p w14:paraId="7E50D7FA">
      <w:pPr>
        <w:spacing w:after="0" w:line="240" w:lineRule="auto"/>
        <w:jc w:val="both"/>
        <w:rPr>
          <w:rFonts w:eastAsia="Times New Roman" w:asciiTheme="majorHAnsi" w:hAnsiTheme="majorHAnsi" w:cstheme="majorHAnsi"/>
          <w:b/>
          <w:bCs/>
          <w:sz w:val="24"/>
          <w:szCs w:val="24"/>
        </w:rPr>
      </w:pPr>
      <w:bookmarkStart w:id="11" w:name="_Ref68456194"/>
      <w:r>
        <w:rPr>
          <w:rFonts w:eastAsia="Times New Roman" w:asciiTheme="majorHAnsi" w:hAnsiTheme="majorHAnsi" w:cstheme="majorHAnsi"/>
          <w:b/>
          <w:bCs/>
          <w:sz w:val="24"/>
          <w:szCs w:val="24"/>
        </w:rPr>
        <w:t>Bunurile puse la dispoziția delegatului de către delegatar</w:t>
      </w:r>
      <w:bookmarkEnd w:id="11"/>
      <w:r>
        <w:rPr>
          <w:rFonts w:eastAsia="Times New Roman" w:asciiTheme="majorHAnsi" w:hAnsiTheme="majorHAnsi" w:cstheme="majorHAnsi"/>
          <w:b/>
          <w:bCs/>
          <w:sz w:val="24"/>
          <w:szCs w:val="24"/>
        </w:rPr>
        <w:t xml:space="preserve"> (Bunuri de retur)</w:t>
      </w:r>
    </w:p>
    <w:p w14:paraId="1372FD90">
      <w:pPr>
        <w:spacing w:after="0" w:line="240" w:lineRule="auto"/>
        <w:jc w:val="both"/>
        <w:rPr>
          <w:rFonts w:asciiTheme="majorHAnsi" w:hAnsiTheme="majorHAnsi" w:cstheme="majorHAnsi"/>
          <w:sz w:val="24"/>
          <w:szCs w:val="24"/>
          <w:lang w:val="ro-RO"/>
        </w:rPr>
      </w:pPr>
    </w:p>
    <w:p w14:paraId="1B89E606">
      <w:pPr>
        <w:spacing w:after="0" w:line="240" w:lineRule="auto"/>
        <w:rPr>
          <w:rFonts w:asciiTheme="majorHAnsi" w:hAnsiTheme="majorHAnsi" w:cstheme="majorHAnsi"/>
          <w:sz w:val="24"/>
          <w:szCs w:val="24"/>
          <w:lang w:val="ro-RO"/>
        </w:rPr>
      </w:pPr>
      <w:r>
        <w:rPr>
          <w:rFonts w:asciiTheme="majorHAnsi" w:hAnsiTheme="majorHAnsi" w:cstheme="majorHAnsi"/>
          <w:sz w:val="24"/>
          <w:szCs w:val="24"/>
          <w:lang w:val="ro-RO"/>
        </w:rPr>
        <w:t>În tabelele de mai jos sunt prezentate echipamentele de colectare a deșeurilor puse la dispoziția viitorului operator</w:t>
      </w:r>
    </w:p>
    <w:p w14:paraId="09A45BBE">
      <w:pPr>
        <w:rPr>
          <w:rFonts w:asciiTheme="majorHAnsi" w:hAnsiTheme="majorHAnsi" w:cstheme="majorHAnsi"/>
          <w:sz w:val="24"/>
          <w:szCs w:val="24"/>
          <w:lang w:val="ro-RO"/>
        </w:rPr>
      </w:pPr>
    </w:p>
    <w:tbl>
      <w:tblPr>
        <w:tblStyle w:val="12"/>
        <w:tblW w:w="5000" w:type="pct"/>
        <w:tblInd w:w="0" w:type="dxa"/>
        <w:tblLayout w:type="autofit"/>
        <w:tblCellMar>
          <w:top w:w="0" w:type="dxa"/>
          <w:left w:w="0" w:type="dxa"/>
          <w:bottom w:w="0" w:type="dxa"/>
          <w:right w:w="0" w:type="dxa"/>
        </w:tblCellMar>
      </w:tblPr>
      <w:tblGrid>
        <w:gridCol w:w="1873"/>
        <w:gridCol w:w="2764"/>
        <w:gridCol w:w="1299"/>
        <w:gridCol w:w="997"/>
        <w:gridCol w:w="1027"/>
        <w:gridCol w:w="1088"/>
        <w:gridCol w:w="1024"/>
      </w:tblGrid>
      <w:tr w14:paraId="406DAC07">
        <w:tblPrEx>
          <w:tblCellMar>
            <w:top w:w="0" w:type="dxa"/>
            <w:left w:w="0" w:type="dxa"/>
            <w:bottom w:w="0" w:type="dxa"/>
            <w:right w:w="0" w:type="dxa"/>
          </w:tblCellMar>
        </w:tblPrEx>
        <w:trPr>
          <w:trHeight w:val="900" w:hRule="atLeast"/>
        </w:trPr>
        <w:tc>
          <w:tcPr>
            <w:tcW w:w="930" w:type="pct"/>
            <w:tcBorders>
              <w:top w:val="single" w:color="auto" w:sz="4" w:space="0"/>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D4EDEE7">
            <w:pPr>
              <w:ind w:firstLine="160" w:firstLineChars="100"/>
              <w:rPr>
                <w:rFonts w:ascii="Arial" w:hAnsi="Arial" w:cs="Arial"/>
                <w:b/>
                <w:bCs/>
                <w:color w:val="1A1C1E"/>
                <w:sz w:val="16"/>
                <w:szCs w:val="16"/>
              </w:rPr>
            </w:pPr>
            <w:r>
              <w:rPr>
                <w:rFonts w:ascii="Arial" w:hAnsi="Arial" w:cs="Arial"/>
                <w:b/>
                <w:bCs/>
                <w:color w:val="1A1C1E"/>
                <w:sz w:val="16"/>
                <w:szCs w:val="16"/>
              </w:rPr>
              <w:t>Nr.</w:t>
            </w:r>
          </w:p>
        </w:tc>
        <w:tc>
          <w:tcPr>
            <w:tcW w:w="1372"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5CA16F1">
            <w:pPr>
              <w:ind w:firstLine="160" w:firstLineChars="100"/>
              <w:rPr>
                <w:rFonts w:ascii="Arial" w:hAnsi="Arial" w:cs="Arial"/>
                <w:b/>
                <w:bCs/>
                <w:color w:val="1A1C1E"/>
                <w:sz w:val="16"/>
                <w:szCs w:val="16"/>
              </w:rPr>
            </w:pPr>
            <w:r>
              <w:rPr>
                <w:rFonts w:ascii="Arial" w:hAnsi="Arial" w:cs="Arial"/>
                <w:b/>
                <w:bCs/>
                <w:color w:val="1A1C1E"/>
                <w:sz w:val="16"/>
                <w:szCs w:val="16"/>
              </w:rPr>
              <w:t>Localitate (Zona 2)</w:t>
            </w:r>
          </w:p>
        </w:tc>
        <w:tc>
          <w:tcPr>
            <w:tcW w:w="645"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4DED8EC">
            <w:pPr>
              <w:ind w:firstLine="160" w:firstLineChars="100"/>
              <w:rPr>
                <w:rFonts w:ascii="Arial" w:hAnsi="Arial" w:cs="Arial"/>
                <w:b/>
                <w:bCs/>
                <w:color w:val="1A1C1E"/>
                <w:sz w:val="16"/>
                <w:szCs w:val="16"/>
              </w:rPr>
            </w:pPr>
            <w:r>
              <w:rPr>
                <w:rFonts w:ascii="Arial" w:hAnsi="Arial" w:cs="Arial"/>
                <w:b/>
                <w:bCs/>
                <w:color w:val="1A1C1E"/>
                <w:sz w:val="16"/>
                <w:szCs w:val="16"/>
              </w:rPr>
              <w:t>Deșeuri reziduale (Oțel zincat)</w:t>
            </w:r>
          </w:p>
        </w:tc>
        <w:tc>
          <w:tcPr>
            <w:tcW w:w="495"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4348024">
            <w:pPr>
              <w:ind w:firstLine="160" w:firstLineChars="100"/>
              <w:rPr>
                <w:rFonts w:ascii="Arial" w:hAnsi="Arial" w:cs="Arial"/>
                <w:b/>
                <w:bCs/>
                <w:color w:val="1A1C1E"/>
                <w:sz w:val="16"/>
                <w:szCs w:val="16"/>
              </w:rPr>
            </w:pPr>
            <w:r>
              <w:rPr>
                <w:rFonts w:ascii="Arial" w:hAnsi="Arial" w:cs="Arial"/>
                <w:b/>
                <w:bCs/>
                <w:color w:val="1A1C1E"/>
                <w:sz w:val="16"/>
                <w:szCs w:val="16"/>
              </w:rPr>
              <w:t>Hartie/ Carton (PEID)</w:t>
            </w:r>
          </w:p>
        </w:tc>
        <w:tc>
          <w:tcPr>
            <w:tcW w:w="510"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D24DDF1">
            <w:pPr>
              <w:ind w:firstLine="160" w:firstLineChars="100"/>
              <w:rPr>
                <w:rFonts w:ascii="Arial" w:hAnsi="Arial" w:cs="Arial"/>
                <w:b/>
                <w:bCs/>
                <w:color w:val="1A1C1E"/>
                <w:sz w:val="16"/>
                <w:szCs w:val="16"/>
              </w:rPr>
            </w:pPr>
            <w:r>
              <w:rPr>
                <w:rFonts w:ascii="Arial" w:hAnsi="Arial" w:cs="Arial"/>
                <w:b/>
                <w:bCs/>
                <w:color w:val="1A1C1E"/>
                <w:sz w:val="16"/>
                <w:szCs w:val="16"/>
              </w:rPr>
              <w:t>Plastic/ Metal (PEID)</w:t>
            </w:r>
          </w:p>
        </w:tc>
        <w:tc>
          <w:tcPr>
            <w:tcW w:w="540"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A631994">
            <w:pPr>
              <w:ind w:firstLine="160" w:firstLineChars="100"/>
              <w:rPr>
                <w:rFonts w:ascii="Arial" w:hAnsi="Arial" w:cs="Arial"/>
                <w:b/>
                <w:bCs/>
                <w:color w:val="1A1C1E"/>
                <w:sz w:val="16"/>
                <w:szCs w:val="16"/>
              </w:rPr>
            </w:pPr>
            <w:r>
              <w:rPr>
                <w:rFonts w:ascii="Arial" w:hAnsi="Arial" w:cs="Arial"/>
                <w:b/>
                <w:bCs/>
                <w:color w:val="1A1C1E"/>
                <w:sz w:val="16"/>
                <w:szCs w:val="16"/>
              </w:rPr>
              <w:t>Sticlă (Oțel zincat)</w:t>
            </w:r>
          </w:p>
        </w:tc>
        <w:tc>
          <w:tcPr>
            <w:tcW w:w="510" w:type="pct"/>
            <w:tcBorders>
              <w:top w:val="single" w:color="auto" w:sz="4" w:space="0"/>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6D910FE">
            <w:pPr>
              <w:ind w:firstLine="160" w:firstLineChars="100"/>
              <w:rPr>
                <w:rFonts w:ascii="Arial" w:hAnsi="Arial" w:cs="Arial"/>
                <w:b/>
                <w:bCs/>
                <w:color w:val="1A1C1E"/>
                <w:sz w:val="16"/>
                <w:szCs w:val="16"/>
              </w:rPr>
            </w:pPr>
            <w:r>
              <w:rPr>
                <w:rFonts w:ascii="Arial" w:hAnsi="Arial" w:cs="Arial"/>
                <w:b/>
                <w:bCs/>
                <w:color w:val="1A1C1E"/>
                <w:sz w:val="16"/>
                <w:szCs w:val="16"/>
              </w:rPr>
              <w:t>Total containere noi</w:t>
            </w:r>
          </w:p>
        </w:tc>
      </w:tr>
      <w:tr w14:paraId="5AF186AB">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4A6D5485">
            <w:pPr>
              <w:ind w:firstLine="160" w:firstLineChars="100"/>
              <w:rPr>
                <w:rFonts w:ascii="Arial" w:hAnsi="Arial" w:cs="Arial"/>
                <w:color w:val="1A1C1E"/>
                <w:sz w:val="16"/>
                <w:szCs w:val="16"/>
              </w:rPr>
            </w:pPr>
            <w:r>
              <w:rPr>
                <w:rFonts w:ascii="Arial" w:hAnsi="Arial" w:cs="Arial"/>
                <w:color w:val="1A1C1E"/>
                <w:sz w:val="16"/>
                <w:szCs w:val="16"/>
              </w:rPr>
              <w:t>1</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F505332">
            <w:pPr>
              <w:ind w:firstLine="160" w:firstLineChars="100"/>
              <w:rPr>
                <w:rFonts w:ascii="Arial" w:hAnsi="Arial" w:cs="Arial"/>
                <w:color w:val="1A1C1E"/>
                <w:sz w:val="16"/>
                <w:szCs w:val="16"/>
              </w:rPr>
            </w:pPr>
            <w:r>
              <w:rPr>
                <w:rFonts w:ascii="Arial" w:hAnsi="Arial" w:cs="Arial"/>
                <w:color w:val="1A1C1E"/>
                <w:sz w:val="16"/>
                <w:szCs w:val="16"/>
              </w:rPr>
              <w:t>Municipiul Oltenița</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794A00C">
            <w:pPr>
              <w:ind w:firstLine="160" w:firstLineChars="100"/>
              <w:rPr>
                <w:rFonts w:ascii="Arial" w:hAnsi="Arial" w:cs="Arial"/>
                <w:color w:val="1A1C1E"/>
                <w:sz w:val="16"/>
                <w:szCs w:val="16"/>
              </w:rPr>
            </w:pPr>
            <w:r>
              <w:rPr>
                <w:rFonts w:ascii="Arial" w:hAnsi="Arial" w:cs="Arial"/>
                <w:color w:val="1A1C1E"/>
                <w:sz w:val="16"/>
                <w:szCs w:val="16"/>
              </w:rPr>
              <w:t>-</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BCCC202">
            <w:pPr>
              <w:ind w:firstLine="160" w:firstLineChars="100"/>
              <w:rPr>
                <w:rFonts w:ascii="Arial" w:hAnsi="Arial" w:cs="Arial"/>
                <w:color w:val="1A1C1E"/>
                <w:sz w:val="16"/>
                <w:szCs w:val="16"/>
              </w:rPr>
            </w:pPr>
            <w:r>
              <w:rPr>
                <w:rFonts w:ascii="Arial" w:hAnsi="Arial" w:cs="Arial"/>
                <w:color w:val="1A1C1E"/>
                <w:sz w:val="16"/>
                <w:szCs w:val="16"/>
              </w:rPr>
              <w:t>8</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93B6B71">
            <w:pPr>
              <w:ind w:firstLine="160" w:firstLineChars="100"/>
              <w:rPr>
                <w:rFonts w:ascii="Arial" w:hAnsi="Arial" w:cs="Arial"/>
                <w:color w:val="1A1C1E"/>
                <w:sz w:val="16"/>
                <w:szCs w:val="16"/>
              </w:rPr>
            </w:pPr>
            <w:r>
              <w:rPr>
                <w:rFonts w:ascii="Arial" w:hAnsi="Arial" w:cs="Arial"/>
                <w:color w:val="1A1C1E"/>
                <w:sz w:val="16"/>
                <w:szCs w:val="16"/>
              </w:rPr>
              <w:t>8</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795A80B">
            <w:pPr>
              <w:ind w:firstLine="160" w:firstLineChars="100"/>
              <w:rPr>
                <w:rFonts w:ascii="Arial" w:hAnsi="Arial" w:cs="Arial"/>
                <w:color w:val="1A1C1E"/>
                <w:sz w:val="16"/>
                <w:szCs w:val="16"/>
              </w:rPr>
            </w:pPr>
            <w:r>
              <w:rPr>
                <w:rFonts w:ascii="Arial" w:hAnsi="Arial" w:cs="Arial"/>
                <w:color w:val="1A1C1E"/>
                <w:sz w:val="16"/>
                <w:szCs w:val="16"/>
              </w:rPr>
              <w:t>8</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35C673F">
            <w:pPr>
              <w:ind w:firstLine="160" w:firstLineChars="100"/>
              <w:rPr>
                <w:rFonts w:ascii="Arial" w:hAnsi="Arial" w:cs="Arial"/>
                <w:b/>
                <w:bCs/>
                <w:color w:val="1A1C1E"/>
                <w:sz w:val="16"/>
                <w:szCs w:val="16"/>
              </w:rPr>
            </w:pPr>
            <w:r>
              <w:rPr>
                <w:rFonts w:ascii="Arial" w:hAnsi="Arial" w:cs="Arial"/>
                <w:b/>
                <w:bCs/>
                <w:color w:val="1A1C1E"/>
                <w:sz w:val="16"/>
                <w:szCs w:val="16"/>
              </w:rPr>
              <w:t>24</w:t>
            </w:r>
          </w:p>
        </w:tc>
      </w:tr>
      <w:tr w14:paraId="498F8845">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7EC84375">
            <w:pPr>
              <w:ind w:firstLine="160" w:firstLineChars="100"/>
              <w:rPr>
                <w:rFonts w:ascii="Arial" w:hAnsi="Arial" w:cs="Arial"/>
                <w:color w:val="1A1C1E"/>
                <w:sz w:val="16"/>
                <w:szCs w:val="16"/>
              </w:rPr>
            </w:pPr>
            <w:r>
              <w:rPr>
                <w:rFonts w:ascii="Arial" w:hAnsi="Arial" w:cs="Arial"/>
                <w:color w:val="1A1C1E"/>
                <w:sz w:val="16"/>
                <w:szCs w:val="16"/>
              </w:rPr>
              <w:t>2</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3D0CA93">
            <w:pPr>
              <w:ind w:firstLine="160" w:firstLineChars="100"/>
              <w:rPr>
                <w:rFonts w:ascii="Arial" w:hAnsi="Arial" w:cs="Arial"/>
                <w:color w:val="1A1C1E"/>
                <w:sz w:val="16"/>
                <w:szCs w:val="16"/>
              </w:rPr>
            </w:pPr>
            <w:r>
              <w:rPr>
                <w:rFonts w:ascii="Arial" w:hAnsi="Arial" w:cs="Arial"/>
                <w:color w:val="1A1C1E"/>
                <w:sz w:val="16"/>
                <w:szCs w:val="16"/>
              </w:rPr>
              <w:t>Oraș Budești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BF858F8">
            <w:pPr>
              <w:ind w:firstLine="160" w:firstLineChars="100"/>
              <w:rPr>
                <w:rFonts w:ascii="Arial" w:hAnsi="Arial" w:cs="Arial"/>
                <w:color w:val="1A1C1E"/>
                <w:sz w:val="16"/>
                <w:szCs w:val="16"/>
              </w:rPr>
            </w:pPr>
            <w:r>
              <w:rPr>
                <w:rFonts w:ascii="Arial" w:hAnsi="Arial" w:cs="Arial"/>
                <w:color w:val="1A1C1E"/>
                <w:sz w:val="16"/>
                <w:szCs w:val="16"/>
              </w:rPr>
              <w:t>56</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17A0DB0">
            <w:pPr>
              <w:ind w:firstLine="160" w:firstLineChars="100"/>
              <w:rPr>
                <w:rFonts w:ascii="Arial" w:hAnsi="Arial" w:cs="Arial"/>
                <w:color w:val="1A1C1E"/>
                <w:sz w:val="16"/>
                <w:szCs w:val="16"/>
              </w:rPr>
            </w:pPr>
            <w:r>
              <w:rPr>
                <w:rFonts w:ascii="Arial" w:hAnsi="Arial" w:cs="Arial"/>
                <w:color w:val="1A1C1E"/>
                <w:sz w:val="16"/>
                <w:szCs w:val="16"/>
              </w:rPr>
              <w:t>10</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26C12D9">
            <w:pPr>
              <w:ind w:firstLine="160" w:firstLineChars="100"/>
              <w:rPr>
                <w:rFonts w:ascii="Arial" w:hAnsi="Arial" w:cs="Arial"/>
                <w:color w:val="1A1C1E"/>
                <w:sz w:val="16"/>
                <w:szCs w:val="16"/>
              </w:rPr>
            </w:pPr>
            <w:r>
              <w:rPr>
                <w:rFonts w:ascii="Arial" w:hAnsi="Arial" w:cs="Arial"/>
                <w:color w:val="1A1C1E"/>
                <w:sz w:val="16"/>
                <w:szCs w:val="16"/>
              </w:rPr>
              <w:t>15</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71BD69D">
            <w:pPr>
              <w:ind w:firstLine="160" w:firstLineChars="100"/>
              <w:rPr>
                <w:rFonts w:ascii="Arial" w:hAnsi="Arial" w:cs="Arial"/>
                <w:color w:val="1A1C1E"/>
                <w:sz w:val="16"/>
                <w:szCs w:val="16"/>
              </w:rPr>
            </w:pPr>
            <w:r>
              <w:rPr>
                <w:rFonts w:ascii="Arial" w:hAnsi="Arial" w:cs="Arial"/>
                <w:color w:val="1A1C1E"/>
                <w:sz w:val="16"/>
                <w:szCs w:val="16"/>
              </w:rPr>
              <w:t>10</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2051F52">
            <w:pPr>
              <w:ind w:firstLine="160" w:firstLineChars="100"/>
              <w:rPr>
                <w:rFonts w:ascii="Arial" w:hAnsi="Arial" w:cs="Arial"/>
                <w:b/>
                <w:bCs/>
                <w:color w:val="1A1C1E"/>
                <w:sz w:val="16"/>
                <w:szCs w:val="16"/>
              </w:rPr>
            </w:pPr>
            <w:r>
              <w:rPr>
                <w:rFonts w:ascii="Arial" w:hAnsi="Arial" w:cs="Arial"/>
                <w:b/>
                <w:bCs/>
                <w:color w:val="1A1C1E"/>
                <w:sz w:val="16"/>
                <w:szCs w:val="16"/>
              </w:rPr>
              <w:t>91</w:t>
            </w:r>
          </w:p>
        </w:tc>
      </w:tr>
      <w:tr w14:paraId="17BA32E8">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26BA618">
            <w:pPr>
              <w:ind w:firstLine="160" w:firstLineChars="100"/>
              <w:rPr>
                <w:rFonts w:ascii="Arial" w:hAnsi="Arial" w:cs="Arial"/>
                <w:color w:val="1A1C1E"/>
                <w:sz w:val="16"/>
                <w:szCs w:val="16"/>
              </w:rPr>
            </w:pPr>
            <w:r>
              <w:rPr>
                <w:rFonts w:ascii="Arial" w:hAnsi="Arial" w:cs="Arial"/>
                <w:color w:val="1A1C1E"/>
                <w:sz w:val="16"/>
                <w:szCs w:val="16"/>
              </w:rPr>
              <w:t>3</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6CFB732">
            <w:pPr>
              <w:ind w:firstLine="160" w:firstLineChars="100"/>
              <w:rPr>
                <w:rFonts w:ascii="Arial" w:hAnsi="Arial" w:cs="Arial"/>
                <w:color w:val="1A1C1E"/>
                <w:sz w:val="16"/>
                <w:szCs w:val="16"/>
              </w:rPr>
            </w:pPr>
            <w:r>
              <w:rPr>
                <w:rFonts w:ascii="Arial" w:hAnsi="Arial" w:cs="Arial"/>
                <w:color w:val="1A1C1E"/>
                <w:sz w:val="16"/>
                <w:szCs w:val="16"/>
              </w:rPr>
              <w:t>Comuna Cascioarele</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9B3AFCA">
            <w:pPr>
              <w:ind w:firstLine="160" w:firstLineChars="100"/>
              <w:rPr>
                <w:rFonts w:ascii="Arial" w:hAnsi="Arial" w:cs="Arial"/>
                <w:color w:val="1A1C1E"/>
                <w:sz w:val="16"/>
                <w:szCs w:val="16"/>
              </w:rPr>
            </w:pPr>
            <w:r>
              <w:rPr>
                <w:rFonts w:ascii="Arial" w:hAnsi="Arial" w:cs="Arial"/>
                <w:color w:val="1A1C1E"/>
                <w:sz w:val="16"/>
                <w:szCs w:val="16"/>
              </w:rPr>
              <w:t>25</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D6B9BD2">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4458D0C">
            <w:pPr>
              <w:ind w:firstLine="160" w:firstLineChars="100"/>
              <w:rPr>
                <w:rFonts w:ascii="Arial" w:hAnsi="Arial" w:cs="Arial"/>
                <w:color w:val="1A1C1E"/>
                <w:sz w:val="16"/>
                <w:szCs w:val="16"/>
              </w:rPr>
            </w:pPr>
            <w:r>
              <w:rPr>
                <w:rFonts w:ascii="Arial" w:hAnsi="Arial" w:cs="Arial"/>
                <w:color w:val="1A1C1E"/>
                <w:sz w:val="16"/>
                <w:szCs w:val="16"/>
              </w:rPr>
              <w:t>5</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B40E351">
            <w:pPr>
              <w:ind w:firstLine="160" w:firstLineChars="100"/>
              <w:rPr>
                <w:rFonts w:ascii="Arial" w:hAnsi="Arial" w:cs="Arial"/>
                <w:color w:val="1A1C1E"/>
                <w:sz w:val="16"/>
                <w:szCs w:val="16"/>
              </w:rPr>
            </w:pPr>
            <w:r>
              <w:rPr>
                <w:rFonts w:ascii="Arial" w:hAnsi="Arial" w:cs="Arial"/>
                <w:color w:val="1A1C1E"/>
                <w:sz w:val="16"/>
                <w:szCs w:val="16"/>
              </w:rPr>
              <w:t>5</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35D9216">
            <w:pPr>
              <w:ind w:firstLine="160" w:firstLineChars="100"/>
              <w:rPr>
                <w:rFonts w:ascii="Arial" w:hAnsi="Arial" w:cs="Arial"/>
                <w:b/>
                <w:bCs/>
                <w:color w:val="1A1C1E"/>
                <w:sz w:val="16"/>
                <w:szCs w:val="16"/>
              </w:rPr>
            </w:pPr>
            <w:r>
              <w:rPr>
                <w:rFonts w:ascii="Arial" w:hAnsi="Arial" w:cs="Arial"/>
                <w:b/>
                <w:bCs/>
                <w:color w:val="1A1C1E"/>
                <w:sz w:val="16"/>
                <w:szCs w:val="16"/>
              </w:rPr>
              <w:t>35</w:t>
            </w:r>
          </w:p>
        </w:tc>
      </w:tr>
      <w:tr w14:paraId="4C0D369C">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5D3FAABF">
            <w:pPr>
              <w:ind w:firstLine="160" w:firstLineChars="100"/>
              <w:rPr>
                <w:rFonts w:ascii="Arial" w:hAnsi="Arial" w:cs="Arial"/>
                <w:color w:val="1A1C1E"/>
                <w:sz w:val="16"/>
                <w:szCs w:val="16"/>
              </w:rPr>
            </w:pPr>
            <w:r>
              <w:rPr>
                <w:rFonts w:ascii="Arial" w:hAnsi="Arial" w:cs="Arial"/>
                <w:color w:val="1A1C1E"/>
                <w:sz w:val="16"/>
                <w:szCs w:val="16"/>
              </w:rPr>
              <w:t>4</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E8651A0">
            <w:pPr>
              <w:ind w:firstLine="160" w:firstLineChars="100"/>
              <w:rPr>
                <w:rFonts w:ascii="Arial" w:hAnsi="Arial" w:cs="Arial"/>
                <w:color w:val="1A1C1E"/>
                <w:sz w:val="16"/>
                <w:szCs w:val="16"/>
              </w:rPr>
            </w:pPr>
            <w:r>
              <w:rPr>
                <w:rFonts w:ascii="Arial" w:hAnsi="Arial" w:cs="Arial"/>
                <w:color w:val="1A1C1E"/>
                <w:sz w:val="16"/>
                <w:szCs w:val="16"/>
              </w:rPr>
              <w:t>Comuna Chirnogi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1F66B13">
            <w:pPr>
              <w:ind w:firstLine="160" w:firstLineChars="100"/>
              <w:rPr>
                <w:rFonts w:ascii="Arial" w:hAnsi="Arial" w:cs="Arial"/>
                <w:color w:val="1A1C1E"/>
                <w:sz w:val="16"/>
                <w:szCs w:val="16"/>
              </w:rPr>
            </w:pPr>
            <w:r>
              <w:rPr>
                <w:rFonts w:ascii="Arial" w:hAnsi="Arial" w:cs="Arial"/>
                <w:color w:val="1A1C1E"/>
                <w:sz w:val="16"/>
                <w:szCs w:val="16"/>
              </w:rPr>
              <w:t>91</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5768CCC">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004403B">
            <w:pPr>
              <w:ind w:firstLine="160" w:firstLineChars="100"/>
              <w:rPr>
                <w:rFonts w:ascii="Arial" w:hAnsi="Arial" w:cs="Arial"/>
                <w:color w:val="1A1C1E"/>
                <w:sz w:val="16"/>
                <w:szCs w:val="16"/>
              </w:rPr>
            </w:pPr>
            <w:r>
              <w:rPr>
                <w:rFonts w:ascii="Arial" w:hAnsi="Arial" w:cs="Arial"/>
                <w:color w:val="1A1C1E"/>
                <w:sz w:val="16"/>
                <w:szCs w:val="16"/>
              </w:rPr>
              <w:t>17</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E20F444">
            <w:pPr>
              <w:ind w:firstLine="160" w:firstLineChars="100"/>
              <w:rPr>
                <w:rFonts w:ascii="Arial" w:hAnsi="Arial" w:cs="Arial"/>
                <w:color w:val="1A1C1E"/>
                <w:sz w:val="16"/>
                <w:szCs w:val="16"/>
              </w:rPr>
            </w:pPr>
            <w:r>
              <w:rPr>
                <w:rFonts w:ascii="Arial" w:hAnsi="Arial" w:cs="Arial"/>
                <w:color w:val="1A1C1E"/>
                <w:sz w:val="16"/>
                <w:szCs w:val="16"/>
              </w:rPr>
              <w:t>17</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147D6EE">
            <w:pPr>
              <w:ind w:firstLine="160" w:firstLineChars="100"/>
              <w:rPr>
                <w:rFonts w:ascii="Arial" w:hAnsi="Arial" w:cs="Arial"/>
                <w:b/>
                <w:bCs/>
                <w:color w:val="1A1C1E"/>
                <w:sz w:val="16"/>
                <w:szCs w:val="16"/>
              </w:rPr>
            </w:pPr>
            <w:r>
              <w:rPr>
                <w:rFonts w:ascii="Arial" w:hAnsi="Arial" w:cs="Arial"/>
                <w:b/>
                <w:bCs/>
                <w:color w:val="1A1C1E"/>
                <w:sz w:val="16"/>
                <w:szCs w:val="16"/>
              </w:rPr>
              <w:t>125</w:t>
            </w:r>
          </w:p>
        </w:tc>
      </w:tr>
      <w:tr w14:paraId="7CC7C217">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1F4E9D2">
            <w:pPr>
              <w:ind w:firstLine="160" w:firstLineChars="100"/>
              <w:rPr>
                <w:rFonts w:ascii="Arial" w:hAnsi="Arial" w:cs="Arial"/>
                <w:color w:val="1A1C1E"/>
                <w:sz w:val="16"/>
                <w:szCs w:val="16"/>
              </w:rPr>
            </w:pPr>
            <w:r>
              <w:rPr>
                <w:rFonts w:ascii="Arial" w:hAnsi="Arial" w:cs="Arial"/>
                <w:color w:val="1A1C1E"/>
                <w:sz w:val="16"/>
                <w:szCs w:val="16"/>
              </w:rPr>
              <w:t>5</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BBAED64">
            <w:pPr>
              <w:ind w:firstLine="160" w:firstLineChars="100"/>
              <w:rPr>
                <w:rFonts w:ascii="Arial" w:hAnsi="Arial" w:cs="Arial"/>
                <w:color w:val="1A1C1E"/>
                <w:sz w:val="16"/>
                <w:szCs w:val="16"/>
              </w:rPr>
            </w:pPr>
            <w:r>
              <w:rPr>
                <w:rFonts w:ascii="Arial" w:hAnsi="Arial" w:cs="Arial"/>
                <w:color w:val="1A1C1E"/>
                <w:sz w:val="16"/>
                <w:szCs w:val="16"/>
              </w:rPr>
              <w:t>Comuna Chiselet</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D31CF78">
            <w:pPr>
              <w:ind w:firstLine="160" w:firstLineChars="100"/>
              <w:rPr>
                <w:rFonts w:ascii="Arial" w:hAnsi="Arial" w:cs="Arial"/>
                <w:color w:val="1A1C1E"/>
                <w:sz w:val="16"/>
                <w:szCs w:val="16"/>
              </w:rPr>
            </w:pPr>
            <w:r>
              <w:rPr>
                <w:rFonts w:ascii="Arial" w:hAnsi="Arial" w:cs="Arial"/>
                <w:color w:val="1A1C1E"/>
                <w:sz w:val="16"/>
                <w:szCs w:val="16"/>
              </w:rPr>
              <w:t>40</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AF12D00">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1581CF7">
            <w:pPr>
              <w:ind w:firstLine="160" w:firstLineChars="100"/>
              <w:rPr>
                <w:rFonts w:ascii="Arial" w:hAnsi="Arial" w:cs="Arial"/>
                <w:color w:val="1A1C1E"/>
                <w:sz w:val="16"/>
                <w:szCs w:val="16"/>
              </w:rPr>
            </w:pPr>
            <w:r>
              <w:rPr>
                <w:rFonts w:ascii="Arial" w:hAnsi="Arial" w:cs="Arial"/>
                <w:color w:val="1A1C1E"/>
                <w:sz w:val="16"/>
                <w:szCs w:val="16"/>
              </w:rPr>
              <w:t>8</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C5BD98B">
            <w:pPr>
              <w:ind w:firstLine="160" w:firstLineChars="100"/>
              <w:rPr>
                <w:rFonts w:ascii="Arial" w:hAnsi="Arial" w:cs="Arial"/>
                <w:color w:val="1A1C1E"/>
                <w:sz w:val="16"/>
                <w:szCs w:val="16"/>
              </w:rPr>
            </w:pPr>
            <w:r>
              <w:rPr>
                <w:rFonts w:ascii="Arial" w:hAnsi="Arial" w:cs="Arial"/>
                <w:color w:val="1A1C1E"/>
                <w:sz w:val="16"/>
                <w:szCs w:val="16"/>
              </w:rPr>
              <w:t>8</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AB56A9C">
            <w:pPr>
              <w:ind w:firstLine="160" w:firstLineChars="100"/>
              <w:rPr>
                <w:rFonts w:ascii="Arial" w:hAnsi="Arial" w:cs="Arial"/>
                <w:b/>
                <w:bCs/>
                <w:color w:val="1A1C1E"/>
                <w:sz w:val="16"/>
                <w:szCs w:val="16"/>
              </w:rPr>
            </w:pPr>
            <w:r>
              <w:rPr>
                <w:rFonts w:ascii="Arial" w:hAnsi="Arial" w:cs="Arial"/>
                <w:b/>
                <w:bCs/>
                <w:color w:val="1A1C1E"/>
                <w:sz w:val="16"/>
                <w:szCs w:val="16"/>
              </w:rPr>
              <w:t>56</w:t>
            </w:r>
          </w:p>
        </w:tc>
      </w:tr>
      <w:tr w14:paraId="7CEC6498">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166DE598">
            <w:pPr>
              <w:ind w:firstLine="160" w:firstLineChars="100"/>
              <w:rPr>
                <w:rFonts w:ascii="Arial" w:hAnsi="Arial" w:cs="Arial"/>
                <w:color w:val="1A1C1E"/>
                <w:sz w:val="16"/>
                <w:szCs w:val="16"/>
              </w:rPr>
            </w:pPr>
            <w:r>
              <w:rPr>
                <w:rFonts w:ascii="Arial" w:hAnsi="Arial" w:cs="Arial"/>
                <w:color w:val="1A1C1E"/>
                <w:sz w:val="16"/>
                <w:szCs w:val="16"/>
              </w:rPr>
              <w:t>6</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10DA7CD">
            <w:pPr>
              <w:ind w:firstLine="160" w:firstLineChars="100"/>
              <w:rPr>
                <w:rFonts w:ascii="Arial" w:hAnsi="Arial" w:cs="Arial"/>
                <w:color w:val="1A1C1E"/>
                <w:sz w:val="16"/>
                <w:szCs w:val="16"/>
              </w:rPr>
            </w:pPr>
            <w:r>
              <w:rPr>
                <w:rFonts w:ascii="Arial" w:hAnsi="Arial" w:cs="Arial"/>
                <w:color w:val="1A1C1E"/>
                <w:sz w:val="16"/>
                <w:szCs w:val="16"/>
              </w:rPr>
              <w:t>Comuna Crivăț</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3EB240F">
            <w:pPr>
              <w:ind w:firstLine="160" w:firstLineChars="100"/>
              <w:rPr>
                <w:rFonts w:ascii="Arial" w:hAnsi="Arial" w:cs="Arial"/>
                <w:color w:val="1A1C1E"/>
                <w:sz w:val="16"/>
                <w:szCs w:val="16"/>
              </w:rPr>
            </w:pPr>
            <w:r>
              <w:rPr>
                <w:rFonts w:ascii="Arial" w:hAnsi="Arial" w:cs="Arial"/>
                <w:color w:val="1A1C1E"/>
                <w:sz w:val="16"/>
                <w:szCs w:val="16"/>
              </w:rPr>
              <w:t>27</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ED34350">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9CA5B89">
            <w:pPr>
              <w:ind w:firstLine="160" w:firstLineChars="100"/>
              <w:rPr>
                <w:rFonts w:ascii="Arial" w:hAnsi="Arial" w:cs="Arial"/>
                <w:color w:val="1A1C1E"/>
                <w:sz w:val="16"/>
                <w:szCs w:val="16"/>
              </w:rPr>
            </w:pPr>
            <w:r>
              <w:rPr>
                <w:rFonts w:ascii="Arial" w:hAnsi="Arial" w:cs="Arial"/>
                <w:color w:val="1A1C1E"/>
                <w:sz w:val="16"/>
                <w:szCs w:val="16"/>
              </w:rPr>
              <w:t>5</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32659D5">
            <w:pPr>
              <w:ind w:firstLine="160" w:firstLineChars="100"/>
              <w:rPr>
                <w:rFonts w:ascii="Arial" w:hAnsi="Arial" w:cs="Arial"/>
                <w:color w:val="1A1C1E"/>
                <w:sz w:val="16"/>
                <w:szCs w:val="16"/>
              </w:rPr>
            </w:pPr>
            <w:r>
              <w:rPr>
                <w:rFonts w:ascii="Arial" w:hAnsi="Arial" w:cs="Arial"/>
                <w:color w:val="1A1C1E"/>
                <w:sz w:val="16"/>
                <w:szCs w:val="16"/>
              </w:rPr>
              <w:t>5</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15109A8">
            <w:pPr>
              <w:ind w:firstLine="160" w:firstLineChars="100"/>
              <w:rPr>
                <w:rFonts w:ascii="Arial" w:hAnsi="Arial" w:cs="Arial"/>
                <w:b/>
                <w:bCs/>
                <w:color w:val="1A1C1E"/>
                <w:sz w:val="16"/>
                <w:szCs w:val="16"/>
              </w:rPr>
            </w:pPr>
            <w:r>
              <w:rPr>
                <w:rFonts w:ascii="Arial" w:hAnsi="Arial" w:cs="Arial"/>
                <w:b/>
                <w:bCs/>
                <w:color w:val="1A1C1E"/>
                <w:sz w:val="16"/>
                <w:szCs w:val="16"/>
              </w:rPr>
              <w:t>37</w:t>
            </w:r>
          </w:p>
        </w:tc>
      </w:tr>
      <w:tr w14:paraId="35338BB2">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13DC1102">
            <w:pPr>
              <w:ind w:firstLine="160" w:firstLineChars="100"/>
              <w:rPr>
                <w:rFonts w:ascii="Arial" w:hAnsi="Arial" w:cs="Arial"/>
                <w:color w:val="1A1C1E"/>
                <w:sz w:val="16"/>
                <w:szCs w:val="16"/>
              </w:rPr>
            </w:pPr>
            <w:r>
              <w:rPr>
                <w:rFonts w:ascii="Arial" w:hAnsi="Arial" w:cs="Arial"/>
                <w:color w:val="1A1C1E"/>
                <w:sz w:val="16"/>
                <w:szCs w:val="16"/>
              </w:rPr>
              <w:t>7</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C8541E1">
            <w:pPr>
              <w:ind w:firstLine="160" w:firstLineChars="100"/>
              <w:rPr>
                <w:rFonts w:ascii="Arial" w:hAnsi="Arial" w:cs="Arial"/>
                <w:color w:val="1A1C1E"/>
                <w:sz w:val="16"/>
                <w:szCs w:val="16"/>
              </w:rPr>
            </w:pPr>
            <w:r>
              <w:rPr>
                <w:rFonts w:ascii="Arial" w:hAnsi="Arial" w:cs="Arial"/>
                <w:color w:val="1A1C1E"/>
                <w:sz w:val="16"/>
                <w:szCs w:val="16"/>
              </w:rPr>
              <w:t>Comuna Curcani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F3D51DF">
            <w:pPr>
              <w:ind w:firstLine="160" w:firstLineChars="100"/>
              <w:rPr>
                <w:rFonts w:ascii="Arial" w:hAnsi="Arial" w:cs="Arial"/>
                <w:color w:val="1A1C1E"/>
                <w:sz w:val="16"/>
                <w:szCs w:val="16"/>
              </w:rPr>
            </w:pPr>
            <w:r>
              <w:rPr>
                <w:rFonts w:ascii="Arial" w:hAnsi="Arial" w:cs="Arial"/>
                <w:color w:val="1A1C1E"/>
                <w:sz w:val="16"/>
                <w:szCs w:val="16"/>
              </w:rPr>
              <w:t>59</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E7A98AE">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03FF553">
            <w:pPr>
              <w:ind w:firstLine="160" w:firstLineChars="100"/>
              <w:rPr>
                <w:rFonts w:ascii="Arial" w:hAnsi="Arial" w:cs="Arial"/>
                <w:color w:val="1A1C1E"/>
                <w:sz w:val="16"/>
                <w:szCs w:val="16"/>
              </w:rPr>
            </w:pPr>
            <w:r>
              <w:rPr>
                <w:rFonts w:ascii="Arial" w:hAnsi="Arial" w:cs="Arial"/>
                <w:color w:val="1A1C1E"/>
                <w:sz w:val="16"/>
                <w:szCs w:val="16"/>
              </w:rPr>
              <w:t>11</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0B327C7">
            <w:pPr>
              <w:ind w:firstLine="160" w:firstLineChars="100"/>
              <w:rPr>
                <w:rFonts w:ascii="Arial" w:hAnsi="Arial" w:cs="Arial"/>
                <w:color w:val="1A1C1E"/>
                <w:sz w:val="16"/>
                <w:szCs w:val="16"/>
              </w:rPr>
            </w:pPr>
            <w:r>
              <w:rPr>
                <w:rFonts w:ascii="Arial" w:hAnsi="Arial" w:cs="Arial"/>
                <w:color w:val="1A1C1E"/>
                <w:sz w:val="16"/>
                <w:szCs w:val="16"/>
              </w:rPr>
              <w:t>11</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409C0BA">
            <w:pPr>
              <w:ind w:firstLine="160" w:firstLineChars="100"/>
              <w:rPr>
                <w:rFonts w:ascii="Arial" w:hAnsi="Arial" w:cs="Arial"/>
                <w:b/>
                <w:bCs/>
                <w:color w:val="1A1C1E"/>
                <w:sz w:val="16"/>
                <w:szCs w:val="16"/>
              </w:rPr>
            </w:pPr>
            <w:r>
              <w:rPr>
                <w:rFonts w:ascii="Arial" w:hAnsi="Arial" w:cs="Arial"/>
                <w:b/>
                <w:bCs/>
                <w:color w:val="1A1C1E"/>
                <w:sz w:val="16"/>
                <w:szCs w:val="16"/>
              </w:rPr>
              <w:t>81</w:t>
            </w:r>
          </w:p>
        </w:tc>
      </w:tr>
      <w:tr w14:paraId="6FFD119D">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1582EEE1">
            <w:pPr>
              <w:ind w:firstLine="160" w:firstLineChars="100"/>
              <w:rPr>
                <w:rFonts w:ascii="Arial" w:hAnsi="Arial" w:cs="Arial"/>
                <w:color w:val="1A1C1E"/>
                <w:sz w:val="16"/>
                <w:szCs w:val="16"/>
              </w:rPr>
            </w:pPr>
            <w:r>
              <w:rPr>
                <w:rFonts w:ascii="Arial" w:hAnsi="Arial" w:cs="Arial"/>
                <w:color w:val="1A1C1E"/>
                <w:sz w:val="16"/>
                <w:szCs w:val="16"/>
              </w:rPr>
              <w:t>8</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B12DE97">
            <w:pPr>
              <w:ind w:firstLine="160" w:firstLineChars="100"/>
              <w:rPr>
                <w:rFonts w:ascii="Arial" w:hAnsi="Arial" w:cs="Arial"/>
                <w:color w:val="1A1C1E"/>
                <w:sz w:val="16"/>
                <w:szCs w:val="16"/>
              </w:rPr>
            </w:pPr>
            <w:r>
              <w:rPr>
                <w:rFonts w:ascii="Arial" w:hAnsi="Arial" w:cs="Arial"/>
                <w:color w:val="1A1C1E"/>
                <w:sz w:val="16"/>
                <w:szCs w:val="16"/>
              </w:rPr>
              <w:t>Comuna Frumușani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DF2312D">
            <w:pPr>
              <w:ind w:firstLine="160" w:firstLineChars="100"/>
              <w:rPr>
                <w:rFonts w:ascii="Arial" w:hAnsi="Arial" w:cs="Arial"/>
                <w:color w:val="1A1C1E"/>
                <w:sz w:val="16"/>
                <w:szCs w:val="16"/>
              </w:rPr>
            </w:pPr>
            <w:r>
              <w:rPr>
                <w:rFonts w:ascii="Arial" w:hAnsi="Arial" w:cs="Arial"/>
                <w:color w:val="1A1C1E"/>
                <w:sz w:val="16"/>
                <w:szCs w:val="16"/>
              </w:rPr>
              <w:t>58</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F5581E2">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E64A2BB">
            <w:pPr>
              <w:ind w:firstLine="160" w:firstLineChars="100"/>
              <w:rPr>
                <w:rFonts w:ascii="Arial" w:hAnsi="Arial" w:cs="Arial"/>
                <w:color w:val="1A1C1E"/>
                <w:sz w:val="16"/>
                <w:szCs w:val="16"/>
              </w:rPr>
            </w:pPr>
            <w:r>
              <w:rPr>
                <w:rFonts w:ascii="Arial" w:hAnsi="Arial" w:cs="Arial"/>
                <w:color w:val="1A1C1E"/>
                <w:sz w:val="16"/>
                <w:szCs w:val="16"/>
              </w:rPr>
              <w:t>11</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5C39B6E">
            <w:pPr>
              <w:ind w:firstLine="160" w:firstLineChars="100"/>
              <w:rPr>
                <w:rFonts w:ascii="Arial" w:hAnsi="Arial" w:cs="Arial"/>
                <w:color w:val="1A1C1E"/>
                <w:sz w:val="16"/>
                <w:szCs w:val="16"/>
              </w:rPr>
            </w:pPr>
            <w:r>
              <w:rPr>
                <w:rFonts w:ascii="Arial" w:hAnsi="Arial" w:cs="Arial"/>
                <w:color w:val="1A1C1E"/>
                <w:sz w:val="16"/>
                <w:szCs w:val="16"/>
              </w:rPr>
              <w:t>11</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C2E86FB">
            <w:pPr>
              <w:ind w:firstLine="160" w:firstLineChars="100"/>
              <w:rPr>
                <w:rFonts w:ascii="Arial" w:hAnsi="Arial" w:cs="Arial"/>
                <w:b/>
                <w:bCs/>
                <w:color w:val="1A1C1E"/>
                <w:sz w:val="16"/>
                <w:szCs w:val="16"/>
              </w:rPr>
            </w:pPr>
            <w:r>
              <w:rPr>
                <w:rFonts w:ascii="Arial" w:hAnsi="Arial" w:cs="Arial"/>
                <w:b/>
                <w:bCs/>
                <w:color w:val="1A1C1E"/>
                <w:sz w:val="16"/>
                <w:szCs w:val="16"/>
              </w:rPr>
              <w:t>80</w:t>
            </w:r>
          </w:p>
        </w:tc>
      </w:tr>
      <w:tr w14:paraId="61AA5FB6">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5A99AA58">
            <w:pPr>
              <w:ind w:firstLine="160" w:firstLineChars="100"/>
              <w:rPr>
                <w:rFonts w:ascii="Arial" w:hAnsi="Arial" w:cs="Arial"/>
                <w:color w:val="1A1C1E"/>
                <w:sz w:val="16"/>
                <w:szCs w:val="16"/>
              </w:rPr>
            </w:pPr>
            <w:r>
              <w:rPr>
                <w:rFonts w:ascii="Arial" w:hAnsi="Arial" w:cs="Arial"/>
                <w:color w:val="1A1C1E"/>
                <w:sz w:val="16"/>
                <w:szCs w:val="16"/>
              </w:rPr>
              <w:t>9</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428EAFA">
            <w:pPr>
              <w:ind w:firstLine="160" w:firstLineChars="100"/>
              <w:rPr>
                <w:rFonts w:ascii="Arial" w:hAnsi="Arial" w:cs="Arial"/>
                <w:color w:val="1A1C1E"/>
                <w:sz w:val="16"/>
                <w:szCs w:val="16"/>
              </w:rPr>
            </w:pPr>
            <w:r>
              <w:rPr>
                <w:rFonts w:ascii="Arial" w:hAnsi="Arial" w:cs="Arial"/>
                <w:color w:val="1A1C1E"/>
                <w:sz w:val="16"/>
                <w:szCs w:val="16"/>
              </w:rPr>
              <w:t>Comuna Fundeni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0CB6012">
            <w:pPr>
              <w:ind w:firstLine="160" w:firstLineChars="100"/>
              <w:rPr>
                <w:rFonts w:ascii="Arial" w:hAnsi="Arial" w:cs="Arial"/>
                <w:color w:val="1A1C1E"/>
                <w:sz w:val="16"/>
                <w:szCs w:val="16"/>
              </w:rPr>
            </w:pPr>
            <w:r>
              <w:rPr>
                <w:rFonts w:ascii="Arial" w:hAnsi="Arial" w:cs="Arial"/>
                <w:color w:val="1A1C1E"/>
                <w:sz w:val="16"/>
                <w:szCs w:val="16"/>
              </w:rPr>
              <w:t>62</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53177EB">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5D242FE">
            <w:pPr>
              <w:ind w:firstLine="160" w:firstLineChars="100"/>
              <w:rPr>
                <w:rFonts w:ascii="Arial" w:hAnsi="Arial" w:cs="Arial"/>
                <w:color w:val="1A1C1E"/>
                <w:sz w:val="16"/>
                <w:szCs w:val="16"/>
              </w:rPr>
            </w:pPr>
            <w:r>
              <w:rPr>
                <w:rFonts w:ascii="Arial" w:hAnsi="Arial" w:cs="Arial"/>
                <w:color w:val="1A1C1E"/>
                <w:sz w:val="16"/>
                <w:szCs w:val="16"/>
              </w:rPr>
              <w:t>12</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E60F532">
            <w:pPr>
              <w:ind w:firstLine="160" w:firstLineChars="100"/>
              <w:rPr>
                <w:rFonts w:ascii="Arial" w:hAnsi="Arial" w:cs="Arial"/>
                <w:color w:val="1A1C1E"/>
                <w:sz w:val="16"/>
                <w:szCs w:val="16"/>
              </w:rPr>
            </w:pPr>
            <w:r>
              <w:rPr>
                <w:rFonts w:ascii="Arial" w:hAnsi="Arial" w:cs="Arial"/>
                <w:color w:val="1A1C1E"/>
                <w:sz w:val="16"/>
                <w:szCs w:val="16"/>
              </w:rPr>
              <w:t>12</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8AB60B8">
            <w:pPr>
              <w:ind w:firstLine="160" w:firstLineChars="100"/>
              <w:rPr>
                <w:rFonts w:ascii="Arial" w:hAnsi="Arial" w:cs="Arial"/>
                <w:b/>
                <w:bCs/>
                <w:color w:val="1A1C1E"/>
                <w:sz w:val="16"/>
                <w:szCs w:val="16"/>
              </w:rPr>
            </w:pPr>
            <w:r>
              <w:rPr>
                <w:rFonts w:ascii="Arial" w:hAnsi="Arial" w:cs="Arial"/>
                <w:b/>
                <w:bCs/>
                <w:color w:val="1A1C1E"/>
                <w:sz w:val="16"/>
                <w:szCs w:val="16"/>
              </w:rPr>
              <w:t>86</w:t>
            </w:r>
          </w:p>
        </w:tc>
      </w:tr>
      <w:tr w14:paraId="5BEB540E">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026C678">
            <w:pPr>
              <w:ind w:firstLine="160" w:firstLineChars="100"/>
              <w:rPr>
                <w:rFonts w:ascii="Arial" w:hAnsi="Arial" w:cs="Arial"/>
                <w:color w:val="1A1C1E"/>
                <w:sz w:val="16"/>
                <w:szCs w:val="16"/>
              </w:rPr>
            </w:pPr>
            <w:r>
              <w:rPr>
                <w:rFonts w:ascii="Arial" w:hAnsi="Arial" w:cs="Arial"/>
                <w:color w:val="1A1C1E"/>
                <w:sz w:val="16"/>
                <w:szCs w:val="16"/>
              </w:rPr>
              <w:t>10</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A98E560">
            <w:pPr>
              <w:ind w:firstLine="160" w:firstLineChars="100"/>
              <w:rPr>
                <w:rFonts w:ascii="Arial" w:hAnsi="Arial" w:cs="Arial"/>
                <w:color w:val="1A1C1E"/>
                <w:sz w:val="16"/>
                <w:szCs w:val="16"/>
              </w:rPr>
            </w:pPr>
            <w:r>
              <w:rPr>
                <w:rFonts w:ascii="Arial" w:hAnsi="Arial" w:cs="Arial"/>
                <w:color w:val="1A1C1E"/>
                <w:sz w:val="16"/>
                <w:szCs w:val="16"/>
              </w:rPr>
              <w:t>Comuna Galbinași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6A47069">
            <w:pPr>
              <w:ind w:firstLine="160" w:firstLineChars="100"/>
              <w:rPr>
                <w:rFonts w:ascii="Arial" w:hAnsi="Arial" w:cs="Arial"/>
                <w:color w:val="1A1C1E"/>
                <w:sz w:val="16"/>
                <w:szCs w:val="16"/>
              </w:rPr>
            </w:pPr>
            <w:r>
              <w:rPr>
                <w:rFonts w:ascii="Arial" w:hAnsi="Arial" w:cs="Arial"/>
                <w:color w:val="1A1C1E"/>
                <w:sz w:val="16"/>
                <w:szCs w:val="16"/>
              </w:rPr>
              <w:t>62</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D79527F">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25EB09F">
            <w:pPr>
              <w:ind w:firstLine="160" w:firstLineChars="100"/>
              <w:rPr>
                <w:rFonts w:ascii="Arial" w:hAnsi="Arial" w:cs="Arial"/>
                <w:color w:val="1A1C1E"/>
                <w:sz w:val="16"/>
                <w:szCs w:val="16"/>
              </w:rPr>
            </w:pPr>
            <w:r>
              <w:rPr>
                <w:rFonts w:ascii="Arial" w:hAnsi="Arial" w:cs="Arial"/>
                <w:color w:val="1A1C1E"/>
                <w:sz w:val="16"/>
                <w:szCs w:val="16"/>
              </w:rPr>
              <w:t>14</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5AA9F79">
            <w:pPr>
              <w:ind w:firstLine="160" w:firstLineChars="100"/>
              <w:rPr>
                <w:rFonts w:ascii="Arial" w:hAnsi="Arial" w:cs="Arial"/>
                <w:color w:val="1A1C1E"/>
                <w:sz w:val="16"/>
                <w:szCs w:val="16"/>
              </w:rPr>
            </w:pPr>
            <w:r>
              <w:rPr>
                <w:rFonts w:ascii="Arial" w:hAnsi="Arial" w:cs="Arial"/>
                <w:color w:val="1A1C1E"/>
                <w:sz w:val="16"/>
                <w:szCs w:val="16"/>
              </w:rPr>
              <w:t>14</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DB4CB62">
            <w:pPr>
              <w:ind w:firstLine="160" w:firstLineChars="100"/>
              <w:rPr>
                <w:rFonts w:ascii="Arial" w:hAnsi="Arial" w:cs="Arial"/>
                <w:b/>
                <w:bCs/>
                <w:color w:val="1A1C1E"/>
                <w:sz w:val="16"/>
                <w:szCs w:val="16"/>
              </w:rPr>
            </w:pPr>
            <w:r>
              <w:rPr>
                <w:rFonts w:ascii="Arial" w:hAnsi="Arial" w:cs="Arial"/>
                <w:b/>
                <w:bCs/>
                <w:color w:val="1A1C1E"/>
                <w:sz w:val="16"/>
                <w:szCs w:val="16"/>
              </w:rPr>
              <w:t>90</w:t>
            </w:r>
          </w:p>
        </w:tc>
      </w:tr>
      <w:tr w14:paraId="6743858D">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E0474AD">
            <w:pPr>
              <w:ind w:firstLine="160" w:firstLineChars="100"/>
              <w:rPr>
                <w:rFonts w:ascii="Arial" w:hAnsi="Arial" w:cs="Arial"/>
                <w:color w:val="1A1C1E"/>
                <w:sz w:val="16"/>
                <w:szCs w:val="16"/>
              </w:rPr>
            </w:pPr>
            <w:r>
              <w:rPr>
                <w:rFonts w:ascii="Arial" w:hAnsi="Arial" w:cs="Arial"/>
                <w:color w:val="1A1C1E"/>
                <w:sz w:val="16"/>
                <w:szCs w:val="16"/>
              </w:rPr>
              <w:t>11</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BFCF7A6">
            <w:pPr>
              <w:ind w:firstLine="160" w:firstLineChars="100"/>
              <w:rPr>
                <w:rFonts w:ascii="Arial" w:hAnsi="Arial" w:cs="Arial"/>
                <w:color w:val="1A1C1E"/>
                <w:sz w:val="16"/>
                <w:szCs w:val="16"/>
              </w:rPr>
            </w:pPr>
            <w:r>
              <w:rPr>
                <w:rFonts w:ascii="Arial" w:hAnsi="Arial" w:cs="Arial"/>
                <w:color w:val="1A1C1E"/>
                <w:sz w:val="16"/>
                <w:szCs w:val="16"/>
              </w:rPr>
              <w:t>Comuna Luica</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2B57D3C">
            <w:pPr>
              <w:ind w:firstLine="160" w:firstLineChars="100"/>
              <w:rPr>
                <w:rFonts w:ascii="Arial" w:hAnsi="Arial" w:cs="Arial"/>
                <w:color w:val="1A1C1E"/>
                <w:sz w:val="16"/>
                <w:szCs w:val="16"/>
              </w:rPr>
            </w:pPr>
            <w:r>
              <w:rPr>
                <w:rFonts w:ascii="Arial" w:hAnsi="Arial" w:cs="Arial"/>
                <w:color w:val="1A1C1E"/>
                <w:sz w:val="16"/>
                <w:szCs w:val="16"/>
              </w:rPr>
              <w:t>26</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7925026">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3198445">
            <w:pPr>
              <w:ind w:firstLine="160" w:firstLineChars="100"/>
              <w:rPr>
                <w:rFonts w:ascii="Arial" w:hAnsi="Arial" w:cs="Arial"/>
                <w:color w:val="1A1C1E"/>
                <w:sz w:val="16"/>
                <w:szCs w:val="16"/>
              </w:rPr>
            </w:pPr>
            <w:r>
              <w:rPr>
                <w:rFonts w:ascii="Arial" w:hAnsi="Arial" w:cs="Arial"/>
                <w:color w:val="1A1C1E"/>
                <w:sz w:val="16"/>
                <w:szCs w:val="16"/>
              </w:rPr>
              <w:t>5</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4F402F8">
            <w:pPr>
              <w:ind w:firstLine="160" w:firstLineChars="100"/>
              <w:rPr>
                <w:rFonts w:ascii="Arial" w:hAnsi="Arial" w:cs="Arial"/>
                <w:color w:val="1A1C1E"/>
                <w:sz w:val="16"/>
                <w:szCs w:val="16"/>
              </w:rPr>
            </w:pPr>
            <w:r>
              <w:rPr>
                <w:rFonts w:ascii="Arial" w:hAnsi="Arial" w:cs="Arial"/>
                <w:color w:val="1A1C1E"/>
                <w:sz w:val="16"/>
                <w:szCs w:val="16"/>
              </w:rPr>
              <w:t>5</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022848B">
            <w:pPr>
              <w:ind w:firstLine="160" w:firstLineChars="100"/>
              <w:rPr>
                <w:rFonts w:ascii="Arial" w:hAnsi="Arial" w:cs="Arial"/>
                <w:b/>
                <w:bCs/>
                <w:color w:val="1A1C1E"/>
                <w:sz w:val="16"/>
                <w:szCs w:val="16"/>
              </w:rPr>
            </w:pPr>
            <w:r>
              <w:rPr>
                <w:rFonts w:ascii="Arial" w:hAnsi="Arial" w:cs="Arial"/>
                <w:b/>
                <w:bCs/>
                <w:color w:val="1A1C1E"/>
                <w:sz w:val="16"/>
                <w:szCs w:val="16"/>
              </w:rPr>
              <w:t>36</w:t>
            </w:r>
          </w:p>
        </w:tc>
      </w:tr>
      <w:tr w14:paraId="52FA731C">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467649A">
            <w:pPr>
              <w:ind w:firstLine="160" w:firstLineChars="100"/>
              <w:rPr>
                <w:rFonts w:ascii="Arial" w:hAnsi="Arial" w:cs="Arial"/>
                <w:color w:val="1A1C1E"/>
                <w:sz w:val="16"/>
                <w:szCs w:val="16"/>
              </w:rPr>
            </w:pPr>
            <w:r>
              <w:rPr>
                <w:rFonts w:ascii="Arial" w:hAnsi="Arial" w:cs="Arial"/>
                <w:color w:val="1A1C1E"/>
                <w:sz w:val="16"/>
                <w:szCs w:val="16"/>
              </w:rPr>
              <w:t>12</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D8B392B">
            <w:pPr>
              <w:ind w:firstLine="160" w:firstLineChars="100"/>
              <w:rPr>
                <w:rFonts w:ascii="Arial" w:hAnsi="Arial" w:cs="Arial"/>
                <w:color w:val="1A1C1E"/>
                <w:sz w:val="16"/>
                <w:szCs w:val="16"/>
              </w:rPr>
            </w:pPr>
            <w:r>
              <w:rPr>
                <w:rFonts w:ascii="Arial" w:hAnsi="Arial" w:cs="Arial"/>
                <w:color w:val="1A1C1E"/>
                <w:sz w:val="16"/>
                <w:szCs w:val="16"/>
              </w:rPr>
              <w:t>Comuna Mitreni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11CFC90">
            <w:pPr>
              <w:ind w:firstLine="160" w:firstLineChars="100"/>
              <w:rPr>
                <w:rFonts w:ascii="Arial" w:hAnsi="Arial" w:cs="Arial"/>
                <w:color w:val="1A1C1E"/>
                <w:sz w:val="16"/>
                <w:szCs w:val="16"/>
              </w:rPr>
            </w:pPr>
            <w:r>
              <w:rPr>
                <w:rFonts w:ascii="Arial" w:hAnsi="Arial" w:cs="Arial"/>
                <w:color w:val="1A1C1E"/>
                <w:sz w:val="16"/>
                <w:szCs w:val="16"/>
              </w:rPr>
              <w:t>55</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0120743">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EAD8536">
            <w:pPr>
              <w:ind w:firstLine="160" w:firstLineChars="100"/>
              <w:rPr>
                <w:rFonts w:ascii="Arial" w:hAnsi="Arial" w:cs="Arial"/>
                <w:color w:val="1A1C1E"/>
                <w:sz w:val="16"/>
                <w:szCs w:val="16"/>
              </w:rPr>
            </w:pPr>
            <w:r>
              <w:rPr>
                <w:rFonts w:ascii="Arial" w:hAnsi="Arial" w:cs="Arial"/>
                <w:color w:val="1A1C1E"/>
                <w:sz w:val="16"/>
                <w:szCs w:val="16"/>
              </w:rPr>
              <w:t>10</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1DC235C">
            <w:pPr>
              <w:ind w:firstLine="160" w:firstLineChars="100"/>
              <w:rPr>
                <w:rFonts w:ascii="Arial" w:hAnsi="Arial" w:cs="Arial"/>
                <w:color w:val="1A1C1E"/>
                <w:sz w:val="16"/>
                <w:szCs w:val="16"/>
              </w:rPr>
            </w:pPr>
            <w:r>
              <w:rPr>
                <w:rFonts w:ascii="Arial" w:hAnsi="Arial" w:cs="Arial"/>
                <w:color w:val="1A1C1E"/>
                <w:sz w:val="16"/>
                <w:szCs w:val="16"/>
              </w:rPr>
              <w:t>10</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54569DA">
            <w:pPr>
              <w:ind w:firstLine="160" w:firstLineChars="100"/>
              <w:rPr>
                <w:rFonts w:ascii="Arial" w:hAnsi="Arial" w:cs="Arial"/>
                <w:b/>
                <w:bCs/>
                <w:color w:val="1A1C1E"/>
                <w:sz w:val="16"/>
                <w:szCs w:val="16"/>
              </w:rPr>
            </w:pPr>
            <w:r>
              <w:rPr>
                <w:rFonts w:ascii="Arial" w:hAnsi="Arial" w:cs="Arial"/>
                <w:b/>
                <w:bCs/>
                <w:color w:val="1A1C1E"/>
                <w:sz w:val="16"/>
                <w:szCs w:val="16"/>
              </w:rPr>
              <w:t>75</w:t>
            </w:r>
          </w:p>
        </w:tc>
      </w:tr>
      <w:tr w14:paraId="0F4A5248">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D1EEBBC">
            <w:pPr>
              <w:ind w:firstLine="160" w:firstLineChars="100"/>
              <w:rPr>
                <w:rFonts w:ascii="Arial" w:hAnsi="Arial" w:cs="Arial"/>
                <w:color w:val="1A1C1E"/>
                <w:sz w:val="16"/>
                <w:szCs w:val="16"/>
              </w:rPr>
            </w:pPr>
            <w:r>
              <w:rPr>
                <w:rFonts w:ascii="Arial" w:hAnsi="Arial" w:cs="Arial"/>
                <w:color w:val="1A1C1E"/>
                <w:sz w:val="16"/>
                <w:szCs w:val="16"/>
              </w:rPr>
              <w:t>13</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6468115">
            <w:pPr>
              <w:ind w:firstLine="160" w:firstLineChars="100"/>
              <w:rPr>
                <w:rFonts w:ascii="Arial" w:hAnsi="Arial" w:cs="Arial"/>
                <w:color w:val="1A1C1E"/>
                <w:sz w:val="16"/>
                <w:szCs w:val="16"/>
              </w:rPr>
            </w:pPr>
            <w:r>
              <w:rPr>
                <w:rFonts w:ascii="Arial" w:hAnsi="Arial" w:cs="Arial"/>
                <w:color w:val="1A1C1E"/>
                <w:sz w:val="16"/>
                <w:szCs w:val="16"/>
              </w:rPr>
              <w:t>Comuna Nana</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9D2F125">
            <w:pPr>
              <w:ind w:firstLine="160" w:firstLineChars="100"/>
              <w:rPr>
                <w:rFonts w:ascii="Arial" w:hAnsi="Arial" w:cs="Arial"/>
                <w:color w:val="1A1C1E"/>
                <w:sz w:val="16"/>
                <w:szCs w:val="16"/>
              </w:rPr>
            </w:pPr>
            <w:r>
              <w:rPr>
                <w:rFonts w:ascii="Arial" w:hAnsi="Arial" w:cs="Arial"/>
                <w:color w:val="1A1C1E"/>
                <w:sz w:val="16"/>
                <w:szCs w:val="16"/>
              </w:rPr>
              <w:t>30</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C7A1592">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29A68EA">
            <w:pPr>
              <w:ind w:firstLine="160" w:firstLineChars="100"/>
              <w:rPr>
                <w:rFonts w:ascii="Arial" w:hAnsi="Arial" w:cs="Arial"/>
                <w:color w:val="1A1C1E"/>
                <w:sz w:val="16"/>
                <w:szCs w:val="16"/>
              </w:rPr>
            </w:pPr>
            <w:r>
              <w:rPr>
                <w:rFonts w:ascii="Arial" w:hAnsi="Arial" w:cs="Arial"/>
                <w:color w:val="1A1C1E"/>
                <w:sz w:val="16"/>
                <w:szCs w:val="16"/>
              </w:rPr>
              <w:t>6</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8B7C1E9">
            <w:pPr>
              <w:ind w:firstLine="160" w:firstLineChars="100"/>
              <w:rPr>
                <w:rFonts w:ascii="Arial" w:hAnsi="Arial" w:cs="Arial"/>
                <w:color w:val="1A1C1E"/>
                <w:sz w:val="16"/>
                <w:szCs w:val="16"/>
              </w:rPr>
            </w:pPr>
            <w:r>
              <w:rPr>
                <w:rFonts w:ascii="Arial" w:hAnsi="Arial" w:cs="Arial"/>
                <w:color w:val="1A1C1E"/>
                <w:sz w:val="16"/>
                <w:szCs w:val="16"/>
              </w:rPr>
              <w:t>6</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C96C683">
            <w:pPr>
              <w:ind w:firstLine="160" w:firstLineChars="100"/>
              <w:rPr>
                <w:rFonts w:ascii="Arial" w:hAnsi="Arial" w:cs="Arial"/>
                <w:b/>
                <w:bCs/>
                <w:color w:val="1A1C1E"/>
                <w:sz w:val="16"/>
                <w:szCs w:val="16"/>
              </w:rPr>
            </w:pPr>
            <w:r>
              <w:rPr>
                <w:rFonts w:ascii="Arial" w:hAnsi="Arial" w:cs="Arial"/>
                <w:b/>
                <w:bCs/>
                <w:color w:val="1A1C1E"/>
                <w:sz w:val="16"/>
                <w:szCs w:val="16"/>
              </w:rPr>
              <w:t>42</w:t>
            </w:r>
          </w:p>
        </w:tc>
      </w:tr>
      <w:tr w14:paraId="6C895A71">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1433A98">
            <w:pPr>
              <w:ind w:firstLine="160" w:firstLineChars="100"/>
              <w:rPr>
                <w:rFonts w:ascii="Arial" w:hAnsi="Arial" w:cs="Arial"/>
                <w:color w:val="1A1C1E"/>
                <w:sz w:val="16"/>
                <w:szCs w:val="16"/>
              </w:rPr>
            </w:pPr>
            <w:r>
              <w:rPr>
                <w:rFonts w:ascii="Arial" w:hAnsi="Arial" w:cs="Arial"/>
                <w:color w:val="1A1C1E"/>
                <w:sz w:val="16"/>
                <w:szCs w:val="16"/>
              </w:rPr>
              <w:t>14</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B2BBA06">
            <w:pPr>
              <w:ind w:firstLine="160" w:firstLineChars="100"/>
              <w:rPr>
                <w:rFonts w:ascii="Arial" w:hAnsi="Arial" w:cs="Arial"/>
                <w:color w:val="1A1C1E"/>
                <w:sz w:val="16"/>
                <w:szCs w:val="16"/>
              </w:rPr>
            </w:pPr>
            <w:r>
              <w:rPr>
                <w:rFonts w:ascii="Arial" w:hAnsi="Arial" w:cs="Arial"/>
                <w:color w:val="1A1C1E"/>
                <w:sz w:val="16"/>
                <w:szCs w:val="16"/>
              </w:rPr>
              <w:t>Comuna Platarești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78C6C18">
            <w:pPr>
              <w:ind w:firstLine="160" w:firstLineChars="100"/>
              <w:rPr>
                <w:rFonts w:ascii="Arial" w:hAnsi="Arial" w:cs="Arial"/>
                <w:color w:val="1A1C1E"/>
                <w:sz w:val="16"/>
                <w:szCs w:val="16"/>
              </w:rPr>
            </w:pPr>
            <w:r>
              <w:rPr>
                <w:rFonts w:ascii="Arial" w:hAnsi="Arial" w:cs="Arial"/>
                <w:color w:val="1A1C1E"/>
                <w:sz w:val="16"/>
                <w:szCs w:val="16"/>
              </w:rPr>
              <w:t>49</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11BAE8F">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E04759F">
            <w:pPr>
              <w:ind w:firstLine="160" w:firstLineChars="100"/>
              <w:rPr>
                <w:rFonts w:ascii="Arial" w:hAnsi="Arial" w:cs="Arial"/>
                <w:color w:val="1A1C1E"/>
                <w:sz w:val="16"/>
                <w:szCs w:val="16"/>
              </w:rPr>
            </w:pPr>
            <w:r>
              <w:rPr>
                <w:rFonts w:ascii="Arial" w:hAnsi="Arial" w:cs="Arial"/>
                <w:color w:val="1A1C1E"/>
                <w:sz w:val="16"/>
                <w:szCs w:val="16"/>
              </w:rPr>
              <w:t>9</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C212E26">
            <w:pPr>
              <w:ind w:firstLine="160" w:firstLineChars="100"/>
              <w:rPr>
                <w:rFonts w:ascii="Arial" w:hAnsi="Arial" w:cs="Arial"/>
                <w:color w:val="1A1C1E"/>
                <w:sz w:val="16"/>
                <w:szCs w:val="16"/>
              </w:rPr>
            </w:pPr>
            <w:r>
              <w:rPr>
                <w:rFonts w:ascii="Arial" w:hAnsi="Arial" w:cs="Arial"/>
                <w:color w:val="1A1C1E"/>
                <w:sz w:val="16"/>
                <w:szCs w:val="16"/>
              </w:rPr>
              <w:t>9</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FF45C64">
            <w:pPr>
              <w:ind w:firstLine="160" w:firstLineChars="100"/>
              <w:rPr>
                <w:rFonts w:ascii="Arial" w:hAnsi="Arial" w:cs="Arial"/>
                <w:b/>
                <w:bCs/>
                <w:color w:val="1A1C1E"/>
                <w:sz w:val="16"/>
                <w:szCs w:val="16"/>
              </w:rPr>
            </w:pPr>
            <w:r>
              <w:rPr>
                <w:rFonts w:ascii="Arial" w:hAnsi="Arial" w:cs="Arial"/>
                <w:b/>
                <w:bCs/>
                <w:color w:val="1A1C1E"/>
                <w:sz w:val="16"/>
                <w:szCs w:val="16"/>
              </w:rPr>
              <w:t>67</w:t>
            </w:r>
          </w:p>
        </w:tc>
      </w:tr>
      <w:tr w14:paraId="4A47432E">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6C5F9364">
            <w:pPr>
              <w:ind w:firstLine="160" w:firstLineChars="100"/>
              <w:rPr>
                <w:rFonts w:ascii="Arial" w:hAnsi="Arial" w:cs="Arial"/>
                <w:color w:val="1A1C1E"/>
                <w:sz w:val="16"/>
                <w:szCs w:val="16"/>
              </w:rPr>
            </w:pPr>
            <w:r>
              <w:rPr>
                <w:rFonts w:ascii="Arial" w:hAnsi="Arial" w:cs="Arial"/>
                <w:color w:val="1A1C1E"/>
                <w:sz w:val="16"/>
                <w:szCs w:val="16"/>
              </w:rPr>
              <w:t>15</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9A6445D">
            <w:pPr>
              <w:ind w:firstLine="160" w:firstLineChars="100"/>
              <w:rPr>
                <w:rFonts w:ascii="Arial" w:hAnsi="Arial" w:cs="Arial"/>
                <w:color w:val="1A1C1E"/>
                <w:sz w:val="16"/>
                <w:szCs w:val="16"/>
              </w:rPr>
            </w:pPr>
            <w:r>
              <w:rPr>
                <w:rFonts w:ascii="Arial" w:hAnsi="Arial" w:cs="Arial"/>
                <w:color w:val="1A1C1E"/>
                <w:sz w:val="16"/>
                <w:szCs w:val="16"/>
              </w:rPr>
              <w:t>Comuna Radovanu</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A995FF3">
            <w:pPr>
              <w:ind w:firstLine="160" w:firstLineChars="100"/>
              <w:rPr>
                <w:rFonts w:ascii="Arial" w:hAnsi="Arial" w:cs="Arial"/>
                <w:color w:val="1A1C1E"/>
                <w:sz w:val="16"/>
                <w:szCs w:val="16"/>
              </w:rPr>
            </w:pPr>
            <w:r>
              <w:rPr>
                <w:rFonts w:ascii="Arial" w:hAnsi="Arial" w:cs="Arial"/>
                <w:color w:val="1A1C1E"/>
                <w:sz w:val="16"/>
                <w:szCs w:val="16"/>
              </w:rPr>
              <w:t>58</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902E803">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F8B82CC">
            <w:pPr>
              <w:ind w:firstLine="160" w:firstLineChars="100"/>
              <w:rPr>
                <w:rFonts w:ascii="Arial" w:hAnsi="Arial" w:cs="Arial"/>
                <w:color w:val="1A1C1E"/>
                <w:sz w:val="16"/>
                <w:szCs w:val="16"/>
              </w:rPr>
            </w:pPr>
            <w:r>
              <w:rPr>
                <w:rFonts w:ascii="Arial" w:hAnsi="Arial" w:cs="Arial"/>
                <w:color w:val="1A1C1E"/>
                <w:sz w:val="16"/>
                <w:szCs w:val="16"/>
              </w:rPr>
              <w:t>11</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6259F6E">
            <w:pPr>
              <w:ind w:firstLine="160" w:firstLineChars="100"/>
              <w:rPr>
                <w:rFonts w:ascii="Arial" w:hAnsi="Arial" w:cs="Arial"/>
                <w:color w:val="1A1C1E"/>
                <w:sz w:val="16"/>
                <w:szCs w:val="16"/>
              </w:rPr>
            </w:pPr>
            <w:r>
              <w:rPr>
                <w:rFonts w:ascii="Arial" w:hAnsi="Arial" w:cs="Arial"/>
                <w:color w:val="1A1C1E"/>
                <w:sz w:val="16"/>
                <w:szCs w:val="16"/>
              </w:rPr>
              <w:t>11</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C621834">
            <w:pPr>
              <w:ind w:firstLine="160" w:firstLineChars="100"/>
              <w:rPr>
                <w:rFonts w:ascii="Arial" w:hAnsi="Arial" w:cs="Arial"/>
                <w:b/>
                <w:bCs/>
                <w:color w:val="1A1C1E"/>
                <w:sz w:val="16"/>
                <w:szCs w:val="16"/>
              </w:rPr>
            </w:pPr>
            <w:r>
              <w:rPr>
                <w:rFonts w:ascii="Arial" w:hAnsi="Arial" w:cs="Arial"/>
                <w:b/>
                <w:bCs/>
                <w:color w:val="1A1C1E"/>
                <w:sz w:val="16"/>
                <w:szCs w:val="16"/>
              </w:rPr>
              <w:t>80</w:t>
            </w:r>
          </w:p>
        </w:tc>
      </w:tr>
      <w:tr w14:paraId="496EC4F8">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2AE90FB5">
            <w:pPr>
              <w:ind w:firstLine="160" w:firstLineChars="100"/>
              <w:rPr>
                <w:rFonts w:ascii="Arial" w:hAnsi="Arial" w:cs="Arial"/>
                <w:color w:val="1A1C1E"/>
                <w:sz w:val="16"/>
                <w:szCs w:val="16"/>
              </w:rPr>
            </w:pPr>
            <w:r>
              <w:rPr>
                <w:rFonts w:ascii="Arial" w:hAnsi="Arial" w:cs="Arial"/>
                <w:color w:val="1A1C1E"/>
                <w:sz w:val="16"/>
                <w:szCs w:val="16"/>
              </w:rPr>
              <w:t>16</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A0C5DFB">
            <w:pPr>
              <w:ind w:firstLine="160" w:firstLineChars="100"/>
              <w:rPr>
                <w:rFonts w:ascii="Arial" w:hAnsi="Arial" w:cs="Arial"/>
                <w:color w:val="1A1C1E"/>
                <w:sz w:val="16"/>
                <w:szCs w:val="16"/>
              </w:rPr>
            </w:pPr>
            <w:r>
              <w:rPr>
                <w:rFonts w:ascii="Arial" w:hAnsi="Arial" w:cs="Arial"/>
                <w:color w:val="1A1C1E"/>
                <w:sz w:val="16"/>
                <w:szCs w:val="16"/>
              </w:rPr>
              <w:t>Comuna Șoldanu</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77E4E1C">
            <w:pPr>
              <w:ind w:firstLine="160" w:firstLineChars="100"/>
              <w:rPr>
                <w:rFonts w:ascii="Arial" w:hAnsi="Arial" w:cs="Arial"/>
                <w:color w:val="1A1C1E"/>
                <w:sz w:val="16"/>
                <w:szCs w:val="16"/>
              </w:rPr>
            </w:pPr>
            <w:r>
              <w:rPr>
                <w:rFonts w:ascii="Arial" w:hAnsi="Arial" w:cs="Arial"/>
                <w:color w:val="1A1C1E"/>
                <w:sz w:val="16"/>
                <w:szCs w:val="16"/>
              </w:rPr>
              <w:t>40</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3875F8A">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B690308">
            <w:pPr>
              <w:ind w:firstLine="160" w:firstLineChars="100"/>
              <w:rPr>
                <w:rFonts w:ascii="Arial" w:hAnsi="Arial" w:cs="Arial"/>
                <w:color w:val="1A1C1E"/>
                <w:sz w:val="16"/>
                <w:szCs w:val="16"/>
              </w:rPr>
            </w:pPr>
            <w:r>
              <w:rPr>
                <w:rFonts w:ascii="Arial" w:hAnsi="Arial" w:cs="Arial"/>
                <w:color w:val="1A1C1E"/>
                <w:sz w:val="16"/>
                <w:szCs w:val="16"/>
              </w:rPr>
              <w:t>8</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6A611D7">
            <w:pPr>
              <w:ind w:firstLine="160" w:firstLineChars="100"/>
              <w:rPr>
                <w:rFonts w:ascii="Arial" w:hAnsi="Arial" w:cs="Arial"/>
                <w:color w:val="1A1C1E"/>
                <w:sz w:val="16"/>
                <w:szCs w:val="16"/>
              </w:rPr>
            </w:pPr>
            <w:r>
              <w:rPr>
                <w:rFonts w:ascii="Arial" w:hAnsi="Arial" w:cs="Arial"/>
                <w:color w:val="1A1C1E"/>
                <w:sz w:val="16"/>
                <w:szCs w:val="16"/>
              </w:rPr>
              <w:t>8</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C0726F8">
            <w:pPr>
              <w:ind w:firstLine="160" w:firstLineChars="100"/>
              <w:rPr>
                <w:rFonts w:ascii="Arial" w:hAnsi="Arial" w:cs="Arial"/>
                <w:b/>
                <w:bCs/>
                <w:color w:val="1A1C1E"/>
                <w:sz w:val="16"/>
                <w:szCs w:val="16"/>
              </w:rPr>
            </w:pPr>
            <w:r>
              <w:rPr>
                <w:rFonts w:ascii="Arial" w:hAnsi="Arial" w:cs="Arial"/>
                <w:b/>
                <w:bCs/>
                <w:color w:val="1A1C1E"/>
                <w:sz w:val="16"/>
                <w:szCs w:val="16"/>
              </w:rPr>
              <w:t>56</w:t>
            </w:r>
          </w:p>
        </w:tc>
      </w:tr>
      <w:tr w14:paraId="142E28B6">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398745DF">
            <w:pPr>
              <w:ind w:firstLine="160" w:firstLineChars="100"/>
              <w:rPr>
                <w:rFonts w:ascii="Arial" w:hAnsi="Arial" w:cs="Arial"/>
                <w:color w:val="1A1C1E"/>
                <w:sz w:val="16"/>
                <w:szCs w:val="16"/>
              </w:rPr>
            </w:pPr>
            <w:r>
              <w:rPr>
                <w:rFonts w:ascii="Arial" w:hAnsi="Arial" w:cs="Arial"/>
                <w:color w:val="1A1C1E"/>
                <w:sz w:val="16"/>
                <w:szCs w:val="16"/>
              </w:rPr>
              <w:t>17</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5904572">
            <w:pPr>
              <w:ind w:firstLine="160" w:firstLineChars="100"/>
              <w:rPr>
                <w:rFonts w:ascii="Arial" w:hAnsi="Arial" w:cs="Arial"/>
                <w:color w:val="1A1C1E"/>
                <w:sz w:val="16"/>
                <w:szCs w:val="16"/>
              </w:rPr>
            </w:pPr>
            <w:r>
              <w:rPr>
                <w:rFonts w:ascii="Arial" w:hAnsi="Arial" w:cs="Arial"/>
                <w:color w:val="1A1C1E"/>
                <w:sz w:val="16"/>
                <w:szCs w:val="16"/>
              </w:rPr>
              <w:t>Comuna Spanțov</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AC4DA30">
            <w:pPr>
              <w:ind w:firstLine="160" w:firstLineChars="100"/>
              <w:rPr>
                <w:rFonts w:ascii="Arial" w:hAnsi="Arial" w:cs="Arial"/>
                <w:color w:val="1A1C1E"/>
                <w:sz w:val="16"/>
                <w:szCs w:val="16"/>
              </w:rPr>
            </w:pPr>
            <w:r>
              <w:rPr>
                <w:rFonts w:ascii="Arial" w:hAnsi="Arial" w:cs="Arial"/>
                <w:color w:val="1A1C1E"/>
                <w:sz w:val="16"/>
                <w:szCs w:val="16"/>
              </w:rPr>
              <w:t>53</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CF350FB">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D769C74">
            <w:pPr>
              <w:ind w:firstLine="160" w:firstLineChars="100"/>
              <w:rPr>
                <w:rFonts w:ascii="Arial" w:hAnsi="Arial" w:cs="Arial"/>
                <w:color w:val="1A1C1E"/>
                <w:sz w:val="16"/>
                <w:szCs w:val="16"/>
              </w:rPr>
            </w:pPr>
            <w:r>
              <w:rPr>
                <w:rFonts w:ascii="Arial" w:hAnsi="Arial" w:cs="Arial"/>
                <w:color w:val="1A1C1E"/>
                <w:sz w:val="16"/>
                <w:szCs w:val="16"/>
              </w:rPr>
              <w:t>10</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A5CDDDD">
            <w:pPr>
              <w:ind w:firstLine="160" w:firstLineChars="100"/>
              <w:rPr>
                <w:rFonts w:ascii="Arial" w:hAnsi="Arial" w:cs="Arial"/>
                <w:color w:val="1A1C1E"/>
                <w:sz w:val="16"/>
                <w:szCs w:val="16"/>
              </w:rPr>
            </w:pPr>
            <w:r>
              <w:rPr>
                <w:rFonts w:ascii="Arial" w:hAnsi="Arial" w:cs="Arial"/>
                <w:color w:val="1A1C1E"/>
                <w:sz w:val="16"/>
                <w:szCs w:val="16"/>
              </w:rPr>
              <w:t>10</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7B84B51">
            <w:pPr>
              <w:ind w:firstLine="160" w:firstLineChars="100"/>
              <w:rPr>
                <w:rFonts w:ascii="Arial" w:hAnsi="Arial" w:cs="Arial"/>
                <w:b/>
                <w:bCs/>
                <w:color w:val="1A1C1E"/>
                <w:sz w:val="16"/>
                <w:szCs w:val="16"/>
              </w:rPr>
            </w:pPr>
            <w:r>
              <w:rPr>
                <w:rFonts w:ascii="Arial" w:hAnsi="Arial" w:cs="Arial"/>
                <w:b/>
                <w:bCs/>
                <w:color w:val="1A1C1E"/>
                <w:sz w:val="16"/>
                <w:szCs w:val="16"/>
              </w:rPr>
              <w:t>73</w:t>
            </w:r>
          </w:p>
        </w:tc>
      </w:tr>
      <w:tr w14:paraId="692C2BD8">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49DC9021">
            <w:pPr>
              <w:ind w:firstLine="160" w:firstLineChars="100"/>
              <w:rPr>
                <w:rFonts w:ascii="Arial" w:hAnsi="Arial" w:cs="Arial"/>
                <w:color w:val="1A1C1E"/>
                <w:sz w:val="16"/>
                <w:szCs w:val="16"/>
              </w:rPr>
            </w:pPr>
            <w:r>
              <w:rPr>
                <w:rFonts w:ascii="Arial" w:hAnsi="Arial" w:cs="Arial"/>
                <w:color w:val="1A1C1E"/>
                <w:sz w:val="16"/>
                <w:szCs w:val="16"/>
              </w:rPr>
              <w:t>18</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D921CCE">
            <w:pPr>
              <w:ind w:firstLine="160" w:firstLineChars="100"/>
              <w:rPr>
                <w:rFonts w:ascii="Arial" w:hAnsi="Arial" w:cs="Arial"/>
                <w:color w:val="1A1C1E"/>
                <w:sz w:val="16"/>
                <w:szCs w:val="16"/>
              </w:rPr>
            </w:pPr>
            <w:r>
              <w:rPr>
                <w:rFonts w:ascii="Arial" w:hAnsi="Arial" w:cs="Arial"/>
                <w:color w:val="1A1C1E"/>
                <w:sz w:val="16"/>
                <w:szCs w:val="16"/>
              </w:rPr>
              <w:t>Comuna Ulmeni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5967C401">
            <w:pPr>
              <w:ind w:firstLine="160" w:firstLineChars="100"/>
              <w:rPr>
                <w:rFonts w:ascii="Arial" w:hAnsi="Arial" w:cs="Arial"/>
                <w:color w:val="1A1C1E"/>
                <w:sz w:val="16"/>
                <w:szCs w:val="16"/>
              </w:rPr>
            </w:pPr>
            <w:r>
              <w:rPr>
                <w:rFonts w:ascii="Arial" w:hAnsi="Arial" w:cs="Arial"/>
                <w:color w:val="1A1C1E"/>
                <w:sz w:val="16"/>
                <w:szCs w:val="16"/>
              </w:rPr>
              <w:t>60</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CD74AE7">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A617960">
            <w:pPr>
              <w:ind w:firstLine="160" w:firstLineChars="100"/>
              <w:rPr>
                <w:rFonts w:ascii="Arial" w:hAnsi="Arial" w:cs="Arial"/>
                <w:color w:val="1A1C1E"/>
                <w:sz w:val="16"/>
                <w:szCs w:val="16"/>
              </w:rPr>
            </w:pPr>
            <w:r>
              <w:rPr>
                <w:rFonts w:ascii="Arial" w:hAnsi="Arial" w:cs="Arial"/>
                <w:color w:val="1A1C1E"/>
                <w:sz w:val="16"/>
                <w:szCs w:val="16"/>
              </w:rPr>
              <w:t>11</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87A42A6">
            <w:pPr>
              <w:ind w:firstLine="160" w:firstLineChars="100"/>
              <w:rPr>
                <w:rFonts w:ascii="Arial" w:hAnsi="Arial" w:cs="Arial"/>
                <w:color w:val="1A1C1E"/>
                <w:sz w:val="16"/>
                <w:szCs w:val="16"/>
              </w:rPr>
            </w:pPr>
            <w:r>
              <w:rPr>
                <w:rFonts w:ascii="Arial" w:hAnsi="Arial" w:cs="Arial"/>
                <w:color w:val="1A1C1E"/>
                <w:sz w:val="16"/>
                <w:szCs w:val="16"/>
              </w:rPr>
              <w:t>11</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55BADED">
            <w:pPr>
              <w:ind w:firstLine="160" w:firstLineChars="100"/>
              <w:rPr>
                <w:rFonts w:ascii="Arial" w:hAnsi="Arial" w:cs="Arial"/>
                <w:b/>
                <w:bCs/>
                <w:color w:val="1A1C1E"/>
                <w:sz w:val="16"/>
                <w:szCs w:val="16"/>
              </w:rPr>
            </w:pPr>
            <w:r>
              <w:rPr>
                <w:rFonts w:ascii="Arial" w:hAnsi="Arial" w:cs="Arial"/>
                <w:b/>
                <w:bCs/>
                <w:color w:val="1A1C1E"/>
                <w:sz w:val="16"/>
                <w:szCs w:val="16"/>
              </w:rPr>
              <w:t>82</w:t>
            </w:r>
          </w:p>
        </w:tc>
      </w:tr>
      <w:tr w14:paraId="74EEF748">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5E9AF9FF">
            <w:pPr>
              <w:ind w:firstLine="160" w:firstLineChars="100"/>
              <w:rPr>
                <w:rFonts w:ascii="Arial" w:hAnsi="Arial" w:cs="Arial"/>
                <w:color w:val="1A1C1E"/>
                <w:sz w:val="16"/>
                <w:szCs w:val="16"/>
              </w:rPr>
            </w:pPr>
            <w:r>
              <w:rPr>
                <w:rFonts w:ascii="Arial" w:hAnsi="Arial" w:cs="Arial"/>
                <w:color w:val="1A1C1E"/>
                <w:sz w:val="16"/>
                <w:szCs w:val="16"/>
              </w:rPr>
              <w:t>19</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A75A77D">
            <w:pPr>
              <w:ind w:firstLine="160" w:firstLineChars="100"/>
              <w:rPr>
                <w:rFonts w:ascii="Arial" w:hAnsi="Arial" w:cs="Arial"/>
                <w:color w:val="1A1C1E"/>
                <w:sz w:val="16"/>
                <w:szCs w:val="16"/>
              </w:rPr>
            </w:pPr>
            <w:r>
              <w:rPr>
                <w:rFonts w:ascii="Arial" w:hAnsi="Arial" w:cs="Arial"/>
                <w:color w:val="1A1C1E"/>
                <w:sz w:val="16"/>
                <w:szCs w:val="16"/>
              </w:rPr>
              <w:t>Comuna Vasilati</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EA77048">
            <w:pPr>
              <w:ind w:firstLine="160" w:firstLineChars="100"/>
              <w:rPr>
                <w:rFonts w:ascii="Arial" w:hAnsi="Arial" w:cs="Arial"/>
                <w:color w:val="1A1C1E"/>
                <w:sz w:val="16"/>
                <w:szCs w:val="16"/>
              </w:rPr>
            </w:pPr>
            <w:r>
              <w:rPr>
                <w:rFonts w:ascii="Arial" w:hAnsi="Arial" w:cs="Arial"/>
                <w:color w:val="1A1C1E"/>
                <w:sz w:val="16"/>
                <w:szCs w:val="16"/>
              </w:rPr>
              <w:t>51</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488B3606">
            <w:pPr>
              <w:ind w:firstLine="160" w:firstLineChars="100"/>
              <w:rPr>
                <w:rFonts w:ascii="Arial" w:hAnsi="Arial" w:cs="Arial"/>
                <w:color w:val="1A1C1E"/>
                <w:sz w:val="16"/>
                <w:szCs w:val="16"/>
              </w:rPr>
            </w:pPr>
            <w:r>
              <w:rPr>
                <w:rFonts w:ascii="Arial" w:hAnsi="Arial" w:cs="Arial"/>
                <w:color w:val="1A1C1E"/>
                <w:sz w:val="16"/>
                <w:szCs w:val="16"/>
              </w:rPr>
              <w:t>-</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FA4630B">
            <w:pPr>
              <w:ind w:firstLine="160" w:firstLineChars="100"/>
              <w:rPr>
                <w:rFonts w:ascii="Arial" w:hAnsi="Arial" w:cs="Arial"/>
                <w:color w:val="1A1C1E"/>
                <w:sz w:val="16"/>
                <w:szCs w:val="16"/>
              </w:rPr>
            </w:pPr>
            <w:r>
              <w:rPr>
                <w:rFonts w:ascii="Arial" w:hAnsi="Arial" w:cs="Arial"/>
                <w:color w:val="1A1C1E"/>
                <w:sz w:val="16"/>
                <w:szCs w:val="16"/>
              </w:rPr>
              <w:t>9</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00784ED4">
            <w:pPr>
              <w:ind w:firstLine="160" w:firstLineChars="100"/>
              <w:rPr>
                <w:rFonts w:ascii="Arial" w:hAnsi="Arial" w:cs="Arial"/>
                <w:color w:val="1A1C1E"/>
                <w:sz w:val="16"/>
                <w:szCs w:val="16"/>
              </w:rPr>
            </w:pPr>
            <w:r>
              <w:rPr>
                <w:rFonts w:ascii="Arial" w:hAnsi="Arial" w:cs="Arial"/>
                <w:color w:val="1A1C1E"/>
                <w:sz w:val="16"/>
                <w:szCs w:val="16"/>
              </w:rPr>
              <w:t>9</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2274C67A">
            <w:pPr>
              <w:ind w:firstLine="160" w:firstLineChars="100"/>
              <w:rPr>
                <w:rFonts w:ascii="Arial" w:hAnsi="Arial" w:cs="Arial"/>
                <w:b/>
                <w:bCs/>
                <w:color w:val="1A1C1E"/>
                <w:sz w:val="16"/>
                <w:szCs w:val="16"/>
              </w:rPr>
            </w:pPr>
            <w:r>
              <w:rPr>
                <w:rFonts w:ascii="Arial" w:hAnsi="Arial" w:cs="Arial"/>
                <w:b/>
                <w:bCs/>
                <w:color w:val="1A1C1E"/>
                <w:sz w:val="16"/>
                <w:szCs w:val="16"/>
              </w:rPr>
              <w:t>69</w:t>
            </w:r>
          </w:p>
        </w:tc>
      </w:tr>
      <w:tr w14:paraId="2D8A614F">
        <w:tblPrEx>
          <w:tblCellMar>
            <w:top w:w="0" w:type="dxa"/>
            <w:left w:w="0" w:type="dxa"/>
            <w:bottom w:w="0" w:type="dxa"/>
            <w:right w:w="0" w:type="dxa"/>
          </w:tblCellMar>
        </w:tblPrEx>
        <w:trPr>
          <w:trHeight w:val="300" w:hRule="atLeast"/>
        </w:trPr>
        <w:tc>
          <w:tcPr>
            <w:tcW w:w="930" w:type="pct"/>
            <w:tcBorders>
              <w:top w:val="nil"/>
              <w:left w:val="single" w:color="auto" w:sz="4" w:space="0"/>
              <w:bottom w:val="single" w:color="auto" w:sz="4" w:space="0"/>
              <w:right w:val="single" w:color="auto" w:sz="4" w:space="0"/>
            </w:tcBorders>
            <w:shd w:val="clear" w:color="000000" w:fill="FFFFFF"/>
            <w:tcMar>
              <w:top w:w="15" w:type="dxa"/>
              <w:left w:w="135" w:type="dxa"/>
              <w:bottom w:w="0" w:type="dxa"/>
              <w:right w:w="15" w:type="dxa"/>
            </w:tcMar>
            <w:vAlign w:val="center"/>
          </w:tcPr>
          <w:p w14:paraId="0E917D02">
            <w:pPr>
              <w:ind w:firstLine="160" w:firstLineChars="100"/>
              <w:rPr>
                <w:rFonts w:ascii="Arial" w:hAnsi="Arial" w:cs="Arial"/>
                <w:color w:val="1A1C1E"/>
                <w:sz w:val="16"/>
                <w:szCs w:val="16"/>
              </w:rPr>
            </w:pPr>
            <w:r>
              <w:rPr>
                <w:rFonts w:ascii="Arial" w:hAnsi="Arial" w:cs="Arial"/>
                <w:color w:val="1A1C1E"/>
                <w:sz w:val="16"/>
                <w:szCs w:val="16"/>
              </w:rPr>
              <w:t> </w:t>
            </w:r>
          </w:p>
        </w:tc>
        <w:tc>
          <w:tcPr>
            <w:tcW w:w="1372"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E756A8C">
            <w:pPr>
              <w:ind w:firstLine="160" w:firstLineChars="100"/>
              <w:rPr>
                <w:rFonts w:ascii="Arial" w:hAnsi="Arial" w:cs="Arial"/>
                <w:b/>
                <w:bCs/>
                <w:color w:val="1A1C1E"/>
                <w:sz w:val="16"/>
                <w:szCs w:val="16"/>
              </w:rPr>
            </w:pPr>
            <w:r>
              <w:rPr>
                <w:rFonts w:ascii="Arial" w:hAnsi="Arial" w:cs="Arial"/>
                <w:b/>
                <w:bCs/>
                <w:color w:val="1A1C1E"/>
                <w:sz w:val="16"/>
                <w:szCs w:val="16"/>
              </w:rPr>
              <w:t>TOTAL ZONA 2</w:t>
            </w:r>
          </w:p>
        </w:tc>
        <w:tc>
          <w:tcPr>
            <w:tcW w:w="64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79857F3B">
            <w:pPr>
              <w:ind w:firstLine="160" w:firstLineChars="100"/>
              <w:rPr>
                <w:rFonts w:ascii="Arial" w:hAnsi="Arial" w:cs="Arial"/>
                <w:b/>
                <w:bCs/>
                <w:color w:val="1A1C1E"/>
                <w:sz w:val="16"/>
                <w:szCs w:val="16"/>
              </w:rPr>
            </w:pPr>
            <w:r>
              <w:rPr>
                <w:rFonts w:ascii="Arial" w:hAnsi="Arial" w:cs="Arial"/>
                <w:b/>
                <w:bCs/>
                <w:color w:val="1A1C1E"/>
                <w:sz w:val="16"/>
                <w:szCs w:val="16"/>
              </w:rPr>
              <w:t>902</w:t>
            </w:r>
          </w:p>
        </w:tc>
        <w:tc>
          <w:tcPr>
            <w:tcW w:w="495"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116EFCBD">
            <w:pPr>
              <w:ind w:firstLine="160" w:firstLineChars="100"/>
              <w:rPr>
                <w:rFonts w:ascii="Arial" w:hAnsi="Arial" w:cs="Arial"/>
                <w:b/>
                <w:bCs/>
                <w:color w:val="1A1C1E"/>
                <w:sz w:val="16"/>
                <w:szCs w:val="16"/>
              </w:rPr>
            </w:pPr>
            <w:r>
              <w:rPr>
                <w:rFonts w:ascii="Arial" w:hAnsi="Arial" w:cs="Arial"/>
                <w:b/>
                <w:bCs/>
                <w:color w:val="1A1C1E"/>
                <w:sz w:val="16"/>
                <w:szCs w:val="16"/>
              </w:rPr>
              <w:t>18</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9E28D57">
            <w:pPr>
              <w:ind w:firstLine="160" w:firstLineChars="100"/>
              <w:rPr>
                <w:rFonts w:ascii="Arial" w:hAnsi="Arial" w:cs="Arial"/>
                <w:b/>
                <w:bCs/>
                <w:color w:val="1A1C1E"/>
                <w:sz w:val="16"/>
                <w:szCs w:val="16"/>
              </w:rPr>
            </w:pPr>
            <w:r>
              <w:rPr>
                <w:rFonts w:ascii="Arial" w:hAnsi="Arial" w:cs="Arial"/>
                <w:b/>
                <w:bCs/>
                <w:color w:val="1A1C1E"/>
                <w:sz w:val="16"/>
                <w:szCs w:val="16"/>
              </w:rPr>
              <w:t>185</w:t>
            </w:r>
          </w:p>
        </w:tc>
        <w:tc>
          <w:tcPr>
            <w:tcW w:w="54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335522AA">
            <w:pPr>
              <w:ind w:firstLine="160" w:firstLineChars="100"/>
              <w:rPr>
                <w:rFonts w:ascii="Arial" w:hAnsi="Arial" w:cs="Arial"/>
                <w:b/>
                <w:bCs/>
                <w:color w:val="1A1C1E"/>
                <w:sz w:val="16"/>
                <w:szCs w:val="16"/>
              </w:rPr>
            </w:pPr>
            <w:r>
              <w:rPr>
                <w:rFonts w:ascii="Arial" w:hAnsi="Arial" w:cs="Arial"/>
                <w:b/>
                <w:bCs/>
                <w:color w:val="1A1C1E"/>
                <w:sz w:val="16"/>
                <w:szCs w:val="16"/>
              </w:rPr>
              <w:t>180</w:t>
            </w:r>
          </w:p>
        </w:tc>
        <w:tc>
          <w:tcPr>
            <w:tcW w:w="510" w:type="pct"/>
            <w:tcBorders>
              <w:top w:val="nil"/>
              <w:left w:val="nil"/>
              <w:bottom w:val="single" w:color="auto" w:sz="4" w:space="0"/>
              <w:right w:val="single" w:color="auto" w:sz="4" w:space="0"/>
            </w:tcBorders>
            <w:shd w:val="clear" w:color="000000" w:fill="FFFFFF"/>
            <w:tcMar>
              <w:top w:w="15" w:type="dxa"/>
              <w:left w:w="135" w:type="dxa"/>
              <w:bottom w:w="0" w:type="dxa"/>
              <w:right w:w="15" w:type="dxa"/>
            </w:tcMar>
            <w:vAlign w:val="center"/>
          </w:tcPr>
          <w:p w14:paraId="641FA85A">
            <w:pPr>
              <w:ind w:firstLine="160" w:firstLineChars="100"/>
              <w:rPr>
                <w:rFonts w:ascii="Arial" w:hAnsi="Arial" w:cs="Arial"/>
                <w:b/>
                <w:bCs/>
                <w:color w:val="1A1C1E"/>
                <w:sz w:val="16"/>
                <w:szCs w:val="16"/>
              </w:rPr>
            </w:pPr>
            <w:r>
              <w:rPr>
                <w:rFonts w:ascii="Arial" w:hAnsi="Arial" w:cs="Arial"/>
                <w:b/>
                <w:bCs/>
                <w:color w:val="1A1C1E"/>
                <w:sz w:val="16"/>
                <w:szCs w:val="16"/>
              </w:rPr>
              <w:t>1285</w:t>
            </w:r>
          </w:p>
        </w:tc>
      </w:tr>
    </w:tbl>
    <w:p w14:paraId="11DE1B2E">
      <w:pPr>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4D061E7F">
      <w:pPr>
        <w:rPr>
          <w:rFonts w:asciiTheme="majorHAnsi" w:hAnsiTheme="majorHAnsi" w:cstheme="majorHAnsi"/>
          <w:sz w:val="24"/>
          <w:szCs w:val="24"/>
          <w:lang w:val="ro-RO"/>
        </w:rPr>
      </w:pPr>
      <w:r>
        <w:rPr>
          <w:rFonts w:asciiTheme="majorHAnsi" w:hAnsiTheme="majorHAnsi" w:cstheme="majorHAnsi"/>
          <w:sz w:val="24"/>
          <w:szCs w:val="24"/>
          <w:lang w:val="ro-RO"/>
        </w:rPr>
        <w:br w:type="page"/>
      </w:r>
    </w:p>
    <w:p w14:paraId="3C1FEE76">
      <w:pPr>
        <w:spacing w:after="0" w:line="240" w:lineRule="auto"/>
        <w:rPr>
          <w:rFonts w:asciiTheme="majorHAnsi" w:hAnsiTheme="majorHAnsi" w:cstheme="majorHAnsi"/>
          <w:sz w:val="24"/>
          <w:szCs w:val="24"/>
          <w:lang w:val="ro-RO"/>
        </w:rPr>
      </w:pPr>
    </w:p>
    <w:p w14:paraId="03B13A83">
      <w:pPr>
        <w:pStyle w:val="4"/>
        <w:spacing w:before="0" w:line="240" w:lineRule="auto"/>
        <w:rPr>
          <w:rFonts w:cstheme="majorHAnsi"/>
          <w:color w:val="auto"/>
          <w:sz w:val="24"/>
          <w:szCs w:val="24"/>
        </w:rPr>
      </w:pPr>
      <w:bookmarkStart w:id="12" w:name="_ANEXA_Nr._7"/>
      <w:bookmarkEnd w:id="12"/>
      <w:r>
        <w:rPr>
          <w:rFonts w:cstheme="majorHAnsi"/>
          <w:color w:val="auto"/>
          <w:sz w:val="24"/>
          <w:szCs w:val="24"/>
        </w:rPr>
        <w:t>ANEXA Nr. 7 la caietul de sarcini</w:t>
      </w:r>
    </w:p>
    <w:p w14:paraId="10B91827">
      <w:pPr>
        <w:spacing w:after="0" w:line="240" w:lineRule="auto"/>
        <w:jc w:val="both"/>
        <w:rPr>
          <w:rFonts w:eastAsia="Times New Roman" w:asciiTheme="majorHAnsi" w:hAnsiTheme="majorHAnsi" w:cstheme="majorHAnsi"/>
          <w:sz w:val="24"/>
          <w:szCs w:val="24"/>
        </w:rPr>
      </w:pPr>
    </w:p>
    <w:p w14:paraId="60C0EBEC">
      <w:pPr>
        <w:spacing w:after="0" w:line="240" w:lineRule="auto"/>
        <w:jc w:val="both"/>
        <w:rPr>
          <w:rFonts w:eastAsia="Times New Roman" w:asciiTheme="majorHAnsi" w:hAnsiTheme="majorHAnsi" w:cstheme="majorHAnsi"/>
          <w:bCs/>
          <w:sz w:val="24"/>
          <w:szCs w:val="24"/>
        </w:rPr>
      </w:pPr>
      <w:r>
        <w:rPr>
          <w:rFonts w:eastAsia="Times New Roman" w:asciiTheme="majorHAnsi" w:hAnsiTheme="majorHAnsi" w:cstheme="majorHAnsi"/>
          <w:bCs/>
          <w:sz w:val="24"/>
          <w:szCs w:val="24"/>
        </w:rPr>
        <w:t xml:space="preserve">Lista de investiţii în sarcina operatorului, </w:t>
      </w:r>
    </w:p>
    <w:p w14:paraId="632AC093">
      <w:pPr>
        <w:spacing w:after="0" w:line="240" w:lineRule="auto"/>
        <w:jc w:val="both"/>
        <w:rPr>
          <w:rFonts w:eastAsia="Times New Roman" w:asciiTheme="majorHAnsi" w:hAnsiTheme="majorHAnsi" w:cstheme="majorHAnsi"/>
          <w:bCs/>
          <w:sz w:val="24"/>
          <w:szCs w:val="24"/>
        </w:rPr>
      </w:pPr>
    </w:p>
    <w:tbl>
      <w:tblPr>
        <w:tblStyle w:val="12"/>
        <w:tblW w:w="5000" w:type="pct"/>
        <w:tblInd w:w="0" w:type="dxa"/>
        <w:tblLayout w:type="autofit"/>
        <w:tblCellMar>
          <w:top w:w="0" w:type="dxa"/>
          <w:left w:w="108" w:type="dxa"/>
          <w:bottom w:w="0" w:type="dxa"/>
          <w:right w:w="108" w:type="dxa"/>
        </w:tblCellMar>
      </w:tblPr>
      <w:tblGrid>
        <w:gridCol w:w="1557"/>
        <w:gridCol w:w="3606"/>
        <w:gridCol w:w="4157"/>
        <w:gridCol w:w="818"/>
      </w:tblGrid>
      <w:tr w14:paraId="37F061F1">
        <w:tblPrEx>
          <w:tblCellMar>
            <w:top w:w="0" w:type="dxa"/>
            <w:left w:w="108" w:type="dxa"/>
            <w:bottom w:w="0" w:type="dxa"/>
            <w:right w:w="108" w:type="dxa"/>
          </w:tblCellMar>
        </w:tblPrEx>
        <w:trPr>
          <w:trHeight w:val="480" w:hRule="atLeast"/>
          <w:tblHeader/>
        </w:trPr>
        <w:tc>
          <w:tcPr>
            <w:tcW w:w="493" w:type="pct"/>
            <w:tcBorders>
              <w:top w:val="single" w:color="auto" w:sz="4" w:space="0"/>
              <w:left w:val="single" w:color="auto" w:sz="4" w:space="0"/>
              <w:bottom w:val="single" w:color="auto" w:sz="4" w:space="0"/>
              <w:right w:val="single" w:color="auto" w:sz="4" w:space="0"/>
            </w:tcBorders>
            <w:vAlign w:val="center"/>
          </w:tcPr>
          <w:p w14:paraId="31064335">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Fracţia/categoria de deşeuri</w:t>
            </w:r>
          </w:p>
        </w:tc>
        <w:tc>
          <w:tcPr>
            <w:tcW w:w="2052" w:type="pct"/>
            <w:tcBorders>
              <w:top w:val="single" w:color="auto" w:sz="4" w:space="0"/>
              <w:left w:val="nil"/>
              <w:bottom w:val="single" w:color="auto" w:sz="4" w:space="0"/>
              <w:right w:val="single" w:color="auto" w:sz="4" w:space="0"/>
            </w:tcBorders>
            <w:vAlign w:val="center"/>
          </w:tcPr>
          <w:p w14:paraId="584D08EA">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Denumire echipament/investiţie</w:t>
            </w:r>
          </w:p>
        </w:tc>
        <w:tc>
          <w:tcPr>
            <w:tcW w:w="1933" w:type="pct"/>
            <w:tcBorders>
              <w:top w:val="single" w:color="auto" w:sz="4" w:space="0"/>
              <w:left w:val="nil"/>
              <w:bottom w:val="single" w:color="auto" w:sz="4" w:space="0"/>
              <w:right w:val="single" w:color="auto" w:sz="4" w:space="0"/>
            </w:tcBorders>
            <w:vAlign w:val="center"/>
          </w:tcPr>
          <w:p w14:paraId="1E5BEFD9">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Tip echipament/Cerinţe</w:t>
            </w:r>
          </w:p>
        </w:tc>
        <w:tc>
          <w:tcPr>
            <w:tcW w:w="522" w:type="pct"/>
            <w:tcBorders>
              <w:top w:val="single" w:color="auto" w:sz="4" w:space="0"/>
              <w:left w:val="nil"/>
              <w:bottom w:val="single" w:color="auto" w:sz="4" w:space="0"/>
              <w:right w:val="single" w:color="auto" w:sz="4" w:space="0"/>
            </w:tcBorders>
            <w:vAlign w:val="center"/>
          </w:tcPr>
          <w:p w14:paraId="480D0E74">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Număr</w:t>
            </w:r>
          </w:p>
        </w:tc>
      </w:tr>
      <w:tr w14:paraId="53BEB951">
        <w:tblPrEx>
          <w:tblCellMar>
            <w:top w:w="0" w:type="dxa"/>
            <w:left w:w="108" w:type="dxa"/>
            <w:bottom w:w="0" w:type="dxa"/>
            <w:right w:w="108" w:type="dxa"/>
          </w:tblCellMar>
        </w:tblPrEx>
        <w:trPr>
          <w:trHeight w:val="1200" w:hRule="atLeast"/>
        </w:trPr>
        <w:tc>
          <w:tcPr>
            <w:tcW w:w="493" w:type="pct"/>
            <w:vMerge w:val="restart"/>
            <w:tcBorders>
              <w:top w:val="nil"/>
              <w:left w:val="single" w:color="auto" w:sz="4" w:space="0"/>
              <w:bottom w:val="single" w:color="auto" w:sz="4" w:space="0"/>
              <w:right w:val="single" w:color="auto" w:sz="4" w:space="0"/>
            </w:tcBorders>
            <w:vAlign w:val="center"/>
          </w:tcPr>
          <w:p w14:paraId="1BEA2050">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Deşeuri reziduale şi biodeşeuri</w:t>
            </w:r>
          </w:p>
        </w:tc>
        <w:tc>
          <w:tcPr>
            <w:tcW w:w="2052" w:type="pct"/>
            <w:vMerge w:val="restart"/>
            <w:tcBorders>
              <w:top w:val="nil"/>
              <w:left w:val="single" w:color="auto" w:sz="4" w:space="0"/>
              <w:bottom w:val="single" w:color="auto" w:sz="4" w:space="0"/>
              <w:right w:val="single" w:color="auto" w:sz="4" w:space="0"/>
            </w:tcBorders>
            <w:vAlign w:val="center"/>
          </w:tcPr>
          <w:p w14:paraId="7FE654A8">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Autospeciale compactoare pentru colectarea şi transportul deşeurilor reziduale şi biodeşeurilor, echipate cu sistem de supraveghere video şi sistem GPS</w:t>
            </w:r>
          </w:p>
        </w:tc>
        <w:tc>
          <w:tcPr>
            <w:tcW w:w="1933" w:type="pct"/>
            <w:tcBorders>
              <w:top w:val="nil"/>
              <w:left w:val="nil"/>
              <w:bottom w:val="single" w:color="auto" w:sz="4" w:space="0"/>
              <w:right w:val="single" w:color="auto" w:sz="4" w:space="0"/>
            </w:tcBorders>
            <w:vAlign w:val="center"/>
          </w:tcPr>
          <w:p w14:paraId="424AA8B1">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Un număr suficient de autospeciale, cu norma minimă de poluare EURO 6, care să acopere necesităţile de colectare, având în vedere cantităţile estimate, recipientele în operare şi frecvenţa de colectare cerută. Autospecialele trebuie să aibă sisteme de prindere adecvate pentru recipientele de colectare în operare.</w:t>
            </w:r>
          </w:p>
        </w:tc>
        <w:tc>
          <w:tcPr>
            <w:tcW w:w="522" w:type="pct"/>
            <w:tcBorders>
              <w:top w:val="nil"/>
              <w:left w:val="nil"/>
              <w:bottom w:val="single" w:color="auto" w:sz="4" w:space="0"/>
              <w:right w:val="single" w:color="auto" w:sz="4" w:space="0"/>
            </w:tcBorders>
          </w:tcPr>
          <w:p w14:paraId="45366B49">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xml:space="preserve">                          4 </w:t>
            </w:r>
          </w:p>
        </w:tc>
      </w:tr>
      <w:tr w14:paraId="1EDBFA40">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56D8448C">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41CA8CD2">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12892597">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Minimum o autospecială de capacitate mică de colectare pentru zonele greu accesibile.</w:t>
            </w:r>
          </w:p>
        </w:tc>
        <w:tc>
          <w:tcPr>
            <w:tcW w:w="522" w:type="pct"/>
            <w:tcBorders>
              <w:top w:val="nil"/>
              <w:left w:val="nil"/>
              <w:bottom w:val="single" w:color="auto" w:sz="4" w:space="0"/>
              <w:right w:val="single" w:color="auto" w:sz="4" w:space="0"/>
            </w:tcBorders>
          </w:tcPr>
          <w:p w14:paraId="3273C868">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0F3B6DA5">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781C3320">
            <w:pPr>
              <w:spacing w:after="0" w:line="240" w:lineRule="auto"/>
              <w:rPr>
                <w:rFonts w:ascii="Arial" w:hAnsi="Arial" w:eastAsia="Times New Roman" w:cs="Arial"/>
                <w:color w:val="333333"/>
                <w:sz w:val="18"/>
                <w:szCs w:val="18"/>
              </w:rPr>
            </w:pPr>
          </w:p>
        </w:tc>
        <w:tc>
          <w:tcPr>
            <w:tcW w:w="2052" w:type="pct"/>
            <w:tcBorders>
              <w:top w:val="nil"/>
              <w:left w:val="nil"/>
              <w:bottom w:val="single" w:color="auto" w:sz="4" w:space="0"/>
              <w:right w:val="single" w:color="auto" w:sz="4" w:space="0"/>
            </w:tcBorders>
            <w:vAlign w:val="center"/>
          </w:tcPr>
          <w:p w14:paraId="6CE25692">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Autospecială dotată cu sistem de spălare a recipientelor de colectare deşeuri reziduale şi biodeşeuri.</w:t>
            </w:r>
          </w:p>
        </w:tc>
        <w:tc>
          <w:tcPr>
            <w:tcW w:w="1933" w:type="pct"/>
            <w:tcBorders>
              <w:top w:val="nil"/>
              <w:left w:val="nil"/>
              <w:bottom w:val="single" w:color="auto" w:sz="4" w:space="0"/>
              <w:right w:val="single" w:color="auto" w:sz="4" w:space="0"/>
            </w:tcBorders>
          </w:tcPr>
          <w:p w14:paraId="42201A4C">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c>
          <w:tcPr>
            <w:tcW w:w="522" w:type="pct"/>
            <w:tcBorders>
              <w:top w:val="nil"/>
              <w:left w:val="nil"/>
              <w:bottom w:val="single" w:color="auto" w:sz="4" w:space="0"/>
              <w:right w:val="single" w:color="auto" w:sz="4" w:space="0"/>
            </w:tcBorders>
          </w:tcPr>
          <w:p w14:paraId="649DA7CE">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w:t>
            </w:r>
          </w:p>
        </w:tc>
      </w:tr>
      <w:tr w14:paraId="3ACDDE81">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75EA0451">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2DB48C2A">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Recipiente noi, neutilizate, pentru colectarea deşeurilor reziduale din punctele de colectare (PC)</w:t>
            </w:r>
          </w:p>
        </w:tc>
        <w:tc>
          <w:tcPr>
            <w:tcW w:w="1933" w:type="pct"/>
            <w:tcBorders>
              <w:top w:val="nil"/>
              <w:left w:val="nil"/>
              <w:bottom w:val="single" w:color="auto" w:sz="4" w:space="0"/>
              <w:right w:val="single" w:color="auto" w:sz="4" w:space="0"/>
            </w:tcBorders>
            <w:vAlign w:val="center"/>
          </w:tcPr>
          <w:p w14:paraId="0272011A">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1.1 mc, pentru PC , zona urbană</w:t>
            </w:r>
          </w:p>
        </w:tc>
        <w:tc>
          <w:tcPr>
            <w:tcW w:w="522" w:type="pct"/>
            <w:tcBorders>
              <w:top w:val="nil"/>
              <w:left w:val="nil"/>
              <w:bottom w:val="single" w:color="auto" w:sz="4" w:space="0"/>
              <w:right w:val="single" w:color="auto" w:sz="4" w:space="0"/>
            </w:tcBorders>
          </w:tcPr>
          <w:p w14:paraId="6AA0EDC0">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3C0341BD">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06DDE018">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08EABB69">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30245196">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negre de . . . . . litri, pentru PC de tip</w:t>
            </w:r>
          </w:p>
        </w:tc>
        <w:tc>
          <w:tcPr>
            <w:tcW w:w="522" w:type="pct"/>
            <w:tcBorders>
              <w:top w:val="nil"/>
              <w:left w:val="nil"/>
              <w:bottom w:val="single" w:color="auto" w:sz="4" w:space="0"/>
              <w:right w:val="single" w:color="auto" w:sz="4" w:space="0"/>
            </w:tcBorders>
          </w:tcPr>
          <w:p w14:paraId="7C5AA1EF">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4E985032">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63FDC97F">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1A28052D">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0C5B4261">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pentru PC de tip . . . . . . . . . . . . . . . . . . . . . . . . . . . . . . ., zona rurală</w:t>
            </w:r>
          </w:p>
        </w:tc>
        <w:tc>
          <w:tcPr>
            <w:tcW w:w="522" w:type="pct"/>
            <w:tcBorders>
              <w:top w:val="nil"/>
              <w:left w:val="nil"/>
              <w:bottom w:val="single" w:color="auto" w:sz="4" w:space="0"/>
              <w:right w:val="single" w:color="auto" w:sz="4" w:space="0"/>
            </w:tcBorders>
          </w:tcPr>
          <w:p w14:paraId="240E2B1A">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792DB82C">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44498081">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52D3B5BF">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1EF034E8">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negre de . . . . . litri, pentru PC de tip . . . . . . . . . . . . . . . . . . . . . . . . . . . . . . . . . . . . ., zona rurală</w:t>
            </w:r>
          </w:p>
        </w:tc>
        <w:tc>
          <w:tcPr>
            <w:tcW w:w="522" w:type="pct"/>
            <w:tcBorders>
              <w:top w:val="nil"/>
              <w:left w:val="nil"/>
              <w:bottom w:val="single" w:color="auto" w:sz="4" w:space="0"/>
              <w:right w:val="single" w:color="auto" w:sz="4" w:space="0"/>
            </w:tcBorders>
          </w:tcPr>
          <w:p w14:paraId="002A7DEE">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17CC5BC3">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69FF7056">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07858151">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Recipiente noi, neutilizate, pentru colectarea deşeurilor reziduale din "poartă în poartă", pentru utilizatorii casnici din casele/gospodăriile individuale</w:t>
            </w:r>
          </w:p>
        </w:tc>
        <w:tc>
          <w:tcPr>
            <w:tcW w:w="1933" w:type="pct"/>
            <w:tcBorders>
              <w:top w:val="nil"/>
              <w:left w:val="nil"/>
              <w:bottom w:val="single" w:color="auto" w:sz="4" w:space="0"/>
              <w:right w:val="single" w:color="auto" w:sz="4" w:space="0"/>
            </w:tcBorders>
            <w:vAlign w:val="center"/>
          </w:tcPr>
          <w:p w14:paraId="27BEAD62">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negre de 80 litri, zona urbană</w:t>
            </w:r>
          </w:p>
        </w:tc>
        <w:tc>
          <w:tcPr>
            <w:tcW w:w="522" w:type="pct"/>
            <w:tcBorders>
              <w:top w:val="nil"/>
              <w:left w:val="nil"/>
              <w:bottom w:val="single" w:color="auto" w:sz="4" w:space="0"/>
              <w:right w:val="single" w:color="auto" w:sz="4" w:space="0"/>
            </w:tcBorders>
          </w:tcPr>
          <w:p w14:paraId="590E61D7">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6645740B">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15E8F579">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251DEE30">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08476901">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negre de 80 litri, zona rurală</w:t>
            </w:r>
          </w:p>
        </w:tc>
        <w:tc>
          <w:tcPr>
            <w:tcW w:w="522" w:type="pct"/>
            <w:tcBorders>
              <w:top w:val="nil"/>
              <w:left w:val="nil"/>
              <w:bottom w:val="single" w:color="auto" w:sz="4" w:space="0"/>
              <w:right w:val="single" w:color="auto" w:sz="4" w:space="0"/>
            </w:tcBorders>
          </w:tcPr>
          <w:p w14:paraId="3693FC5E">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1B5BD626">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1181B84B">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3887D71C">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Recipiente noi, neutilizate, pentru colectarea biodeşeurilor din punctele de colectare (PC)</w:t>
            </w:r>
          </w:p>
        </w:tc>
        <w:tc>
          <w:tcPr>
            <w:tcW w:w="1933" w:type="pct"/>
            <w:tcBorders>
              <w:top w:val="nil"/>
              <w:left w:val="nil"/>
              <w:bottom w:val="single" w:color="auto" w:sz="4" w:space="0"/>
              <w:right w:val="single" w:color="auto" w:sz="4" w:space="0"/>
            </w:tcBorders>
            <w:vAlign w:val="center"/>
          </w:tcPr>
          <w:p w14:paraId="4E541A0C">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pentru PC de tip . . . . . . . . . . . . . . . . . . . . . . . . . . . . , zona urbană</w:t>
            </w:r>
          </w:p>
        </w:tc>
        <w:tc>
          <w:tcPr>
            <w:tcW w:w="522" w:type="pct"/>
            <w:tcBorders>
              <w:top w:val="nil"/>
              <w:left w:val="nil"/>
              <w:bottom w:val="single" w:color="auto" w:sz="4" w:space="0"/>
              <w:right w:val="single" w:color="auto" w:sz="4" w:space="0"/>
            </w:tcBorders>
          </w:tcPr>
          <w:p w14:paraId="0B782623">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01C971F6">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2D332395">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1DE8D250">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07D90FF9">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maro de . . . . . litri, pentru PC de tip . . . . . . . . . . . . . . . . . . . . . . . . . . . . . . . . . . . . ., zona urbană</w:t>
            </w:r>
          </w:p>
        </w:tc>
        <w:tc>
          <w:tcPr>
            <w:tcW w:w="522" w:type="pct"/>
            <w:tcBorders>
              <w:top w:val="nil"/>
              <w:left w:val="nil"/>
              <w:bottom w:val="single" w:color="auto" w:sz="4" w:space="0"/>
              <w:right w:val="single" w:color="auto" w:sz="4" w:space="0"/>
            </w:tcBorders>
          </w:tcPr>
          <w:p w14:paraId="2D466CD2">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6D017D2A">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28258A4A">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4336FAE6">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2F441502">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pentru PC de tip . . . . . . . . . . . . . . . . . . . . . . . . . . . . . . ., zona rurală</w:t>
            </w:r>
          </w:p>
        </w:tc>
        <w:tc>
          <w:tcPr>
            <w:tcW w:w="522" w:type="pct"/>
            <w:tcBorders>
              <w:top w:val="nil"/>
              <w:left w:val="nil"/>
              <w:bottom w:val="single" w:color="auto" w:sz="4" w:space="0"/>
              <w:right w:val="single" w:color="auto" w:sz="4" w:space="0"/>
            </w:tcBorders>
          </w:tcPr>
          <w:p w14:paraId="61E6C431">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4377F859">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6D2BADA4">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3FB1504F">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1062B78D">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maro de . . . . . litri, pentru PC de tip . . . . . . . . . . . . . . . . . . . . . . . . . . . . . . . . . . . . ., zona rurală</w:t>
            </w:r>
          </w:p>
        </w:tc>
        <w:tc>
          <w:tcPr>
            <w:tcW w:w="522" w:type="pct"/>
            <w:tcBorders>
              <w:top w:val="nil"/>
              <w:left w:val="nil"/>
              <w:bottom w:val="single" w:color="auto" w:sz="4" w:space="0"/>
              <w:right w:val="single" w:color="auto" w:sz="4" w:space="0"/>
            </w:tcBorders>
          </w:tcPr>
          <w:p w14:paraId="36284F53">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4961E9D8">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6C7F35F6">
            <w:pPr>
              <w:spacing w:after="0" w:line="240" w:lineRule="auto"/>
              <w:rPr>
                <w:rFonts w:ascii="Arial" w:hAnsi="Arial" w:eastAsia="Times New Roman" w:cs="Arial"/>
                <w:color w:val="333333"/>
                <w:sz w:val="18"/>
                <w:szCs w:val="18"/>
              </w:rPr>
            </w:pPr>
          </w:p>
        </w:tc>
        <w:tc>
          <w:tcPr>
            <w:tcW w:w="2052" w:type="pct"/>
            <w:vMerge w:val="restart"/>
            <w:tcBorders>
              <w:top w:val="single" w:color="auto" w:sz="4" w:space="0"/>
              <w:left w:val="single" w:color="auto" w:sz="4" w:space="0"/>
              <w:bottom w:val="single" w:color="000000" w:sz="4" w:space="0"/>
              <w:right w:val="single" w:color="auto" w:sz="4" w:space="0"/>
            </w:tcBorders>
            <w:vAlign w:val="center"/>
          </w:tcPr>
          <w:p w14:paraId="67461115">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Recipiente noi, neutilizate, pentru colectarea biodeşeurilor din "poartă în poartă", pentru utilizatorii casnici din casele/gospodăriile individuale</w:t>
            </w:r>
          </w:p>
        </w:tc>
        <w:tc>
          <w:tcPr>
            <w:tcW w:w="1933" w:type="pct"/>
            <w:tcBorders>
              <w:top w:val="nil"/>
              <w:left w:val="nil"/>
              <w:bottom w:val="single" w:color="auto" w:sz="4" w:space="0"/>
              <w:right w:val="single" w:color="auto" w:sz="4" w:space="0"/>
            </w:tcBorders>
            <w:vAlign w:val="center"/>
          </w:tcPr>
          <w:p w14:paraId="060A3011">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maro de 80 litri, zona urbană</w:t>
            </w:r>
          </w:p>
        </w:tc>
        <w:tc>
          <w:tcPr>
            <w:tcW w:w="522" w:type="pct"/>
            <w:tcBorders>
              <w:top w:val="nil"/>
              <w:left w:val="nil"/>
              <w:bottom w:val="single" w:color="auto" w:sz="4" w:space="0"/>
              <w:right w:val="single" w:color="auto" w:sz="4" w:space="0"/>
            </w:tcBorders>
          </w:tcPr>
          <w:p w14:paraId="4FE2C30F">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0375074E">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4C54E3AD">
            <w:pPr>
              <w:spacing w:after="0" w:line="240" w:lineRule="auto"/>
              <w:rPr>
                <w:rFonts w:ascii="Arial" w:hAnsi="Arial" w:eastAsia="Times New Roman" w:cs="Arial"/>
                <w:color w:val="333333"/>
                <w:sz w:val="18"/>
                <w:szCs w:val="18"/>
              </w:rPr>
            </w:pPr>
          </w:p>
        </w:tc>
        <w:tc>
          <w:tcPr>
            <w:tcW w:w="2052" w:type="pct"/>
            <w:vMerge w:val="continue"/>
            <w:tcBorders>
              <w:top w:val="single" w:color="auto" w:sz="4" w:space="0"/>
              <w:left w:val="single" w:color="auto" w:sz="4" w:space="0"/>
              <w:bottom w:val="single" w:color="000000" w:sz="4" w:space="0"/>
              <w:right w:val="single" w:color="auto" w:sz="4" w:space="0"/>
            </w:tcBorders>
            <w:vAlign w:val="center"/>
          </w:tcPr>
          <w:p w14:paraId="6FAF4660">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322BCB9C">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maro de . . . . . litri, zona rurală</w:t>
            </w:r>
          </w:p>
        </w:tc>
        <w:tc>
          <w:tcPr>
            <w:tcW w:w="522" w:type="pct"/>
            <w:tcBorders>
              <w:top w:val="nil"/>
              <w:left w:val="nil"/>
              <w:bottom w:val="single" w:color="auto" w:sz="4" w:space="0"/>
              <w:right w:val="single" w:color="auto" w:sz="4" w:space="0"/>
            </w:tcBorders>
          </w:tcPr>
          <w:p w14:paraId="552EE787">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49BEB0F8">
        <w:tblPrEx>
          <w:tblCellMar>
            <w:top w:w="0" w:type="dxa"/>
            <w:left w:w="108" w:type="dxa"/>
            <w:bottom w:w="0" w:type="dxa"/>
            <w:right w:w="108" w:type="dxa"/>
          </w:tblCellMar>
        </w:tblPrEx>
        <w:trPr>
          <w:trHeight w:val="1200" w:hRule="atLeast"/>
        </w:trPr>
        <w:tc>
          <w:tcPr>
            <w:tcW w:w="493" w:type="pct"/>
            <w:vMerge w:val="restart"/>
            <w:tcBorders>
              <w:top w:val="nil"/>
              <w:left w:val="single" w:color="auto" w:sz="4" w:space="0"/>
              <w:bottom w:val="single" w:color="auto" w:sz="4" w:space="0"/>
              <w:right w:val="single" w:color="auto" w:sz="4" w:space="0"/>
            </w:tcBorders>
            <w:vAlign w:val="center"/>
          </w:tcPr>
          <w:p w14:paraId="3BA5E5F9">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Deşeuri de hârtie, metal, plastic şi sticlă</w:t>
            </w:r>
          </w:p>
        </w:tc>
        <w:tc>
          <w:tcPr>
            <w:tcW w:w="2052" w:type="pct"/>
            <w:tcBorders>
              <w:top w:val="nil"/>
              <w:left w:val="nil"/>
              <w:bottom w:val="single" w:color="auto" w:sz="4" w:space="0"/>
              <w:right w:val="single" w:color="auto" w:sz="4" w:space="0"/>
            </w:tcBorders>
            <w:vAlign w:val="center"/>
          </w:tcPr>
          <w:p w14:paraId="6674427E">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Autospeciale pentru colectarea separată şi transportul deşeurilor reciclabile de hârtie, metal, plastic şi sticlă, echipate cu sistem de supraveghere video şi sistem GPS</w:t>
            </w:r>
          </w:p>
        </w:tc>
        <w:tc>
          <w:tcPr>
            <w:tcW w:w="1933" w:type="pct"/>
            <w:tcBorders>
              <w:top w:val="nil"/>
              <w:left w:val="nil"/>
              <w:bottom w:val="single" w:color="auto" w:sz="4" w:space="0"/>
              <w:right w:val="single" w:color="auto" w:sz="4" w:space="0"/>
            </w:tcBorders>
            <w:vAlign w:val="center"/>
          </w:tcPr>
          <w:p w14:paraId="1527CF17">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Un număr suficient de autospeciale, cu norma minimă de poluare EURO 6, care să acopere necesităţile de colectare, având în vedere cantităţile estimate, recipientele în operare şi frecvenţa de colectare cerută. Autospecialele trebuie să aibă sisteme de prindere adecvate pentru recipientele de colectare în operare.</w:t>
            </w:r>
          </w:p>
        </w:tc>
        <w:tc>
          <w:tcPr>
            <w:tcW w:w="522" w:type="pct"/>
            <w:tcBorders>
              <w:top w:val="nil"/>
              <w:left w:val="nil"/>
              <w:bottom w:val="single" w:color="auto" w:sz="4" w:space="0"/>
              <w:right w:val="single" w:color="auto" w:sz="4" w:space="0"/>
            </w:tcBorders>
          </w:tcPr>
          <w:p w14:paraId="33406DBD">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xml:space="preserve">                          3 </w:t>
            </w:r>
          </w:p>
        </w:tc>
      </w:tr>
      <w:tr w14:paraId="7B8F3023">
        <w:tblPrEx>
          <w:tblCellMar>
            <w:top w:w="0" w:type="dxa"/>
            <w:left w:w="108" w:type="dxa"/>
            <w:bottom w:w="0" w:type="dxa"/>
            <w:right w:w="108" w:type="dxa"/>
          </w:tblCellMar>
        </w:tblPrEx>
        <w:trPr>
          <w:trHeight w:val="1200" w:hRule="atLeast"/>
        </w:trPr>
        <w:tc>
          <w:tcPr>
            <w:tcW w:w="493" w:type="pct"/>
            <w:vMerge w:val="continue"/>
            <w:tcBorders>
              <w:top w:val="nil"/>
              <w:left w:val="single" w:color="auto" w:sz="4" w:space="0"/>
              <w:bottom w:val="single" w:color="auto" w:sz="4" w:space="0"/>
              <w:right w:val="single" w:color="auto" w:sz="4" w:space="0"/>
            </w:tcBorders>
            <w:vAlign w:val="center"/>
          </w:tcPr>
          <w:p w14:paraId="3397F49C">
            <w:pPr>
              <w:spacing w:after="0" w:line="240" w:lineRule="auto"/>
              <w:rPr>
                <w:rFonts w:ascii="Arial" w:hAnsi="Arial" w:eastAsia="Times New Roman" w:cs="Arial"/>
                <w:color w:val="333333"/>
                <w:sz w:val="18"/>
                <w:szCs w:val="18"/>
              </w:rPr>
            </w:pPr>
          </w:p>
        </w:tc>
        <w:tc>
          <w:tcPr>
            <w:tcW w:w="2052" w:type="pct"/>
            <w:tcBorders>
              <w:top w:val="nil"/>
              <w:left w:val="nil"/>
              <w:bottom w:val="single" w:color="auto" w:sz="4" w:space="0"/>
              <w:right w:val="single" w:color="auto" w:sz="4" w:space="0"/>
            </w:tcBorders>
            <w:vAlign w:val="center"/>
          </w:tcPr>
          <w:p w14:paraId="678FC854">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Autospeciale pentru colectarea separată şi transportul deşeurilor reciclabile de hârtie, metal, plastic şi sticlă, echipate cu sistem de ridicare pentru containere de tip igloo si supraveghere video şi sistem GPS</w:t>
            </w:r>
          </w:p>
        </w:tc>
        <w:tc>
          <w:tcPr>
            <w:tcW w:w="1933" w:type="pct"/>
            <w:tcBorders>
              <w:top w:val="nil"/>
              <w:left w:val="nil"/>
              <w:bottom w:val="single" w:color="auto" w:sz="4" w:space="0"/>
              <w:right w:val="single" w:color="auto" w:sz="4" w:space="0"/>
            </w:tcBorders>
            <w:vAlign w:val="center"/>
          </w:tcPr>
          <w:p w14:paraId="12053F8C">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Un număr suficient de autospeciale, cu norma minimă de poluare EURO 6, care să acopere necesităţile de colectare, având în vedere cantităţile estimate, recipientele în operare şi frecvenţa de colectare cerută. Autospecialele trebuie să aibă sisteme de prindere adecvate pentru recipientele de colectare în operare.</w:t>
            </w:r>
          </w:p>
        </w:tc>
        <w:tc>
          <w:tcPr>
            <w:tcW w:w="522" w:type="pct"/>
            <w:tcBorders>
              <w:top w:val="nil"/>
              <w:left w:val="nil"/>
              <w:bottom w:val="single" w:color="auto" w:sz="4" w:space="0"/>
              <w:right w:val="single" w:color="auto" w:sz="4" w:space="0"/>
            </w:tcBorders>
          </w:tcPr>
          <w:p w14:paraId="6E638917">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03B1D8DC">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3F36A76D">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2EC1CC0D">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Recipiente noi, neutilizate, pentru colectarea fracţiei de hârtie/carton din punctele de colectare (PC)</w:t>
            </w:r>
          </w:p>
        </w:tc>
        <w:tc>
          <w:tcPr>
            <w:tcW w:w="1933" w:type="pct"/>
            <w:tcBorders>
              <w:top w:val="nil"/>
              <w:left w:val="nil"/>
              <w:bottom w:val="single" w:color="auto" w:sz="4" w:space="0"/>
              <w:right w:val="single" w:color="auto" w:sz="4" w:space="0"/>
            </w:tcBorders>
            <w:vAlign w:val="center"/>
          </w:tcPr>
          <w:p w14:paraId="5BBDE530">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Albastru H+C de 1.1 mc, pentru PC , zona urbană</w:t>
            </w:r>
          </w:p>
        </w:tc>
        <w:tc>
          <w:tcPr>
            <w:tcW w:w="522" w:type="pct"/>
            <w:tcBorders>
              <w:top w:val="nil"/>
              <w:left w:val="nil"/>
              <w:bottom w:val="single" w:color="auto" w:sz="4" w:space="0"/>
              <w:right w:val="single" w:color="auto" w:sz="4" w:space="0"/>
            </w:tcBorders>
          </w:tcPr>
          <w:p w14:paraId="1F0E53CE">
            <w:pPr>
              <w:spacing w:after="0" w:line="240" w:lineRule="auto"/>
              <w:rPr>
                <w:rFonts w:ascii="Calibri" w:hAnsi="Calibri" w:eastAsia="Times New Roman" w:cs="Calibri"/>
                <w:color w:val="FF0000"/>
                <w:sz w:val="24"/>
                <w:szCs w:val="24"/>
              </w:rPr>
            </w:pPr>
            <w:r>
              <w:rPr>
                <w:rFonts w:ascii="Calibri" w:hAnsi="Calibri" w:eastAsia="Times New Roman" w:cs="Calibri"/>
                <w:color w:val="FF0000"/>
                <w:sz w:val="24"/>
                <w:szCs w:val="24"/>
              </w:rPr>
              <w:t> </w:t>
            </w:r>
          </w:p>
        </w:tc>
      </w:tr>
      <w:tr w14:paraId="21874BAE">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58D92D49">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1EAB40A8">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2ADC3F87">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albastre de . . . . . litri, pentru PC de tip . . . . . . . . . . . . . . . . . . . . . . . . . . . . . . . . . . . . ., zona urbană</w:t>
            </w:r>
          </w:p>
        </w:tc>
        <w:tc>
          <w:tcPr>
            <w:tcW w:w="522" w:type="pct"/>
            <w:tcBorders>
              <w:top w:val="nil"/>
              <w:left w:val="nil"/>
              <w:bottom w:val="single" w:color="auto" w:sz="4" w:space="0"/>
              <w:right w:val="single" w:color="auto" w:sz="4" w:space="0"/>
            </w:tcBorders>
          </w:tcPr>
          <w:p w14:paraId="5E7DF75B">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42609C3C">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5E6F2215">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687B7198">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62C1B89F">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pentru PC de tip . . . . . . . . . . . . . . . . . . . . . . . . . . . . . . ., zona rurală</w:t>
            </w:r>
          </w:p>
        </w:tc>
        <w:tc>
          <w:tcPr>
            <w:tcW w:w="522" w:type="pct"/>
            <w:tcBorders>
              <w:top w:val="nil"/>
              <w:left w:val="nil"/>
              <w:bottom w:val="single" w:color="auto" w:sz="4" w:space="0"/>
              <w:right w:val="single" w:color="auto" w:sz="4" w:space="0"/>
            </w:tcBorders>
          </w:tcPr>
          <w:p w14:paraId="3CD494E3">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7EAC53CA">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0F56867D">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057210FA">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0401F6B4">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albastre de . . . . . litri, pentru PC de tip . . . . . . . . . . . . . . . . . . . . . . . . . . . . . . . . . . . . ., zona rurală</w:t>
            </w:r>
          </w:p>
        </w:tc>
        <w:tc>
          <w:tcPr>
            <w:tcW w:w="522" w:type="pct"/>
            <w:tcBorders>
              <w:top w:val="nil"/>
              <w:left w:val="nil"/>
              <w:bottom w:val="single" w:color="auto" w:sz="4" w:space="0"/>
              <w:right w:val="single" w:color="auto" w:sz="4" w:space="0"/>
            </w:tcBorders>
          </w:tcPr>
          <w:p w14:paraId="5A620D7D">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0966D456">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3417755A">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02FDD909">
            <w:pPr>
              <w:spacing w:after="0" w:line="240" w:lineRule="auto"/>
              <w:rPr>
                <w:rFonts w:ascii="Arial" w:hAnsi="Arial" w:eastAsia="Times New Roman" w:cs="Arial"/>
                <w:color w:val="333333"/>
                <w:sz w:val="21"/>
                <w:szCs w:val="21"/>
              </w:rPr>
            </w:pPr>
            <w:r>
              <w:rPr>
                <w:rFonts w:ascii="Arial" w:hAnsi="Arial" w:eastAsia="Times New Roman" w:cs="Arial"/>
                <w:color w:val="333333"/>
                <w:sz w:val="21"/>
                <w:szCs w:val="21"/>
              </w:rPr>
              <w:t>Recipiente noi, neutilizate, pentru colectarea fracţiei de plastic/metal din punctele de colectare (PC)</w:t>
            </w:r>
          </w:p>
        </w:tc>
        <w:tc>
          <w:tcPr>
            <w:tcW w:w="1933" w:type="pct"/>
            <w:tcBorders>
              <w:top w:val="nil"/>
              <w:left w:val="nil"/>
              <w:bottom w:val="single" w:color="auto" w:sz="4" w:space="0"/>
              <w:right w:val="single" w:color="auto" w:sz="4" w:space="0"/>
            </w:tcBorders>
            <w:vAlign w:val="center"/>
          </w:tcPr>
          <w:p w14:paraId="5F7BF1DA">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Galben P+M de 1.1 mc, pentru PC , zona urbană</w:t>
            </w:r>
          </w:p>
        </w:tc>
        <w:tc>
          <w:tcPr>
            <w:tcW w:w="522" w:type="pct"/>
            <w:tcBorders>
              <w:top w:val="nil"/>
              <w:left w:val="nil"/>
              <w:bottom w:val="single" w:color="auto" w:sz="4" w:space="0"/>
              <w:right w:val="single" w:color="auto" w:sz="4" w:space="0"/>
            </w:tcBorders>
          </w:tcPr>
          <w:p w14:paraId="30FA3242">
            <w:pPr>
              <w:spacing w:after="0" w:line="240" w:lineRule="auto"/>
              <w:rPr>
                <w:rFonts w:ascii="Calibri" w:hAnsi="Calibri" w:eastAsia="Times New Roman" w:cs="Calibri"/>
                <w:color w:val="FF0000"/>
                <w:sz w:val="24"/>
                <w:szCs w:val="24"/>
              </w:rPr>
            </w:pPr>
            <w:r>
              <w:rPr>
                <w:rFonts w:ascii="Calibri" w:hAnsi="Calibri" w:eastAsia="Times New Roman" w:cs="Calibri"/>
                <w:color w:val="FF0000"/>
                <w:sz w:val="24"/>
                <w:szCs w:val="24"/>
              </w:rPr>
              <w:t> </w:t>
            </w:r>
          </w:p>
        </w:tc>
      </w:tr>
      <w:tr w14:paraId="3D1019E5">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48ECB039">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3B315166">
            <w:pPr>
              <w:spacing w:after="0" w:line="240" w:lineRule="auto"/>
              <w:rPr>
                <w:rFonts w:ascii="Arial" w:hAnsi="Arial" w:eastAsia="Times New Roman" w:cs="Arial"/>
                <w:color w:val="333333"/>
                <w:sz w:val="21"/>
                <w:szCs w:val="21"/>
              </w:rPr>
            </w:pPr>
          </w:p>
        </w:tc>
        <w:tc>
          <w:tcPr>
            <w:tcW w:w="1933" w:type="pct"/>
            <w:tcBorders>
              <w:top w:val="nil"/>
              <w:left w:val="nil"/>
              <w:bottom w:val="single" w:color="auto" w:sz="4" w:space="0"/>
              <w:right w:val="single" w:color="auto" w:sz="4" w:space="0"/>
            </w:tcBorders>
            <w:vAlign w:val="center"/>
          </w:tcPr>
          <w:p w14:paraId="6E0C95F6">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galbene de . . . . . litri, pentru PC de tip . . . . . . . . . . . . . . . . . . . . . . . . . . . . . . . . . . . . ., zona urbană</w:t>
            </w:r>
          </w:p>
        </w:tc>
        <w:tc>
          <w:tcPr>
            <w:tcW w:w="522" w:type="pct"/>
            <w:tcBorders>
              <w:top w:val="nil"/>
              <w:left w:val="nil"/>
              <w:bottom w:val="single" w:color="auto" w:sz="4" w:space="0"/>
              <w:right w:val="single" w:color="auto" w:sz="4" w:space="0"/>
            </w:tcBorders>
          </w:tcPr>
          <w:p w14:paraId="73E1EB63">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6FDF571B">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2DBE3372">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74C85A4D">
            <w:pPr>
              <w:spacing w:after="0" w:line="240" w:lineRule="auto"/>
              <w:rPr>
                <w:rFonts w:ascii="Arial" w:hAnsi="Arial" w:eastAsia="Times New Roman" w:cs="Arial"/>
                <w:color w:val="333333"/>
                <w:sz w:val="21"/>
                <w:szCs w:val="21"/>
              </w:rPr>
            </w:pPr>
          </w:p>
        </w:tc>
        <w:tc>
          <w:tcPr>
            <w:tcW w:w="1933" w:type="pct"/>
            <w:tcBorders>
              <w:top w:val="nil"/>
              <w:left w:val="nil"/>
              <w:bottom w:val="single" w:color="auto" w:sz="4" w:space="0"/>
              <w:right w:val="single" w:color="auto" w:sz="4" w:space="0"/>
            </w:tcBorders>
            <w:vAlign w:val="center"/>
          </w:tcPr>
          <w:p w14:paraId="453D3D86">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pentru PC de tip . . . . . . . . . . . . . . . . . . . . . . . . . . . . . . ., zona rurală</w:t>
            </w:r>
          </w:p>
        </w:tc>
        <w:tc>
          <w:tcPr>
            <w:tcW w:w="522" w:type="pct"/>
            <w:tcBorders>
              <w:top w:val="nil"/>
              <w:left w:val="nil"/>
              <w:bottom w:val="single" w:color="auto" w:sz="4" w:space="0"/>
              <w:right w:val="single" w:color="auto" w:sz="4" w:space="0"/>
            </w:tcBorders>
          </w:tcPr>
          <w:p w14:paraId="596E19C4">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7E833911">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661D9E04">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1943FF5C">
            <w:pPr>
              <w:spacing w:after="0" w:line="240" w:lineRule="auto"/>
              <w:rPr>
                <w:rFonts w:ascii="Arial" w:hAnsi="Arial" w:eastAsia="Times New Roman" w:cs="Arial"/>
                <w:color w:val="333333"/>
                <w:sz w:val="21"/>
                <w:szCs w:val="21"/>
              </w:rPr>
            </w:pPr>
          </w:p>
        </w:tc>
        <w:tc>
          <w:tcPr>
            <w:tcW w:w="1933" w:type="pct"/>
            <w:tcBorders>
              <w:top w:val="nil"/>
              <w:left w:val="nil"/>
              <w:bottom w:val="single" w:color="auto" w:sz="4" w:space="0"/>
              <w:right w:val="single" w:color="auto" w:sz="4" w:space="0"/>
            </w:tcBorders>
            <w:vAlign w:val="center"/>
          </w:tcPr>
          <w:p w14:paraId="60A82238">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galbene de . . . . . litri, pentru PC de tip . . . . . . . . . . . . . . . . . . . . . . . . . . . . . . . . . . . . ., zona rurală</w:t>
            </w:r>
          </w:p>
        </w:tc>
        <w:tc>
          <w:tcPr>
            <w:tcW w:w="522" w:type="pct"/>
            <w:tcBorders>
              <w:top w:val="nil"/>
              <w:left w:val="nil"/>
              <w:bottom w:val="single" w:color="auto" w:sz="4" w:space="0"/>
              <w:right w:val="single" w:color="auto" w:sz="4" w:space="0"/>
            </w:tcBorders>
          </w:tcPr>
          <w:p w14:paraId="2D35A838">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0CCAC5D6">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0B314162">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7BA5F7FB">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Recipiente noi, neutilizate, pentru colectarea sticlei din punctele de colectare (PC)</w:t>
            </w:r>
          </w:p>
        </w:tc>
        <w:tc>
          <w:tcPr>
            <w:tcW w:w="1933" w:type="pct"/>
            <w:tcBorders>
              <w:top w:val="nil"/>
              <w:left w:val="nil"/>
              <w:bottom w:val="single" w:color="auto" w:sz="4" w:space="0"/>
              <w:right w:val="single" w:color="auto" w:sz="4" w:space="0"/>
            </w:tcBorders>
            <w:vAlign w:val="center"/>
          </w:tcPr>
          <w:p w14:paraId="29275EE8">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Verzi S de 1.1 mc, pentru PC , zona urbană</w:t>
            </w:r>
          </w:p>
        </w:tc>
        <w:tc>
          <w:tcPr>
            <w:tcW w:w="522" w:type="pct"/>
            <w:tcBorders>
              <w:top w:val="nil"/>
              <w:left w:val="nil"/>
              <w:bottom w:val="single" w:color="auto" w:sz="4" w:space="0"/>
              <w:right w:val="single" w:color="auto" w:sz="4" w:space="0"/>
            </w:tcBorders>
          </w:tcPr>
          <w:p w14:paraId="6670B488">
            <w:pPr>
              <w:spacing w:after="0" w:line="240" w:lineRule="auto"/>
              <w:rPr>
                <w:rFonts w:ascii="Calibri" w:hAnsi="Calibri" w:eastAsia="Times New Roman" w:cs="Calibri"/>
                <w:color w:val="FF0000"/>
                <w:sz w:val="24"/>
                <w:szCs w:val="24"/>
              </w:rPr>
            </w:pPr>
            <w:r>
              <w:rPr>
                <w:rFonts w:ascii="Calibri" w:hAnsi="Calibri" w:eastAsia="Times New Roman" w:cs="Calibri"/>
                <w:color w:val="FF0000"/>
                <w:sz w:val="24"/>
                <w:szCs w:val="24"/>
              </w:rPr>
              <w:t> </w:t>
            </w:r>
          </w:p>
        </w:tc>
      </w:tr>
      <w:tr w14:paraId="636E3F25">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5A1462F4">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5B251E07">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39FDE842">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verzi de . . . . . litri, pentru PC de tip . . . . . . . . . . . . . . . . . . . . . . . . . . . . . . . . . . . . ., zona urbană</w:t>
            </w:r>
          </w:p>
        </w:tc>
        <w:tc>
          <w:tcPr>
            <w:tcW w:w="522" w:type="pct"/>
            <w:tcBorders>
              <w:top w:val="nil"/>
              <w:left w:val="nil"/>
              <w:bottom w:val="single" w:color="auto" w:sz="4" w:space="0"/>
              <w:right w:val="single" w:color="auto" w:sz="4" w:space="0"/>
            </w:tcBorders>
          </w:tcPr>
          <w:p w14:paraId="5CC3ED2A">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639B76EA">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177954F2">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24BC8DF9">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709F5CED">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pentru PC de tip . . . . . . . . . . . . . . . . . . . . . . . . . . . . . . ., zona rurală</w:t>
            </w:r>
          </w:p>
        </w:tc>
        <w:tc>
          <w:tcPr>
            <w:tcW w:w="522" w:type="pct"/>
            <w:tcBorders>
              <w:top w:val="nil"/>
              <w:left w:val="nil"/>
              <w:bottom w:val="single" w:color="auto" w:sz="4" w:space="0"/>
              <w:right w:val="single" w:color="auto" w:sz="4" w:space="0"/>
            </w:tcBorders>
          </w:tcPr>
          <w:p w14:paraId="2CBCD747">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74D99F28">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5E2DCAB8">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1DC6DB46">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70D6CB84">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verzi de . . . . . litri, pentru PC de tip . . . . . . . . . . . . . . . . . . . . . . . . . . . . . . . . . . . . ., zona rurală</w:t>
            </w:r>
          </w:p>
        </w:tc>
        <w:tc>
          <w:tcPr>
            <w:tcW w:w="522" w:type="pct"/>
            <w:tcBorders>
              <w:top w:val="nil"/>
              <w:left w:val="nil"/>
              <w:bottom w:val="single" w:color="auto" w:sz="4" w:space="0"/>
              <w:right w:val="single" w:color="auto" w:sz="4" w:space="0"/>
            </w:tcBorders>
          </w:tcPr>
          <w:p w14:paraId="7B4A84E7">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4197A0FF">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5BBBAA81">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49890322">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adecvaţi pentru colectarea deşeurilor de hârtie/carton, pentru utilizatorii casnici din casele/gospodăriile individuale</w:t>
            </w:r>
          </w:p>
        </w:tc>
        <w:tc>
          <w:tcPr>
            <w:tcW w:w="1933" w:type="pct"/>
            <w:tcBorders>
              <w:top w:val="nil"/>
              <w:left w:val="nil"/>
              <w:bottom w:val="single" w:color="auto" w:sz="4" w:space="0"/>
              <w:right w:val="single" w:color="auto" w:sz="4" w:space="0"/>
            </w:tcBorders>
            <w:vAlign w:val="center"/>
          </w:tcPr>
          <w:p w14:paraId="284A1B40">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de 120 litri, pentru utilizatorii casnici din zona urbană</w:t>
            </w:r>
          </w:p>
        </w:tc>
        <w:tc>
          <w:tcPr>
            <w:tcW w:w="522" w:type="pct"/>
            <w:tcBorders>
              <w:top w:val="nil"/>
              <w:left w:val="nil"/>
              <w:bottom w:val="single" w:color="auto" w:sz="4" w:space="0"/>
              <w:right w:val="single" w:color="auto" w:sz="4" w:space="0"/>
            </w:tcBorders>
            <w:vAlign w:val="center"/>
          </w:tcPr>
          <w:p w14:paraId="3E042F4E">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189722 buc/an</w:t>
            </w:r>
          </w:p>
        </w:tc>
      </w:tr>
      <w:tr w14:paraId="1C1AD7E5">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7108326C">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628346A1">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61396FD2">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de120 litri, pentru utilizatorii casnici din zona rurală</w:t>
            </w:r>
          </w:p>
        </w:tc>
        <w:tc>
          <w:tcPr>
            <w:tcW w:w="522" w:type="pct"/>
            <w:tcBorders>
              <w:top w:val="nil"/>
              <w:left w:val="nil"/>
              <w:bottom w:val="single" w:color="auto" w:sz="4" w:space="0"/>
              <w:right w:val="single" w:color="auto" w:sz="4" w:space="0"/>
            </w:tcBorders>
            <w:vAlign w:val="center"/>
          </w:tcPr>
          <w:p w14:paraId="7383A341">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328562 buc/an</w:t>
            </w:r>
          </w:p>
        </w:tc>
      </w:tr>
      <w:tr w14:paraId="01980C21">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4CD93998">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4483480C">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adecvaţi pentru colectarea deşeurilor de plastic/metal, pentru utilizatorii casnici din casele/gospodăriile individuale</w:t>
            </w:r>
          </w:p>
        </w:tc>
        <w:tc>
          <w:tcPr>
            <w:tcW w:w="1933" w:type="pct"/>
            <w:tcBorders>
              <w:top w:val="nil"/>
              <w:left w:val="nil"/>
              <w:bottom w:val="single" w:color="auto" w:sz="4" w:space="0"/>
              <w:right w:val="single" w:color="auto" w:sz="4" w:space="0"/>
            </w:tcBorders>
            <w:vAlign w:val="center"/>
          </w:tcPr>
          <w:p w14:paraId="7B6FC74D">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de 120 litri, pentru utilizatorii casnici din zona urbană</w:t>
            </w:r>
          </w:p>
        </w:tc>
        <w:tc>
          <w:tcPr>
            <w:tcW w:w="522" w:type="pct"/>
            <w:tcBorders>
              <w:top w:val="nil"/>
              <w:left w:val="nil"/>
              <w:bottom w:val="single" w:color="auto" w:sz="4" w:space="0"/>
              <w:right w:val="single" w:color="auto" w:sz="4" w:space="0"/>
            </w:tcBorders>
            <w:vAlign w:val="center"/>
          </w:tcPr>
          <w:p w14:paraId="0A3DD81A">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w:t>
            </w:r>
          </w:p>
        </w:tc>
      </w:tr>
      <w:tr w14:paraId="3E7D7EC0">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411607AF">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0531992C">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5ACDEEB2">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de120 litri, pentru utilizatorii casnici din zona rurală</w:t>
            </w:r>
          </w:p>
        </w:tc>
        <w:tc>
          <w:tcPr>
            <w:tcW w:w="522" w:type="pct"/>
            <w:tcBorders>
              <w:top w:val="nil"/>
              <w:left w:val="nil"/>
              <w:bottom w:val="single" w:color="auto" w:sz="4" w:space="0"/>
              <w:right w:val="single" w:color="auto" w:sz="4" w:space="0"/>
            </w:tcBorders>
            <w:vAlign w:val="center"/>
          </w:tcPr>
          <w:p w14:paraId="294B07F8">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w:t>
            </w:r>
          </w:p>
        </w:tc>
      </w:tr>
      <w:tr w14:paraId="1A00C25E">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6F74546E">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5CD7E124">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adecvaţi pentru colectarea deşeurilor de sticlă, pentru utilizatorii casnici din casele/gospodăriile individuale</w:t>
            </w:r>
          </w:p>
        </w:tc>
        <w:tc>
          <w:tcPr>
            <w:tcW w:w="1933" w:type="pct"/>
            <w:tcBorders>
              <w:top w:val="nil"/>
              <w:left w:val="nil"/>
              <w:bottom w:val="single" w:color="auto" w:sz="4" w:space="0"/>
              <w:right w:val="single" w:color="auto" w:sz="4" w:space="0"/>
            </w:tcBorders>
            <w:vAlign w:val="center"/>
          </w:tcPr>
          <w:p w14:paraId="60E5128B">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de 120 litri, pentru utilizatorii casnici din zona urbană</w:t>
            </w:r>
          </w:p>
        </w:tc>
        <w:tc>
          <w:tcPr>
            <w:tcW w:w="522" w:type="pct"/>
            <w:tcBorders>
              <w:top w:val="nil"/>
              <w:left w:val="nil"/>
              <w:bottom w:val="single" w:color="auto" w:sz="4" w:space="0"/>
              <w:right w:val="single" w:color="auto" w:sz="4" w:space="0"/>
            </w:tcBorders>
            <w:vAlign w:val="center"/>
          </w:tcPr>
          <w:p w14:paraId="4F0550FC">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w:t>
            </w:r>
          </w:p>
        </w:tc>
      </w:tr>
      <w:tr w14:paraId="1B745B77">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2A2D5C6D">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293F97FE">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07B6AF50">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de120 litri, pentru utilizatorii casnici din zona rurală</w:t>
            </w:r>
          </w:p>
        </w:tc>
        <w:tc>
          <w:tcPr>
            <w:tcW w:w="522" w:type="pct"/>
            <w:tcBorders>
              <w:top w:val="nil"/>
              <w:left w:val="nil"/>
              <w:bottom w:val="single" w:color="auto" w:sz="4" w:space="0"/>
              <w:right w:val="single" w:color="auto" w:sz="4" w:space="0"/>
            </w:tcBorders>
            <w:vAlign w:val="center"/>
          </w:tcPr>
          <w:p w14:paraId="067040D8">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w:t>
            </w:r>
          </w:p>
        </w:tc>
      </w:tr>
      <w:tr w14:paraId="4370BB29">
        <w:tblPrEx>
          <w:tblCellMar>
            <w:top w:w="0" w:type="dxa"/>
            <w:left w:w="108" w:type="dxa"/>
            <w:bottom w:w="0" w:type="dxa"/>
            <w:right w:w="108" w:type="dxa"/>
          </w:tblCellMar>
        </w:tblPrEx>
        <w:trPr>
          <w:trHeight w:val="1200" w:hRule="atLeast"/>
        </w:trPr>
        <w:tc>
          <w:tcPr>
            <w:tcW w:w="493" w:type="pct"/>
            <w:vMerge w:val="restart"/>
            <w:tcBorders>
              <w:top w:val="nil"/>
              <w:left w:val="single" w:color="auto" w:sz="4" w:space="0"/>
              <w:bottom w:val="single" w:color="auto" w:sz="4" w:space="0"/>
              <w:right w:val="single" w:color="auto" w:sz="4" w:space="0"/>
            </w:tcBorders>
            <w:vAlign w:val="center"/>
          </w:tcPr>
          <w:p w14:paraId="59E59229">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Deşeuri textile</w:t>
            </w:r>
          </w:p>
        </w:tc>
        <w:tc>
          <w:tcPr>
            <w:tcW w:w="2052" w:type="pct"/>
            <w:tcBorders>
              <w:top w:val="nil"/>
              <w:left w:val="nil"/>
              <w:bottom w:val="single" w:color="auto" w:sz="4" w:space="0"/>
              <w:right w:val="single" w:color="auto" w:sz="4" w:space="0"/>
            </w:tcBorders>
            <w:vAlign w:val="center"/>
          </w:tcPr>
          <w:p w14:paraId="572515FF">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Autospeciale pentru colectarea separată şi transportul deşeurilor textile, echipate cu sistem de supraveghere video şi sistem GPS</w:t>
            </w:r>
          </w:p>
        </w:tc>
        <w:tc>
          <w:tcPr>
            <w:tcW w:w="1933" w:type="pct"/>
            <w:tcBorders>
              <w:top w:val="nil"/>
              <w:left w:val="nil"/>
              <w:bottom w:val="single" w:color="auto" w:sz="4" w:space="0"/>
              <w:right w:val="single" w:color="auto" w:sz="4" w:space="0"/>
            </w:tcBorders>
            <w:vAlign w:val="center"/>
          </w:tcPr>
          <w:p w14:paraId="44C9AF14">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Un număr suficient de autospeciale, cu norma minimă de poluare EURO 6, care să acopere necesităţile de colectare, având în vedere cantităţile estimate, recipientele în operare şi frecvenţa de colectare cerută. Autospecialele trebuie să aibă sisteme de prindere adecvate pentru recipientele de colectare în operare.</w:t>
            </w:r>
          </w:p>
        </w:tc>
        <w:tc>
          <w:tcPr>
            <w:tcW w:w="522" w:type="pct"/>
            <w:tcBorders>
              <w:top w:val="nil"/>
              <w:left w:val="nil"/>
              <w:bottom w:val="single" w:color="auto" w:sz="4" w:space="0"/>
              <w:right w:val="single" w:color="auto" w:sz="4" w:space="0"/>
            </w:tcBorders>
          </w:tcPr>
          <w:p w14:paraId="084E6B22">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w:t>
            </w:r>
          </w:p>
        </w:tc>
      </w:tr>
      <w:tr w14:paraId="2150849E">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56C8FC7E">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778B5D7D">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Recipiente personalizate pentru colectarea deşeurilor textile din punctele de colectare (PC)</w:t>
            </w:r>
          </w:p>
        </w:tc>
        <w:tc>
          <w:tcPr>
            <w:tcW w:w="1933" w:type="pct"/>
            <w:tcBorders>
              <w:top w:val="nil"/>
              <w:left w:val="nil"/>
              <w:bottom w:val="single" w:color="auto" w:sz="4" w:space="0"/>
              <w:right w:val="single" w:color="auto" w:sz="4" w:space="0"/>
            </w:tcBorders>
            <w:vAlign w:val="center"/>
          </w:tcPr>
          <w:p w14:paraId="388E7DF2">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pentru PC de tip . . . . . . . . . . . . . . . . . . . . . . . . . . . . . . ., zona urbană</w:t>
            </w:r>
          </w:p>
        </w:tc>
        <w:tc>
          <w:tcPr>
            <w:tcW w:w="522" w:type="pct"/>
            <w:tcBorders>
              <w:top w:val="nil"/>
              <w:left w:val="nil"/>
              <w:bottom w:val="single" w:color="auto" w:sz="4" w:space="0"/>
              <w:right w:val="single" w:color="auto" w:sz="4" w:space="0"/>
            </w:tcBorders>
          </w:tcPr>
          <w:p w14:paraId="4D82785E">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49C6C34F">
        <w:tblPrEx>
          <w:tblCellMar>
            <w:top w:w="0" w:type="dxa"/>
            <w:left w:w="108" w:type="dxa"/>
            <w:bottom w:w="0" w:type="dxa"/>
            <w:right w:w="108" w:type="dxa"/>
          </w:tblCellMar>
        </w:tblPrEx>
        <w:trPr>
          <w:trHeight w:val="300" w:hRule="atLeast"/>
        </w:trPr>
        <w:tc>
          <w:tcPr>
            <w:tcW w:w="493" w:type="pct"/>
            <w:vMerge w:val="continue"/>
            <w:tcBorders>
              <w:top w:val="nil"/>
              <w:left w:val="single" w:color="auto" w:sz="4" w:space="0"/>
              <w:bottom w:val="single" w:color="auto" w:sz="4" w:space="0"/>
              <w:right w:val="single" w:color="auto" w:sz="4" w:space="0"/>
            </w:tcBorders>
            <w:vAlign w:val="center"/>
          </w:tcPr>
          <w:p w14:paraId="28FC6C67">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76D77E6F">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441A726B">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de . . . . . litri, pentru PC de tip</w:t>
            </w:r>
          </w:p>
        </w:tc>
        <w:tc>
          <w:tcPr>
            <w:tcW w:w="522" w:type="pct"/>
            <w:vMerge w:val="restart"/>
            <w:tcBorders>
              <w:top w:val="nil"/>
              <w:left w:val="single" w:color="auto" w:sz="4" w:space="0"/>
              <w:bottom w:val="single" w:color="auto" w:sz="4" w:space="0"/>
              <w:right w:val="single" w:color="auto" w:sz="4" w:space="0"/>
            </w:tcBorders>
          </w:tcPr>
          <w:p w14:paraId="45A443B8">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280653A3">
        <w:tblPrEx>
          <w:tblCellMar>
            <w:top w:w="0" w:type="dxa"/>
            <w:left w:w="108" w:type="dxa"/>
            <w:bottom w:w="0" w:type="dxa"/>
            <w:right w:w="108" w:type="dxa"/>
          </w:tblCellMar>
        </w:tblPrEx>
        <w:trPr>
          <w:trHeight w:val="300" w:hRule="atLeast"/>
        </w:trPr>
        <w:tc>
          <w:tcPr>
            <w:tcW w:w="493" w:type="pct"/>
            <w:vMerge w:val="continue"/>
            <w:tcBorders>
              <w:top w:val="nil"/>
              <w:left w:val="single" w:color="auto" w:sz="4" w:space="0"/>
              <w:bottom w:val="single" w:color="auto" w:sz="4" w:space="0"/>
              <w:right w:val="single" w:color="auto" w:sz="4" w:space="0"/>
            </w:tcBorders>
            <w:vAlign w:val="center"/>
          </w:tcPr>
          <w:p w14:paraId="693F82E4">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448D52D3">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7CAF3500">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 . . . . . . . . . . . . . . . . . . . . . . . . . . . . . . . . . . ., zona urbană</w:t>
            </w:r>
          </w:p>
        </w:tc>
        <w:tc>
          <w:tcPr>
            <w:tcW w:w="522" w:type="pct"/>
            <w:vMerge w:val="continue"/>
            <w:tcBorders>
              <w:top w:val="nil"/>
              <w:left w:val="single" w:color="auto" w:sz="4" w:space="0"/>
              <w:bottom w:val="single" w:color="auto" w:sz="4" w:space="0"/>
              <w:right w:val="single" w:color="auto" w:sz="4" w:space="0"/>
            </w:tcBorders>
            <w:vAlign w:val="center"/>
          </w:tcPr>
          <w:p w14:paraId="689144B9">
            <w:pPr>
              <w:spacing w:after="0" w:line="240" w:lineRule="auto"/>
              <w:rPr>
                <w:rFonts w:ascii="Calibri" w:hAnsi="Calibri" w:eastAsia="Times New Roman" w:cs="Calibri"/>
                <w:color w:val="000000"/>
                <w:sz w:val="24"/>
                <w:szCs w:val="24"/>
              </w:rPr>
            </w:pPr>
          </w:p>
        </w:tc>
      </w:tr>
      <w:tr w14:paraId="609C7EDC">
        <w:tblPrEx>
          <w:tblCellMar>
            <w:top w:w="0" w:type="dxa"/>
            <w:left w:w="108" w:type="dxa"/>
            <w:bottom w:w="0" w:type="dxa"/>
            <w:right w:w="108" w:type="dxa"/>
          </w:tblCellMar>
        </w:tblPrEx>
        <w:trPr>
          <w:trHeight w:val="480" w:hRule="atLeast"/>
        </w:trPr>
        <w:tc>
          <w:tcPr>
            <w:tcW w:w="493" w:type="pct"/>
            <w:vMerge w:val="continue"/>
            <w:tcBorders>
              <w:top w:val="nil"/>
              <w:left w:val="single" w:color="auto" w:sz="4" w:space="0"/>
              <w:bottom w:val="single" w:color="auto" w:sz="4" w:space="0"/>
              <w:right w:val="single" w:color="auto" w:sz="4" w:space="0"/>
            </w:tcBorders>
            <w:vAlign w:val="center"/>
          </w:tcPr>
          <w:p w14:paraId="15C3534F">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015FAEEE">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4EC6A0E6">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pentru PC de tip . . . . . . . . . . . . . . . . . . . . . . . . . . . . . . ., zona rurală</w:t>
            </w:r>
          </w:p>
        </w:tc>
        <w:tc>
          <w:tcPr>
            <w:tcW w:w="522" w:type="pct"/>
            <w:tcBorders>
              <w:top w:val="nil"/>
              <w:left w:val="nil"/>
              <w:bottom w:val="single" w:color="auto" w:sz="4" w:space="0"/>
              <w:right w:val="single" w:color="auto" w:sz="4" w:space="0"/>
            </w:tcBorders>
          </w:tcPr>
          <w:p w14:paraId="3517797D">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6CDDA25E">
        <w:tblPrEx>
          <w:tblCellMar>
            <w:top w:w="0" w:type="dxa"/>
            <w:left w:w="108" w:type="dxa"/>
            <w:bottom w:w="0" w:type="dxa"/>
            <w:right w:w="108" w:type="dxa"/>
          </w:tblCellMar>
        </w:tblPrEx>
        <w:trPr>
          <w:trHeight w:val="300" w:hRule="atLeast"/>
        </w:trPr>
        <w:tc>
          <w:tcPr>
            <w:tcW w:w="493" w:type="pct"/>
            <w:vMerge w:val="continue"/>
            <w:tcBorders>
              <w:top w:val="nil"/>
              <w:left w:val="single" w:color="auto" w:sz="4" w:space="0"/>
              <w:bottom w:val="single" w:color="auto" w:sz="4" w:space="0"/>
              <w:right w:val="single" w:color="auto" w:sz="4" w:space="0"/>
            </w:tcBorders>
            <w:vAlign w:val="center"/>
          </w:tcPr>
          <w:p w14:paraId="6EBB9E94">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2EBF79BF">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02AE501C">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Pubele de . . . . . litri, pentru PC de tip</w:t>
            </w:r>
          </w:p>
        </w:tc>
        <w:tc>
          <w:tcPr>
            <w:tcW w:w="522" w:type="pct"/>
            <w:vMerge w:val="restart"/>
            <w:tcBorders>
              <w:top w:val="nil"/>
              <w:left w:val="single" w:color="auto" w:sz="4" w:space="0"/>
              <w:bottom w:val="single" w:color="auto" w:sz="4" w:space="0"/>
              <w:right w:val="single" w:color="auto" w:sz="4" w:space="0"/>
            </w:tcBorders>
          </w:tcPr>
          <w:p w14:paraId="7443ECBA">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64D4298F">
        <w:tblPrEx>
          <w:tblCellMar>
            <w:top w:w="0" w:type="dxa"/>
            <w:left w:w="108" w:type="dxa"/>
            <w:bottom w:w="0" w:type="dxa"/>
            <w:right w:w="108" w:type="dxa"/>
          </w:tblCellMar>
        </w:tblPrEx>
        <w:trPr>
          <w:trHeight w:val="300" w:hRule="atLeast"/>
        </w:trPr>
        <w:tc>
          <w:tcPr>
            <w:tcW w:w="493" w:type="pct"/>
            <w:vMerge w:val="continue"/>
            <w:tcBorders>
              <w:top w:val="nil"/>
              <w:left w:val="single" w:color="auto" w:sz="4" w:space="0"/>
              <w:bottom w:val="single" w:color="auto" w:sz="4" w:space="0"/>
              <w:right w:val="single" w:color="auto" w:sz="4" w:space="0"/>
            </w:tcBorders>
            <w:vAlign w:val="center"/>
          </w:tcPr>
          <w:p w14:paraId="0DAAD83A">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6E35E815">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2515649E">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 . . . . . . . . . . . . . . . . . . . . . . . . . . . . . . . . . . ., zona rurală</w:t>
            </w:r>
          </w:p>
        </w:tc>
        <w:tc>
          <w:tcPr>
            <w:tcW w:w="522" w:type="pct"/>
            <w:vMerge w:val="continue"/>
            <w:tcBorders>
              <w:top w:val="nil"/>
              <w:left w:val="single" w:color="auto" w:sz="4" w:space="0"/>
              <w:bottom w:val="single" w:color="auto" w:sz="4" w:space="0"/>
              <w:right w:val="single" w:color="auto" w:sz="4" w:space="0"/>
            </w:tcBorders>
            <w:vAlign w:val="center"/>
          </w:tcPr>
          <w:p w14:paraId="40C1C5F5">
            <w:pPr>
              <w:spacing w:after="0" w:line="240" w:lineRule="auto"/>
              <w:rPr>
                <w:rFonts w:ascii="Calibri" w:hAnsi="Calibri" w:eastAsia="Times New Roman" w:cs="Calibri"/>
                <w:color w:val="000000"/>
                <w:sz w:val="24"/>
                <w:szCs w:val="24"/>
              </w:rPr>
            </w:pPr>
          </w:p>
        </w:tc>
      </w:tr>
      <w:tr w14:paraId="7891B534">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3A4B3FD2">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73DC3234">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Recipiente personalizate pentru colectarea deşeurilor textile din locurile/spaţiile special amenajate</w:t>
            </w:r>
          </w:p>
        </w:tc>
        <w:tc>
          <w:tcPr>
            <w:tcW w:w="1933" w:type="pct"/>
            <w:tcBorders>
              <w:top w:val="nil"/>
              <w:left w:val="nil"/>
              <w:bottom w:val="single" w:color="auto" w:sz="4" w:space="0"/>
              <w:right w:val="single" w:color="auto" w:sz="4" w:space="0"/>
            </w:tcBorders>
            <w:vAlign w:val="center"/>
          </w:tcPr>
          <w:p w14:paraId="617EE9B4">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zona urbană</w:t>
            </w:r>
          </w:p>
        </w:tc>
        <w:tc>
          <w:tcPr>
            <w:tcW w:w="522" w:type="pct"/>
            <w:tcBorders>
              <w:top w:val="nil"/>
              <w:left w:val="nil"/>
              <w:bottom w:val="single" w:color="auto" w:sz="4" w:space="0"/>
              <w:right w:val="single" w:color="auto" w:sz="4" w:space="0"/>
            </w:tcBorders>
          </w:tcPr>
          <w:p w14:paraId="5CD87F1F">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580F146B">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08E19025">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50637F7B">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141E79B0">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zona urbană</w:t>
            </w:r>
          </w:p>
        </w:tc>
        <w:tc>
          <w:tcPr>
            <w:tcW w:w="522" w:type="pct"/>
            <w:tcBorders>
              <w:top w:val="nil"/>
              <w:left w:val="nil"/>
              <w:bottom w:val="single" w:color="auto" w:sz="4" w:space="0"/>
              <w:right w:val="single" w:color="auto" w:sz="4" w:space="0"/>
            </w:tcBorders>
          </w:tcPr>
          <w:p w14:paraId="702F0CE8">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1474927A">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558F3BB0">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72F1C193">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adecvaţi pentru colectarea deşeurilor textile, pentru utilizatorii casnici din casele/gospodăriile individuale</w:t>
            </w:r>
          </w:p>
        </w:tc>
        <w:tc>
          <w:tcPr>
            <w:tcW w:w="1933" w:type="pct"/>
            <w:tcBorders>
              <w:top w:val="nil"/>
              <w:left w:val="nil"/>
              <w:bottom w:val="single" w:color="auto" w:sz="4" w:space="0"/>
              <w:right w:val="single" w:color="auto" w:sz="4" w:space="0"/>
            </w:tcBorders>
            <w:vAlign w:val="center"/>
          </w:tcPr>
          <w:p w14:paraId="3F9C2129">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de . . . . . . . litri, pentru utilizatorii casnici din zona urbană</w:t>
            </w:r>
          </w:p>
        </w:tc>
        <w:tc>
          <w:tcPr>
            <w:tcW w:w="522" w:type="pct"/>
            <w:tcBorders>
              <w:top w:val="nil"/>
              <w:left w:val="nil"/>
              <w:bottom w:val="single" w:color="auto" w:sz="4" w:space="0"/>
              <w:right w:val="single" w:color="auto" w:sz="4" w:space="0"/>
            </w:tcBorders>
            <w:vAlign w:val="center"/>
          </w:tcPr>
          <w:p w14:paraId="63B0E601">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 . buc/an</w:t>
            </w:r>
          </w:p>
        </w:tc>
      </w:tr>
      <w:tr w14:paraId="5FCEB0D0">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57240B31">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1CCE2B79">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2C667E2D">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Saci de . . . . . . . litri, pentru utilizatorii casnici din zona rurală</w:t>
            </w:r>
          </w:p>
        </w:tc>
        <w:tc>
          <w:tcPr>
            <w:tcW w:w="522" w:type="pct"/>
            <w:tcBorders>
              <w:top w:val="nil"/>
              <w:left w:val="nil"/>
              <w:bottom w:val="single" w:color="auto" w:sz="4" w:space="0"/>
              <w:right w:val="single" w:color="auto" w:sz="4" w:space="0"/>
            </w:tcBorders>
            <w:vAlign w:val="center"/>
          </w:tcPr>
          <w:p w14:paraId="7303472E">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 . buc/an</w:t>
            </w:r>
          </w:p>
        </w:tc>
      </w:tr>
      <w:tr w14:paraId="3F5CA2E2">
        <w:tblPrEx>
          <w:tblCellMar>
            <w:top w:w="0" w:type="dxa"/>
            <w:left w:w="108" w:type="dxa"/>
            <w:bottom w:w="0" w:type="dxa"/>
            <w:right w:w="108" w:type="dxa"/>
          </w:tblCellMar>
        </w:tblPrEx>
        <w:trPr>
          <w:trHeight w:val="1200" w:hRule="atLeast"/>
        </w:trPr>
        <w:tc>
          <w:tcPr>
            <w:tcW w:w="493" w:type="pct"/>
            <w:tcBorders>
              <w:top w:val="nil"/>
              <w:left w:val="single" w:color="auto" w:sz="4" w:space="0"/>
              <w:bottom w:val="single" w:color="auto" w:sz="4" w:space="0"/>
              <w:right w:val="single" w:color="auto" w:sz="4" w:space="0"/>
            </w:tcBorders>
            <w:vAlign w:val="center"/>
          </w:tcPr>
          <w:p w14:paraId="1761F435">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Deşeuri periculoase menajere</w:t>
            </w:r>
          </w:p>
        </w:tc>
        <w:tc>
          <w:tcPr>
            <w:tcW w:w="2052" w:type="pct"/>
            <w:tcBorders>
              <w:top w:val="nil"/>
              <w:left w:val="nil"/>
              <w:bottom w:val="single" w:color="auto" w:sz="4" w:space="0"/>
              <w:right w:val="single" w:color="auto" w:sz="4" w:space="0"/>
            </w:tcBorders>
            <w:vAlign w:val="center"/>
          </w:tcPr>
          <w:p w14:paraId="23E24429">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Autospecială pentru colectarea separată şi transportul deşeurilor periculoase.</w:t>
            </w:r>
          </w:p>
        </w:tc>
        <w:tc>
          <w:tcPr>
            <w:tcW w:w="1933" w:type="pct"/>
            <w:tcBorders>
              <w:top w:val="nil"/>
              <w:left w:val="nil"/>
              <w:bottom w:val="single" w:color="auto" w:sz="4" w:space="0"/>
              <w:right w:val="single" w:color="auto" w:sz="4" w:space="0"/>
            </w:tcBorders>
            <w:vAlign w:val="center"/>
          </w:tcPr>
          <w:p w14:paraId="3A5DA77F">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Autovehicul special destinat transportului deşeurilor periculoase, marcat cu inscripţia "Transport deşeuri periculoase" şi etichete de avertizare privind caracterul periculos al deşeurilor pe care le transportă, care să acopere necesităţile de colectare, având în vedere cantităţile estimate şi frecvenţa de colectare cerută.</w:t>
            </w:r>
          </w:p>
        </w:tc>
        <w:tc>
          <w:tcPr>
            <w:tcW w:w="522" w:type="pct"/>
            <w:tcBorders>
              <w:top w:val="nil"/>
              <w:left w:val="nil"/>
              <w:bottom w:val="single" w:color="auto" w:sz="4" w:space="0"/>
              <w:right w:val="single" w:color="auto" w:sz="4" w:space="0"/>
            </w:tcBorders>
          </w:tcPr>
          <w:p w14:paraId="35EF7B5E">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w:t>
            </w:r>
          </w:p>
        </w:tc>
      </w:tr>
      <w:tr w14:paraId="0C98885E">
        <w:tblPrEx>
          <w:tblCellMar>
            <w:top w:w="0" w:type="dxa"/>
            <w:left w:w="108" w:type="dxa"/>
            <w:bottom w:w="0" w:type="dxa"/>
            <w:right w:w="108" w:type="dxa"/>
          </w:tblCellMar>
        </w:tblPrEx>
        <w:trPr>
          <w:trHeight w:val="960" w:hRule="atLeast"/>
        </w:trPr>
        <w:tc>
          <w:tcPr>
            <w:tcW w:w="493" w:type="pct"/>
            <w:tcBorders>
              <w:top w:val="nil"/>
              <w:left w:val="single" w:color="auto" w:sz="4" w:space="0"/>
              <w:bottom w:val="single" w:color="auto" w:sz="4" w:space="0"/>
              <w:right w:val="single" w:color="auto" w:sz="4" w:space="0"/>
            </w:tcBorders>
            <w:vAlign w:val="center"/>
          </w:tcPr>
          <w:p w14:paraId="5FE19ADB">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Deşeuri voluminoase</w:t>
            </w:r>
          </w:p>
        </w:tc>
        <w:tc>
          <w:tcPr>
            <w:tcW w:w="2052" w:type="pct"/>
            <w:tcBorders>
              <w:top w:val="nil"/>
              <w:left w:val="nil"/>
              <w:bottom w:val="single" w:color="auto" w:sz="4" w:space="0"/>
              <w:right w:val="single" w:color="auto" w:sz="4" w:space="0"/>
            </w:tcBorders>
            <w:vAlign w:val="center"/>
          </w:tcPr>
          <w:p w14:paraId="6CFEACD5">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Autospecială pentru colectarea separată şi transportul deşeurilor voluminoase, inclusiv a deşeurilor voluminoase abandonate.</w:t>
            </w:r>
          </w:p>
        </w:tc>
        <w:tc>
          <w:tcPr>
            <w:tcW w:w="1933" w:type="pct"/>
            <w:tcBorders>
              <w:top w:val="nil"/>
              <w:left w:val="nil"/>
              <w:bottom w:val="single" w:color="auto" w:sz="4" w:space="0"/>
              <w:right w:val="single" w:color="auto" w:sz="4" w:space="0"/>
            </w:tcBorders>
            <w:vAlign w:val="center"/>
          </w:tcPr>
          <w:p w14:paraId="01394917">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Autospecială pentru colectarea separată şi transportul deşeurilor voluminoase, care să acopere necesităţile de colectare, având în vedere cantităţile estimate şi frecvenţa de colectare cerută, precum şi solicitările utilizatorilor.</w:t>
            </w:r>
          </w:p>
        </w:tc>
        <w:tc>
          <w:tcPr>
            <w:tcW w:w="522" w:type="pct"/>
            <w:tcBorders>
              <w:top w:val="nil"/>
              <w:left w:val="nil"/>
              <w:bottom w:val="single" w:color="auto" w:sz="4" w:space="0"/>
              <w:right w:val="single" w:color="auto" w:sz="4" w:space="0"/>
            </w:tcBorders>
          </w:tcPr>
          <w:p w14:paraId="0DB5A571">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w:t>
            </w:r>
          </w:p>
        </w:tc>
      </w:tr>
      <w:tr w14:paraId="3E7EAA1F">
        <w:tblPrEx>
          <w:tblCellMar>
            <w:top w:w="0" w:type="dxa"/>
            <w:left w:w="108" w:type="dxa"/>
            <w:bottom w:w="0" w:type="dxa"/>
            <w:right w:w="108" w:type="dxa"/>
          </w:tblCellMar>
        </w:tblPrEx>
        <w:trPr>
          <w:trHeight w:val="960" w:hRule="atLeast"/>
        </w:trPr>
        <w:tc>
          <w:tcPr>
            <w:tcW w:w="493" w:type="pct"/>
            <w:vMerge w:val="restart"/>
            <w:tcBorders>
              <w:top w:val="nil"/>
              <w:left w:val="single" w:color="auto" w:sz="4" w:space="0"/>
              <w:bottom w:val="single" w:color="auto" w:sz="4" w:space="0"/>
              <w:right w:val="single" w:color="auto" w:sz="4" w:space="0"/>
            </w:tcBorders>
            <w:vAlign w:val="center"/>
          </w:tcPr>
          <w:p w14:paraId="52B4327C">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Deşeuri din construcţii provenite din locuinţe</w:t>
            </w:r>
          </w:p>
        </w:tc>
        <w:tc>
          <w:tcPr>
            <w:tcW w:w="2052" w:type="pct"/>
            <w:tcBorders>
              <w:top w:val="nil"/>
              <w:left w:val="nil"/>
              <w:bottom w:val="single" w:color="auto" w:sz="4" w:space="0"/>
              <w:right w:val="single" w:color="auto" w:sz="4" w:space="0"/>
            </w:tcBorders>
            <w:vAlign w:val="center"/>
          </w:tcPr>
          <w:p w14:paraId="6601A74F">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Autospecială pentru colectarea separată şi transportul deşeurilor din construcţii provenite din locuinţe, inclusiv a deşeurilor din construcţii abandonate.</w:t>
            </w:r>
          </w:p>
        </w:tc>
        <w:tc>
          <w:tcPr>
            <w:tcW w:w="1933" w:type="pct"/>
            <w:tcBorders>
              <w:top w:val="nil"/>
              <w:left w:val="nil"/>
              <w:bottom w:val="single" w:color="auto" w:sz="4" w:space="0"/>
              <w:right w:val="single" w:color="auto" w:sz="4" w:space="0"/>
            </w:tcBorders>
            <w:vAlign w:val="center"/>
          </w:tcPr>
          <w:p w14:paraId="687C6534">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Autospeciala trebuie sa aibă o capacitate suficientă pentru colectarea cantităţilor de deşeuri provenite din locuinţe, care să acopere necesităţile de colectare, având în vedere cantităţile estimate şi frecvenţa de colectare cerută, precum şi solicitările utilizatorilor casnici.</w:t>
            </w:r>
          </w:p>
        </w:tc>
        <w:tc>
          <w:tcPr>
            <w:tcW w:w="522" w:type="pct"/>
            <w:tcBorders>
              <w:top w:val="nil"/>
              <w:left w:val="nil"/>
              <w:bottom w:val="single" w:color="auto" w:sz="4" w:space="0"/>
              <w:right w:val="single" w:color="auto" w:sz="4" w:space="0"/>
            </w:tcBorders>
          </w:tcPr>
          <w:p w14:paraId="07435E20">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1</w:t>
            </w:r>
          </w:p>
        </w:tc>
      </w:tr>
      <w:tr w14:paraId="7E4C48AC">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1C513F74">
            <w:pPr>
              <w:spacing w:after="0" w:line="240" w:lineRule="auto"/>
              <w:rPr>
                <w:rFonts w:ascii="Arial" w:hAnsi="Arial" w:eastAsia="Times New Roman" w:cs="Arial"/>
                <w:color w:val="333333"/>
                <w:sz w:val="18"/>
                <w:szCs w:val="18"/>
              </w:rPr>
            </w:pPr>
          </w:p>
        </w:tc>
        <w:tc>
          <w:tcPr>
            <w:tcW w:w="2052" w:type="pct"/>
            <w:vMerge w:val="restart"/>
            <w:tcBorders>
              <w:top w:val="nil"/>
              <w:left w:val="single" w:color="auto" w:sz="4" w:space="0"/>
              <w:bottom w:val="single" w:color="auto" w:sz="4" w:space="0"/>
              <w:right w:val="single" w:color="auto" w:sz="4" w:space="0"/>
            </w:tcBorders>
            <w:vAlign w:val="center"/>
          </w:tcPr>
          <w:p w14:paraId="73FC16F6">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metalice pentru colectarea deşeurilor din construcţii, din locurile/spaţiile special amenajate</w:t>
            </w:r>
          </w:p>
        </w:tc>
        <w:tc>
          <w:tcPr>
            <w:tcW w:w="1933" w:type="pct"/>
            <w:tcBorders>
              <w:top w:val="nil"/>
              <w:left w:val="nil"/>
              <w:bottom w:val="single" w:color="auto" w:sz="4" w:space="0"/>
              <w:right w:val="single" w:color="auto" w:sz="4" w:space="0"/>
            </w:tcBorders>
            <w:vAlign w:val="center"/>
          </w:tcPr>
          <w:p w14:paraId="2909C2B2">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zona urbană</w:t>
            </w:r>
          </w:p>
        </w:tc>
        <w:tc>
          <w:tcPr>
            <w:tcW w:w="522" w:type="pct"/>
            <w:tcBorders>
              <w:top w:val="nil"/>
              <w:left w:val="nil"/>
              <w:bottom w:val="single" w:color="auto" w:sz="4" w:space="0"/>
              <w:right w:val="single" w:color="auto" w:sz="4" w:space="0"/>
            </w:tcBorders>
          </w:tcPr>
          <w:p w14:paraId="767EECB8">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20D57AC0">
        <w:tblPrEx>
          <w:tblCellMar>
            <w:top w:w="0" w:type="dxa"/>
            <w:left w:w="108" w:type="dxa"/>
            <w:bottom w:w="0" w:type="dxa"/>
            <w:right w:w="108" w:type="dxa"/>
          </w:tblCellMar>
        </w:tblPrEx>
        <w:trPr>
          <w:trHeight w:val="315" w:hRule="atLeast"/>
        </w:trPr>
        <w:tc>
          <w:tcPr>
            <w:tcW w:w="493" w:type="pct"/>
            <w:vMerge w:val="continue"/>
            <w:tcBorders>
              <w:top w:val="nil"/>
              <w:left w:val="single" w:color="auto" w:sz="4" w:space="0"/>
              <w:bottom w:val="single" w:color="auto" w:sz="4" w:space="0"/>
              <w:right w:val="single" w:color="auto" w:sz="4" w:space="0"/>
            </w:tcBorders>
            <w:vAlign w:val="center"/>
          </w:tcPr>
          <w:p w14:paraId="4F8CFC2C">
            <w:pPr>
              <w:spacing w:after="0" w:line="240" w:lineRule="auto"/>
              <w:rPr>
                <w:rFonts w:ascii="Arial" w:hAnsi="Arial" w:eastAsia="Times New Roman" w:cs="Arial"/>
                <w:color w:val="333333"/>
                <w:sz w:val="18"/>
                <w:szCs w:val="18"/>
              </w:rPr>
            </w:pPr>
          </w:p>
        </w:tc>
        <w:tc>
          <w:tcPr>
            <w:tcW w:w="2052" w:type="pct"/>
            <w:vMerge w:val="continue"/>
            <w:tcBorders>
              <w:top w:val="nil"/>
              <w:left w:val="single" w:color="auto" w:sz="4" w:space="0"/>
              <w:bottom w:val="single" w:color="auto" w:sz="4" w:space="0"/>
              <w:right w:val="single" w:color="auto" w:sz="4" w:space="0"/>
            </w:tcBorders>
            <w:vAlign w:val="center"/>
          </w:tcPr>
          <w:p w14:paraId="6EB31067">
            <w:pPr>
              <w:spacing w:after="0" w:line="240" w:lineRule="auto"/>
              <w:rPr>
                <w:rFonts w:ascii="Arial" w:hAnsi="Arial" w:eastAsia="Times New Roman" w:cs="Arial"/>
                <w:color w:val="333333"/>
                <w:sz w:val="18"/>
                <w:szCs w:val="18"/>
              </w:rPr>
            </w:pPr>
          </w:p>
        </w:tc>
        <w:tc>
          <w:tcPr>
            <w:tcW w:w="1933" w:type="pct"/>
            <w:tcBorders>
              <w:top w:val="nil"/>
              <w:left w:val="nil"/>
              <w:bottom w:val="single" w:color="auto" w:sz="4" w:space="0"/>
              <w:right w:val="single" w:color="auto" w:sz="4" w:space="0"/>
            </w:tcBorders>
            <w:vAlign w:val="center"/>
          </w:tcPr>
          <w:p w14:paraId="66893940">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de tip . . . . . de . . . . mc, zona urbană</w:t>
            </w:r>
          </w:p>
        </w:tc>
        <w:tc>
          <w:tcPr>
            <w:tcW w:w="522" w:type="pct"/>
            <w:tcBorders>
              <w:top w:val="nil"/>
              <w:left w:val="nil"/>
              <w:bottom w:val="single" w:color="auto" w:sz="4" w:space="0"/>
              <w:right w:val="single" w:color="auto" w:sz="4" w:space="0"/>
            </w:tcBorders>
          </w:tcPr>
          <w:p w14:paraId="39663394">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6E498C4B">
        <w:tblPrEx>
          <w:tblCellMar>
            <w:top w:w="0" w:type="dxa"/>
            <w:left w:w="108" w:type="dxa"/>
            <w:bottom w:w="0" w:type="dxa"/>
            <w:right w:w="108" w:type="dxa"/>
          </w:tblCellMar>
        </w:tblPrEx>
        <w:trPr>
          <w:trHeight w:val="720" w:hRule="atLeast"/>
        </w:trPr>
        <w:tc>
          <w:tcPr>
            <w:tcW w:w="493" w:type="pct"/>
            <w:vMerge w:val="continue"/>
            <w:tcBorders>
              <w:top w:val="nil"/>
              <w:left w:val="single" w:color="auto" w:sz="4" w:space="0"/>
              <w:bottom w:val="single" w:color="auto" w:sz="4" w:space="0"/>
              <w:right w:val="single" w:color="auto" w:sz="4" w:space="0"/>
            </w:tcBorders>
            <w:vAlign w:val="center"/>
          </w:tcPr>
          <w:p w14:paraId="38D2E441">
            <w:pPr>
              <w:spacing w:after="0" w:line="240" w:lineRule="auto"/>
              <w:rPr>
                <w:rFonts w:ascii="Arial" w:hAnsi="Arial" w:eastAsia="Times New Roman" w:cs="Arial"/>
                <w:color w:val="333333"/>
                <w:sz w:val="18"/>
                <w:szCs w:val="18"/>
              </w:rPr>
            </w:pPr>
          </w:p>
        </w:tc>
        <w:tc>
          <w:tcPr>
            <w:tcW w:w="2052" w:type="pct"/>
            <w:tcBorders>
              <w:top w:val="nil"/>
              <w:left w:val="nil"/>
              <w:bottom w:val="single" w:color="auto" w:sz="4" w:space="0"/>
              <w:right w:val="single" w:color="auto" w:sz="4" w:space="0"/>
            </w:tcBorders>
            <w:vAlign w:val="center"/>
          </w:tcPr>
          <w:p w14:paraId="0D8B568D">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Containere metalice, de diferite capacităţi, pentru colectarea deşeurilor din construcţii, la solicitarea utilizatorilor casnici</w:t>
            </w:r>
          </w:p>
        </w:tc>
        <w:tc>
          <w:tcPr>
            <w:tcW w:w="1933" w:type="pct"/>
            <w:tcBorders>
              <w:top w:val="nil"/>
              <w:left w:val="nil"/>
              <w:bottom w:val="single" w:color="auto" w:sz="4" w:space="0"/>
              <w:right w:val="single" w:color="auto" w:sz="4" w:space="0"/>
            </w:tcBorders>
            <w:vAlign w:val="center"/>
          </w:tcPr>
          <w:p w14:paraId="358416E5">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Un număr suficient de containere pentru asigurarea colectării deşeurilor din construcţii, la solicitarea utilizatorilor casnici. Minimul de containere metalice cerute este de 3 buc.</w:t>
            </w:r>
          </w:p>
        </w:tc>
        <w:tc>
          <w:tcPr>
            <w:tcW w:w="522" w:type="pct"/>
            <w:tcBorders>
              <w:top w:val="nil"/>
              <w:left w:val="nil"/>
              <w:bottom w:val="single" w:color="auto" w:sz="4" w:space="0"/>
              <w:right w:val="single" w:color="auto" w:sz="4" w:space="0"/>
            </w:tcBorders>
          </w:tcPr>
          <w:p w14:paraId="276F2775">
            <w:pPr>
              <w:spacing w:after="0" w:line="240" w:lineRule="auto"/>
              <w:jc w:val="right"/>
              <w:rPr>
                <w:rFonts w:ascii="Calibri" w:hAnsi="Calibri" w:eastAsia="Times New Roman" w:cs="Calibri"/>
                <w:color w:val="000000"/>
                <w:sz w:val="24"/>
                <w:szCs w:val="24"/>
              </w:rPr>
            </w:pPr>
            <w:r>
              <w:rPr>
                <w:rFonts w:ascii="Calibri" w:hAnsi="Calibri" w:eastAsia="Times New Roman" w:cs="Calibri"/>
                <w:color w:val="000000"/>
                <w:sz w:val="24"/>
                <w:szCs w:val="24"/>
              </w:rPr>
              <w:t>3</w:t>
            </w:r>
          </w:p>
        </w:tc>
      </w:tr>
      <w:tr w14:paraId="5FBCB47F">
        <w:tblPrEx>
          <w:tblCellMar>
            <w:top w:w="0" w:type="dxa"/>
            <w:left w:w="108" w:type="dxa"/>
            <w:bottom w:w="0" w:type="dxa"/>
            <w:right w:w="108" w:type="dxa"/>
          </w:tblCellMar>
        </w:tblPrEx>
        <w:trPr>
          <w:trHeight w:val="330" w:hRule="atLeast"/>
        </w:trPr>
        <w:tc>
          <w:tcPr>
            <w:tcW w:w="5000" w:type="pct"/>
            <w:gridSpan w:val="4"/>
            <w:tcBorders>
              <w:top w:val="nil"/>
              <w:left w:val="single" w:color="333333" w:sz="8" w:space="0"/>
              <w:bottom w:val="single" w:color="333333" w:sz="8" w:space="0"/>
              <w:right w:val="single" w:color="333333" w:sz="8" w:space="0"/>
            </w:tcBorders>
            <w:vAlign w:val="center"/>
          </w:tcPr>
          <w:p w14:paraId="1697FC74">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Alte investiţii/echipamente</w:t>
            </w:r>
          </w:p>
        </w:tc>
      </w:tr>
      <w:tr w14:paraId="6F78C6C8">
        <w:tblPrEx>
          <w:tblCellMar>
            <w:top w:w="0" w:type="dxa"/>
            <w:left w:w="108" w:type="dxa"/>
            <w:bottom w:w="0" w:type="dxa"/>
            <w:right w:w="108" w:type="dxa"/>
          </w:tblCellMar>
        </w:tblPrEx>
        <w:trPr>
          <w:trHeight w:val="330" w:hRule="atLeast"/>
        </w:trPr>
        <w:tc>
          <w:tcPr>
            <w:tcW w:w="4478" w:type="pct"/>
            <w:gridSpan w:val="3"/>
            <w:tcBorders>
              <w:top w:val="single" w:color="333333" w:sz="8" w:space="0"/>
              <w:left w:val="single" w:color="333333" w:sz="8" w:space="0"/>
              <w:bottom w:val="single" w:color="333333" w:sz="8" w:space="0"/>
              <w:right w:val="single" w:color="333333" w:sz="8" w:space="0"/>
            </w:tcBorders>
            <w:vAlign w:val="center"/>
          </w:tcPr>
          <w:p w14:paraId="65655B7A">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Denumire/cerinţe minime</w:t>
            </w:r>
          </w:p>
        </w:tc>
        <w:tc>
          <w:tcPr>
            <w:tcW w:w="522" w:type="pct"/>
            <w:tcBorders>
              <w:top w:val="nil"/>
              <w:left w:val="nil"/>
              <w:bottom w:val="single" w:color="333333" w:sz="8" w:space="0"/>
              <w:right w:val="single" w:color="333333" w:sz="8" w:space="0"/>
            </w:tcBorders>
            <w:vAlign w:val="center"/>
          </w:tcPr>
          <w:p w14:paraId="7C73545F">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Număr</w:t>
            </w:r>
          </w:p>
        </w:tc>
      </w:tr>
      <w:tr w14:paraId="50153778">
        <w:tblPrEx>
          <w:tblCellMar>
            <w:top w:w="0" w:type="dxa"/>
            <w:left w:w="108" w:type="dxa"/>
            <w:bottom w:w="0" w:type="dxa"/>
            <w:right w:w="108" w:type="dxa"/>
          </w:tblCellMar>
        </w:tblPrEx>
        <w:trPr>
          <w:trHeight w:val="330" w:hRule="atLeast"/>
        </w:trPr>
        <w:tc>
          <w:tcPr>
            <w:tcW w:w="4478" w:type="pct"/>
            <w:gridSpan w:val="3"/>
            <w:tcBorders>
              <w:top w:val="single" w:color="333333" w:sz="8" w:space="0"/>
              <w:left w:val="single" w:color="333333" w:sz="8" w:space="0"/>
              <w:bottom w:val="single" w:color="333333" w:sz="8" w:space="0"/>
              <w:right w:val="single" w:color="333333" w:sz="8" w:space="0"/>
            </w:tcBorders>
            <w:vAlign w:val="center"/>
          </w:tcPr>
          <w:p w14:paraId="076ED3AE">
            <w:pPr>
              <w:spacing w:after="0" w:line="240" w:lineRule="auto"/>
              <w:rPr>
                <w:rFonts w:ascii="Arial" w:hAnsi="Arial" w:eastAsia="Times New Roman" w:cs="Arial"/>
                <w:color w:val="333333"/>
                <w:sz w:val="18"/>
                <w:szCs w:val="18"/>
              </w:rPr>
            </w:pPr>
            <w:r>
              <w:rPr>
                <w:rFonts w:ascii="Arial" w:hAnsi="Arial" w:eastAsia="Times New Roman" w:cs="Arial"/>
                <w:color w:val="333333"/>
                <w:sz w:val="18"/>
                <w:szCs w:val="18"/>
              </w:rPr>
              <w:t>. . .</w:t>
            </w:r>
          </w:p>
        </w:tc>
        <w:tc>
          <w:tcPr>
            <w:tcW w:w="522" w:type="pct"/>
            <w:tcBorders>
              <w:top w:val="nil"/>
              <w:left w:val="nil"/>
              <w:bottom w:val="single" w:color="333333" w:sz="8" w:space="0"/>
              <w:right w:val="single" w:color="333333" w:sz="8" w:space="0"/>
            </w:tcBorders>
          </w:tcPr>
          <w:p w14:paraId="41BB78C7">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rPr>
              <w:t> </w:t>
            </w:r>
          </w:p>
        </w:tc>
      </w:tr>
      <w:tr w14:paraId="44AED54B">
        <w:tblPrEx>
          <w:tblCellMar>
            <w:top w:w="0" w:type="dxa"/>
            <w:left w:w="108" w:type="dxa"/>
            <w:bottom w:w="0" w:type="dxa"/>
            <w:right w:w="108" w:type="dxa"/>
          </w:tblCellMar>
        </w:tblPrEx>
        <w:trPr>
          <w:trHeight w:val="300" w:hRule="atLeast"/>
        </w:trPr>
        <w:tc>
          <w:tcPr>
            <w:tcW w:w="493" w:type="pct"/>
            <w:tcBorders>
              <w:top w:val="nil"/>
              <w:left w:val="nil"/>
              <w:bottom w:val="nil"/>
              <w:right w:val="nil"/>
            </w:tcBorders>
            <w:noWrap/>
            <w:vAlign w:val="bottom"/>
          </w:tcPr>
          <w:p w14:paraId="58FDD3E1">
            <w:pPr>
              <w:spacing w:after="0" w:line="240" w:lineRule="auto"/>
              <w:rPr>
                <w:rFonts w:ascii="Calibri" w:hAnsi="Calibri" w:eastAsia="Times New Roman" w:cs="Calibri"/>
                <w:color w:val="000000"/>
                <w:sz w:val="24"/>
                <w:szCs w:val="24"/>
              </w:rPr>
            </w:pPr>
          </w:p>
        </w:tc>
        <w:tc>
          <w:tcPr>
            <w:tcW w:w="2052" w:type="pct"/>
            <w:tcBorders>
              <w:top w:val="nil"/>
              <w:left w:val="nil"/>
              <w:bottom w:val="nil"/>
              <w:right w:val="nil"/>
            </w:tcBorders>
            <w:noWrap/>
            <w:vAlign w:val="bottom"/>
          </w:tcPr>
          <w:p w14:paraId="1CB63E0D">
            <w:pPr>
              <w:spacing w:after="0" w:line="240" w:lineRule="auto"/>
              <w:rPr>
                <w:rFonts w:ascii="Times New Roman" w:hAnsi="Times New Roman" w:eastAsia="Times New Roman" w:cs="Times New Roman"/>
                <w:sz w:val="20"/>
                <w:szCs w:val="20"/>
              </w:rPr>
            </w:pPr>
          </w:p>
        </w:tc>
        <w:tc>
          <w:tcPr>
            <w:tcW w:w="1933" w:type="pct"/>
            <w:tcBorders>
              <w:top w:val="nil"/>
              <w:left w:val="nil"/>
              <w:bottom w:val="nil"/>
              <w:right w:val="nil"/>
            </w:tcBorders>
            <w:noWrap/>
            <w:vAlign w:val="bottom"/>
          </w:tcPr>
          <w:p w14:paraId="16772E00">
            <w:pPr>
              <w:spacing w:after="0" w:line="240" w:lineRule="auto"/>
              <w:rPr>
                <w:rFonts w:ascii="Times New Roman" w:hAnsi="Times New Roman" w:eastAsia="Times New Roman" w:cs="Times New Roman"/>
                <w:sz w:val="20"/>
                <w:szCs w:val="20"/>
              </w:rPr>
            </w:pPr>
          </w:p>
        </w:tc>
        <w:tc>
          <w:tcPr>
            <w:tcW w:w="522" w:type="pct"/>
            <w:tcBorders>
              <w:top w:val="nil"/>
              <w:left w:val="nil"/>
              <w:bottom w:val="nil"/>
              <w:right w:val="nil"/>
            </w:tcBorders>
            <w:noWrap/>
            <w:vAlign w:val="bottom"/>
          </w:tcPr>
          <w:p w14:paraId="752C6F18">
            <w:pPr>
              <w:spacing w:after="0" w:line="240" w:lineRule="auto"/>
              <w:rPr>
                <w:rFonts w:ascii="Times New Roman" w:hAnsi="Times New Roman" w:eastAsia="Times New Roman" w:cs="Times New Roman"/>
                <w:sz w:val="20"/>
                <w:szCs w:val="20"/>
              </w:rPr>
            </w:pPr>
          </w:p>
        </w:tc>
      </w:tr>
      <w:tr w14:paraId="715EFA0F">
        <w:tblPrEx>
          <w:tblCellMar>
            <w:top w:w="0" w:type="dxa"/>
            <w:left w:w="108" w:type="dxa"/>
            <w:bottom w:w="0" w:type="dxa"/>
            <w:right w:w="108" w:type="dxa"/>
          </w:tblCellMar>
        </w:tblPrEx>
        <w:trPr>
          <w:trHeight w:val="1065"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239758B">
            <w:pPr>
              <w:spacing w:after="0" w:line="240" w:lineRule="auto"/>
              <w:jc w:val="center"/>
              <w:rPr>
                <w:rFonts w:ascii="Arial" w:hAnsi="Arial" w:eastAsia="Times New Roman" w:cs="Arial"/>
                <w:color w:val="333333"/>
                <w:sz w:val="18"/>
                <w:szCs w:val="18"/>
              </w:rPr>
            </w:pPr>
            <w:r>
              <w:rPr>
                <w:rFonts w:ascii="Arial" w:hAnsi="Arial" w:eastAsia="Times New Roman" w:cs="Arial"/>
                <w:color w:val="333333"/>
                <w:sz w:val="18"/>
                <w:szCs w:val="18"/>
              </w:rPr>
              <w:t xml:space="preserve">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w:t>
            </w:r>
            <w:r>
              <w:rPr>
                <w:rFonts w:ascii="Arial" w:hAnsi="Arial" w:eastAsia="Times New Roman" w:cs="Arial"/>
                <w:color w:val="000000"/>
                <w:sz w:val="20"/>
                <w:szCs w:val="20"/>
                <w:u w:val="single"/>
              </w:rPr>
              <w:t>Pot fi utilizate doar vehicule al căror nivel de noxe minim admis să fie EURO 5.</w:t>
            </w:r>
          </w:p>
        </w:tc>
      </w:tr>
    </w:tbl>
    <w:p w14:paraId="5280E1C9">
      <w:pPr>
        <w:spacing w:after="0" w:line="240" w:lineRule="auto"/>
        <w:jc w:val="both"/>
        <w:rPr>
          <w:rFonts w:eastAsia="Times New Roman" w:asciiTheme="majorHAnsi" w:hAnsiTheme="majorHAnsi" w:cstheme="majorHAnsi"/>
          <w:bCs/>
          <w:sz w:val="24"/>
          <w:szCs w:val="24"/>
        </w:rPr>
      </w:pPr>
    </w:p>
    <w:p w14:paraId="45E67887">
      <w:pPr>
        <w:spacing w:after="0" w:line="240" w:lineRule="auto"/>
        <w:jc w:val="both"/>
        <w:rPr>
          <w:rFonts w:eastAsia="Times New Roman" w:asciiTheme="majorHAnsi" w:hAnsiTheme="majorHAnsi" w:cstheme="majorHAnsi"/>
          <w:bCs/>
          <w:color w:val="FF0000"/>
          <w:sz w:val="24"/>
          <w:szCs w:val="24"/>
        </w:rPr>
      </w:pPr>
    </w:p>
    <w:p w14:paraId="24F29976">
      <w:pPr>
        <w:spacing w:after="0" w:line="240" w:lineRule="auto"/>
        <w:jc w:val="both"/>
        <w:rPr>
          <w:rFonts w:eastAsia="Times New Roman" w:asciiTheme="majorHAnsi" w:hAnsiTheme="majorHAnsi" w:cstheme="majorHAnsi"/>
          <w:bCs/>
          <w:color w:val="FF0000"/>
          <w:sz w:val="24"/>
          <w:szCs w:val="24"/>
        </w:rPr>
      </w:pPr>
    </w:p>
    <w:p w14:paraId="13C9799A">
      <w:pPr>
        <w:spacing w:after="0" w:line="240" w:lineRule="auto"/>
        <w:jc w:val="both"/>
        <w:rPr>
          <w:rFonts w:eastAsia="Times New Roman" w:asciiTheme="majorHAnsi" w:hAnsiTheme="majorHAnsi" w:cstheme="majorHAnsi"/>
          <w:b/>
          <w:bCs/>
          <w:color w:val="FF0000"/>
          <w:sz w:val="24"/>
          <w:szCs w:val="24"/>
        </w:rPr>
      </w:pPr>
    </w:p>
    <w:p w14:paraId="112A8BF7">
      <w:pPr>
        <w:spacing w:after="0" w:line="240" w:lineRule="auto"/>
        <w:jc w:val="both"/>
        <w:rPr>
          <w:rFonts w:asciiTheme="majorHAnsi" w:hAnsiTheme="majorHAnsi" w:cstheme="majorHAnsi"/>
          <w:sz w:val="24"/>
          <w:szCs w:val="24"/>
          <w:lang w:val="ro-RO"/>
        </w:rPr>
      </w:pPr>
    </w:p>
    <w:p w14:paraId="4D471F9E">
      <w:pPr>
        <w:spacing w:after="0" w:line="240" w:lineRule="auto"/>
        <w:jc w:val="both"/>
        <w:rPr>
          <w:rFonts w:asciiTheme="majorHAnsi" w:hAnsiTheme="majorHAnsi" w:cstheme="majorHAnsi"/>
          <w:sz w:val="24"/>
          <w:szCs w:val="24"/>
          <w:lang w:val="ro-RO"/>
        </w:rPr>
      </w:pPr>
    </w:p>
    <w:sectPr>
      <w:pgSz w:w="11907" w:h="16840"/>
      <w:pgMar w:top="1134" w:right="851" w:bottom="851"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Arial Unicode MS">
    <w:altName w:val="Arial"/>
    <w:panose1 w:val="020B0604020202020204"/>
    <w:charset w:val="00"/>
    <w:family w:val="roman"/>
    <w:pitch w:val="default"/>
    <w:sig w:usb0="00000000" w:usb1="00000000" w:usb2="00000000" w:usb3="00000000" w:csb0="00000001" w:csb1="00000000"/>
  </w:font>
  <w:font w:name="Times New Roman Bold">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Microsoft Sans Serif">
    <w:panose1 w:val="020B0604020202020204"/>
    <w:charset w:val="00"/>
    <w:family w:val="swiss"/>
    <w:pitch w:val="default"/>
    <w:sig w:usb0="E5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9319188"/>
      <w:docPartObj>
        <w:docPartGallery w:val="AutoText"/>
      </w:docPartObj>
    </w:sdtPr>
    <w:sdtContent>
      <w:p w14:paraId="1A3F2AB5">
        <w:pPr>
          <w:pStyle w:val="23"/>
          <w:jc w:val="right"/>
        </w:pPr>
        <w:r>
          <w:fldChar w:fldCharType="begin"/>
        </w:r>
        <w:r>
          <w:instrText xml:space="preserve"> PAGE   \* MERGEFORMAT </w:instrText>
        </w:r>
        <w:r>
          <w:fldChar w:fldCharType="separate"/>
        </w:r>
        <w:r>
          <w:t>36</w:t>
        </w:r>
        <w:r>
          <w:fldChar w:fldCharType="end"/>
        </w:r>
      </w:p>
    </w:sdtContent>
  </w:sdt>
  <w:p w14:paraId="04562412">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667238"/>
      <w:docPartObj>
        <w:docPartGallery w:val="AutoText"/>
      </w:docPartObj>
    </w:sdtPr>
    <w:sdtContent>
      <w:p w14:paraId="3FEF5D01">
        <w:pPr>
          <w:pStyle w:val="23"/>
          <w:jc w:val="right"/>
        </w:pPr>
        <w:r>
          <w:fldChar w:fldCharType="begin"/>
        </w:r>
        <w:r>
          <w:instrText xml:space="preserve"> PAGE   \* MERGEFORMAT </w:instrText>
        </w:r>
        <w:r>
          <w:fldChar w:fldCharType="separate"/>
        </w:r>
        <w:r>
          <w:t>52</w:t>
        </w:r>
        <w:r>
          <w:fldChar w:fldCharType="end"/>
        </w:r>
      </w:p>
    </w:sdtContent>
  </w:sdt>
  <w:p w14:paraId="035AF8F4">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pPr>
        <w:spacing w:before="0" w:after="0" w:line="276" w:lineRule="auto"/>
      </w:pPr>
      <w:r>
        <w:separator/>
      </w:r>
    </w:p>
  </w:footnote>
  <w:footnote w:type="continuationSeparator" w:id="11">
    <w:p>
      <w:pPr>
        <w:spacing w:before="0" w:after="0" w:line="276" w:lineRule="auto"/>
      </w:pPr>
      <w:r>
        <w:continuationSeparator/>
      </w:r>
    </w:p>
  </w:footnote>
  <w:footnote w:id="0">
    <w:p w14:paraId="0DD694A0">
      <w:pPr>
        <w:pStyle w:val="25"/>
        <w:spacing w:after="0" w:line="240" w:lineRule="auto"/>
        <w:rPr>
          <w:lang w:val="en-US"/>
        </w:rPr>
      </w:pPr>
      <w:r>
        <w:rPr>
          <w:rStyle w:val="24"/>
        </w:rPr>
        <w:footnoteRef/>
      </w:r>
      <w:r>
        <w:t xml:space="preserve"> </w:t>
      </w:r>
      <w:r>
        <w:rPr>
          <w:rFonts w:cs="Arial"/>
        </w:rPr>
        <w:t>Tariful nu va fi inclus in prețul Contractului – serviciile se vor asigura doar la cerere</w:t>
      </w:r>
    </w:p>
  </w:footnote>
  <w:footnote w:id="1">
    <w:p w14:paraId="7C106409">
      <w:pPr>
        <w:pStyle w:val="25"/>
        <w:spacing w:after="0" w:line="240" w:lineRule="auto"/>
        <w:rPr>
          <w:lang w:val="en-US"/>
        </w:rPr>
      </w:pPr>
      <w:r>
        <w:rPr>
          <w:rStyle w:val="24"/>
        </w:rPr>
        <w:footnoteRef/>
      </w:r>
      <w:r>
        <w:t xml:space="preserve"> </w:t>
      </w:r>
      <w:r>
        <w:rPr>
          <w:rFonts w:cs="Arial"/>
        </w:rPr>
        <w:t>Tariful nu va fi inclus in prețul Contractului – serviciile se vor asigura doar la cerere</w:t>
      </w:r>
    </w:p>
  </w:footnote>
  <w:footnote w:id="2">
    <w:p w14:paraId="1BDAAA07">
      <w:pPr>
        <w:pStyle w:val="25"/>
        <w:spacing w:after="0" w:line="240" w:lineRule="auto"/>
        <w:rPr>
          <w:lang w:val="en-US"/>
        </w:rPr>
      </w:pPr>
      <w:r>
        <w:rPr>
          <w:rStyle w:val="24"/>
        </w:rPr>
        <w:footnoteRef/>
      </w:r>
      <w:r>
        <w:t xml:space="preserve"> </w:t>
      </w:r>
      <w:r>
        <w:rPr>
          <w:rFonts w:cs="Arial"/>
        </w:rPr>
        <w:t>Tariful nu va fi inclus in prețul Contractului – serviciile se vor asigura doar la cerere</w:t>
      </w:r>
    </w:p>
  </w:footnote>
  <w:footnote w:id="3">
    <w:p w14:paraId="1636885E">
      <w:pPr>
        <w:pStyle w:val="25"/>
        <w:rPr>
          <w:lang w:val="en-US"/>
        </w:rPr>
      </w:pPr>
      <w:r>
        <w:rPr>
          <w:rStyle w:val="24"/>
        </w:rPr>
        <w:footnoteRef/>
      </w:r>
      <w:r>
        <w:t xml:space="preserve"> </w:t>
      </w:r>
      <w:r>
        <w:rPr>
          <w:lang w:val="en-US"/>
        </w:rPr>
        <w:t>Conform HCJ nr.3/08.01.2026</w:t>
      </w:r>
    </w:p>
  </w:footnote>
  <w:footnote w:id="4">
    <w:p w14:paraId="33BF3AF4">
      <w:pPr>
        <w:pStyle w:val="25"/>
        <w:rPr>
          <w:lang w:val="en-US"/>
        </w:rPr>
      </w:pPr>
      <w:r>
        <w:rPr>
          <w:rStyle w:val="24"/>
        </w:rPr>
        <w:footnoteRef/>
      </w:r>
      <w:r>
        <w:t xml:space="preserve"> </w:t>
      </w:r>
      <w:r>
        <w:rPr>
          <w:lang w:val="en-US"/>
        </w:rPr>
        <w:t>Conform Adresa 787/16.01.2025 Mun. Oltenita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4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4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3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3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33"/>
      <w:lvlText w:val=""/>
      <w:lvlJc w:val="left"/>
      <w:pPr>
        <w:tabs>
          <w:tab w:val="left" w:pos="360"/>
        </w:tabs>
        <w:ind w:left="360" w:hanging="360"/>
      </w:pPr>
      <w:rPr>
        <w:rFonts w:hint="default" w:ascii="Symbol" w:hAnsi="Symbol"/>
      </w:rPr>
    </w:lvl>
  </w:abstractNum>
  <w:abstractNum w:abstractNumId="6">
    <w:nsid w:val="062275CD"/>
    <w:multiLevelType w:val="multilevel"/>
    <w:tmpl w:val="062275C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0FF84D71"/>
    <w:multiLevelType w:val="multilevel"/>
    <w:tmpl w:val="0FF84D71"/>
    <w:lvl w:ilvl="0" w:tentative="0">
      <w:start w:val="92"/>
      <w:numFmt w:val="decimal"/>
      <w:lvlText w:val="Art. %1"/>
      <w:lvlJc w:val="left"/>
      <w:pPr>
        <w:ind w:left="360" w:hanging="360"/>
      </w:pPr>
      <w:rPr>
        <w:rFonts w:hint="default"/>
      </w:rPr>
    </w:lvl>
    <w:lvl w:ilvl="1" w:tentative="0">
      <w:start w:val="1"/>
      <w:numFmt w:val="decimal"/>
      <w:lvlText w:val="(%2)"/>
      <w:lvlJc w:val="left"/>
      <w:pPr>
        <w:ind w:left="720" w:hanging="360"/>
      </w:pPr>
      <w:rPr>
        <w:rFonts w:hint="default"/>
      </w:rPr>
    </w:lvl>
    <w:lvl w:ilvl="2" w:tentative="0">
      <w:start w:val="1"/>
      <w:numFmt w:val="lowerLetter"/>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Roman"/>
      <w:lvlText w:val="(%5)"/>
      <w:lvlJc w:val="left"/>
      <w:pPr>
        <w:ind w:left="1800" w:hanging="360"/>
      </w:pPr>
      <w:rPr>
        <w:rFonts w:hint="default"/>
      </w:rPr>
    </w:lvl>
    <w:lvl w:ilvl="5" w:tentative="0">
      <w:start w:val="1"/>
      <w:numFmt w:val="bullet"/>
      <w:lvlText w:val=""/>
      <w:lvlJc w:val="left"/>
      <w:pPr>
        <w:ind w:left="2160" w:hanging="360"/>
      </w:pPr>
      <w:rPr>
        <w:rFonts w:hint="default" w:ascii="Symbol" w:hAnsi="Symbol"/>
        <w:color w:val="auto"/>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8">
    <w:nsid w:val="149C6A25"/>
    <w:multiLevelType w:val="multilevel"/>
    <w:tmpl w:val="149C6A25"/>
    <w:lvl w:ilvl="0" w:tentative="0">
      <w:start w:val="1"/>
      <w:numFmt w:val="decimal"/>
      <w:pStyle w:val="209"/>
      <w:lvlText w:val="%1."/>
      <w:lvlJc w:val="left"/>
      <w:pPr>
        <w:ind w:left="1418" w:hanging="1418"/>
      </w:pPr>
      <w:rPr>
        <w:rFonts w:hint="default" w:cs="Times New Roman"/>
      </w:rPr>
    </w:lvl>
    <w:lvl w:ilvl="1" w:tentative="0">
      <w:start w:val="1"/>
      <w:numFmt w:val="decimal"/>
      <w:pStyle w:val="212"/>
      <w:lvlText w:val="%1.%2."/>
      <w:lvlJc w:val="left"/>
      <w:pPr>
        <w:ind w:left="1418" w:hanging="1418"/>
      </w:pPr>
      <w:rPr>
        <w:rFonts w:hint="default" w:cs="Times New Roman"/>
        <w:i w:val="0"/>
      </w:rPr>
    </w:lvl>
    <w:lvl w:ilvl="2" w:tentative="0">
      <w:start w:val="1"/>
      <w:numFmt w:val="decimal"/>
      <w:pStyle w:val="210"/>
      <w:lvlText w:val="%1.%2.%3."/>
      <w:lvlJc w:val="right"/>
      <w:pPr>
        <w:ind w:left="2553" w:hanging="1418"/>
      </w:pPr>
      <w:rPr>
        <w:rFonts w:hint="default" w:cs="Times New Roman"/>
      </w:rPr>
    </w:lvl>
    <w:lvl w:ilvl="3" w:tentative="0">
      <w:start w:val="1"/>
      <w:numFmt w:val="decimal"/>
      <w:lvlText w:val="%4."/>
      <w:lvlJc w:val="left"/>
      <w:pPr>
        <w:ind w:left="2880" w:hanging="360"/>
      </w:pPr>
      <w:rPr>
        <w:rFonts w:hint="default" w:cs="Times New Roman"/>
      </w:rPr>
    </w:lvl>
    <w:lvl w:ilvl="4" w:tentative="0">
      <w:start w:val="1"/>
      <w:numFmt w:val="lowerLetter"/>
      <w:lvlText w:val="%5."/>
      <w:lvlJc w:val="left"/>
      <w:pPr>
        <w:ind w:left="3600" w:hanging="360"/>
      </w:pPr>
      <w:rPr>
        <w:rFonts w:hint="default" w:cs="Times New Roman"/>
      </w:rPr>
    </w:lvl>
    <w:lvl w:ilvl="5" w:tentative="0">
      <w:start w:val="1"/>
      <w:numFmt w:val="lowerRoman"/>
      <w:lvlText w:val="%6."/>
      <w:lvlJc w:val="right"/>
      <w:pPr>
        <w:ind w:left="4320" w:hanging="180"/>
      </w:pPr>
      <w:rPr>
        <w:rFonts w:hint="default" w:cs="Times New Roman"/>
      </w:rPr>
    </w:lvl>
    <w:lvl w:ilvl="6" w:tentative="0">
      <w:start w:val="1"/>
      <w:numFmt w:val="decimal"/>
      <w:lvlText w:val="%7."/>
      <w:lvlJc w:val="left"/>
      <w:pPr>
        <w:ind w:left="5040" w:hanging="360"/>
      </w:pPr>
      <w:rPr>
        <w:rFonts w:hint="default" w:cs="Times New Roman"/>
      </w:rPr>
    </w:lvl>
    <w:lvl w:ilvl="7" w:tentative="0">
      <w:start w:val="1"/>
      <w:numFmt w:val="lowerLetter"/>
      <w:lvlText w:val="%8."/>
      <w:lvlJc w:val="left"/>
      <w:pPr>
        <w:ind w:left="5760" w:hanging="360"/>
      </w:pPr>
      <w:rPr>
        <w:rFonts w:hint="default" w:cs="Times New Roman"/>
      </w:rPr>
    </w:lvl>
    <w:lvl w:ilvl="8" w:tentative="0">
      <w:start w:val="1"/>
      <w:numFmt w:val="lowerRoman"/>
      <w:lvlText w:val="%9."/>
      <w:lvlJc w:val="right"/>
      <w:pPr>
        <w:ind w:left="6480" w:hanging="180"/>
      </w:pPr>
      <w:rPr>
        <w:rFonts w:hint="default" w:cs="Times New Roman"/>
      </w:rPr>
    </w:lvl>
  </w:abstractNum>
  <w:abstractNum w:abstractNumId="9">
    <w:nsid w:val="16D819E2"/>
    <w:multiLevelType w:val="multilevel"/>
    <w:tmpl w:val="16D819E2"/>
    <w:lvl w:ilvl="0" w:tentative="0">
      <w:start w:val="1"/>
      <w:numFmt w:val="bullet"/>
      <w:pStyle w:val="192"/>
      <w:lvlText w:val=""/>
      <w:lvlJc w:val="left"/>
      <w:pPr>
        <w:tabs>
          <w:tab w:val="left" w:pos="284"/>
        </w:tabs>
        <w:ind w:left="284" w:hanging="284"/>
      </w:pPr>
      <w:rPr>
        <w:rFonts w:hint="default" w:ascii="Wingdings 2" w:hAnsi="Wingdings 2" w:cs="Times New Roman"/>
        <w:color w:val="auto"/>
        <w:sz w:val="20"/>
        <w:szCs w:val="24"/>
      </w:rPr>
    </w:lvl>
    <w:lvl w:ilvl="1" w:tentative="0">
      <w:start w:val="1"/>
      <w:numFmt w:val="bullet"/>
      <w:pStyle w:val="194"/>
      <w:lvlText w:val=""/>
      <w:lvlJc w:val="left"/>
      <w:pPr>
        <w:tabs>
          <w:tab w:val="left" w:pos="567"/>
        </w:tabs>
        <w:ind w:left="567" w:hanging="283"/>
      </w:pPr>
      <w:rPr>
        <w:rFonts w:hint="default" w:ascii="Symbol" w:hAnsi="Symbol" w:cs="Times New Roman"/>
        <w:color w:val="auto"/>
        <w:szCs w:val="24"/>
      </w:rPr>
    </w:lvl>
    <w:lvl w:ilvl="2" w:tentative="0">
      <w:start w:val="1"/>
      <w:numFmt w:val="bullet"/>
      <w:pStyle w:val="195"/>
      <w:lvlText w:val=""/>
      <w:lvlJc w:val="left"/>
      <w:pPr>
        <w:tabs>
          <w:tab w:val="left" w:pos="851"/>
        </w:tabs>
        <w:ind w:left="851" w:hanging="284"/>
      </w:pPr>
      <w:rPr>
        <w:rFonts w:hint="default" w:ascii="Symbol" w:hAnsi="Symbol" w:cs="Times New Roman"/>
        <w:color w:val="auto"/>
        <w:szCs w:val="24"/>
      </w:rPr>
    </w:lvl>
    <w:lvl w:ilvl="3" w:tentative="0">
      <w:start w:val="1"/>
      <w:numFmt w:val="bullet"/>
      <w:lvlText w:val=""/>
      <w:lvlJc w:val="left"/>
      <w:pPr>
        <w:tabs>
          <w:tab w:val="left" w:pos="1440"/>
        </w:tabs>
        <w:ind w:left="1440" w:hanging="360"/>
      </w:pPr>
      <w:rPr>
        <w:rFonts w:hint="default" w:ascii="Symbol" w:hAnsi="Symbol" w:cs="Times New Roman"/>
      </w:rPr>
    </w:lvl>
    <w:lvl w:ilvl="4" w:tentative="0">
      <w:start w:val="1"/>
      <w:numFmt w:val="bullet"/>
      <w:lvlText w:val=""/>
      <w:lvlJc w:val="left"/>
      <w:pPr>
        <w:tabs>
          <w:tab w:val="left" w:pos="1800"/>
        </w:tabs>
        <w:ind w:left="1800" w:hanging="360"/>
      </w:pPr>
      <w:rPr>
        <w:rFonts w:hint="default" w:ascii="Symbol" w:hAnsi="Symbol"/>
      </w:rPr>
    </w:lvl>
    <w:lvl w:ilvl="5" w:tentative="0">
      <w:start w:val="1"/>
      <w:numFmt w:val="bullet"/>
      <w:lvlText w:val=""/>
      <w:lvlJc w:val="left"/>
      <w:pPr>
        <w:tabs>
          <w:tab w:val="left" w:pos="2160"/>
        </w:tabs>
        <w:ind w:left="2160" w:hanging="360"/>
      </w:pPr>
      <w:rPr>
        <w:rFonts w:hint="default" w:ascii="Wingdings" w:hAnsi="Wingdings"/>
      </w:rPr>
    </w:lvl>
    <w:lvl w:ilvl="6" w:tentative="0">
      <w:start w:val="1"/>
      <w:numFmt w:val="bullet"/>
      <w:lvlText w:val=""/>
      <w:lvlJc w:val="left"/>
      <w:pPr>
        <w:tabs>
          <w:tab w:val="left" w:pos="2520"/>
        </w:tabs>
        <w:ind w:left="2520" w:hanging="360"/>
      </w:pPr>
      <w:rPr>
        <w:rFonts w:hint="default" w:ascii="Wingdings" w:hAnsi="Wingdings"/>
      </w:rPr>
    </w:lvl>
    <w:lvl w:ilvl="7" w:tentative="0">
      <w:start w:val="1"/>
      <w:numFmt w:val="bullet"/>
      <w:lvlText w:val=""/>
      <w:lvlJc w:val="left"/>
      <w:pPr>
        <w:tabs>
          <w:tab w:val="left" w:pos="2880"/>
        </w:tabs>
        <w:ind w:left="2880" w:hanging="360"/>
      </w:pPr>
      <w:rPr>
        <w:rFonts w:hint="default" w:ascii="Symbol" w:hAnsi="Symbol"/>
      </w:rPr>
    </w:lvl>
    <w:lvl w:ilvl="8" w:tentative="0">
      <w:start w:val="1"/>
      <w:numFmt w:val="bullet"/>
      <w:lvlText w:val=""/>
      <w:lvlJc w:val="left"/>
      <w:pPr>
        <w:tabs>
          <w:tab w:val="left" w:pos="3240"/>
        </w:tabs>
        <w:ind w:left="3240" w:hanging="360"/>
      </w:pPr>
      <w:rPr>
        <w:rFonts w:hint="default" w:ascii="Symbol" w:hAnsi="Symbol"/>
      </w:rPr>
    </w:lvl>
  </w:abstractNum>
  <w:abstractNum w:abstractNumId="10">
    <w:nsid w:val="194934C7"/>
    <w:multiLevelType w:val="multilevel"/>
    <w:tmpl w:val="194934C7"/>
    <w:lvl w:ilvl="0" w:tentative="0">
      <w:start w:val="1"/>
      <w:numFmt w:val="upperLetter"/>
      <w:lvlText w:val="%1."/>
      <w:lvlJc w:val="left"/>
      <w:pPr>
        <w:ind w:left="720" w:hanging="360"/>
      </w:pPr>
    </w:lvl>
    <w:lvl w:ilvl="1" w:tentative="0">
      <w:start w:val="1"/>
      <w:numFmt w:val="upperLetter"/>
      <w:lvlText w:val="%2."/>
      <w:lvlJc w:val="left"/>
      <w:pPr>
        <w:ind w:left="1440" w:hanging="360"/>
      </w:pPr>
    </w:lvl>
    <w:lvl w:ilvl="2" w:tentative="0">
      <w:start w:val="1"/>
      <w:numFmt w:val="lowerRoman"/>
      <w:lvlText w:val="%3."/>
      <w:lvlJc w:val="right"/>
      <w:pPr>
        <w:ind w:left="2160" w:hanging="180"/>
      </w:pPr>
    </w:lvl>
    <w:lvl w:ilvl="3" w:tentative="0">
      <w:start w:val="1"/>
      <w:numFmt w:val="lowerLetter"/>
      <w:lvlText w:val="%4."/>
      <w:lvlJc w:val="left"/>
      <w:pPr>
        <w:ind w:left="2880" w:hanging="360"/>
      </w:pPr>
      <w:rPr>
        <w:rFonts w:hint="default"/>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265A7B12"/>
    <w:multiLevelType w:val="multilevel"/>
    <w:tmpl w:val="265A7B12"/>
    <w:lvl w:ilvl="0" w:tentative="0">
      <w:start w:val="63"/>
      <w:numFmt w:val="decimal"/>
      <w:lvlText w:val="Art. %1"/>
      <w:lvlJc w:val="left"/>
      <w:pPr>
        <w:ind w:left="360" w:hanging="360"/>
      </w:pPr>
      <w:rPr>
        <w:rFonts w:hint="default"/>
      </w:rPr>
    </w:lvl>
    <w:lvl w:ilvl="1" w:tentative="0">
      <w:start w:val="1"/>
      <w:numFmt w:val="decimal"/>
      <w:lvlText w:val="(%2)"/>
      <w:lvlJc w:val="left"/>
      <w:pPr>
        <w:ind w:left="720" w:hanging="360"/>
      </w:pPr>
      <w:rPr>
        <w:rFonts w:hint="default"/>
      </w:rPr>
    </w:lvl>
    <w:lvl w:ilvl="2" w:tentative="0">
      <w:start w:val="1"/>
      <w:numFmt w:val="lowerLetter"/>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Roman"/>
      <w:lvlText w:val="(%5)"/>
      <w:lvlJc w:val="left"/>
      <w:pPr>
        <w:ind w:left="1800" w:hanging="360"/>
      </w:pPr>
      <w:rPr>
        <w:rFonts w:hint="default"/>
      </w:rPr>
    </w:lvl>
    <w:lvl w:ilvl="5" w:tentative="0">
      <w:start w:val="1"/>
      <w:numFmt w:val="bullet"/>
      <w:lvlText w:val=""/>
      <w:lvlJc w:val="left"/>
      <w:pPr>
        <w:ind w:left="2160" w:hanging="360"/>
      </w:pPr>
      <w:rPr>
        <w:rFonts w:hint="default" w:ascii="Symbol" w:hAnsi="Symbol"/>
        <w:color w:val="auto"/>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2">
    <w:nsid w:val="26D61461"/>
    <w:multiLevelType w:val="multilevel"/>
    <w:tmpl w:val="26D61461"/>
    <w:lvl w:ilvl="0" w:tentative="0">
      <w:start w:val="1"/>
      <w:numFmt w:val="decimal"/>
      <w:lvlText w:val="Art. %1. "/>
      <w:lvlJc w:val="left"/>
      <w:pPr>
        <w:tabs>
          <w:tab w:val="left" w:pos="1712"/>
        </w:tabs>
        <w:ind w:left="11" w:firstLine="709"/>
      </w:pPr>
      <w:rPr>
        <w:rFonts w:hint="default"/>
        <w:b w:val="0"/>
        <w:i w:val="0"/>
        <w:caps w:val="0"/>
        <w:strike w:val="0"/>
        <w:dstrike w:val="0"/>
        <w:vanish w:val="0"/>
        <w:color w:val="auto"/>
        <w:sz w:val="20"/>
        <w:szCs w:val="20"/>
        <w:u w:val="none"/>
        <w:vertAlign w:val="baseline"/>
      </w:rPr>
    </w:lvl>
    <w:lvl w:ilvl="1" w:tentative="0">
      <w:start w:val="1"/>
      <w:numFmt w:val="decimal"/>
      <w:lvlText w:val="(%2)"/>
      <w:lvlJc w:val="left"/>
      <w:pPr>
        <w:tabs>
          <w:tab w:val="left" w:pos="990"/>
        </w:tabs>
        <w:ind w:left="-79" w:firstLine="709"/>
      </w:pPr>
      <w:rPr>
        <w:rFonts w:hint="default" w:ascii="Calibri" w:hAnsi="Calibri" w:cs="Courier"/>
        <w:b w:val="0"/>
        <w:i w:val="0"/>
        <w:strike w:val="0"/>
        <w:color w:val="000000"/>
        <w:sz w:val="22"/>
        <w:szCs w:val="22"/>
      </w:rPr>
    </w:lvl>
    <w:lvl w:ilvl="2" w:tentative="0">
      <w:start w:val="1"/>
      <w:numFmt w:val="lowerRoman"/>
      <w:lvlText w:val="%3."/>
      <w:lvlJc w:val="right"/>
      <w:pPr>
        <w:tabs>
          <w:tab w:val="left" w:pos="1154"/>
        </w:tabs>
        <w:ind w:left="1154" w:hanging="360"/>
      </w:pPr>
      <w:rPr>
        <w:rFonts w:hint="default"/>
        <w:b w:val="0"/>
        <w:i w:val="0"/>
        <w:caps w:val="0"/>
        <w:strike w:val="0"/>
        <w:dstrike w:val="0"/>
        <w:vanish w:val="0"/>
        <w:color w:val="auto"/>
        <w:sz w:val="18"/>
        <w:szCs w:val="18"/>
        <w:u w:val="none"/>
        <w:vertAlign w:val="baseline"/>
      </w:rPr>
    </w:lvl>
    <w:lvl w:ilvl="3" w:tentative="0">
      <w:start w:val="1"/>
      <w:numFmt w:val="bullet"/>
      <w:lvlText w:val="-"/>
      <w:lvlJc w:val="left"/>
      <w:pPr>
        <w:tabs>
          <w:tab w:val="left" w:pos="1948"/>
        </w:tabs>
        <w:ind w:left="1928" w:hanging="340"/>
      </w:pPr>
      <w:rPr>
        <w:rFonts w:hint="default"/>
      </w:rPr>
    </w:lvl>
    <w:lvl w:ilvl="4" w:tentative="0">
      <w:start w:val="1"/>
      <w:numFmt w:val="decimal"/>
      <w:lvlText w:val="%1.%2.%3.%4.%5"/>
      <w:lvlJc w:val="left"/>
      <w:pPr>
        <w:tabs>
          <w:tab w:val="left" w:pos="1008"/>
        </w:tabs>
        <w:ind w:left="1008" w:hanging="1008"/>
      </w:pPr>
      <w:rPr>
        <w:rFonts w:hint="default" w:cs="Courier"/>
      </w:rPr>
    </w:lvl>
    <w:lvl w:ilvl="5" w:tentative="0">
      <w:start w:val="1"/>
      <w:numFmt w:val="decimal"/>
      <w:lvlText w:val="%1.%2.%3.%4.%5.%6"/>
      <w:lvlJc w:val="left"/>
      <w:pPr>
        <w:tabs>
          <w:tab w:val="left" w:pos="1152"/>
        </w:tabs>
        <w:ind w:left="1152" w:hanging="1152"/>
      </w:pPr>
      <w:rPr>
        <w:rFonts w:hint="default" w:cs="Courier"/>
      </w:rPr>
    </w:lvl>
    <w:lvl w:ilvl="6" w:tentative="0">
      <w:start w:val="1"/>
      <w:numFmt w:val="decimal"/>
      <w:lvlText w:val="%1.%2.%3.%4.%5.%6.%7"/>
      <w:lvlJc w:val="left"/>
      <w:pPr>
        <w:tabs>
          <w:tab w:val="left" w:pos="1296"/>
        </w:tabs>
        <w:ind w:left="1296" w:hanging="1296"/>
      </w:pPr>
      <w:rPr>
        <w:rFonts w:hint="default" w:cs="Courier"/>
      </w:rPr>
    </w:lvl>
    <w:lvl w:ilvl="7" w:tentative="0">
      <w:start w:val="1"/>
      <w:numFmt w:val="decimal"/>
      <w:lvlText w:val="%1.%2.%3.%4.%5.%6.%7.%8"/>
      <w:lvlJc w:val="left"/>
      <w:pPr>
        <w:tabs>
          <w:tab w:val="left" w:pos="1440"/>
        </w:tabs>
        <w:ind w:left="1440" w:hanging="1440"/>
      </w:pPr>
      <w:rPr>
        <w:rFonts w:hint="default" w:cs="Courier"/>
      </w:rPr>
    </w:lvl>
    <w:lvl w:ilvl="8" w:tentative="0">
      <w:start w:val="1"/>
      <w:numFmt w:val="decimal"/>
      <w:lvlText w:val="%1.%2.%3.%4.%5.%6.%7.%8.%9"/>
      <w:lvlJc w:val="left"/>
      <w:pPr>
        <w:tabs>
          <w:tab w:val="left" w:pos="1584"/>
        </w:tabs>
        <w:ind w:left="1584" w:hanging="1584"/>
      </w:pPr>
      <w:rPr>
        <w:rFonts w:hint="default" w:cs="Courier"/>
      </w:rPr>
    </w:lvl>
  </w:abstractNum>
  <w:abstractNum w:abstractNumId="13">
    <w:nsid w:val="287C52CA"/>
    <w:multiLevelType w:val="multilevel"/>
    <w:tmpl w:val="287C52CA"/>
    <w:lvl w:ilvl="0" w:tentative="0">
      <w:start w:val="1"/>
      <w:numFmt w:val="decimal"/>
      <w:lvlText w:val="%1."/>
      <w:lvlJc w:val="center"/>
      <w:pPr>
        <w:tabs>
          <w:tab w:val="left" w:pos="303"/>
        </w:tabs>
        <w:ind w:left="303" w:hanging="190"/>
      </w:pPr>
      <w:rPr>
        <w:rFonts w:hint="default"/>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
    <w:nsid w:val="3B2C3AEF"/>
    <w:multiLevelType w:val="multilevel"/>
    <w:tmpl w:val="3B2C3AEF"/>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413B2AF8"/>
    <w:multiLevelType w:val="multilevel"/>
    <w:tmpl w:val="413B2AF8"/>
    <w:lvl w:ilvl="0" w:tentative="0">
      <w:start w:val="100"/>
      <w:numFmt w:val="decimal"/>
      <w:lvlText w:val="Art. %1"/>
      <w:lvlJc w:val="left"/>
      <w:pPr>
        <w:ind w:left="360" w:hanging="360"/>
      </w:pPr>
      <w:rPr>
        <w:rFonts w:hint="default"/>
      </w:rPr>
    </w:lvl>
    <w:lvl w:ilvl="1" w:tentative="0">
      <w:start w:val="1"/>
      <w:numFmt w:val="decimal"/>
      <w:lvlText w:val="(%2)"/>
      <w:lvlJc w:val="left"/>
      <w:pPr>
        <w:ind w:left="720" w:hanging="360"/>
      </w:pPr>
      <w:rPr>
        <w:rFonts w:hint="default"/>
      </w:rPr>
    </w:lvl>
    <w:lvl w:ilvl="2" w:tentative="0">
      <w:start w:val="1"/>
      <w:numFmt w:val="lowerLetter"/>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Roman"/>
      <w:lvlText w:val="(%5)"/>
      <w:lvlJc w:val="left"/>
      <w:pPr>
        <w:ind w:left="1800" w:hanging="360"/>
      </w:pPr>
      <w:rPr>
        <w:rFonts w:hint="default"/>
      </w:rPr>
    </w:lvl>
    <w:lvl w:ilvl="5" w:tentative="0">
      <w:start w:val="1"/>
      <w:numFmt w:val="bullet"/>
      <w:lvlText w:val=""/>
      <w:lvlJc w:val="left"/>
      <w:pPr>
        <w:ind w:left="2160" w:hanging="360"/>
      </w:pPr>
      <w:rPr>
        <w:rFonts w:hint="default" w:ascii="Symbol" w:hAnsi="Symbol"/>
        <w:color w:val="auto"/>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6">
    <w:nsid w:val="41B17276"/>
    <w:multiLevelType w:val="multilevel"/>
    <w:tmpl w:val="41B17276"/>
    <w:lvl w:ilvl="0" w:tentative="0">
      <w:start w:val="1"/>
      <w:numFmt w:val="decimal"/>
      <w:lvlText w:val="Art. %1. "/>
      <w:lvlJc w:val="left"/>
      <w:pPr>
        <w:tabs>
          <w:tab w:val="left" w:pos="1712"/>
        </w:tabs>
        <w:ind w:left="11" w:firstLine="709"/>
      </w:pPr>
      <w:rPr>
        <w:rFonts w:hint="default"/>
        <w:b w:val="0"/>
        <w:i w:val="0"/>
        <w:caps w:val="0"/>
        <w:strike w:val="0"/>
        <w:dstrike w:val="0"/>
        <w:vanish w:val="0"/>
        <w:color w:val="auto"/>
        <w:sz w:val="20"/>
        <w:szCs w:val="20"/>
        <w:u w:val="none"/>
        <w:vertAlign w:val="baseline"/>
      </w:rPr>
    </w:lvl>
    <w:lvl w:ilvl="1" w:tentative="0">
      <w:start w:val="1"/>
      <w:numFmt w:val="decimal"/>
      <w:lvlText w:val="(%2)"/>
      <w:lvlJc w:val="left"/>
      <w:pPr>
        <w:tabs>
          <w:tab w:val="left" w:pos="990"/>
        </w:tabs>
        <w:ind w:left="-79" w:firstLine="709"/>
      </w:pPr>
      <w:rPr>
        <w:rFonts w:hint="default" w:ascii="Calibri" w:hAnsi="Calibri" w:cs="Courier"/>
        <w:b w:val="0"/>
        <w:i w:val="0"/>
        <w:strike w:val="0"/>
        <w:color w:val="000000"/>
        <w:sz w:val="22"/>
        <w:szCs w:val="22"/>
      </w:rPr>
    </w:lvl>
    <w:lvl w:ilvl="2" w:tentative="0">
      <w:start w:val="1"/>
      <w:numFmt w:val="lowerRoman"/>
      <w:lvlText w:val="%3."/>
      <w:lvlJc w:val="right"/>
      <w:pPr>
        <w:tabs>
          <w:tab w:val="left" w:pos="1154"/>
        </w:tabs>
        <w:ind w:left="1154" w:hanging="360"/>
      </w:pPr>
      <w:rPr>
        <w:rFonts w:hint="default"/>
        <w:b w:val="0"/>
        <w:i w:val="0"/>
        <w:caps w:val="0"/>
        <w:strike w:val="0"/>
        <w:dstrike w:val="0"/>
        <w:vanish w:val="0"/>
        <w:color w:val="auto"/>
        <w:sz w:val="18"/>
        <w:szCs w:val="18"/>
        <w:u w:val="none"/>
        <w:vertAlign w:val="baseline"/>
      </w:rPr>
    </w:lvl>
    <w:lvl w:ilvl="3" w:tentative="0">
      <w:start w:val="1"/>
      <w:numFmt w:val="bullet"/>
      <w:lvlText w:val="-"/>
      <w:lvlJc w:val="left"/>
      <w:pPr>
        <w:tabs>
          <w:tab w:val="left" w:pos="1948"/>
        </w:tabs>
        <w:ind w:left="1928" w:hanging="340"/>
      </w:pPr>
      <w:rPr>
        <w:rFonts w:hint="default"/>
      </w:rPr>
    </w:lvl>
    <w:lvl w:ilvl="4" w:tentative="0">
      <w:start w:val="1"/>
      <w:numFmt w:val="decimal"/>
      <w:lvlText w:val="%1.%2.%3.%4.%5"/>
      <w:lvlJc w:val="left"/>
      <w:pPr>
        <w:tabs>
          <w:tab w:val="left" w:pos="1008"/>
        </w:tabs>
        <w:ind w:left="1008" w:hanging="1008"/>
      </w:pPr>
      <w:rPr>
        <w:rFonts w:hint="default" w:cs="Courier"/>
      </w:rPr>
    </w:lvl>
    <w:lvl w:ilvl="5" w:tentative="0">
      <w:start w:val="1"/>
      <w:numFmt w:val="decimal"/>
      <w:lvlText w:val="%1.%2.%3.%4.%5.%6"/>
      <w:lvlJc w:val="left"/>
      <w:pPr>
        <w:tabs>
          <w:tab w:val="left" w:pos="1152"/>
        </w:tabs>
        <w:ind w:left="1152" w:hanging="1152"/>
      </w:pPr>
      <w:rPr>
        <w:rFonts w:hint="default" w:cs="Courier"/>
      </w:rPr>
    </w:lvl>
    <w:lvl w:ilvl="6" w:tentative="0">
      <w:start w:val="1"/>
      <w:numFmt w:val="decimal"/>
      <w:lvlText w:val="%1.%2.%3.%4.%5.%6.%7"/>
      <w:lvlJc w:val="left"/>
      <w:pPr>
        <w:tabs>
          <w:tab w:val="left" w:pos="1296"/>
        </w:tabs>
        <w:ind w:left="1296" w:hanging="1296"/>
      </w:pPr>
      <w:rPr>
        <w:rFonts w:hint="default" w:cs="Courier"/>
      </w:rPr>
    </w:lvl>
    <w:lvl w:ilvl="7" w:tentative="0">
      <w:start w:val="1"/>
      <w:numFmt w:val="decimal"/>
      <w:lvlText w:val="%1.%2.%3.%4.%5.%6.%7.%8"/>
      <w:lvlJc w:val="left"/>
      <w:pPr>
        <w:tabs>
          <w:tab w:val="left" w:pos="1440"/>
        </w:tabs>
        <w:ind w:left="1440" w:hanging="1440"/>
      </w:pPr>
      <w:rPr>
        <w:rFonts w:hint="default" w:cs="Courier"/>
      </w:rPr>
    </w:lvl>
    <w:lvl w:ilvl="8" w:tentative="0">
      <w:start w:val="1"/>
      <w:numFmt w:val="decimal"/>
      <w:lvlText w:val="%1.%2.%3.%4.%5.%6.%7.%8.%9"/>
      <w:lvlJc w:val="left"/>
      <w:pPr>
        <w:tabs>
          <w:tab w:val="left" w:pos="1584"/>
        </w:tabs>
        <w:ind w:left="1584" w:hanging="1584"/>
      </w:pPr>
      <w:rPr>
        <w:rFonts w:hint="default" w:cs="Courier"/>
      </w:rPr>
    </w:lvl>
  </w:abstractNum>
  <w:abstractNum w:abstractNumId="17">
    <w:nsid w:val="528E4A04"/>
    <w:multiLevelType w:val="multilevel"/>
    <w:tmpl w:val="528E4A0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58E92F5B"/>
    <w:multiLevelType w:val="multilevel"/>
    <w:tmpl w:val="58E92F5B"/>
    <w:lvl w:ilvl="0" w:tentative="0">
      <w:start w:val="1"/>
      <w:numFmt w:val="decimal"/>
      <w:lvlText w:val="Art. %1"/>
      <w:lvlJc w:val="left"/>
      <w:pPr>
        <w:ind w:left="360" w:hanging="360"/>
      </w:pPr>
      <w:rPr>
        <w:rFonts w:hint="default"/>
      </w:rPr>
    </w:lvl>
    <w:lvl w:ilvl="1" w:tentative="0">
      <w:start w:val="1"/>
      <w:numFmt w:val="decimal"/>
      <w:lvlText w:val="(%2)"/>
      <w:lvlJc w:val="left"/>
      <w:pPr>
        <w:ind w:left="720" w:hanging="360"/>
      </w:pPr>
      <w:rPr>
        <w:rFonts w:hint="default"/>
      </w:rPr>
    </w:lvl>
    <w:lvl w:ilvl="2" w:tentative="0">
      <w:start w:val="1"/>
      <w:numFmt w:val="lowerLetter"/>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Roman"/>
      <w:lvlText w:val="(%5)"/>
      <w:lvlJc w:val="left"/>
      <w:pPr>
        <w:ind w:left="1800" w:hanging="360"/>
      </w:pPr>
      <w:rPr>
        <w:rFonts w:hint="default"/>
      </w:rPr>
    </w:lvl>
    <w:lvl w:ilvl="5" w:tentative="0">
      <w:start w:val="1"/>
      <w:numFmt w:val="bullet"/>
      <w:lvlText w:val=""/>
      <w:lvlJc w:val="left"/>
      <w:pPr>
        <w:ind w:left="2160" w:hanging="360"/>
      </w:pPr>
      <w:rPr>
        <w:rFonts w:hint="default" w:ascii="Symbol" w:hAnsi="Symbol"/>
        <w:color w:val="auto"/>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9">
    <w:nsid w:val="607F3BCA"/>
    <w:multiLevelType w:val="multilevel"/>
    <w:tmpl w:val="607F3BCA"/>
    <w:lvl w:ilvl="0" w:tentative="0">
      <w:start w:val="282"/>
      <w:numFmt w:val="decimal"/>
      <w:lvlText w:val="Art. %1"/>
      <w:lvlJc w:val="left"/>
      <w:pPr>
        <w:ind w:left="360" w:hanging="360"/>
      </w:pPr>
      <w:rPr>
        <w:rFonts w:hint="default"/>
      </w:rPr>
    </w:lvl>
    <w:lvl w:ilvl="1" w:tentative="0">
      <w:start w:val="1"/>
      <w:numFmt w:val="decimal"/>
      <w:lvlText w:val="(%2)"/>
      <w:lvlJc w:val="left"/>
      <w:pPr>
        <w:ind w:left="720" w:hanging="360"/>
      </w:pPr>
      <w:rPr>
        <w:rFonts w:hint="default"/>
        <w:strike w:val="0"/>
        <w:color w:val="auto"/>
      </w:rPr>
    </w:lvl>
    <w:lvl w:ilvl="2" w:tentative="0">
      <w:start w:val="1"/>
      <w:numFmt w:val="lowerLetter"/>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Roman"/>
      <w:lvlText w:val="(%5)"/>
      <w:lvlJc w:val="left"/>
      <w:pPr>
        <w:ind w:left="1800" w:hanging="360"/>
      </w:pPr>
      <w:rPr>
        <w:rFonts w:hint="default"/>
      </w:rPr>
    </w:lvl>
    <w:lvl w:ilvl="5" w:tentative="0">
      <w:start w:val="1"/>
      <w:numFmt w:val="bullet"/>
      <w:lvlText w:val=""/>
      <w:lvlJc w:val="left"/>
      <w:pPr>
        <w:ind w:left="2160" w:hanging="360"/>
      </w:pPr>
      <w:rPr>
        <w:rFonts w:hint="default" w:ascii="Symbol" w:hAnsi="Symbol"/>
        <w:color w:val="auto"/>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0">
    <w:nsid w:val="6AB6046D"/>
    <w:multiLevelType w:val="multilevel"/>
    <w:tmpl w:val="6AB6046D"/>
    <w:lvl w:ilvl="0" w:tentative="0">
      <w:start w:val="83"/>
      <w:numFmt w:val="decimal"/>
      <w:lvlText w:val="Art. %1"/>
      <w:lvlJc w:val="left"/>
      <w:pPr>
        <w:ind w:left="360" w:hanging="360"/>
      </w:pPr>
      <w:rPr>
        <w:rFonts w:hint="default"/>
      </w:rPr>
    </w:lvl>
    <w:lvl w:ilvl="1" w:tentative="0">
      <w:start w:val="1"/>
      <w:numFmt w:val="decimal"/>
      <w:lvlText w:val="(%2)"/>
      <w:lvlJc w:val="left"/>
      <w:pPr>
        <w:ind w:left="720" w:hanging="360"/>
      </w:pPr>
      <w:rPr>
        <w:rFonts w:hint="default"/>
      </w:rPr>
    </w:lvl>
    <w:lvl w:ilvl="2" w:tentative="0">
      <w:start w:val="1"/>
      <w:numFmt w:val="lowerLetter"/>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Roman"/>
      <w:lvlText w:val="(%5)"/>
      <w:lvlJc w:val="left"/>
      <w:pPr>
        <w:ind w:left="1800" w:hanging="360"/>
      </w:pPr>
      <w:rPr>
        <w:rFonts w:hint="default"/>
      </w:rPr>
    </w:lvl>
    <w:lvl w:ilvl="5" w:tentative="0">
      <w:start w:val="1"/>
      <w:numFmt w:val="bullet"/>
      <w:lvlText w:val=""/>
      <w:lvlJc w:val="left"/>
      <w:pPr>
        <w:ind w:left="2160" w:hanging="360"/>
      </w:pPr>
      <w:rPr>
        <w:rFonts w:hint="default" w:ascii="Symbol" w:hAnsi="Symbol"/>
        <w:color w:val="auto"/>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1">
    <w:nsid w:val="6E527E9F"/>
    <w:multiLevelType w:val="multilevel"/>
    <w:tmpl w:val="6E527E9F"/>
    <w:lvl w:ilvl="0" w:tentative="0">
      <w:start w:val="96"/>
      <w:numFmt w:val="decimal"/>
      <w:lvlText w:val="Art. %1"/>
      <w:lvlJc w:val="left"/>
      <w:pPr>
        <w:ind w:left="360" w:hanging="360"/>
      </w:pPr>
      <w:rPr>
        <w:rFonts w:hint="default"/>
      </w:rPr>
    </w:lvl>
    <w:lvl w:ilvl="1" w:tentative="0">
      <w:start w:val="1"/>
      <w:numFmt w:val="decimal"/>
      <w:lvlText w:val="(%2)"/>
      <w:lvlJc w:val="left"/>
      <w:pPr>
        <w:ind w:left="720" w:hanging="360"/>
      </w:pPr>
      <w:rPr>
        <w:rFonts w:hint="default"/>
      </w:rPr>
    </w:lvl>
    <w:lvl w:ilvl="2" w:tentative="0">
      <w:start w:val="1"/>
      <w:numFmt w:val="lowerLetter"/>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Roman"/>
      <w:lvlText w:val="(%5)"/>
      <w:lvlJc w:val="left"/>
      <w:pPr>
        <w:ind w:left="1800" w:hanging="360"/>
      </w:pPr>
      <w:rPr>
        <w:rFonts w:hint="default"/>
      </w:rPr>
    </w:lvl>
    <w:lvl w:ilvl="5" w:tentative="0">
      <w:start w:val="1"/>
      <w:numFmt w:val="bullet"/>
      <w:lvlText w:val=""/>
      <w:lvlJc w:val="left"/>
      <w:pPr>
        <w:ind w:left="2160" w:hanging="360"/>
      </w:pPr>
      <w:rPr>
        <w:rFonts w:hint="default" w:ascii="Symbol" w:hAnsi="Symbol"/>
        <w:color w:val="auto"/>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2">
    <w:nsid w:val="733D47B6"/>
    <w:multiLevelType w:val="multilevel"/>
    <w:tmpl w:val="733D47B6"/>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3">
    <w:nsid w:val="7F413715"/>
    <w:multiLevelType w:val="multilevel"/>
    <w:tmpl w:val="7F413715"/>
    <w:lvl w:ilvl="0" w:tentative="0">
      <w:start w:val="1"/>
      <w:numFmt w:val="decimal"/>
      <w:lvlText w:val="Art. %1. "/>
      <w:lvlJc w:val="left"/>
      <w:pPr>
        <w:tabs>
          <w:tab w:val="left" w:pos="1418"/>
        </w:tabs>
        <w:ind w:left="-283" w:firstLine="709"/>
      </w:pPr>
      <w:rPr>
        <w:rFonts w:hint="default"/>
        <w:b w:val="0"/>
        <w:i w:val="0"/>
        <w:caps w:val="0"/>
        <w:strike w:val="0"/>
        <w:dstrike w:val="0"/>
        <w:vanish w:val="0"/>
        <w:color w:val="auto"/>
        <w:sz w:val="20"/>
        <w:szCs w:val="20"/>
        <w:u w:val="none"/>
        <w:vertAlign w:val="baseline"/>
      </w:rPr>
    </w:lvl>
    <w:lvl w:ilvl="1" w:tentative="0">
      <w:start w:val="1"/>
      <w:numFmt w:val="decimal"/>
      <w:lvlText w:val="(%2)"/>
      <w:lvlJc w:val="left"/>
      <w:pPr>
        <w:tabs>
          <w:tab w:val="left" w:pos="990"/>
        </w:tabs>
        <w:ind w:left="-79" w:firstLine="709"/>
      </w:pPr>
      <w:rPr>
        <w:rFonts w:hint="default" w:ascii="Calibri" w:hAnsi="Calibri" w:cs="Courier"/>
        <w:b w:val="0"/>
        <w:i w:val="0"/>
        <w:strike w:val="0"/>
        <w:color w:val="000000"/>
        <w:sz w:val="22"/>
        <w:szCs w:val="22"/>
      </w:rPr>
    </w:lvl>
    <w:lvl w:ilvl="2" w:tentative="0">
      <w:start w:val="1"/>
      <w:numFmt w:val="lowerRoman"/>
      <w:lvlText w:val="%3."/>
      <w:lvlJc w:val="right"/>
      <w:pPr>
        <w:tabs>
          <w:tab w:val="left" w:pos="1154"/>
        </w:tabs>
        <w:ind w:left="1154" w:hanging="360"/>
      </w:pPr>
      <w:rPr>
        <w:rFonts w:hint="default"/>
        <w:b w:val="0"/>
        <w:i w:val="0"/>
        <w:caps w:val="0"/>
        <w:strike w:val="0"/>
        <w:dstrike w:val="0"/>
        <w:vanish w:val="0"/>
        <w:color w:val="auto"/>
        <w:sz w:val="24"/>
        <w:szCs w:val="24"/>
        <w:u w:val="none"/>
        <w:vertAlign w:val="baseline"/>
      </w:rPr>
    </w:lvl>
    <w:lvl w:ilvl="3" w:tentative="0">
      <w:start w:val="1"/>
      <w:numFmt w:val="bullet"/>
      <w:lvlText w:val="-"/>
      <w:lvlJc w:val="left"/>
      <w:pPr>
        <w:tabs>
          <w:tab w:val="left" w:pos="1948"/>
        </w:tabs>
        <w:ind w:left="1928" w:hanging="340"/>
      </w:pPr>
      <w:rPr>
        <w:rFonts w:hint="default"/>
      </w:rPr>
    </w:lvl>
    <w:lvl w:ilvl="4" w:tentative="0">
      <w:start w:val="1"/>
      <w:numFmt w:val="decimal"/>
      <w:lvlText w:val="%1.%2.%3.%4.%5"/>
      <w:lvlJc w:val="left"/>
      <w:pPr>
        <w:tabs>
          <w:tab w:val="left" w:pos="1008"/>
        </w:tabs>
        <w:ind w:left="1008" w:hanging="1008"/>
      </w:pPr>
      <w:rPr>
        <w:rFonts w:hint="default" w:cs="Courier"/>
      </w:rPr>
    </w:lvl>
    <w:lvl w:ilvl="5" w:tentative="0">
      <w:start w:val="1"/>
      <w:numFmt w:val="decimal"/>
      <w:lvlText w:val="%1.%2.%3.%4.%5.%6"/>
      <w:lvlJc w:val="left"/>
      <w:pPr>
        <w:tabs>
          <w:tab w:val="left" w:pos="1152"/>
        </w:tabs>
        <w:ind w:left="1152" w:hanging="1152"/>
      </w:pPr>
      <w:rPr>
        <w:rFonts w:hint="default" w:cs="Courier"/>
      </w:rPr>
    </w:lvl>
    <w:lvl w:ilvl="6" w:tentative="0">
      <w:start w:val="1"/>
      <w:numFmt w:val="decimal"/>
      <w:lvlText w:val="%1.%2.%3.%4.%5.%6.%7"/>
      <w:lvlJc w:val="left"/>
      <w:pPr>
        <w:tabs>
          <w:tab w:val="left" w:pos="1296"/>
        </w:tabs>
        <w:ind w:left="1296" w:hanging="1296"/>
      </w:pPr>
      <w:rPr>
        <w:rFonts w:hint="default" w:cs="Courier"/>
      </w:rPr>
    </w:lvl>
    <w:lvl w:ilvl="7" w:tentative="0">
      <w:start w:val="1"/>
      <w:numFmt w:val="decimal"/>
      <w:lvlText w:val="%1.%2.%3.%4.%5.%6.%7.%8"/>
      <w:lvlJc w:val="left"/>
      <w:pPr>
        <w:tabs>
          <w:tab w:val="left" w:pos="1440"/>
        </w:tabs>
        <w:ind w:left="1440" w:hanging="1440"/>
      </w:pPr>
      <w:rPr>
        <w:rFonts w:hint="default" w:cs="Courier"/>
      </w:rPr>
    </w:lvl>
    <w:lvl w:ilvl="8" w:tentative="0">
      <w:start w:val="1"/>
      <w:numFmt w:val="decimal"/>
      <w:lvlText w:val="%1.%2.%3.%4.%5.%6.%7.%8.%9"/>
      <w:lvlJc w:val="left"/>
      <w:pPr>
        <w:tabs>
          <w:tab w:val="left" w:pos="1584"/>
        </w:tabs>
        <w:ind w:left="1584" w:hanging="1584"/>
      </w:pPr>
      <w:rPr>
        <w:rFonts w:hint="default" w:cs="Courier"/>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9"/>
  </w:num>
  <w:num w:numId="8">
    <w:abstractNumId w:val="8"/>
  </w:num>
  <w:num w:numId="9">
    <w:abstractNumId w:val="14"/>
  </w:num>
  <w:num w:numId="10">
    <w:abstractNumId w:val="22"/>
  </w:num>
  <w:num w:numId="11">
    <w:abstractNumId w:val="18"/>
  </w:num>
  <w:num w:numId="12">
    <w:abstractNumId w:val="23"/>
  </w:num>
  <w:num w:numId="13">
    <w:abstractNumId w:val="11"/>
  </w:num>
  <w:num w:numId="14">
    <w:abstractNumId w:val="20"/>
  </w:num>
  <w:num w:numId="15">
    <w:abstractNumId w:val="7"/>
  </w:num>
  <w:num w:numId="16">
    <w:abstractNumId w:val="21"/>
  </w:num>
  <w:num w:numId="17">
    <w:abstractNumId w:val="15"/>
  </w:num>
  <w:num w:numId="18">
    <w:abstractNumId w:val="19"/>
  </w:num>
  <w:num w:numId="19">
    <w:abstractNumId w:val="13"/>
  </w:num>
  <w:num w:numId="20">
    <w:abstractNumId w:val="10"/>
  </w:num>
  <w:num w:numId="21">
    <w:abstractNumId w:val="17"/>
  </w:num>
  <w:num w:numId="22">
    <w:abstractNumId w:val="6"/>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10"/>
    <w:footnote w:id="1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02AC"/>
    <w:rsid w:val="000121B2"/>
    <w:rsid w:val="000124EF"/>
    <w:rsid w:val="000165C2"/>
    <w:rsid w:val="0002148B"/>
    <w:rsid w:val="00026CC0"/>
    <w:rsid w:val="000324A3"/>
    <w:rsid w:val="00034616"/>
    <w:rsid w:val="000346A5"/>
    <w:rsid w:val="00037316"/>
    <w:rsid w:val="00057090"/>
    <w:rsid w:val="0006063C"/>
    <w:rsid w:val="00060B95"/>
    <w:rsid w:val="000624A5"/>
    <w:rsid w:val="00063947"/>
    <w:rsid w:val="00064F95"/>
    <w:rsid w:val="000704BC"/>
    <w:rsid w:val="00077D39"/>
    <w:rsid w:val="00081290"/>
    <w:rsid w:val="00082F73"/>
    <w:rsid w:val="00095F15"/>
    <w:rsid w:val="000A5C45"/>
    <w:rsid w:val="000A6ECE"/>
    <w:rsid w:val="000B35A5"/>
    <w:rsid w:val="000D5D4E"/>
    <w:rsid w:val="000D64E3"/>
    <w:rsid w:val="000E2488"/>
    <w:rsid w:val="000F2E0B"/>
    <w:rsid w:val="0010337C"/>
    <w:rsid w:val="00107E00"/>
    <w:rsid w:val="00117041"/>
    <w:rsid w:val="00136D89"/>
    <w:rsid w:val="001469A4"/>
    <w:rsid w:val="0015074B"/>
    <w:rsid w:val="0016625D"/>
    <w:rsid w:val="001702D2"/>
    <w:rsid w:val="00171FFF"/>
    <w:rsid w:val="0017301E"/>
    <w:rsid w:val="0017399A"/>
    <w:rsid w:val="00180A1B"/>
    <w:rsid w:val="001867C4"/>
    <w:rsid w:val="001910A0"/>
    <w:rsid w:val="001A222A"/>
    <w:rsid w:val="001B343A"/>
    <w:rsid w:val="001C0A66"/>
    <w:rsid w:val="001E0D2B"/>
    <w:rsid w:val="001E20C4"/>
    <w:rsid w:val="001F02A1"/>
    <w:rsid w:val="001F2E7E"/>
    <w:rsid w:val="00207287"/>
    <w:rsid w:val="002126E3"/>
    <w:rsid w:val="00223AC3"/>
    <w:rsid w:val="00225549"/>
    <w:rsid w:val="002316DB"/>
    <w:rsid w:val="00232349"/>
    <w:rsid w:val="002424F3"/>
    <w:rsid w:val="002470BB"/>
    <w:rsid w:val="00253531"/>
    <w:rsid w:val="0026561C"/>
    <w:rsid w:val="0028644A"/>
    <w:rsid w:val="00290A18"/>
    <w:rsid w:val="00292CE2"/>
    <w:rsid w:val="0029639D"/>
    <w:rsid w:val="00296F3D"/>
    <w:rsid w:val="002A290A"/>
    <w:rsid w:val="002A3BAA"/>
    <w:rsid w:val="002A3F60"/>
    <w:rsid w:val="002B2454"/>
    <w:rsid w:val="002B252A"/>
    <w:rsid w:val="002C1A39"/>
    <w:rsid w:val="002C2400"/>
    <w:rsid w:val="002C4130"/>
    <w:rsid w:val="002D711F"/>
    <w:rsid w:val="002E1530"/>
    <w:rsid w:val="00301123"/>
    <w:rsid w:val="00312C5B"/>
    <w:rsid w:val="00326F0B"/>
    <w:rsid w:val="00326F90"/>
    <w:rsid w:val="003275E3"/>
    <w:rsid w:val="003300FE"/>
    <w:rsid w:val="00331E88"/>
    <w:rsid w:val="00340BD8"/>
    <w:rsid w:val="003534C5"/>
    <w:rsid w:val="0035769E"/>
    <w:rsid w:val="003757FC"/>
    <w:rsid w:val="00375E39"/>
    <w:rsid w:val="0039235D"/>
    <w:rsid w:val="003A7B67"/>
    <w:rsid w:val="003B34B4"/>
    <w:rsid w:val="003C13D5"/>
    <w:rsid w:val="003D363A"/>
    <w:rsid w:val="003E0C32"/>
    <w:rsid w:val="003E74E7"/>
    <w:rsid w:val="003F19D4"/>
    <w:rsid w:val="003F70A6"/>
    <w:rsid w:val="00400EC7"/>
    <w:rsid w:val="004105F2"/>
    <w:rsid w:val="00413464"/>
    <w:rsid w:val="0042037C"/>
    <w:rsid w:val="00427907"/>
    <w:rsid w:val="00434652"/>
    <w:rsid w:val="00437481"/>
    <w:rsid w:val="00441E97"/>
    <w:rsid w:val="00445E00"/>
    <w:rsid w:val="00452C77"/>
    <w:rsid w:val="00466FB5"/>
    <w:rsid w:val="00472D3E"/>
    <w:rsid w:val="00481D7A"/>
    <w:rsid w:val="004828F3"/>
    <w:rsid w:val="004833A7"/>
    <w:rsid w:val="004948F0"/>
    <w:rsid w:val="004A3BE9"/>
    <w:rsid w:val="004B5D52"/>
    <w:rsid w:val="004C2FE1"/>
    <w:rsid w:val="004C552B"/>
    <w:rsid w:val="004E5528"/>
    <w:rsid w:val="004E7533"/>
    <w:rsid w:val="004F0510"/>
    <w:rsid w:val="0050241B"/>
    <w:rsid w:val="00504A42"/>
    <w:rsid w:val="00505180"/>
    <w:rsid w:val="00522437"/>
    <w:rsid w:val="00526779"/>
    <w:rsid w:val="00526E53"/>
    <w:rsid w:val="00527A10"/>
    <w:rsid w:val="00531A47"/>
    <w:rsid w:val="00532D62"/>
    <w:rsid w:val="00536D7F"/>
    <w:rsid w:val="0053764E"/>
    <w:rsid w:val="005427E6"/>
    <w:rsid w:val="005460B1"/>
    <w:rsid w:val="005577C7"/>
    <w:rsid w:val="00560FD5"/>
    <w:rsid w:val="00574F2F"/>
    <w:rsid w:val="00581219"/>
    <w:rsid w:val="00585DF6"/>
    <w:rsid w:val="00592F63"/>
    <w:rsid w:val="005A0F1D"/>
    <w:rsid w:val="005A29A0"/>
    <w:rsid w:val="005B6137"/>
    <w:rsid w:val="005B6484"/>
    <w:rsid w:val="005C5F52"/>
    <w:rsid w:val="005C7B29"/>
    <w:rsid w:val="005D2B8A"/>
    <w:rsid w:val="005D45C6"/>
    <w:rsid w:val="005D4810"/>
    <w:rsid w:val="005D6302"/>
    <w:rsid w:val="005F0EDC"/>
    <w:rsid w:val="005F53B1"/>
    <w:rsid w:val="00603021"/>
    <w:rsid w:val="006165C0"/>
    <w:rsid w:val="0062294D"/>
    <w:rsid w:val="006234DE"/>
    <w:rsid w:val="00624AAB"/>
    <w:rsid w:val="0063580F"/>
    <w:rsid w:val="00635D11"/>
    <w:rsid w:val="00636AEE"/>
    <w:rsid w:val="0064071A"/>
    <w:rsid w:val="00655C02"/>
    <w:rsid w:val="0065768C"/>
    <w:rsid w:val="00660C43"/>
    <w:rsid w:val="00662A34"/>
    <w:rsid w:val="00664093"/>
    <w:rsid w:val="0066412B"/>
    <w:rsid w:val="00665CE2"/>
    <w:rsid w:val="00671D76"/>
    <w:rsid w:val="00674298"/>
    <w:rsid w:val="00697D42"/>
    <w:rsid w:val="006A22C5"/>
    <w:rsid w:val="006C5ABC"/>
    <w:rsid w:val="006E5512"/>
    <w:rsid w:val="006E5D46"/>
    <w:rsid w:val="0070056B"/>
    <w:rsid w:val="00711A81"/>
    <w:rsid w:val="007211A9"/>
    <w:rsid w:val="00721893"/>
    <w:rsid w:val="00721D21"/>
    <w:rsid w:val="00722A9A"/>
    <w:rsid w:val="00726250"/>
    <w:rsid w:val="007269F1"/>
    <w:rsid w:val="007368C6"/>
    <w:rsid w:val="00736CD4"/>
    <w:rsid w:val="007404EF"/>
    <w:rsid w:val="007456C0"/>
    <w:rsid w:val="00746503"/>
    <w:rsid w:val="00753D6C"/>
    <w:rsid w:val="00755072"/>
    <w:rsid w:val="0075767A"/>
    <w:rsid w:val="0076075D"/>
    <w:rsid w:val="00767047"/>
    <w:rsid w:val="00782527"/>
    <w:rsid w:val="00783CC0"/>
    <w:rsid w:val="00784CB6"/>
    <w:rsid w:val="00785551"/>
    <w:rsid w:val="00790DD1"/>
    <w:rsid w:val="007956BB"/>
    <w:rsid w:val="007A39E6"/>
    <w:rsid w:val="007A7A2E"/>
    <w:rsid w:val="007B2A46"/>
    <w:rsid w:val="007B3AFC"/>
    <w:rsid w:val="007B465E"/>
    <w:rsid w:val="007C66EE"/>
    <w:rsid w:val="007D2846"/>
    <w:rsid w:val="007D2969"/>
    <w:rsid w:val="007D42CB"/>
    <w:rsid w:val="007D4F03"/>
    <w:rsid w:val="007D5813"/>
    <w:rsid w:val="007E103A"/>
    <w:rsid w:val="007F3B92"/>
    <w:rsid w:val="00804274"/>
    <w:rsid w:val="008064B3"/>
    <w:rsid w:val="0080666E"/>
    <w:rsid w:val="008078F8"/>
    <w:rsid w:val="008122F5"/>
    <w:rsid w:val="00813CCF"/>
    <w:rsid w:val="008169C1"/>
    <w:rsid w:val="00817D31"/>
    <w:rsid w:val="008316DB"/>
    <w:rsid w:val="00842BB7"/>
    <w:rsid w:val="0085612D"/>
    <w:rsid w:val="00862991"/>
    <w:rsid w:val="00866410"/>
    <w:rsid w:val="00875E80"/>
    <w:rsid w:val="008801D2"/>
    <w:rsid w:val="00882588"/>
    <w:rsid w:val="00885D44"/>
    <w:rsid w:val="00887B5A"/>
    <w:rsid w:val="0089251B"/>
    <w:rsid w:val="00892629"/>
    <w:rsid w:val="00894E88"/>
    <w:rsid w:val="008A3819"/>
    <w:rsid w:val="008A3F3E"/>
    <w:rsid w:val="008A4F4B"/>
    <w:rsid w:val="008A64FA"/>
    <w:rsid w:val="008C06A3"/>
    <w:rsid w:val="008D3780"/>
    <w:rsid w:val="008D7EEA"/>
    <w:rsid w:val="008E56FE"/>
    <w:rsid w:val="008E6E4A"/>
    <w:rsid w:val="008F6404"/>
    <w:rsid w:val="0090038D"/>
    <w:rsid w:val="0091335F"/>
    <w:rsid w:val="0091625B"/>
    <w:rsid w:val="00927C4F"/>
    <w:rsid w:val="00933C1D"/>
    <w:rsid w:val="00943251"/>
    <w:rsid w:val="00950540"/>
    <w:rsid w:val="00953529"/>
    <w:rsid w:val="00955D11"/>
    <w:rsid w:val="0096685C"/>
    <w:rsid w:val="009670F9"/>
    <w:rsid w:val="00967A2F"/>
    <w:rsid w:val="00973F44"/>
    <w:rsid w:val="009A5C33"/>
    <w:rsid w:val="009B6D48"/>
    <w:rsid w:val="009C29D2"/>
    <w:rsid w:val="009C70B5"/>
    <w:rsid w:val="009D4068"/>
    <w:rsid w:val="009D5026"/>
    <w:rsid w:val="009E5A45"/>
    <w:rsid w:val="009F4626"/>
    <w:rsid w:val="00A047E2"/>
    <w:rsid w:val="00A07ED3"/>
    <w:rsid w:val="00A13445"/>
    <w:rsid w:val="00A15970"/>
    <w:rsid w:val="00A179CD"/>
    <w:rsid w:val="00A17A35"/>
    <w:rsid w:val="00A24A44"/>
    <w:rsid w:val="00A25D74"/>
    <w:rsid w:val="00A26C94"/>
    <w:rsid w:val="00A276AD"/>
    <w:rsid w:val="00A31069"/>
    <w:rsid w:val="00A31A5B"/>
    <w:rsid w:val="00A31EA4"/>
    <w:rsid w:val="00A330A8"/>
    <w:rsid w:val="00A35B55"/>
    <w:rsid w:val="00A3635E"/>
    <w:rsid w:val="00A41C04"/>
    <w:rsid w:val="00A4338E"/>
    <w:rsid w:val="00A51285"/>
    <w:rsid w:val="00A55429"/>
    <w:rsid w:val="00A554B7"/>
    <w:rsid w:val="00A55D4C"/>
    <w:rsid w:val="00A640F5"/>
    <w:rsid w:val="00A6417F"/>
    <w:rsid w:val="00A64781"/>
    <w:rsid w:val="00A705FA"/>
    <w:rsid w:val="00A7214B"/>
    <w:rsid w:val="00A73624"/>
    <w:rsid w:val="00A74DC0"/>
    <w:rsid w:val="00A75307"/>
    <w:rsid w:val="00A81976"/>
    <w:rsid w:val="00A87864"/>
    <w:rsid w:val="00A9163F"/>
    <w:rsid w:val="00AA1D8D"/>
    <w:rsid w:val="00AA5934"/>
    <w:rsid w:val="00AB4714"/>
    <w:rsid w:val="00AB5688"/>
    <w:rsid w:val="00AB7C29"/>
    <w:rsid w:val="00AC0E6C"/>
    <w:rsid w:val="00AC31B5"/>
    <w:rsid w:val="00AC7F69"/>
    <w:rsid w:val="00AD005E"/>
    <w:rsid w:val="00AD15C1"/>
    <w:rsid w:val="00AD2F2E"/>
    <w:rsid w:val="00AD5EA5"/>
    <w:rsid w:val="00AD69EC"/>
    <w:rsid w:val="00AE0538"/>
    <w:rsid w:val="00AE2D47"/>
    <w:rsid w:val="00AE4779"/>
    <w:rsid w:val="00AE6265"/>
    <w:rsid w:val="00AE6331"/>
    <w:rsid w:val="00AE72C7"/>
    <w:rsid w:val="00AF1763"/>
    <w:rsid w:val="00AF41CF"/>
    <w:rsid w:val="00AF717E"/>
    <w:rsid w:val="00B05FB1"/>
    <w:rsid w:val="00B07996"/>
    <w:rsid w:val="00B10AE4"/>
    <w:rsid w:val="00B10FE9"/>
    <w:rsid w:val="00B13FE6"/>
    <w:rsid w:val="00B174A6"/>
    <w:rsid w:val="00B22BA9"/>
    <w:rsid w:val="00B2457F"/>
    <w:rsid w:val="00B26948"/>
    <w:rsid w:val="00B36070"/>
    <w:rsid w:val="00B36DFD"/>
    <w:rsid w:val="00B47730"/>
    <w:rsid w:val="00B504C6"/>
    <w:rsid w:val="00B6489A"/>
    <w:rsid w:val="00B67A03"/>
    <w:rsid w:val="00B73604"/>
    <w:rsid w:val="00B75FC3"/>
    <w:rsid w:val="00B80384"/>
    <w:rsid w:val="00B804C2"/>
    <w:rsid w:val="00B90077"/>
    <w:rsid w:val="00B968C3"/>
    <w:rsid w:val="00B97A64"/>
    <w:rsid w:val="00BA01E5"/>
    <w:rsid w:val="00BA0C33"/>
    <w:rsid w:val="00BA16BD"/>
    <w:rsid w:val="00BA2A48"/>
    <w:rsid w:val="00BA2CC2"/>
    <w:rsid w:val="00BC5A68"/>
    <w:rsid w:val="00BD5B98"/>
    <w:rsid w:val="00BE53F9"/>
    <w:rsid w:val="00BF2814"/>
    <w:rsid w:val="00C03172"/>
    <w:rsid w:val="00C043F1"/>
    <w:rsid w:val="00C077E9"/>
    <w:rsid w:val="00C17F4E"/>
    <w:rsid w:val="00C21974"/>
    <w:rsid w:val="00C22F1E"/>
    <w:rsid w:val="00C23EAF"/>
    <w:rsid w:val="00C27F29"/>
    <w:rsid w:val="00C314D9"/>
    <w:rsid w:val="00C50E5E"/>
    <w:rsid w:val="00C7458C"/>
    <w:rsid w:val="00C77FEE"/>
    <w:rsid w:val="00C80F12"/>
    <w:rsid w:val="00C9004A"/>
    <w:rsid w:val="00CA250C"/>
    <w:rsid w:val="00CA3121"/>
    <w:rsid w:val="00CA5413"/>
    <w:rsid w:val="00CB0664"/>
    <w:rsid w:val="00CB506B"/>
    <w:rsid w:val="00CB7338"/>
    <w:rsid w:val="00CC3986"/>
    <w:rsid w:val="00CC7EF4"/>
    <w:rsid w:val="00CD42E6"/>
    <w:rsid w:val="00CD46F0"/>
    <w:rsid w:val="00CE4AF9"/>
    <w:rsid w:val="00CF06F4"/>
    <w:rsid w:val="00CF11C7"/>
    <w:rsid w:val="00D02317"/>
    <w:rsid w:val="00D061CF"/>
    <w:rsid w:val="00D14729"/>
    <w:rsid w:val="00D22121"/>
    <w:rsid w:val="00D223DA"/>
    <w:rsid w:val="00D27616"/>
    <w:rsid w:val="00D34FA4"/>
    <w:rsid w:val="00D36585"/>
    <w:rsid w:val="00D37B48"/>
    <w:rsid w:val="00D50485"/>
    <w:rsid w:val="00D515DD"/>
    <w:rsid w:val="00D719C2"/>
    <w:rsid w:val="00D72914"/>
    <w:rsid w:val="00D7359B"/>
    <w:rsid w:val="00D7483D"/>
    <w:rsid w:val="00D76DE1"/>
    <w:rsid w:val="00D8675E"/>
    <w:rsid w:val="00DA1CD4"/>
    <w:rsid w:val="00DB3971"/>
    <w:rsid w:val="00DC3F6C"/>
    <w:rsid w:val="00DE51AC"/>
    <w:rsid w:val="00DF1000"/>
    <w:rsid w:val="00E00970"/>
    <w:rsid w:val="00E021E0"/>
    <w:rsid w:val="00E03D2B"/>
    <w:rsid w:val="00E10C71"/>
    <w:rsid w:val="00E126D4"/>
    <w:rsid w:val="00E16541"/>
    <w:rsid w:val="00E33A4B"/>
    <w:rsid w:val="00E41874"/>
    <w:rsid w:val="00E41879"/>
    <w:rsid w:val="00E41AE6"/>
    <w:rsid w:val="00E42122"/>
    <w:rsid w:val="00E435B0"/>
    <w:rsid w:val="00E4456F"/>
    <w:rsid w:val="00E53100"/>
    <w:rsid w:val="00E6277E"/>
    <w:rsid w:val="00E74596"/>
    <w:rsid w:val="00E924B4"/>
    <w:rsid w:val="00EA7424"/>
    <w:rsid w:val="00EB1471"/>
    <w:rsid w:val="00EB3A35"/>
    <w:rsid w:val="00EB4590"/>
    <w:rsid w:val="00EB5FF9"/>
    <w:rsid w:val="00ED2525"/>
    <w:rsid w:val="00ED2BA7"/>
    <w:rsid w:val="00ED5256"/>
    <w:rsid w:val="00EE74BF"/>
    <w:rsid w:val="00EF4014"/>
    <w:rsid w:val="00F01596"/>
    <w:rsid w:val="00F02E5E"/>
    <w:rsid w:val="00F02F1D"/>
    <w:rsid w:val="00F064B9"/>
    <w:rsid w:val="00F06840"/>
    <w:rsid w:val="00F078BC"/>
    <w:rsid w:val="00F168D1"/>
    <w:rsid w:val="00F203FF"/>
    <w:rsid w:val="00F2439C"/>
    <w:rsid w:val="00F25D69"/>
    <w:rsid w:val="00F34E82"/>
    <w:rsid w:val="00F4202E"/>
    <w:rsid w:val="00F47825"/>
    <w:rsid w:val="00F47A08"/>
    <w:rsid w:val="00F536AC"/>
    <w:rsid w:val="00F56633"/>
    <w:rsid w:val="00F607F6"/>
    <w:rsid w:val="00F612F8"/>
    <w:rsid w:val="00F6754C"/>
    <w:rsid w:val="00F67BB8"/>
    <w:rsid w:val="00F67BD1"/>
    <w:rsid w:val="00F71B8F"/>
    <w:rsid w:val="00F7257E"/>
    <w:rsid w:val="00F77407"/>
    <w:rsid w:val="00F84B6F"/>
    <w:rsid w:val="00F9076B"/>
    <w:rsid w:val="00F926FC"/>
    <w:rsid w:val="00FA2F81"/>
    <w:rsid w:val="00FB0236"/>
    <w:rsid w:val="00FB34BE"/>
    <w:rsid w:val="00FB606C"/>
    <w:rsid w:val="00FC693F"/>
    <w:rsid w:val="00FD055E"/>
    <w:rsid w:val="00FD11C6"/>
    <w:rsid w:val="00FD2C3C"/>
    <w:rsid w:val="00FE62B1"/>
    <w:rsid w:val="00FE6AB3"/>
    <w:rsid w:val="00FF007F"/>
    <w:rsid w:val="00FF51B8"/>
    <w:rsid w:val="00FF70C1"/>
    <w:rsid w:val="1EC6320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0" w:semiHidden="0" w:name="footnote text"/>
    <w:lsdException w:qFormat="1" w:uiPriority="99" w:semiHidden="0" w:name="annotation text"/>
    <w:lsdException w:uiPriority="0" w:semiHidden="0" w:name="header"/>
    <w:lsdException w:uiPriority="99" w:semiHidden="0" w:name="footer"/>
    <w:lsdException w:qFormat="1" w:unhideWhenUsed="0" w:uiPriority="0" w:name="index heading"/>
    <w:lsdException w:qFormat="1"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0"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qFormat="1"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5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6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6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71"/>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7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7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7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7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7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196"/>
    <w:semiHidden/>
    <w:unhideWhenUsed/>
    <w:qFormat/>
    <w:uiPriority w:val="99"/>
    <w:pPr>
      <w:spacing w:after="0" w:line="240" w:lineRule="auto"/>
    </w:pPr>
    <w:rPr>
      <w:rFonts w:ascii="Times New Roman" w:hAnsi="Times New Roman" w:eastAsia="Calibri" w:cs="Times New Roman"/>
      <w:sz w:val="18"/>
      <w:szCs w:val="18"/>
      <w:lang w:val="ro-RO"/>
    </w:rPr>
  </w:style>
  <w:style w:type="paragraph" w:styleId="14">
    <w:name w:val="Block Text"/>
    <w:basedOn w:val="1"/>
    <w:unhideWhenUsed/>
    <w:qFormat/>
    <w:uiPriority w:val="0"/>
    <w:pPr>
      <w:pBdr>
        <w:top w:val="single" w:color="4F81BD" w:themeColor="accent1" w:sz="2" w:space="10"/>
        <w:left w:val="single" w:color="4F81BD" w:themeColor="accent1" w:sz="2" w:space="10"/>
        <w:bottom w:val="single" w:color="4F81BD" w:themeColor="accent1" w:sz="2" w:space="10"/>
        <w:right w:val="single" w:color="4F81BD" w:themeColor="accent1" w:sz="2" w:space="10"/>
      </w:pBdr>
      <w:ind w:left="1152" w:right="1152"/>
    </w:pPr>
    <w:rPr>
      <w:i/>
      <w:iCs/>
      <w:color w:val="4F81BD" w:themeColor="accent1"/>
      <w14:textFill>
        <w14:solidFill>
          <w14:schemeClr w14:val="accent1"/>
        </w14:solidFill>
      </w14:textFill>
    </w:rPr>
  </w:style>
  <w:style w:type="paragraph" w:styleId="15">
    <w:name w:val="Body Text"/>
    <w:basedOn w:val="1"/>
    <w:link w:val="165"/>
    <w:unhideWhenUsed/>
    <w:uiPriority w:val="99"/>
    <w:pPr>
      <w:spacing w:after="120"/>
    </w:pPr>
  </w:style>
  <w:style w:type="paragraph" w:styleId="16">
    <w:name w:val="Body Text 2"/>
    <w:basedOn w:val="1"/>
    <w:link w:val="166"/>
    <w:unhideWhenUsed/>
    <w:uiPriority w:val="99"/>
    <w:pPr>
      <w:spacing w:after="120" w:line="480" w:lineRule="auto"/>
    </w:pPr>
  </w:style>
  <w:style w:type="paragraph" w:styleId="17">
    <w:name w:val="Body Text 3"/>
    <w:basedOn w:val="1"/>
    <w:link w:val="167"/>
    <w:unhideWhenUsed/>
    <w:uiPriority w:val="99"/>
    <w:pPr>
      <w:spacing w:after="120"/>
    </w:pPr>
    <w:rPr>
      <w:sz w:val="16"/>
      <w:szCs w:val="16"/>
    </w:rPr>
  </w:style>
  <w:style w:type="paragraph" w:styleId="18">
    <w:name w:val="caption"/>
    <w:basedOn w:val="1"/>
    <w:next w:val="1"/>
    <w:link w:val="189"/>
    <w:unhideWhenUsed/>
    <w:qFormat/>
    <w:uiPriority w:val="0"/>
    <w:pPr>
      <w:spacing w:line="240" w:lineRule="auto"/>
    </w:pPr>
    <w:rPr>
      <w:b/>
      <w:bCs/>
      <w:color w:val="4F81BD" w:themeColor="accent1"/>
      <w:sz w:val="18"/>
      <w:szCs w:val="18"/>
      <w14:textFill>
        <w14:solidFill>
          <w14:schemeClr w14:val="accent1"/>
        </w14:solidFill>
      </w14:textFill>
    </w:rPr>
  </w:style>
  <w:style w:type="character" w:styleId="19">
    <w:name w:val="annotation reference"/>
    <w:basedOn w:val="11"/>
    <w:semiHidden/>
    <w:unhideWhenUsed/>
    <w:qFormat/>
    <w:uiPriority w:val="99"/>
    <w:rPr>
      <w:sz w:val="16"/>
      <w:szCs w:val="16"/>
    </w:rPr>
  </w:style>
  <w:style w:type="paragraph" w:styleId="20">
    <w:name w:val="annotation text"/>
    <w:basedOn w:val="1"/>
    <w:link w:val="197"/>
    <w:unhideWhenUsed/>
    <w:qFormat/>
    <w:uiPriority w:val="99"/>
    <w:pPr>
      <w:spacing w:line="240" w:lineRule="auto"/>
    </w:pPr>
    <w:rPr>
      <w:rFonts w:ascii="Arial" w:hAnsi="Arial" w:eastAsia="Calibri" w:cs="Times New Roman"/>
      <w:sz w:val="20"/>
      <w:szCs w:val="20"/>
      <w:lang w:val="ro-RO"/>
    </w:rPr>
  </w:style>
  <w:style w:type="paragraph" w:styleId="21">
    <w:name w:val="annotation subject"/>
    <w:basedOn w:val="20"/>
    <w:next w:val="20"/>
    <w:link w:val="198"/>
    <w:semiHidden/>
    <w:unhideWhenUsed/>
    <w:qFormat/>
    <w:uiPriority w:val="99"/>
    <w:rPr>
      <w:b/>
      <w:bCs/>
    </w:rPr>
  </w:style>
  <w:style w:type="character" w:styleId="22">
    <w:name w:val="Emphasis"/>
    <w:basedOn w:val="11"/>
    <w:qFormat/>
    <w:uiPriority w:val="20"/>
    <w:rPr>
      <w:i/>
      <w:iCs/>
    </w:rPr>
  </w:style>
  <w:style w:type="paragraph" w:styleId="23">
    <w:name w:val="footer"/>
    <w:basedOn w:val="1"/>
    <w:link w:val="157"/>
    <w:unhideWhenUsed/>
    <w:uiPriority w:val="99"/>
    <w:pPr>
      <w:tabs>
        <w:tab w:val="center" w:pos="4680"/>
        <w:tab w:val="right" w:pos="9360"/>
      </w:tabs>
      <w:spacing w:after="0" w:line="240" w:lineRule="auto"/>
    </w:pPr>
  </w:style>
  <w:style w:type="character" w:styleId="24">
    <w:name w:val="footnote reference"/>
    <w:unhideWhenUsed/>
    <w:qFormat/>
    <w:uiPriority w:val="0"/>
    <w:rPr>
      <w:vertAlign w:val="superscript"/>
    </w:rPr>
  </w:style>
  <w:style w:type="paragraph" w:styleId="25">
    <w:name w:val="footnote text"/>
    <w:basedOn w:val="1"/>
    <w:link w:val="190"/>
    <w:unhideWhenUsed/>
    <w:qFormat/>
    <w:uiPriority w:val="0"/>
    <w:rPr>
      <w:rFonts w:ascii="Arial" w:hAnsi="Arial" w:eastAsia="Calibri" w:cs="Times New Roman"/>
      <w:sz w:val="20"/>
      <w:szCs w:val="20"/>
      <w:lang w:val="zh-CN"/>
    </w:rPr>
  </w:style>
  <w:style w:type="paragraph" w:styleId="26">
    <w:name w:val="header"/>
    <w:basedOn w:val="1"/>
    <w:link w:val="156"/>
    <w:unhideWhenUsed/>
    <w:uiPriority w:val="0"/>
    <w:pPr>
      <w:tabs>
        <w:tab w:val="center" w:pos="4680"/>
        <w:tab w:val="right" w:pos="9360"/>
      </w:tabs>
      <w:spacing w:after="0" w:line="240" w:lineRule="auto"/>
    </w:pPr>
  </w:style>
  <w:style w:type="character" w:styleId="27">
    <w:name w:val="Hyperlink"/>
    <w:qFormat/>
    <w:uiPriority w:val="99"/>
    <w:rPr>
      <w:color w:val="0000FF"/>
      <w:u w:val="single"/>
    </w:rPr>
  </w:style>
  <w:style w:type="paragraph" w:styleId="28">
    <w:name w:val="index 1"/>
    <w:basedOn w:val="1"/>
    <w:next w:val="1"/>
    <w:autoRedefine/>
    <w:semiHidden/>
    <w:unhideWhenUsed/>
    <w:qFormat/>
    <w:uiPriority w:val="99"/>
    <w:pPr>
      <w:spacing w:after="0" w:line="240" w:lineRule="auto"/>
      <w:ind w:left="220" w:hanging="220"/>
    </w:pPr>
    <w:rPr>
      <w:rFonts w:ascii="Arial" w:hAnsi="Arial" w:eastAsia="Calibri" w:cs="Times New Roman"/>
      <w:sz w:val="20"/>
      <w:lang w:val="ro-RO"/>
    </w:rPr>
  </w:style>
  <w:style w:type="paragraph" w:styleId="29">
    <w:name w:val="index heading"/>
    <w:basedOn w:val="1"/>
    <w:next w:val="28"/>
    <w:semiHidden/>
    <w:qFormat/>
    <w:uiPriority w:val="0"/>
    <w:pPr>
      <w:spacing w:after="0" w:line="240" w:lineRule="auto"/>
    </w:pPr>
    <w:rPr>
      <w:rFonts w:ascii="Arial" w:hAnsi="Arial" w:eastAsia="Times New Roman" w:cs="Arial"/>
      <w:sz w:val="20"/>
      <w:szCs w:val="20"/>
      <w:lang w:val="en-GB"/>
    </w:rPr>
  </w:style>
  <w:style w:type="paragraph" w:styleId="30">
    <w:name w:val="List"/>
    <w:basedOn w:val="1"/>
    <w:unhideWhenUsed/>
    <w:uiPriority w:val="99"/>
    <w:pPr>
      <w:ind w:left="360" w:hanging="360"/>
      <w:contextualSpacing/>
    </w:pPr>
  </w:style>
  <w:style w:type="paragraph" w:styleId="31">
    <w:name w:val="List 2"/>
    <w:basedOn w:val="1"/>
    <w:unhideWhenUsed/>
    <w:uiPriority w:val="99"/>
    <w:pPr>
      <w:ind w:left="720" w:hanging="360"/>
      <w:contextualSpacing/>
    </w:pPr>
  </w:style>
  <w:style w:type="paragraph" w:styleId="32">
    <w:name w:val="List 3"/>
    <w:basedOn w:val="1"/>
    <w:unhideWhenUsed/>
    <w:uiPriority w:val="99"/>
    <w:pPr>
      <w:ind w:left="1080" w:hanging="360"/>
      <w:contextualSpacing/>
    </w:pPr>
  </w:style>
  <w:style w:type="paragraph" w:styleId="33">
    <w:name w:val="List Bullet"/>
    <w:basedOn w:val="1"/>
    <w:unhideWhenUsed/>
    <w:uiPriority w:val="99"/>
    <w:pPr>
      <w:numPr>
        <w:ilvl w:val="0"/>
        <w:numId w:val="1"/>
      </w:numPr>
      <w:contextualSpacing/>
    </w:pPr>
  </w:style>
  <w:style w:type="paragraph" w:styleId="34">
    <w:name w:val="List Bullet 2"/>
    <w:basedOn w:val="1"/>
    <w:unhideWhenUsed/>
    <w:uiPriority w:val="99"/>
    <w:pPr>
      <w:numPr>
        <w:ilvl w:val="0"/>
        <w:numId w:val="2"/>
      </w:numPr>
      <w:contextualSpacing/>
    </w:pPr>
  </w:style>
  <w:style w:type="paragraph" w:styleId="35">
    <w:name w:val="List Bullet 3"/>
    <w:basedOn w:val="1"/>
    <w:unhideWhenUsed/>
    <w:uiPriority w:val="99"/>
    <w:pPr>
      <w:numPr>
        <w:ilvl w:val="0"/>
        <w:numId w:val="3"/>
      </w:numPr>
      <w:contextualSpacing/>
    </w:pPr>
  </w:style>
  <w:style w:type="paragraph" w:styleId="36">
    <w:name w:val="List Continue"/>
    <w:basedOn w:val="1"/>
    <w:unhideWhenUsed/>
    <w:uiPriority w:val="99"/>
    <w:pPr>
      <w:spacing w:after="120"/>
      <w:ind w:left="360"/>
      <w:contextualSpacing/>
    </w:pPr>
  </w:style>
  <w:style w:type="paragraph" w:styleId="37">
    <w:name w:val="List Continue 2"/>
    <w:basedOn w:val="1"/>
    <w:unhideWhenUsed/>
    <w:uiPriority w:val="99"/>
    <w:pPr>
      <w:spacing w:after="120"/>
      <w:ind w:left="720"/>
      <w:contextualSpacing/>
    </w:pPr>
  </w:style>
  <w:style w:type="paragraph" w:styleId="38">
    <w:name w:val="List Continue 3"/>
    <w:basedOn w:val="1"/>
    <w:unhideWhenUsed/>
    <w:uiPriority w:val="99"/>
    <w:pPr>
      <w:spacing w:after="120"/>
      <w:ind w:left="1080"/>
      <w:contextualSpacing/>
    </w:pPr>
  </w:style>
  <w:style w:type="paragraph" w:styleId="39">
    <w:name w:val="List Number"/>
    <w:basedOn w:val="1"/>
    <w:unhideWhenUsed/>
    <w:uiPriority w:val="99"/>
    <w:pPr>
      <w:numPr>
        <w:ilvl w:val="0"/>
        <w:numId w:val="4"/>
      </w:numPr>
      <w:contextualSpacing/>
    </w:pPr>
  </w:style>
  <w:style w:type="paragraph" w:styleId="40">
    <w:name w:val="List Number 2"/>
    <w:basedOn w:val="1"/>
    <w:unhideWhenUsed/>
    <w:uiPriority w:val="0"/>
    <w:pPr>
      <w:numPr>
        <w:ilvl w:val="0"/>
        <w:numId w:val="5"/>
      </w:numPr>
      <w:contextualSpacing/>
    </w:pPr>
  </w:style>
  <w:style w:type="paragraph" w:styleId="41">
    <w:name w:val="List Number 3"/>
    <w:basedOn w:val="1"/>
    <w:unhideWhenUsed/>
    <w:uiPriority w:val="99"/>
    <w:pPr>
      <w:numPr>
        <w:ilvl w:val="0"/>
        <w:numId w:val="6"/>
      </w:numPr>
      <w:contextualSpacing/>
    </w:pPr>
  </w:style>
  <w:style w:type="paragraph" w:styleId="42">
    <w:name w:val="macro"/>
    <w:link w:val="16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43">
    <w:name w:val="Normal (Web)"/>
    <w:basedOn w:val="1"/>
    <w:link w:val="188"/>
    <w:qFormat/>
    <w:uiPriority w:val="99"/>
    <w:pPr>
      <w:spacing w:after="301" w:line="301" w:lineRule="atLeast"/>
      <w:jc w:val="both"/>
    </w:pPr>
    <w:rPr>
      <w:sz w:val="21"/>
      <w:szCs w:val="21"/>
      <w:lang w:val="en-GB" w:eastAsia="en-GB"/>
    </w:rPr>
  </w:style>
  <w:style w:type="character" w:styleId="44">
    <w:name w:val="page number"/>
    <w:basedOn w:val="11"/>
    <w:semiHidden/>
    <w:unhideWhenUsed/>
    <w:qFormat/>
    <w:uiPriority w:val="99"/>
  </w:style>
  <w:style w:type="character" w:styleId="45">
    <w:name w:val="Strong"/>
    <w:basedOn w:val="11"/>
    <w:qFormat/>
    <w:uiPriority w:val="22"/>
    <w:rPr>
      <w:b/>
      <w:bCs/>
    </w:rPr>
  </w:style>
  <w:style w:type="paragraph" w:styleId="46">
    <w:name w:val="Subtitle"/>
    <w:basedOn w:val="1"/>
    <w:next w:val="1"/>
    <w:link w:val="16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47">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8">
    <w:name w:val="Title"/>
    <w:basedOn w:val="1"/>
    <w:next w:val="1"/>
    <w:link w:val="16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49">
    <w:name w:val="toc 1"/>
    <w:basedOn w:val="1"/>
    <w:next w:val="1"/>
    <w:autoRedefine/>
    <w:unhideWhenUsed/>
    <w:qFormat/>
    <w:uiPriority w:val="39"/>
    <w:pPr>
      <w:spacing w:before="240" w:after="240" w:line="240" w:lineRule="auto"/>
    </w:pPr>
    <w:rPr>
      <w:rFonts w:ascii="Arial" w:hAnsi="Arial" w:eastAsia="Calibri" w:cs="Times New Roman"/>
      <w:b/>
      <w:sz w:val="24"/>
      <w:lang w:val="ro-RO"/>
    </w:rPr>
  </w:style>
  <w:style w:type="paragraph" w:styleId="50">
    <w:name w:val="toc 2"/>
    <w:basedOn w:val="1"/>
    <w:next w:val="1"/>
    <w:autoRedefine/>
    <w:unhideWhenUsed/>
    <w:qFormat/>
    <w:uiPriority w:val="39"/>
    <w:pPr>
      <w:tabs>
        <w:tab w:val="right" w:leader="dot" w:pos="9062"/>
      </w:tabs>
      <w:spacing w:before="120" w:after="120" w:line="240" w:lineRule="auto"/>
      <w:ind w:left="221"/>
    </w:pPr>
    <w:rPr>
      <w:rFonts w:ascii="Arial" w:hAnsi="Arial" w:eastAsia="Calibri" w:cs="Times New Roman"/>
      <w:sz w:val="20"/>
      <w:lang w:val="ro-RO"/>
    </w:rPr>
  </w:style>
  <w:style w:type="paragraph" w:styleId="51">
    <w:name w:val="toc 3"/>
    <w:basedOn w:val="1"/>
    <w:next w:val="1"/>
    <w:autoRedefine/>
    <w:unhideWhenUsed/>
    <w:qFormat/>
    <w:uiPriority w:val="39"/>
    <w:pPr>
      <w:spacing w:after="100"/>
      <w:ind w:left="440"/>
    </w:pPr>
  </w:style>
  <w:style w:type="paragraph" w:styleId="52">
    <w:name w:val="toc 4"/>
    <w:basedOn w:val="1"/>
    <w:next w:val="1"/>
    <w:autoRedefine/>
    <w:unhideWhenUsed/>
    <w:qFormat/>
    <w:uiPriority w:val="39"/>
    <w:pPr>
      <w:spacing w:after="100" w:line="259" w:lineRule="auto"/>
      <w:ind w:left="660"/>
    </w:pPr>
  </w:style>
  <w:style w:type="paragraph" w:styleId="53">
    <w:name w:val="toc 5"/>
    <w:basedOn w:val="1"/>
    <w:next w:val="1"/>
    <w:autoRedefine/>
    <w:unhideWhenUsed/>
    <w:qFormat/>
    <w:uiPriority w:val="39"/>
    <w:pPr>
      <w:spacing w:after="100" w:line="259" w:lineRule="auto"/>
      <w:ind w:left="880"/>
    </w:pPr>
  </w:style>
  <w:style w:type="paragraph" w:styleId="54">
    <w:name w:val="toc 6"/>
    <w:basedOn w:val="1"/>
    <w:next w:val="1"/>
    <w:autoRedefine/>
    <w:unhideWhenUsed/>
    <w:qFormat/>
    <w:uiPriority w:val="39"/>
    <w:pPr>
      <w:spacing w:after="100" w:line="259" w:lineRule="auto"/>
      <w:ind w:left="1100"/>
    </w:pPr>
  </w:style>
  <w:style w:type="paragraph" w:styleId="55">
    <w:name w:val="toc 7"/>
    <w:basedOn w:val="1"/>
    <w:next w:val="1"/>
    <w:autoRedefine/>
    <w:unhideWhenUsed/>
    <w:qFormat/>
    <w:uiPriority w:val="39"/>
    <w:pPr>
      <w:spacing w:after="100" w:line="259" w:lineRule="auto"/>
      <w:ind w:left="1320"/>
    </w:pPr>
  </w:style>
  <w:style w:type="paragraph" w:styleId="56">
    <w:name w:val="toc 8"/>
    <w:basedOn w:val="1"/>
    <w:next w:val="1"/>
    <w:autoRedefine/>
    <w:unhideWhenUsed/>
    <w:qFormat/>
    <w:uiPriority w:val="39"/>
    <w:pPr>
      <w:spacing w:after="100" w:line="259" w:lineRule="auto"/>
      <w:ind w:left="1540"/>
    </w:pPr>
  </w:style>
  <w:style w:type="paragraph" w:styleId="57">
    <w:name w:val="toc 9"/>
    <w:basedOn w:val="1"/>
    <w:next w:val="1"/>
    <w:autoRedefine/>
    <w:unhideWhenUsed/>
    <w:qFormat/>
    <w:uiPriority w:val="39"/>
    <w:pPr>
      <w:spacing w:after="100" w:line="259" w:lineRule="auto"/>
      <w:ind w:left="1760"/>
    </w:pPr>
  </w:style>
  <w:style w:type="table" w:styleId="58">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59">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0">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61">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62">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63">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64">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65">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66">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67">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68">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69">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70">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71">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72">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73">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74">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75">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76">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77">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78">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79">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80">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81">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82">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83">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84">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85">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86">
    <w:name w:val="Medium Shading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87">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88">
    <w:name w:val="Medium Shading 2 Accent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89">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0">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1">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2">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3">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94">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95">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96">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97">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98">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99">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100">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01">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2">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03">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04">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05">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06">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07">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08">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09">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10">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11">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12">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13">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14">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15">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16">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17">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18">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19">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20">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21">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22">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23">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24">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25">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26">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27">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28">
    <w:name w:val="Dark List"/>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9">
    <w:name w:val="Dark List Accent 1"/>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30">
    <w:name w:val="Dark List Accent 2"/>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31">
    <w:name w:val="Dark List Accent 3"/>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32">
    <w:name w:val="Dark List Accent 4"/>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33">
    <w:name w:val="Dark List Accent 5"/>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34">
    <w:name w:val="Dark List Accent 6"/>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35">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36">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37">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38">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9">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0">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1">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42">
    <w:name w:val="Colorful List"/>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43">
    <w:name w:val="Colorful List Accent 1"/>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44">
    <w:name w:val="Colorful List Accent 2"/>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45">
    <w:name w:val="Colorful List Accent 3"/>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46">
    <w:name w:val="Colorful List Accent 4"/>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47">
    <w:name w:val="Colorful List Accent 5"/>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48">
    <w:name w:val="Colorful List Accent 6"/>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49">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50">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51">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52">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53">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4">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55">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56">
    <w:name w:val="Antet Caracter"/>
    <w:basedOn w:val="11"/>
    <w:link w:val="26"/>
    <w:uiPriority w:val="0"/>
  </w:style>
  <w:style w:type="character" w:customStyle="1" w:styleId="157">
    <w:name w:val="Subsol Caracter"/>
    <w:basedOn w:val="11"/>
    <w:link w:val="23"/>
    <w:uiPriority w:val="99"/>
  </w:style>
  <w:style w:type="paragraph" w:styleId="15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59">
    <w:name w:val="Titlu 1 Caracte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60">
    <w:name w:val="Titlu 2 Caracte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61">
    <w:name w:val="Titlu 3 Caracte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62">
    <w:name w:val="Titlu Caracter"/>
    <w:basedOn w:val="11"/>
    <w:link w:val="48"/>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63">
    <w:name w:val="Subtitlu Caracter"/>
    <w:basedOn w:val="11"/>
    <w:link w:val="4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64">
    <w:name w:val="List Paragraph"/>
    <w:basedOn w:val="1"/>
    <w:link w:val="191"/>
    <w:qFormat/>
    <w:uiPriority w:val="34"/>
    <w:pPr>
      <w:ind w:left="720"/>
      <w:contextualSpacing/>
    </w:pPr>
  </w:style>
  <w:style w:type="character" w:customStyle="1" w:styleId="165">
    <w:name w:val="Corp text Caracter"/>
    <w:basedOn w:val="11"/>
    <w:link w:val="15"/>
    <w:uiPriority w:val="99"/>
  </w:style>
  <w:style w:type="character" w:customStyle="1" w:styleId="166">
    <w:name w:val="Corp text 2 Caracter"/>
    <w:basedOn w:val="11"/>
    <w:link w:val="16"/>
    <w:uiPriority w:val="99"/>
  </w:style>
  <w:style w:type="character" w:customStyle="1" w:styleId="167">
    <w:name w:val="Corp text 3 Caracter"/>
    <w:basedOn w:val="11"/>
    <w:link w:val="17"/>
    <w:uiPriority w:val="99"/>
    <w:rPr>
      <w:sz w:val="16"/>
      <w:szCs w:val="16"/>
    </w:rPr>
  </w:style>
  <w:style w:type="character" w:customStyle="1" w:styleId="168">
    <w:name w:val="Text macrocomandă Caracter"/>
    <w:basedOn w:val="11"/>
    <w:link w:val="42"/>
    <w:uiPriority w:val="99"/>
    <w:rPr>
      <w:rFonts w:ascii="Courier" w:hAnsi="Courier"/>
      <w:sz w:val="20"/>
      <w:szCs w:val="20"/>
    </w:rPr>
  </w:style>
  <w:style w:type="paragraph" w:styleId="169">
    <w:name w:val="Quote"/>
    <w:basedOn w:val="1"/>
    <w:next w:val="1"/>
    <w:link w:val="170"/>
    <w:qFormat/>
    <w:uiPriority w:val="29"/>
    <w:rPr>
      <w:i/>
      <w:iCs/>
      <w:color w:val="000000" w:themeColor="text1"/>
      <w14:textFill>
        <w14:solidFill>
          <w14:schemeClr w14:val="tx1"/>
        </w14:solidFill>
      </w14:textFill>
    </w:rPr>
  </w:style>
  <w:style w:type="character" w:customStyle="1" w:styleId="170">
    <w:name w:val="Citat Caracter"/>
    <w:basedOn w:val="11"/>
    <w:link w:val="169"/>
    <w:uiPriority w:val="29"/>
    <w:rPr>
      <w:i/>
      <w:iCs/>
      <w:color w:val="000000" w:themeColor="text1"/>
      <w14:textFill>
        <w14:solidFill>
          <w14:schemeClr w14:val="tx1"/>
        </w14:solidFill>
      </w14:textFill>
    </w:rPr>
  </w:style>
  <w:style w:type="character" w:customStyle="1" w:styleId="171">
    <w:name w:val="Titlu 4 Caracter"/>
    <w:basedOn w:val="11"/>
    <w:link w:val="5"/>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72">
    <w:name w:val="Titlu 5 Caracter"/>
    <w:basedOn w:val="11"/>
    <w:link w:val="6"/>
    <w:semiHidden/>
    <w:uiPriority w:val="9"/>
    <w:rPr>
      <w:rFonts w:asciiTheme="majorHAnsi" w:hAnsiTheme="majorHAnsi" w:eastAsiaTheme="majorEastAsia" w:cstheme="majorBidi"/>
      <w:color w:val="254061" w:themeColor="accent1" w:themeShade="80"/>
    </w:rPr>
  </w:style>
  <w:style w:type="character" w:customStyle="1" w:styleId="173">
    <w:name w:val="Titlu 6 Caracter"/>
    <w:basedOn w:val="11"/>
    <w:link w:val="7"/>
    <w:semiHidden/>
    <w:uiPriority w:val="9"/>
    <w:rPr>
      <w:rFonts w:asciiTheme="majorHAnsi" w:hAnsiTheme="majorHAnsi" w:eastAsiaTheme="majorEastAsia" w:cstheme="majorBidi"/>
      <w:i/>
      <w:iCs/>
      <w:color w:val="254061" w:themeColor="accent1" w:themeShade="80"/>
    </w:rPr>
  </w:style>
  <w:style w:type="character" w:customStyle="1" w:styleId="174">
    <w:name w:val="Titlu 7 Caracte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75">
    <w:name w:val="Titlu 8 Caracte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76">
    <w:name w:val="Titlu 9 Caracte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77">
    <w:name w:val="Intense Quote"/>
    <w:basedOn w:val="1"/>
    <w:next w:val="1"/>
    <w:link w:val="17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78">
    <w:name w:val="Citat intens Caracter"/>
    <w:basedOn w:val="11"/>
    <w:link w:val="177"/>
    <w:uiPriority w:val="30"/>
    <w:rPr>
      <w:b/>
      <w:bCs/>
      <w:i/>
      <w:iCs/>
      <w:color w:val="4F81BD" w:themeColor="accent1"/>
      <w14:textFill>
        <w14:solidFill>
          <w14:schemeClr w14:val="accent1"/>
        </w14:solidFill>
      </w14:textFill>
    </w:rPr>
  </w:style>
  <w:style w:type="character" w:customStyle="1" w:styleId="17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80">
    <w:name w:val="Intense Emphasis"/>
    <w:basedOn w:val="11"/>
    <w:qFormat/>
    <w:uiPriority w:val="0"/>
    <w:rPr>
      <w:b/>
      <w:bCs/>
      <w:i/>
      <w:iCs/>
      <w:color w:val="4F81BD" w:themeColor="accent1"/>
      <w14:textFill>
        <w14:solidFill>
          <w14:schemeClr w14:val="accent1"/>
        </w14:solidFill>
      </w14:textFill>
    </w:rPr>
  </w:style>
  <w:style w:type="character" w:customStyle="1" w:styleId="181">
    <w:name w:val="Subtle Reference"/>
    <w:basedOn w:val="11"/>
    <w:qFormat/>
    <w:uiPriority w:val="31"/>
    <w:rPr>
      <w:smallCaps/>
      <w:color w:val="C0504D" w:themeColor="accent2"/>
      <w:u w:val="single"/>
      <w14:textFill>
        <w14:solidFill>
          <w14:schemeClr w14:val="accent2"/>
        </w14:solidFill>
      </w14:textFill>
    </w:rPr>
  </w:style>
  <w:style w:type="character" w:customStyle="1" w:styleId="18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83">
    <w:name w:val="Book Title"/>
    <w:basedOn w:val="11"/>
    <w:qFormat/>
    <w:uiPriority w:val="33"/>
    <w:rPr>
      <w:b/>
      <w:bCs/>
      <w:smallCaps/>
      <w:spacing w:val="5"/>
    </w:rPr>
  </w:style>
  <w:style w:type="paragraph" w:customStyle="1" w:styleId="184">
    <w:name w:val="TOC Heading"/>
    <w:basedOn w:val="2"/>
    <w:next w:val="1"/>
    <w:unhideWhenUsed/>
    <w:qFormat/>
    <w:uiPriority w:val="39"/>
    <w:pPr>
      <w:outlineLvl w:val="9"/>
    </w:pPr>
  </w:style>
  <w:style w:type="paragraph" w:customStyle="1" w:styleId="185">
    <w:name w:val="CowiClient"/>
    <w:basedOn w:val="1"/>
    <w:next w:val="14"/>
    <w:semiHidden/>
    <w:qFormat/>
    <w:uiPriority w:val="0"/>
    <w:pPr>
      <w:suppressAutoHyphens/>
      <w:spacing w:after="160" w:line="320" w:lineRule="exact"/>
    </w:pPr>
    <w:rPr>
      <w:rFonts w:ascii="Arial" w:hAnsi="Arial" w:cs="Arial"/>
      <w:sz w:val="28"/>
      <w:szCs w:val="20"/>
      <w:lang w:val="en-GB" w:eastAsia="da-DK"/>
    </w:rPr>
  </w:style>
  <w:style w:type="paragraph" w:customStyle="1" w:styleId="186">
    <w:name w:val="~BodyText"/>
    <w:basedOn w:val="1"/>
    <w:link w:val="187"/>
    <w:qFormat/>
    <w:uiPriority w:val="0"/>
    <w:pPr>
      <w:spacing w:before="260" w:after="160" w:line="260" w:lineRule="exact"/>
    </w:pPr>
    <w:rPr>
      <w:rFonts w:ascii="Arial" w:hAnsi="Arial" w:cs="Arial"/>
      <w:sz w:val="20"/>
      <w:szCs w:val="21"/>
      <w:lang w:val="en-GB" w:eastAsia="en-GB"/>
    </w:rPr>
  </w:style>
  <w:style w:type="character" w:customStyle="1" w:styleId="187">
    <w:name w:val="~BodyText Char"/>
    <w:link w:val="186"/>
    <w:qFormat/>
    <w:uiPriority w:val="0"/>
    <w:rPr>
      <w:rFonts w:ascii="Arial" w:hAnsi="Arial" w:cs="Arial"/>
      <w:sz w:val="20"/>
      <w:szCs w:val="21"/>
      <w:lang w:val="en-GB" w:eastAsia="en-GB"/>
    </w:rPr>
  </w:style>
  <w:style w:type="character" w:customStyle="1" w:styleId="188">
    <w:name w:val="Normal (Web) Caracter"/>
    <w:link w:val="43"/>
    <w:qFormat/>
    <w:uiPriority w:val="0"/>
    <w:rPr>
      <w:sz w:val="21"/>
      <w:szCs w:val="21"/>
      <w:lang w:val="en-GB" w:eastAsia="en-GB"/>
    </w:rPr>
  </w:style>
  <w:style w:type="character" w:customStyle="1" w:styleId="189">
    <w:name w:val="Legendă Caracter"/>
    <w:link w:val="18"/>
    <w:qFormat/>
    <w:uiPriority w:val="0"/>
    <w:rPr>
      <w:b/>
      <w:bCs/>
      <w:color w:val="4F81BD" w:themeColor="accent1"/>
      <w:sz w:val="18"/>
      <w:szCs w:val="18"/>
      <w14:textFill>
        <w14:solidFill>
          <w14:schemeClr w14:val="accent1"/>
        </w14:solidFill>
      </w14:textFill>
    </w:rPr>
  </w:style>
  <w:style w:type="character" w:customStyle="1" w:styleId="190">
    <w:name w:val="Text notă de subsol Caracter"/>
    <w:basedOn w:val="11"/>
    <w:link w:val="25"/>
    <w:qFormat/>
    <w:uiPriority w:val="0"/>
    <w:rPr>
      <w:rFonts w:ascii="Arial" w:hAnsi="Arial" w:eastAsia="Calibri" w:cs="Times New Roman"/>
      <w:sz w:val="20"/>
      <w:szCs w:val="20"/>
      <w:lang w:val="zh-CN"/>
    </w:rPr>
  </w:style>
  <w:style w:type="character" w:customStyle="1" w:styleId="191">
    <w:name w:val="Listă paragraf Caracter"/>
    <w:link w:val="164"/>
    <w:qFormat/>
    <w:uiPriority w:val="34"/>
  </w:style>
  <w:style w:type="paragraph" w:customStyle="1" w:styleId="192">
    <w:name w:val="~Bullet1"/>
    <w:basedOn w:val="186"/>
    <w:link w:val="193"/>
    <w:qFormat/>
    <w:uiPriority w:val="0"/>
    <w:pPr>
      <w:numPr>
        <w:ilvl w:val="0"/>
        <w:numId w:val="7"/>
      </w:numPr>
      <w:spacing w:before="0"/>
    </w:pPr>
  </w:style>
  <w:style w:type="character" w:customStyle="1" w:styleId="193">
    <w:name w:val="~Bullet1 Char"/>
    <w:basedOn w:val="187"/>
    <w:link w:val="192"/>
    <w:qFormat/>
    <w:uiPriority w:val="0"/>
    <w:rPr>
      <w:rFonts w:ascii="Arial" w:hAnsi="Arial" w:cs="Arial"/>
      <w:sz w:val="20"/>
      <w:szCs w:val="21"/>
      <w:lang w:val="en-GB" w:eastAsia="en-GB"/>
    </w:rPr>
  </w:style>
  <w:style w:type="paragraph" w:customStyle="1" w:styleId="194">
    <w:name w:val="~Bullet2"/>
    <w:basedOn w:val="192"/>
    <w:qFormat/>
    <w:uiPriority w:val="0"/>
    <w:pPr>
      <w:numPr>
        <w:ilvl w:val="1"/>
      </w:numPr>
      <w:tabs>
        <w:tab w:val="left" w:pos="360"/>
        <w:tab w:val="left" w:pos="2727"/>
      </w:tabs>
      <w:ind w:left="1800" w:hanging="360"/>
    </w:pPr>
  </w:style>
  <w:style w:type="paragraph" w:customStyle="1" w:styleId="195">
    <w:name w:val="~Bullet3"/>
    <w:basedOn w:val="194"/>
    <w:qFormat/>
    <w:uiPriority w:val="0"/>
    <w:pPr>
      <w:numPr>
        <w:ilvl w:val="2"/>
      </w:numPr>
      <w:ind w:left="2520" w:hanging="180"/>
    </w:pPr>
  </w:style>
  <w:style w:type="character" w:customStyle="1" w:styleId="196">
    <w:name w:val="Text în Balon Caracter"/>
    <w:basedOn w:val="11"/>
    <w:link w:val="13"/>
    <w:semiHidden/>
    <w:qFormat/>
    <w:uiPriority w:val="99"/>
    <w:rPr>
      <w:rFonts w:ascii="Times New Roman" w:hAnsi="Times New Roman" w:eastAsia="Calibri" w:cs="Times New Roman"/>
      <w:sz w:val="18"/>
      <w:szCs w:val="18"/>
      <w:lang w:val="ro-RO"/>
    </w:rPr>
  </w:style>
  <w:style w:type="character" w:customStyle="1" w:styleId="197">
    <w:name w:val="Text comentariu Caracter"/>
    <w:basedOn w:val="11"/>
    <w:link w:val="20"/>
    <w:qFormat/>
    <w:uiPriority w:val="99"/>
    <w:rPr>
      <w:rFonts w:ascii="Arial" w:hAnsi="Arial" w:eastAsia="Calibri" w:cs="Times New Roman"/>
      <w:sz w:val="20"/>
      <w:szCs w:val="20"/>
      <w:lang w:val="ro-RO"/>
    </w:rPr>
  </w:style>
  <w:style w:type="character" w:customStyle="1" w:styleId="198">
    <w:name w:val="Subiect Comentariu Caracter"/>
    <w:basedOn w:val="197"/>
    <w:link w:val="21"/>
    <w:semiHidden/>
    <w:qFormat/>
    <w:uiPriority w:val="99"/>
    <w:rPr>
      <w:rFonts w:ascii="Arial" w:hAnsi="Arial" w:eastAsia="Calibri" w:cs="Times New Roman"/>
      <w:b/>
      <w:bCs/>
      <w:sz w:val="20"/>
      <w:szCs w:val="20"/>
      <w:lang w:val="ro-RO"/>
    </w:rPr>
  </w:style>
  <w:style w:type="paragraph" w:customStyle="1" w:styleId="199">
    <w:name w:val="Colorful List - Accent 11"/>
    <w:basedOn w:val="1"/>
    <w:qFormat/>
    <w:uiPriority w:val="0"/>
    <w:pPr>
      <w:spacing w:after="160" w:line="259" w:lineRule="auto"/>
      <w:ind w:left="720"/>
      <w:contextualSpacing/>
    </w:pPr>
    <w:rPr>
      <w:rFonts w:ascii="Arial" w:hAnsi="Arial" w:eastAsia="Calibri"/>
      <w:sz w:val="20"/>
      <w:lang w:val="ro-RO"/>
    </w:rPr>
  </w:style>
  <w:style w:type="paragraph" w:customStyle="1" w:styleId="200">
    <w:name w:val="Default"/>
    <w:link w:val="201"/>
    <w:qFormat/>
    <w:uiPriority w:val="0"/>
    <w:pPr>
      <w:autoSpaceDE w:val="0"/>
      <w:autoSpaceDN w:val="0"/>
      <w:adjustRightInd w:val="0"/>
      <w:spacing w:after="160" w:line="276" w:lineRule="auto"/>
    </w:pPr>
    <w:rPr>
      <w:rFonts w:ascii="Arial" w:hAnsi="Arial" w:cs="Arial" w:eastAsiaTheme="minorEastAsia"/>
      <w:color w:val="000000"/>
      <w:sz w:val="24"/>
      <w:szCs w:val="24"/>
      <w:lang w:val="en-GB" w:eastAsia="en-US" w:bidi="ar-SA"/>
    </w:rPr>
  </w:style>
  <w:style w:type="character" w:customStyle="1" w:styleId="201">
    <w:name w:val="Default Char"/>
    <w:link w:val="200"/>
    <w:qFormat/>
    <w:locked/>
    <w:uiPriority w:val="0"/>
    <w:rPr>
      <w:rFonts w:ascii="Arial" w:hAnsi="Arial" w:cs="Arial"/>
      <w:color w:val="000000"/>
      <w:sz w:val="24"/>
      <w:szCs w:val="24"/>
      <w:lang w:val="en-GB"/>
    </w:rPr>
  </w:style>
  <w:style w:type="paragraph" w:customStyle="1" w:styleId="202">
    <w:name w:val="~TableTextLeft"/>
    <w:basedOn w:val="1"/>
    <w:qFormat/>
    <w:uiPriority w:val="0"/>
    <w:pPr>
      <w:spacing w:before="60" w:after="20"/>
    </w:pPr>
    <w:rPr>
      <w:rFonts w:ascii="Arial" w:hAnsi="Arial" w:cs="Arial"/>
      <w:sz w:val="17"/>
      <w:szCs w:val="21"/>
      <w:lang w:val="en-GB" w:eastAsia="en-GB"/>
    </w:rPr>
  </w:style>
  <w:style w:type="paragraph" w:customStyle="1" w:styleId="203">
    <w:name w:val="~TableTextRight"/>
    <w:basedOn w:val="202"/>
    <w:qFormat/>
    <w:uiPriority w:val="0"/>
    <w:pPr>
      <w:jc w:val="right"/>
    </w:pPr>
  </w:style>
  <w:style w:type="paragraph" w:customStyle="1" w:styleId="204">
    <w:name w:val="~RefDocSubTitle"/>
    <w:basedOn w:val="1"/>
    <w:qFormat/>
    <w:uiPriority w:val="0"/>
    <w:pPr>
      <w:spacing w:after="120" w:line="400" w:lineRule="exact"/>
      <w:jc w:val="right"/>
    </w:pPr>
    <w:rPr>
      <w:rFonts w:ascii="Arial" w:hAnsi="Arial" w:eastAsia="Times New Roman" w:cs="Arial"/>
      <w:sz w:val="30"/>
      <w:szCs w:val="24"/>
      <w:lang w:val="en-GB" w:eastAsia="en-GB"/>
    </w:rPr>
  </w:style>
  <w:style w:type="paragraph" w:customStyle="1" w:styleId="205">
    <w:name w:val="Normal (Web)1"/>
    <w:basedOn w:val="1"/>
    <w:link w:val="206"/>
    <w:qFormat/>
    <w:uiPriority w:val="0"/>
    <w:pPr>
      <w:spacing w:after="0" w:line="240" w:lineRule="auto"/>
    </w:pPr>
    <w:rPr>
      <w:rFonts w:ascii="Arial Unicode MS" w:hAnsi="Arial Unicode MS" w:eastAsia="Arial Unicode MS" w:cs="Times New Roman"/>
      <w:color w:val="000000"/>
      <w:sz w:val="24"/>
      <w:szCs w:val="24"/>
      <w:lang w:val="ro-RO" w:eastAsia="ro-RO"/>
    </w:rPr>
  </w:style>
  <w:style w:type="character" w:customStyle="1" w:styleId="206">
    <w:name w:val="Normal (Web)1 Char"/>
    <w:link w:val="205"/>
    <w:qFormat/>
    <w:uiPriority w:val="0"/>
    <w:rPr>
      <w:rFonts w:ascii="Arial Unicode MS" w:hAnsi="Arial Unicode MS" w:eastAsia="Arial Unicode MS" w:cs="Times New Roman"/>
      <w:color w:val="000000"/>
      <w:sz w:val="24"/>
      <w:szCs w:val="24"/>
      <w:lang w:val="ro-RO" w:eastAsia="ro-RO"/>
    </w:rPr>
  </w:style>
  <w:style w:type="character" w:customStyle="1" w:styleId="207">
    <w:name w:val="ln2linie"/>
    <w:basedOn w:val="11"/>
    <w:qFormat/>
    <w:uiPriority w:val="0"/>
  </w:style>
  <w:style w:type="character" w:customStyle="1" w:styleId="208">
    <w:name w:val="ln2tlinie"/>
    <w:basedOn w:val="11"/>
    <w:qFormat/>
    <w:uiPriority w:val="0"/>
  </w:style>
  <w:style w:type="paragraph" w:customStyle="1" w:styleId="209">
    <w:name w:val="OT_Cap"/>
    <w:basedOn w:val="2"/>
    <w:next w:val="1"/>
    <w:qFormat/>
    <w:uiPriority w:val="0"/>
    <w:pPr>
      <w:keepLines w:val="0"/>
      <w:widowControl w:val="0"/>
      <w:numPr>
        <w:ilvl w:val="0"/>
        <w:numId w:val="8"/>
      </w:numPr>
      <w:suppressAutoHyphens/>
      <w:spacing w:before="360" w:after="240" w:line="240" w:lineRule="auto"/>
      <w:jc w:val="both"/>
    </w:pPr>
    <w:rPr>
      <w:rFonts w:ascii="Times New Roman Bold" w:hAnsi="Times New Roman Bold" w:eastAsia="SimSun" w:cs="Times New Roman"/>
      <w:caps/>
      <w:color w:val="auto"/>
      <w:kern w:val="28"/>
      <w:szCs w:val="24"/>
      <w:lang w:eastAsia="de-DE"/>
    </w:rPr>
  </w:style>
  <w:style w:type="paragraph" w:customStyle="1" w:styleId="210">
    <w:name w:val="OT_SSubCap"/>
    <w:basedOn w:val="4"/>
    <w:next w:val="1"/>
    <w:link w:val="211"/>
    <w:qFormat/>
    <w:uiPriority w:val="0"/>
    <w:pPr>
      <w:keepLines w:val="0"/>
      <w:numPr>
        <w:ilvl w:val="2"/>
        <w:numId w:val="8"/>
      </w:numPr>
      <w:spacing w:before="240" w:after="200"/>
      <w:jc w:val="both"/>
    </w:pPr>
    <w:rPr>
      <w:rFonts w:ascii="Times New Roman Bold" w:hAnsi="Times New Roman Bold" w:eastAsia="Calibri" w:cs="Arial"/>
      <w:color w:val="auto"/>
      <w:sz w:val="20"/>
      <w:szCs w:val="26"/>
      <w:lang w:val="ro-RO"/>
    </w:rPr>
  </w:style>
  <w:style w:type="character" w:customStyle="1" w:styleId="211">
    <w:name w:val="OT_SSubCap Char"/>
    <w:basedOn w:val="11"/>
    <w:link w:val="210"/>
    <w:qFormat/>
    <w:locked/>
    <w:uiPriority w:val="0"/>
    <w:rPr>
      <w:rFonts w:ascii="Times New Roman Bold" w:hAnsi="Times New Roman Bold" w:eastAsia="Calibri" w:cs="Arial"/>
      <w:b/>
      <w:bCs/>
      <w:sz w:val="20"/>
      <w:szCs w:val="26"/>
      <w:lang w:val="ro-RO"/>
    </w:rPr>
  </w:style>
  <w:style w:type="paragraph" w:customStyle="1" w:styleId="212">
    <w:name w:val="OT_SubCap"/>
    <w:basedOn w:val="3"/>
    <w:next w:val="1"/>
    <w:qFormat/>
    <w:uiPriority w:val="0"/>
    <w:pPr>
      <w:keepLines w:val="0"/>
      <w:numPr>
        <w:ilvl w:val="1"/>
        <w:numId w:val="8"/>
      </w:numPr>
      <w:spacing w:before="240" w:after="200" w:line="240" w:lineRule="auto"/>
      <w:jc w:val="both"/>
    </w:pPr>
    <w:rPr>
      <w:rFonts w:ascii="Times New Roman Bold" w:hAnsi="Times New Roman Bold" w:eastAsia="Calibri" w:cs="Arial"/>
      <w:i/>
      <w:iCs/>
      <w:color w:val="auto"/>
      <w:sz w:val="24"/>
      <w:szCs w:val="28"/>
      <w:lang w:val="ro-RO"/>
    </w:rPr>
  </w:style>
  <w:style w:type="character" w:customStyle="1" w:styleId="213">
    <w:name w:val="panchor"/>
    <w:basedOn w:val="11"/>
    <w:qFormat/>
    <w:uiPriority w:val="0"/>
  </w:style>
  <w:style w:type="paragraph" w:customStyle="1" w:styleId="214">
    <w:name w:val="Stil Arial 11 pt Stânga-dreapta"/>
    <w:basedOn w:val="1"/>
    <w:qFormat/>
    <w:uiPriority w:val="0"/>
    <w:pPr>
      <w:spacing w:after="120" w:line="240" w:lineRule="auto"/>
      <w:jc w:val="both"/>
    </w:pPr>
    <w:rPr>
      <w:rFonts w:ascii="Arial" w:hAnsi="Arial" w:eastAsia="Times New Roman" w:cs="Times New Roman"/>
      <w:sz w:val="24"/>
    </w:rPr>
  </w:style>
  <w:style w:type="character" w:customStyle="1" w:styleId="215">
    <w:name w:val="Unresolved Mention1"/>
    <w:basedOn w:val="11"/>
    <w:semiHidden/>
    <w:unhideWhenUsed/>
    <w:qFormat/>
    <w:uiPriority w:val="99"/>
    <w:rPr>
      <w:color w:val="605E5C"/>
      <w:shd w:val="clear" w:color="auto" w:fill="E1DFDD"/>
    </w:rPr>
  </w:style>
  <w:style w:type="paragraph" w:customStyle="1" w:styleId="216">
    <w:name w:val="stil ascuns"/>
    <w:basedOn w:val="3"/>
    <w:link w:val="217"/>
    <w:qFormat/>
    <w:uiPriority w:val="0"/>
    <w:pPr>
      <w:spacing w:before="120" w:after="120" w:line="240" w:lineRule="auto"/>
      <w:jc w:val="center"/>
    </w:pPr>
    <w:rPr>
      <w:rFonts w:ascii="Arial" w:hAnsi="Arial" w:cs="Arial"/>
      <w:b w:val="0"/>
      <w:vanish/>
      <w:sz w:val="20"/>
      <w:lang w:val="ro-RO"/>
    </w:rPr>
  </w:style>
  <w:style w:type="character" w:customStyle="1" w:styleId="217">
    <w:name w:val="stil ascuns Char"/>
    <w:basedOn w:val="160"/>
    <w:link w:val="216"/>
    <w:qFormat/>
    <w:uiPriority w:val="0"/>
    <w:rPr>
      <w:rFonts w:ascii="Arial" w:hAnsi="Arial" w:cs="Arial" w:eastAsiaTheme="majorEastAsia"/>
      <w:b w:val="0"/>
      <w:vanish/>
      <w:color w:val="4F81BD" w:themeColor="accent1"/>
      <w:sz w:val="20"/>
      <w:szCs w:val="26"/>
      <w:lang w:val="ro-RO"/>
      <w14:textFill>
        <w14:solidFill>
          <w14:schemeClr w14:val="accent1"/>
        </w14:solidFill>
      </w14:textFill>
    </w:rPr>
  </w:style>
  <w:style w:type="paragraph" w:customStyle="1" w:styleId="218">
    <w:name w:val="Table Paragraph"/>
    <w:basedOn w:val="1"/>
    <w:qFormat/>
    <w:uiPriority w:val="1"/>
    <w:pPr>
      <w:widowControl w:val="0"/>
      <w:autoSpaceDE w:val="0"/>
      <w:autoSpaceDN w:val="0"/>
      <w:spacing w:after="0" w:line="240" w:lineRule="auto"/>
    </w:pPr>
    <w:rPr>
      <w:rFonts w:ascii="Tahoma" w:hAnsi="Tahoma" w:eastAsia="Microsoft Sans Serif" w:cs="Microsoft Sans Serif"/>
      <w:sz w:val="20"/>
      <w:lang w:val="ro-RO"/>
    </w:rPr>
  </w:style>
  <w:style w:type="character" w:customStyle="1" w:styleId="219">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http://lege5.ro/GetImage?id=671731" TargetMode="External"/><Relationship Id="rId8" Type="http://schemas.openxmlformats.org/officeDocument/2006/relationships/image" Target="http://lege5.ro/GetImage?id=671730" TargetMode="Externa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2474ED-0B7A-447A-A0EF-CA715F66EFD0}">
  <ds:schemaRefs/>
</ds:datastoreItem>
</file>

<file path=docProps/app.xml><?xml version="1.0" encoding="utf-8"?>
<Properties xmlns="http://schemas.openxmlformats.org/officeDocument/2006/extended-properties" xmlns:vt="http://schemas.openxmlformats.org/officeDocument/2006/docPropsVTypes">
  <Template>Normal</Template>
  <Pages>63</Pages>
  <Words>44519</Words>
  <Characters>253761</Characters>
  <Lines>2114</Lines>
  <Paragraphs>595</Paragraphs>
  <TotalTime>0</TotalTime>
  <ScaleCrop>false</ScaleCrop>
  <LinksUpToDate>false</LinksUpToDate>
  <CharactersWithSpaces>297685</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2026-01-26T14:04:00Z</dcterms:created>
  <dc:creator>python-docx</dc:creator>
  <dc:description>generated by python-docx</dc:description>
  <cp:lastModifiedBy>Legion</cp:lastModifiedBy>
  <cp:lastPrinted>2025-05-28T13:08:00Z</cp:lastPrinted>
  <dcterms:modified xsi:type="dcterms:W3CDTF">2026-02-04T17:05:54Z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CC5DEC134DE54FBAB92A0E297CA96E82_13</vt:lpwstr>
  </property>
</Properties>
</file>