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C744B" w14:textId="77777777" w:rsidR="0039040E" w:rsidRPr="0039040E" w:rsidRDefault="0039040E" w:rsidP="0039040E">
      <w:pPr>
        <w:widowControl w:val="0"/>
        <w:tabs>
          <w:tab w:val="left" w:pos="1941"/>
        </w:tabs>
        <w:spacing w:after="0" w:line="240" w:lineRule="auto"/>
        <w:jc w:val="both"/>
        <w:rPr>
          <w:rFonts w:ascii="Times New Roman" w:eastAsia="Times New Roman" w:hAnsi="Times New Roman" w:cs="Times New Roman"/>
          <w:sz w:val="24"/>
          <w:szCs w:val="24"/>
          <w:lang w:bidi="en-US"/>
        </w:rPr>
      </w:pPr>
    </w:p>
    <w:p w14:paraId="3FBA34A8" w14:textId="38E76859" w:rsidR="00D35B5E" w:rsidRPr="00D35B5E" w:rsidRDefault="00D35B5E" w:rsidP="00D35B5E">
      <w:pPr>
        <w:widowControl w:val="0"/>
        <w:tabs>
          <w:tab w:val="left" w:pos="1941"/>
        </w:tabs>
        <w:spacing w:after="0" w:line="240" w:lineRule="auto"/>
        <w:jc w:val="right"/>
        <w:rPr>
          <w:rFonts w:ascii="Times New Roman" w:eastAsia="Times New Roman" w:hAnsi="Times New Roman" w:cs="Times New Roman"/>
          <w:b/>
          <w:bCs/>
          <w:sz w:val="24"/>
          <w:szCs w:val="24"/>
          <w:lang w:bidi="en-US"/>
        </w:rPr>
      </w:pPr>
      <w:r w:rsidRPr="00D35B5E">
        <w:rPr>
          <w:rFonts w:ascii="Times New Roman" w:eastAsia="Times New Roman" w:hAnsi="Times New Roman" w:cs="Times New Roman"/>
          <w:b/>
          <w:bCs/>
          <w:sz w:val="24"/>
          <w:szCs w:val="24"/>
          <w:lang w:bidi="en-US"/>
        </w:rPr>
        <w:t>Anexă la Planul de Selecție – Componenta inițială</w:t>
      </w:r>
    </w:p>
    <w:p w14:paraId="17814210" w14:textId="77777777" w:rsidR="0039040E" w:rsidRPr="0039040E" w:rsidRDefault="0039040E" w:rsidP="0039040E">
      <w:pPr>
        <w:widowControl w:val="0"/>
        <w:tabs>
          <w:tab w:val="left" w:pos="1941"/>
        </w:tabs>
        <w:spacing w:after="0" w:line="240" w:lineRule="auto"/>
        <w:jc w:val="both"/>
        <w:rPr>
          <w:rFonts w:ascii="Times New Roman" w:eastAsia="Times New Roman" w:hAnsi="Times New Roman" w:cs="Times New Roman"/>
          <w:sz w:val="24"/>
          <w:szCs w:val="24"/>
          <w:lang w:bidi="en-US"/>
        </w:rPr>
      </w:pPr>
    </w:p>
    <w:p w14:paraId="54D01A2E" w14:textId="77777777" w:rsidR="0039040E" w:rsidRPr="0039040E" w:rsidRDefault="0039040E" w:rsidP="0039040E">
      <w:pPr>
        <w:widowControl w:val="0"/>
        <w:spacing w:after="0" w:line="240" w:lineRule="auto"/>
        <w:jc w:val="both"/>
        <w:rPr>
          <w:rFonts w:ascii="Times New Roman" w:eastAsia="Times New Roman" w:hAnsi="Times New Roman" w:cs="Times New Roman"/>
          <w:sz w:val="24"/>
          <w:szCs w:val="24"/>
          <w:lang w:bidi="en-US"/>
        </w:rPr>
      </w:pPr>
    </w:p>
    <w:p w14:paraId="4E8943A8" w14:textId="77777777" w:rsidR="0039040E" w:rsidRPr="0039040E" w:rsidRDefault="0039040E" w:rsidP="0039040E">
      <w:pPr>
        <w:widowControl w:val="0"/>
        <w:spacing w:after="0" w:line="244" w:lineRule="exact"/>
        <w:ind w:right="20"/>
        <w:jc w:val="center"/>
        <w:rPr>
          <w:rFonts w:ascii="Times New Roman" w:eastAsia="Calibri" w:hAnsi="Times New Roman" w:cs="Times New Roman"/>
          <w:b/>
          <w:sz w:val="24"/>
          <w:szCs w:val="24"/>
        </w:rPr>
      </w:pPr>
      <w:r w:rsidRPr="0039040E">
        <w:rPr>
          <w:rFonts w:ascii="Times New Roman" w:eastAsia="Calibri" w:hAnsi="Times New Roman" w:cs="Times New Roman"/>
          <w:b/>
          <w:sz w:val="24"/>
          <w:szCs w:val="24"/>
        </w:rPr>
        <w:t>SCRISOARE DE AȘTEPTĂRI</w:t>
      </w:r>
    </w:p>
    <w:p w14:paraId="02F561EC" w14:textId="77777777" w:rsidR="0039040E" w:rsidRPr="0039040E" w:rsidRDefault="0039040E" w:rsidP="0039040E">
      <w:pPr>
        <w:widowControl w:val="0"/>
        <w:spacing w:after="0" w:line="240" w:lineRule="exact"/>
        <w:jc w:val="center"/>
        <w:rPr>
          <w:rFonts w:ascii="Times New Roman" w:eastAsia="Calibri" w:hAnsi="Times New Roman" w:cs="Times New Roman"/>
          <w:b/>
          <w:sz w:val="24"/>
          <w:szCs w:val="24"/>
        </w:rPr>
      </w:pPr>
      <w:r w:rsidRPr="0039040E">
        <w:rPr>
          <w:rFonts w:ascii="Times New Roman" w:eastAsia="Calibri" w:hAnsi="Times New Roman" w:cs="Times New Roman"/>
          <w:b/>
          <w:sz w:val="24"/>
          <w:szCs w:val="24"/>
        </w:rPr>
        <w:t>privind performanțele așteptate de la organele de administrare și de conducere ale</w:t>
      </w:r>
    </w:p>
    <w:p w14:paraId="1ABA3EB4" w14:textId="5DCAA75D" w:rsidR="0039040E" w:rsidRPr="0039040E" w:rsidRDefault="0039040E" w:rsidP="0039040E">
      <w:pPr>
        <w:widowControl w:val="0"/>
        <w:spacing w:after="0" w:line="240" w:lineRule="exact"/>
        <w:jc w:val="center"/>
        <w:rPr>
          <w:rFonts w:ascii="Times New Roman" w:eastAsia="Calibri" w:hAnsi="Times New Roman" w:cs="Times New Roman"/>
          <w:b/>
          <w:sz w:val="24"/>
          <w:szCs w:val="24"/>
        </w:rPr>
      </w:pPr>
      <w:r w:rsidRPr="0039040E">
        <w:rPr>
          <w:rFonts w:ascii="Times New Roman" w:eastAsia="Calibri" w:hAnsi="Times New Roman" w:cs="Times New Roman"/>
          <w:b/>
          <w:sz w:val="24"/>
          <w:szCs w:val="24"/>
        </w:rPr>
        <w:t>S</w:t>
      </w:r>
      <w:r>
        <w:rPr>
          <w:rFonts w:ascii="Times New Roman" w:eastAsia="Calibri" w:hAnsi="Times New Roman" w:cs="Times New Roman"/>
          <w:b/>
          <w:sz w:val="24"/>
          <w:szCs w:val="24"/>
        </w:rPr>
        <w:t>.</w:t>
      </w:r>
      <w:r w:rsidRPr="0039040E">
        <w:rPr>
          <w:rFonts w:ascii="Times New Roman" w:eastAsia="Calibri" w:hAnsi="Times New Roman" w:cs="Times New Roman"/>
          <w:b/>
          <w:sz w:val="24"/>
          <w:szCs w:val="24"/>
        </w:rPr>
        <w:t>C</w:t>
      </w:r>
      <w:r>
        <w:rPr>
          <w:rFonts w:ascii="Times New Roman" w:eastAsia="Calibri" w:hAnsi="Times New Roman" w:cs="Times New Roman"/>
          <w:b/>
          <w:sz w:val="24"/>
          <w:szCs w:val="24"/>
        </w:rPr>
        <w:t>.</w:t>
      </w:r>
      <w:r w:rsidRPr="0039040E">
        <w:rPr>
          <w:rFonts w:ascii="Times New Roman" w:eastAsia="Calibri" w:hAnsi="Times New Roman" w:cs="Times New Roman"/>
          <w:b/>
          <w:sz w:val="24"/>
          <w:szCs w:val="24"/>
        </w:rPr>
        <w:t xml:space="preserve"> Pie</w:t>
      </w:r>
      <w:r>
        <w:rPr>
          <w:rFonts w:ascii="Times New Roman" w:eastAsia="Calibri" w:hAnsi="Times New Roman" w:cs="Times New Roman"/>
          <w:b/>
          <w:sz w:val="24"/>
          <w:szCs w:val="24"/>
        </w:rPr>
        <w:t>ț</w:t>
      </w:r>
      <w:r w:rsidRPr="0039040E">
        <w:rPr>
          <w:rFonts w:ascii="Times New Roman" w:eastAsia="Calibri" w:hAnsi="Times New Roman" w:cs="Times New Roman"/>
          <w:b/>
          <w:sz w:val="24"/>
          <w:szCs w:val="24"/>
        </w:rPr>
        <w:t>e Servicii Comunitare Muscel S</w:t>
      </w:r>
      <w:r>
        <w:rPr>
          <w:rFonts w:ascii="Times New Roman" w:eastAsia="Calibri" w:hAnsi="Times New Roman" w:cs="Times New Roman"/>
          <w:b/>
          <w:sz w:val="24"/>
          <w:szCs w:val="24"/>
        </w:rPr>
        <w:t>.</w:t>
      </w:r>
      <w:r w:rsidRPr="0039040E">
        <w:rPr>
          <w:rFonts w:ascii="Times New Roman" w:eastAsia="Calibri" w:hAnsi="Times New Roman" w:cs="Times New Roman"/>
          <w:b/>
          <w:sz w:val="24"/>
          <w:szCs w:val="24"/>
        </w:rPr>
        <w:t>R</w:t>
      </w:r>
      <w:r>
        <w:rPr>
          <w:rFonts w:ascii="Times New Roman" w:eastAsia="Calibri" w:hAnsi="Times New Roman" w:cs="Times New Roman"/>
          <w:b/>
          <w:sz w:val="24"/>
          <w:szCs w:val="24"/>
        </w:rPr>
        <w:t>.</w:t>
      </w:r>
      <w:r w:rsidRPr="0039040E">
        <w:rPr>
          <w:rFonts w:ascii="Times New Roman" w:eastAsia="Calibri" w:hAnsi="Times New Roman" w:cs="Times New Roman"/>
          <w:b/>
          <w:sz w:val="24"/>
          <w:szCs w:val="24"/>
        </w:rPr>
        <w:t>L</w:t>
      </w:r>
      <w:r>
        <w:rPr>
          <w:rFonts w:ascii="Times New Roman" w:eastAsia="Calibri" w:hAnsi="Times New Roman" w:cs="Times New Roman"/>
          <w:b/>
          <w:sz w:val="24"/>
          <w:szCs w:val="24"/>
        </w:rPr>
        <w:t>.</w:t>
      </w:r>
    </w:p>
    <w:p w14:paraId="76043A0F" w14:textId="77777777" w:rsidR="0039040E" w:rsidRPr="0039040E" w:rsidRDefault="0039040E" w:rsidP="0039040E">
      <w:pPr>
        <w:widowControl w:val="0"/>
        <w:spacing w:after="0" w:line="240" w:lineRule="exact"/>
        <w:jc w:val="center"/>
        <w:rPr>
          <w:rFonts w:ascii="Times New Roman" w:eastAsia="Calibri" w:hAnsi="Times New Roman" w:cs="Times New Roman"/>
          <w:b/>
          <w:sz w:val="24"/>
          <w:szCs w:val="24"/>
        </w:rPr>
      </w:pPr>
    </w:p>
    <w:p w14:paraId="1B344AE9" w14:textId="77777777" w:rsidR="0039040E" w:rsidRPr="0039040E" w:rsidRDefault="0039040E" w:rsidP="0039040E">
      <w:pPr>
        <w:widowControl w:val="0"/>
        <w:spacing w:after="0" w:line="240" w:lineRule="exact"/>
        <w:jc w:val="both"/>
        <w:rPr>
          <w:rFonts w:ascii="Times New Roman" w:eastAsia="Calibri" w:hAnsi="Times New Roman" w:cs="Times New Roman"/>
          <w:b/>
          <w:sz w:val="24"/>
          <w:szCs w:val="24"/>
        </w:rPr>
      </w:pPr>
    </w:p>
    <w:p w14:paraId="402A910E" w14:textId="485D2CF4" w:rsidR="0039040E" w:rsidRPr="0039040E" w:rsidRDefault="0039040E" w:rsidP="0039040E">
      <w:pPr>
        <w:widowControl w:val="0"/>
        <w:spacing w:after="0" w:line="240" w:lineRule="auto"/>
        <w:ind w:firstLine="740"/>
        <w:jc w:val="both"/>
        <w:rPr>
          <w:rFonts w:ascii="Times New Roman" w:eastAsia="Calibri" w:hAnsi="Times New Roman" w:cs="Times New Roman"/>
          <w:sz w:val="24"/>
          <w:szCs w:val="24"/>
        </w:rPr>
      </w:pPr>
      <w:r w:rsidRPr="0039040E">
        <w:rPr>
          <w:rFonts w:ascii="Times New Roman" w:eastAsia="Calibri" w:hAnsi="Times New Roman" w:cs="Times New Roman"/>
          <w:sz w:val="24"/>
          <w:szCs w:val="24"/>
        </w:rPr>
        <w:t>Prezentul document a fost întocmit în conformitate cu prevederile Ordonanței de urgența a Guvernului  nr. 109/2011 privind guvernanța corporativă a întreprinderilor publice, aprobată cu modificări și completări prin Legea nr. 111/2016, cu modificările și completările ulterioare și ale Hotărârii Guvernului nr. 639/2023 pentru aprobarea normelor metodologice de aplicare a Ordonanței de  urgența a Guvernului nr.109/2011 privind guvernanța corporativă  a întreprinderilor publice și face parte din  setul de documente obligatorii cu care începe procesul de selecție a membrilor consiliului de administrație al societății</w:t>
      </w:r>
      <w:r w:rsidRPr="0039040E">
        <w:rPr>
          <w:rFonts w:ascii="Calibri" w:eastAsia="Calibri" w:hAnsi="Calibri" w:cs="Times New Roman"/>
        </w:rPr>
        <w:t xml:space="preserve"> </w:t>
      </w:r>
      <w:r w:rsidRPr="0039040E">
        <w:rPr>
          <w:rFonts w:ascii="Times New Roman" w:eastAsia="Calibri" w:hAnsi="Times New Roman" w:cs="Times New Roman"/>
          <w:sz w:val="24"/>
          <w:szCs w:val="24"/>
        </w:rPr>
        <w:t>S.C. Piețe Servicii Comunitare Muscel S.R.L..</w:t>
      </w:r>
    </w:p>
    <w:p w14:paraId="3C0B99B5" w14:textId="77777777" w:rsidR="0039040E" w:rsidRPr="0039040E" w:rsidRDefault="0039040E" w:rsidP="0039040E">
      <w:pPr>
        <w:widowControl w:val="0"/>
        <w:shd w:val="clear" w:color="auto" w:fill="FFFFFF"/>
        <w:spacing w:after="0" w:line="244" w:lineRule="exact"/>
        <w:ind w:firstLine="720"/>
        <w:jc w:val="both"/>
        <w:rPr>
          <w:rFonts w:ascii="Times New Roman" w:eastAsia="Calibri" w:hAnsi="Times New Roman" w:cs="Times New Roman"/>
          <w:sz w:val="24"/>
          <w:szCs w:val="24"/>
        </w:rPr>
      </w:pPr>
      <w:r w:rsidRPr="0039040E">
        <w:rPr>
          <w:rFonts w:ascii="Times New Roman" w:eastAsia="Calibri" w:hAnsi="Times New Roman" w:cs="Times New Roman"/>
          <w:sz w:val="24"/>
          <w:szCs w:val="24"/>
        </w:rPr>
        <w:t>Municipiul Câmpulung, în calitate autoritate tutelară a societății S.C. Piețe-Servicii Comunitare Muscel S.R.L., stabilește prin acest document așteptările privind performanțele așteptate de la organele de administrare și conducere ale societății care se definește ca întreprindere publică și  cuprinde obiectivele societății pentru următoarea perioada de mandat a administratorilor din consiliul de administrație al SC PIEȚE-SERVICII COMUNITARE MUSCEL S.R.L, respectiv pentru  perioada 2026 – 2030.</w:t>
      </w:r>
    </w:p>
    <w:p w14:paraId="24148381" w14:textId="77777777" w:rsidR="0039040E" w:rsidRPr="0039040E" w:rsidRDefault="0039040E" w:rsidP="0039040E">
      <w:pPr>
        <w:widowControl w:val="0"/>
        <w:spacing w:after="0" w:line="240" w:lineRule="auto"/>
        <w:ind w:firstLine="734"/>
        <w:jc w:val="both"/>
        <w:rPr>
          <w:rFonts w:ascii="Times New Roman" w:eastAsia="Calibri" w:hAnsi="Times New Roman" w:cs="Times New Roman"/>
          <w:sz w:val="24"/>
          <w:szCs w:val="24"/>
        </w:rPr>
      </w:pPr>
      <w:r w:rsidRPr="0039040E">
        <w:rPr>
          <w:rFonts w:ascii="Times New Roman" w:eastAsia="Calibri" w:hAnsi="Times New Roman" w:cs="Times New Roman"/>
          <w:sz w:val="24"/>
          <w:szCs w:val="24"/>
        </w:rPr>
        <w:t>Pe baza Scrisorii de așteptări, candidații aflați pe lista scurtă redactează Declarația de intenție în care prezintă perspectiva personală privind dezvoltarea societății, prin prisma poziției pe care dorește să o ocupe în cadrul consiliului, iar candidații selectați pentru poziția de administrator în cadrul consiliului de administrație al societății vor întocmi Planul de administrare al societății pentru următoarea perioada de mandat, în vederea realizării obiectivelor stabilite pentru aceasta perioada.</w:t>
      </w:r>
    </w:p>
    <w:p w14:paraId="4205C208" w14:textId="77777777" w:rsidR="0039040E" w:rsidRPr="0039040E" w:rsidRDefault="0039040E" w:rsidP="0039040E">
      <w:pPr>
        <w:widowControl w:val="0"/>
        <w:spacing w:after="0" w:line="240" w:lineRule="auto"/>
        <w:ind w:firstLine="734"/>
        <w:jc w:val="both"/>
        <w:rPr>
          <w:rFonts w:ascii="Times New Roman" w:eastAsia="Calibri" w:hAnsi="Times New Roman" w:cs="Times New Roman"/>
          <w:sz w:val="24"/>
          <w:szCs w:val="24"/>
        </w:rPr>
      </w:pPr>
    </w:p>
    <w:p w14:paraId="71F18266" w14:textId="77777777" w:rsidR="0039040E" w:rsidRPr="0039040E" w:rsidRDefault="0039040E" w:rsidP="0039040E">
      <w:pPr>
        <w:keepNext/>
        <w:keepLines/>
        <w:spacing w:after="13" w:line="249" w:lineRule="auto"/>
        <w:ind w:left="563" w:hanging="10"/>
        <w:jc w:val="both"/>
        <w:outlineLvl w:val="0"/>
        <w:rPr>
          <w:rFonts w:ascii="Times New Roman" w:eastAsia="Times New Roman" w:hAnsi="Times New Roman" w:cs="Times New Roman"/>
          <w:b/>
          <w:color w:val="000000"/>
          <w:kern w:val="2"/>
          <w:sz w:val="24"/>
          <w:szCs w:val="24"/>
          <w:lang w:eastAsia="ro-RO"/>
        </w:rPr>
      </w:pPr>
      <w:r w:rsidRPr="0039040E">
        <w:rPr>
          <w:rFonts w:ascii="Times New Roman" w:eastAsia="Times New Roman" w:hAnsi="Times New Roman" w:cs="Times New Roman"/>
          <w:b/>
          <w:color w:val="000000"/>
          <w:kern w:val="2"/>
          <w:sz w:val="24"/>
          <w:szCs w:val="24"/>
          <w:lang w:eastAsia="ro-RO"/>
        </w:rPr>
        <w:t>II. Cadrul legal</w:t>
      </w:r>
    </w:p>
    <w:p w14:paraId="5924668F" w14:textId="77777777" w:rsidR="0039040E" w:rsidRPr="0039040E" w:rsidRDefault="0039040E" w:rsidP="0039040E">
      <w:pPr>
        <w:widowControl w:val="0"/>
        <w:spacing w:after="0" w:line="264" w:lineRule="exact"/>
        <w:ind w:firstLine="740"/>
        <w:jc w:val="both"/>
        <w:rPr>
          <w:rFonts w:ascii="Times New Roman" w:eastAsia="Calibri" w:hAnsi="Times New Roman" w:cs="Times New Roman"/>
          <w:sz w:val="24"/>
          <w:szCs w:val="24"/>
        </w:rPr>
      </w:pPr>
      <w:r w:rsidRPr="0039040E">
        <w:rPr>
          <w:rFonts w:ascii="Times New Roman" w:eastAsia="Calibri" w:hAnsi="Times New Roman" w:cs="Times New Roman"/>
          <w:sz w:val="24"/>
          <w:szCs w:val="24"/>
          <w:lang w:eastAsia="ro-RO"/>
        </w:rPr>
        <w:tab/>
      </w:r>
      <w:r w:rsidRPr="0039040E">
        <w:rPr>
          <w:rFonts w:ascii="Times New Roman" w:eastAsia="Calibri" w:hAnsi="Times New Roman" w:cs="Times New Roman"/>
          <w:sz w:val="24"/>
          <w:szCs w:val="24"/>
        </w:rPr>
        <w:t>Activitatea S.C. Piețe-Servicii Comunitare Muscel S.R.L. este reglementată prin legislatia aplicabila societatilor comerciale din Romania, coroborata cu legislatia specifica privind asigurarea serviciului public de intretinere, administrare si exploatare a pietelor agroalimentare si targului din Municipiul Campulung, atribuite prin concesiune, precum si exploatarea bunurilor proprietate publica aferente acestora.</w:t>
      </w:r>
    </w:p>
    <w:p w14:paraId="647F5E2E" w14:textId="77777777" w:rsidR="0039040E" w:rsidRPr="0039040E" w:rsidRDefault="0039040E" w:rsidP="0039040E">
      <w:pPr>
        <w:widowControl w:val="0"/>
        <w:numPr>
          <w:ilvl w:val="0"/>
          <w:numId w:val="1"/>
        </w:numPr>
        <w:spacing w:after="4" w:line="270" w:lineRule="auto"/>
        <w:ind w:right="6" w:firstLine="426"/>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Legea nr. 31/1990 a societăților, republicată, cu modificările și completările ulterioare;</w:t>
      </w:r>
    </w:p>
    <w:p w14:paraId="054CE993" w14:textId="77777777" w:rsidR="0039040E" w:rsidRPr="0039040E" w:rsidRDefault="0039040E" w:rsidP="0039040E">
      <w:pPr>
        <w:widowControl w:val="0"/>
        <w:numPr>
          <w:ilvl w:val="0"/>
          <w:numId w:val="1"/>
        </w:numPr>
        <w:spacing w:after="4" w:line="270" w:lineRule="auto"/>
        <w:ind w:right="6" w:firstLine="426"/>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Legea nr. 51/2006 a serviciilor comunitare de utilităţi publice, republicată, cu modificările șicompletărilr ulterioare;</w:t>
      </w:r>
    </w:p>
    <w:p w14:paraId="72A95E3A" w14:textId="77777777" w:rsidR="0039040E" w:rsidRPr="0039040E" w:rsidRDefault="0039040E" w:rsidP="0039040E">
      <w:pPr>
        <w:widowControl w:val="0"/>
        <w:numPr>
          <w:ilvl w:val="0"/>
          <w:numId w:val="1"/>
        </w:numPr>
        <w:spacing w:after="4" w:line="270" w:lineRule="auto"/>
        <w:ind w:right="6" w:firstLine="426"/>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Legea nr. 82/1991 a contabilității, republicată, cu modificările și completările ulterioare;</w:t>
      </w:r>
    </w:p>
    <w:p w14:paraId="6690CF41" w14:textId="77777777" w:rsidR="0039040E" w:rsidRPr="0039040E" w:rsidRDefault="0039040E" w:rsidP="0039040E">
      <w:pPr>
        <w:widowControl w:val="0"/>
        <w:numPr>
          <w:ilvl w:val="0"/>
          <w:numId w:val="1"/>
        </w:numPr>
        <w:spacing w:after="4" w:line="270" w:lineRule="auto"/>
        <w:ind w:right="6" w:firstLine="426"/>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Ordinul ministrului finanțelor publice nr. 1802/2014 pentru aprobarea Reglementărilor contabile privind situațiile financiare anuale individuale și situațiile financiare anuale consolidate, cu modificările și completările ulterioare;</w:t>
      </w:r>
    </w:p>
    <w:p w14:paraId="5C6BD7F0" w14:textId="77777777" w:rsidR="0039040E" w:rsidRPr="0039040E" w:rsidRDefault="0039040E" w:rsidP="0039040E">
      <w:pPr>
        <w:widowControl w:val="0"/>
        <w:numPr>
          <w:ilvl w:val="0"/>
          <w:numId w:val="1"/>
        </w:numPr>
        <w:spacing w:after="4" w:line="270" w:lineRule="auto"/>
        <w:ind w:right="6" w:firstLine="426"/>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Ordonanța Guvernului nr. 26/2013, privind întărirea disciplinei financiare la nivelul unoroperatori economici la care statul sau unitățile administrativ-teritoriale sunt acționari unici ori majoritari sau dețin direct ori indirect o participație, cu modificările și completările ulterioare;</w:t>
      </w:r>
    </w:p>
    <w:p w14:paraId="3047FE89" w14:textId="77777777" w:rsidR="0039040E" w:rsidRPr="0039040E" w:rsidRDefault="0039040E" w:rsidP="0039040E">
      <w:pPr>
        <w:widowControl w:val="0"/>
        <w:numPr>
          <w:ilvl w:val="0"/>
          <w:numId w:val="1"/>
        </w:numPr>
        <w:spacing w:after="4" w:line="270" w:lineRule="auto"/>
        <w:ind w:left="-15" w:right="6" w:firstLine="426"/>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lastRenderedPageBreak/>
        <w:t>Ordonanța de Urgență a Guvernului nr. 109/2011 privind guvernanța corporativă a întreprinderilor publice, cu modificările și completările ulterioare;</w:t>
      </w:r>
    </w:p>
    <w:p w14:paraId="54FC9A45" w14:textId="77777777" w:rsidR="0039040E" w:rsidRPr="0039040E" w:rsidRDefault="0039040E" w:rsidP="0039040E">
      <w:pPr>
        <w:widowControl w:val="0"/>
        <w:numPr>
          <w:ilvl w:val="0"/>
          <w:numId w:val="1"/>
        </w:numPr>
        <w:spacing w:after="4" w:line="270" w:lineRule="auto"/>
        <w:ind w:right="6" w:firstLine="426"/>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Hotărârea Guvernului nr. 639/2023 pentru pentru aprobarea normelor metodologice deaplicare a Ordonanţei de urgenţă a Guvernului nr. 109/2011 privind guvernanţa corporativă a întreprinderilor publice;</w:t>
      </w:r>
    </w:p>
    <w:p w14:paraId="79B7345C" w14:textId="77777777" w:rsidR="0039040E" w:rsidRPr="0039040E" w:rsidRDefault="0039040E" w:rsidP="0039040E">
      <w:pPr>
        <w:widowControl w:val="0"/>
        <w:numPr>
          <w:ilvl w:val="0"/>
          <w:numId w:val="1"/>
        </w:numPr>
        <w:spacing w:after="48" w:line="240" w:lineRule="auto"/>
        <w:ind w:right="6" w:firstLine="426"/>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Ordonanța  Guvernului nr. 71/2002 privind organizarea și funcționarea serviciilor publice de administrare a domeniului public și privat de interes local, cu modificările și completările ulterioare;</w:t>
      </w:r>
    </w:p>
    <w:p w14:paraId="0460B1D3" w14:textId="77777777" w:rsidR="0039040E" w:rsidRPr="0039040E" w:rsidRDefault="0039040E" w:rsidP="0039040E">
      <w:pPr>
        <w:widowControl w:val="0"/>
        <w:numPr>
          <w:ilvl w:val="0"/>
          <w:numId w:val="1"/>
        </w:numPr>
        <w:spacing w:after="48" w:line="240" w:lineRule="auto"/>
        <w:ind w:right="6" w:firstLine="426"/>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Hotărârea Guvernului nr. 348/2004 privind exercitarea comerțului cu produse și servicii de piață în unele zone publice;</w:t>
      </w:r>
    </w:p>
    <w:p w14:paraId="0C929DA2" w14:textId="77777777" w:rsidR="0039040E" w:rsidRPr="0039040E" w:rsidRDefault="0039040E" w:rsidP="0039040E">
      <w:pPr>
        <w:widowControl w:val="0"/>
        <w:numPr>
          <w:ilvl w:val="0"/>
          <w:numId w:val="1"/>
        </w:numPr>
        <w:spacing w:after="48" w:line="240" w:lineRule="auto"/>
        <w:ind w:right="6" w:firstLine="284"/>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Ordonanța Guvernului nr. 99/2000 privind comercializarea produselor si serviciilor de piață, republicată, cu modificările și completările ulterioare;</w:t>
      </w:r>
    </w:p>
    <w:p w14:paraId="6FB6093E" w14:textId="77777777" w:rsidR="0039040E" w:rsidRPr="0039040E" w:rsidRDefault="0039040E" w:rsidP="0039040E">
      <w:pPr>
        <w:widowControl w:val="0"/>
        <w:numPr>
          <w:ilvl w:val="0"/>
          <w:numId w:val="1"/>
        </w:numPr>
        <w:spacing w:after="281" w:line="240" w:lineRule="auto"/>
        <w:ind w:right="6" w:firstLine="284"/>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Legea nr. 145/2014 pentru stabilirea unor măsuri de reglementare a pieței produselor din sectorul agricol, cu modificările și completările ulterioare.</w:t>
      </w:r>
    </w:p>
    <w:p w14:paraId="358D94F9" w14:textId="77777777" w:rsidR="0039040E" w:rsidRPr="0039040E" w:rsidRDefault="0039040E" w:rsidP="0039040E">
      <w:pPr>
        <w:keepNext/>
        <w:keepLines/>
        <w:spacing w:after="13" w:line="249" w:lineRule="auto"/>
        <w:ind w:firstLine="568"/>
        <w:jc w:val="both"/>
        <w:outlineLvl w:val="0"/>
        <w:rPr>
          <w:rFonts w:ascii="Times New Roman" w:eastAsia="Times New Roman" w:hAnsi="Times New Roman" w:cs="Times New Roman"/>
          <w:b/>
          <w:color w:val="000000"/>
          <w:kern w:val="2"/>
          <w:sz w:val="24"/>
          <w:szCs w:val="24"/>
          <w:lang w:eastAsia="ro-RO"/>
        </w:rPr>
      </w:pPr>
      <w:r w:rsidRPr="0039040E">
        <w:rPr>
          <w:rFonts w:ascii="Times New Roman" w:eastAsia="Times New Roman" w:hAnsi="Times New Roman" w:cs="Times New Roman"/>
          <w:b/>
          <w:color w:val="000000"/>
          <w:kern w:val="2"/>
          <w:sz w:val="24"/>
          <w:szCs w:val="24"/>
          <w:lang w:eastAsia="ro-RO"/>
        </w:rPr>
        <w:t>III. Sinteza strategiei guvernamentale și locale cu privire la domeniul în care acționează societatea S.C. Piețe-Servicii Comunitare Muscel S.R.L.</w:t>
      </w:r>
    </w:p>
    <w:p w14:paraId="1398DB44" w14:textId="6DE34387" w:rsidR="0039040E" w:rsidRPr="0039040E" w:rsidRDefault="0039040E" w:rsidP="0039040E">
      <w:pPr>
        <w:widowControl w:val="0"/>
        <w:spacing w:after="0" w:line="240" w:lineRule="auto"/>
        <w:ind w:left="-15" w:right="6"/>
        <w:jc w:val="both"/>
        <w:rPr>
          <w:rFonts w:ascii="Times New Roman" w:eastAsia="Times New Roman" w:hAnsi="Times New Roman" w:cs="Times New Roman"/>
          <w:b/>
          <w:color w:val="000000"/>
          <w:sz w:val="24"/>
          <w:szCs w:val="24"/>
          <w:lang w:bidi="en-US"/>
        </w:rPr>
      </w:pPr>
      <w:r w:rsidRPr="0039040E">
        <w:rPr>
          <w:rFonts w:ascii="Times New Roman" w:eastAsia="Times New Roman" w:hAnsi="Times New Roman" w:cs="Times New Roman"/>
          <w:b/>
          <w:color w:val="000000"/>
          <w:sz w:val="24"/>
          <w:szCs w:val="24"/>
          <w:lang w:bidi="en-US"/>
        </w:rPr>
        <w:t xml:space="preserve">       Întreprinderile publice - societăți </w:t>
      </w:r>
      <w:r w:rsidRPr="0039040E">
        <w:rPr>
          <w:rFonts w:ascii="Times New Roman" w:eastAsia="Times New Roman" w:hAnsi="Times New Roman" w:cs="Times New Roman"/>
          <w:color w:val="000000"/>
          <w:sz w:val="24"/>
          <w:szCs w:val="24"/>
          <w:lang w:bidi="en-US"/>
        </w:rPr>
        <w:t xml:space="preserve">la care unitățile administrativ-teritoriale dețin participații integrale sau majoritare - reprezintă un segment important al economiei naționale și, în consecință, lichiditatea, solvabilitatea și </w:t>
      </w:r>
      <w:r w:rsidR="00B66E34" w:rsidRPr="0039040E">
        <w:rPr>
          <w:rFonts w:ascii="Times New Roman" w:eastAsia="Times New Roman" w:hAnsi="Times New Roman" w:cs="Times New Roman"/>
          <w:color w:val="000000"/>
          <w:sz w:val="24"/>
          <w:szCs w:val="24"/>
          <w:lang w:bidi="en-US"/>
        </w:rPr>
        <w:t>funcționalitatea</w:t>
      </w:r>
      <w:r w:rsidRPr="0039040E">
        <w:rPr>
          <w:rFonts w:ascii="Times New Roman" w:eastAsia="Times New Roman" w:hAnsi="Times New Roman" w:cs="Times New Roman"/>
          <w:color w:val="000000"/>
          <w:sz w:val="24"/>
          <w:szCs w:val="24"/>
          <w:lang w:bidi="en-US"/>
        </w:rPr>
        <w:t xml:space="preserve"> acestor societăți au o influentă determinantă asupra stabilității economiei.</w:t>
      </w:r>
    </w:p>
    <w:p w14:paraId="6A208C21" w14:textId="77777777" w:rsidR="0039040E" w:rsidRPr="0039040E" w:rsidRDefault="0039040E" w:rsidP="0039040E">
      <w:pPr>
        <w:keepNext/>
        <w:keepLines/>
        <w:spacing w:after="16"/>
        <w:ind w:right="3"/>
        <w:jc w:val="both"/>
        <w:outlineLvl w:val="0"/>
        <w:rPr>
          <w:rFonts w:ascii="Times New Roman" w:eastAsia="Times New Roman" w:hAnsi="Times New Roman" w:cs="Times New Roman"/>
          <w:color w:val="000000"/>
          <w:kern w:val="2"/>
          <w:sz w:val="24"/>
          <w:szCs w:val="24"/>
          <w:lang w:eastAsia="ro-RO"/>
        </w:rPr>
      </w:pPr>
      <w:r w:rsidRPr="0039040E">
        <w:rPr>
          <w:rFonts w:ascii="Times New Roman" w:eastAsia="Times New Roman" w:hAnsi="Times New Roman" w:cs="Times New Roman"/>
          <w:b/>
          <w:color w:val="000000"/>
          <w:kern w:val="2"/>
          <w:sz w:val="24"/>
          <w:szCs w:val="24"/>
          <w:lang w:eastAsia="ro-RO"/>
        </w:rPr>
        <w:t xml:space="preserve">          Reforma sistemului de guvernanță corporativă a întreprinderilor publice</w:t>
      </w:r>
      <w:r w:rsidRPr="0039040E">
        <w:rPr>
          <w:rFonts w:ascii="Times New Roman" w:eastAsia="Times New Roman" w:hAnsi="Times New Roman" w:cs="Times New Roman"/>
          <w:color w:val="000000"/>
          <w:kern w:val="2"/>
          <w:sz w:val="24"/>
          <w:szCs w:val="24"/>
          <w:lang w:eastAsia="ro-RO"/>
        </w:rPr>
        <w:t>, prin îmbunătățirea cadrului procedural de implementare a principiilor  guvernanței  corporative în cadrul societăților la care unitățile-administrativ locale sunt acționari majoritari, constituie una dintre prioritățile Programului de Guvernare</w:t>
      </w:r>
      <w:r w:rsidRPr="0039040E">
        <w:rPr>
          <w:rFonts w:ascii="Times New Roman" w:eastAsia="Times New Roman" w:hAnsi="Times New Roman" w:cs="Times New Roman"/>
          <w:b/>
          <w:color w:val="000000"/>
          <w:kern w:val="2"/>
          <w:sz w:val="24"/>
          <w:szCs w:val="24"/>
          <w:lang w:eastAsia="ro-RO"/>
        </w:rPr>
        <w:t xml:space="preserve"> </w:t>
      </w:r>
      <w:r w:rsidRPr="0039040E">
        <w:rPr>
          <w:rFonts w:ascii="Times New Roman" w:eastAsia="Times New Roman" w:hAnsi="Times New Roman" w:cs="Times New Roman"/>
          <w:color w:val="000000"/>
          <w:kern w:val="2"/>
          <w:sz w:val="24"/>
          <w:szCs w:val="24"/>
          <w:lang w:eastAsia="ro-RO"/>
        </w:rPr>
        <w:t>2025-2028.</w:t>
      </w:r>
    </w:p>
    <w:p w14:paraId="7DACB250" w14:textId="77777777" w:rsidR="0039040E" w:rsidRPr="0039040E" w:rsidRDefault="0039040E" w:rsidP="0039040E">
      <w:pPr>
        <w:widowControl w:val="0"/>
        <w:spacing w:after="0" w:line="240" w:lineRule="auto"/>
        <w:ind w:left="-15" w:right="6" w:firstLine="735"/>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Guvernul va aplica toate măsurile necesare pentru alinierea la standardele internaționale în domeniu, cu accent asupra standardelor de guvernanță corporativă ale Organizației pentru Dezvoltare și Cooperare Economică.</w:t>
      </w:r>
    </w:p>
    <w:p w14:paraId="6541AF94" w14:textId="77777777" w:rsidR="0039040E" w:rsidRPr="0039040E" w:rsidRDefault="0039040E" w:rsidP="0039040E">
      <w:pPr>
        <w:widowControl w:val="0"/>
        <w:spacing w:after="0" w:line="240" w:lineRule="auto"/>
        <w:ind w:left="-15" w:right="6" w:firstLine="573"/>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În Raportul de Evaluare a guvernanței corporative a întreprinderilor de stat din România, raport elaborat de OCDE, se recomandă acțiuni concrete ce pot fi întreprinse în continuare, precum:</w:t>
      </w:r>
    </w:p>
    <w:p w14:paraId="23F9BF2C" w14:textId="51F53482" w:rsidR="0039040E" w:rsidRPr="0039040E" w:rsidRDefault="0039040E" w:rsidP="0039040E">
      <w:pPr>
        <w:widowControl w:val="0"/>
        <w:numPr>
          <w:ilvl w:val="0"/>
          <w:numId w:val="2"/>
        </w:numPr>
        <w:spacing w:after="4" w:line="270" w:lineRule="auto"/>
        <w:ind w:right="6" w:firstLine="558"/>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 xml:space="preserve">Crearea cadrului legal pentru </w:t>
      </w:r>
      <w:r w:rsidR="00B66E34" w:rsidRPr="0039040E">
        <w:rPr>
          <w:rFonts w:ascii="Times New Roman" w:eastAsia="Times New Roman" w:hAnsi="Times New Roman" w:cs="Times New Roman"/>
          <w:color w:val="000000"/>
          <w:sz w:val="24"/>
          <w:szCs w:val="24"/>
          <w:lang w:bidi="en-US"/>
        </w:rPr>
        <w:t>înființarea</w:t>
      </w:r>
      <w:r w:rsidRPr="0039040E">
        <w:rPr>
          <w:rFonts w:ascii="Times New Roman" w:eastAsia="Times New Roman" w:hAnsi="Times New Roman" w:cs="Times New Roman"/>
          <w:color w:val="000000"/>
          <w:sz w:val="24"/>
          <w:szCs w:val="24"/>
          <w:lang w:bidi="en-US"/>
        </w:rPr>
        <w:t xml:space="preserve"> unei agenții în domeniu, asigurându-se astfel separarea exercitării dreptului de proprietate a statului de funcția de reglementare și elaborare a politicilor publice în domeniu;</w:t>
      </w:r>
    </w:p>
    <w:p w14:paraId="3F27BEDF" w14:textId="77777777" w:rsidR="0039040E" w:rsidRPr="0039040E" w:rsidRDefault="0039040E" w:rsidP="0039040E">
      <w:pPr>
        <w:widowControl w:val="0"/>
        <w:numPr>
          <w:ilvl w:val="0"/>
          <w:numId w:val="2"/>
        </w:numPr>
        <w:spacing w:after="16" w:line="240" w:lineRule="auto"/>
        <w:ind w:left="-15" w:right="6" w:firstLine="558"/>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Definirea unor obiective clare de performanța financiară și non-finaciară pentru întreprinderile de stat  individuale;</w:t>
      </w:r>
    </w:p>
    <w:p w14:paraId="72D23A37" w14:textId="77777777" w:rsidR="0039040E" w:rsidRPr="0039040E" w:rsidRDefault="0039040E" w:rsidP="0039040E">
      <w:pPr>
        <w:widowControl w:val="0"/>
        <w:numPr>
          <w:ilvl w:val="0"/>
          <w:numId w:val="2"/>
        </w:numPr>
        <w:spacing w:after="4" w:line="270" w:lineRule="auto"/>
        <w:ind w:right="6" w:firstLine="558"/>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Menținerea condițiilor de concurență echitabile cu alte companii de pe piața și eliminarea scutirilor legale aplicabile întreprinderilor de stat;</w:t>
      </w:r>
    </w:p>
    <w:p w14:paraId="06103B95" w14:textId="77777777" w:rsidR="0039040E" w:rsidRPr="0039040E" w:rsidRDefault="0039040E" w:rsidP="0039040E">
      <w:pPr>
        <w:widowControl w:val="0"/>
        <w:numPr>
          <w:ilvl w:val="0"/>
          <w:numId w:val="2"/>
        </w:numPr>
        <w:spacing w:after="4" w:line="270" w:lineRule="auto"/>
        <w:ind w:right="6" w:firstLine="558"/>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Consolidarea autonomiei și independenței consiliilor de administrație;</w:t>
      </w:r>
    </w:p>
    <w:p w14:paraId="37CA7050" w14:textId="70EE36C6" w:rsidR="0039040E" w:rsidRPr="0039040E" w:rsidRDefault="00B66E34" w:rsidP="0039040E">
      <w:pPr>
        <w:widowControl w:val="0"/>
        <w:numPr>
          <w:ilvl w:val="0"/>
          <w:numId w:val="2"/>
        </w:numPr>
        <w:spacing w:after="4" w:line="270" w:lineRule="auto"/>
        <w:ind w:right="6" w:firstLine="558"/>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Îmbunătățirea</w:t>
      </w:r>
      <w:r w:rsidR="0039040E" w:rsidRPr="0039040E">
        <w:rPr>
          <w:rFonts w:ascii="Times New Roman" w:eastAsia="Times New Roman" w:hAnsi="Times New Roman" w:cs="Times New Roman"/>
          <w:color w:val="000000"/>
          <w:sz w:val="24"/>
          <w:szCs w:val="24"/>
          <w:lang w:bidi="en-US"/>
        </w:rPr>
        <w:t xml:space="preserve"> transparenței și a practicilor de divulgare a informațiilor financiare și nonfinanciare de către întreprinderile de stat, precum și îmbunătățirea monitorizării și implementării masurilor de gestionare a riscurilor și de integritate.</w:t>
      </w:r>
    </w:p>
    <w:p w14:paraId="6C4374D7" w14:textId="77777777" w:rsidR="0039040E" w:rsidRPr="0039040E" w:rsidRDefault="0039040E" w:rsidP="0039040E">
      <w:pPr>
        <w:widowControl w:val="0"/>
        <w:spacing w:after="0" w:line="238" w:lineRule="auto"/>
        <w:ind w:right="8" w:firstLine="568"/>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lastRenderedPageBreak/>
        <w:t xml:space="preserve">Totodată, Guvernul și-a asumat prin </w:t>
      </w:r>
      <w:r w:rsidRPr="0039040E">
        <w:rPr>
          <w:rFonts w:ascii="Times New Roman" w:eastAsia="Times New Roman" w:hAnsi="Times New Roman" w:cs="Times New Roman"/>
          <w:b/>
          <w:color w:val="000000"/>
          <w:sz w:val="24"/>
          <w:szCs w:val="24"/>
          <w:lang w:bidi="en-US"/>
        </w:rPr>
        <w:t>Planul Național de  Redresare și Reziliența,  Reforma - Îmbunătățirea cadrului procedural de implementare a principiilor guvernanței corporative în cadrul</w:t>
      </w:r>
      <w:r w:rsidRPr="0039040E">
        <w:rPr>
          <w:rFonts w:ascii="Times New Roman" w:eastAsia="Times New Roman" w:hAnsi="Times New Roman" w:cs="Times New Roman"/>
          <w:color w:val="000000"/>
          <w:sz w:val="24"/>
          <w:szCs w:val="24"/>
          <w:lang w:bidi="en-US"/>
        </w:rPr>
        <w:t xml:space="preserve"> </w:t>
      </w:r>
      <w:r w:rsidRPr="0039040E">
        <w:rPr>
          <w:rFonts w:ascii="Times New Roman" w:eastAsia="Times New Roman" w:hAnsi="Times New Roman" w:cs="Times New Roman"/>
          <w:b/>
          <w:color w:val="000000"/>
          <w:sz w:val="24"/>
          <w:szCs w:val="24"/>
          <w:lang w:bidi="en-US"/>
        </w:rPr>
        <w:t xml:space="preserve">întreprinderilor. </w:t>
      </w:r>
      <w:r w:rsidRPr="0039040E">
        <w:rPr>
          <w:rFonts w:ascii="Times New Roman" w:eastAsia="Times New Roman" w:hAnsi="Times New Roman" w:cs="Times New Roman"/>
          <w:color w:val="000000"/>
          <w:sz w:val="24"/>
          <w:szCs w:val="24"/>
          <w:lang w:bidi="en-US"/>
        </w:rPr>
        <w:t>Aceasta cuprinde următoarele ținte și jaloane:</w:t>
      </w:r>
    </w:p>
    <w:p w14:paraId="72E65CC1" w14:textId="77777777" w:rsidR="0039040E" w:rsidRPr="0039040E" w:rsidRDefault="0039040E" w:rsidP="0039040E">
      <w:pPr>
        <w:widowControl w:val="0"/>
        <w:numPr>
          <w:ilvl w:val="0"/>
          <w:numId w:val="2"/>
        </w:numPr>
        <w:spacing w:after="4" w:line="270" w:lineRule="auto"/>
        <w:ind w:right="6" w:firstLine="558"/>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J 439 - Intrarea în vigoare a legislației actualizate privind companiile de stat. Intrarea în vigoare a Legii nr. 111/2016 modificate, eliminându-se toate excepțiile, inclusiv pentru companiile de stat de la nivel local;</w:t>
      </w:r>
    </w:p>
    <w:p w14:paraId="0A8153AC" w14:textId="77777777" w:rsidR="0039040E" w:rsidRPr="0039040E" w:rsidRDefault="0039040E" w:rsidP="0039040E">
      <w:pPr>
        <w:widowControl w:val="0"/>
        <w:numPr>
          <w:ilvl w:val="0"/>
          <w:numId w:val="2"/>
        </w:numPr>
        <w:spacing w:after="4" w:line="270" w:lineRule="auto"/>
        <w:ind w:right="6" w:firstLine="558"/>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J 440 – Operaționalizarea Grupului operativ din cadrul centrului Guvernului pentru coordonarea și monitorizarea politicilor de guvernanța corporativă;</w:t>
      </w:r>
    </w:p>
    <w:p w14:paraId="1E73B531" w14:textId="77777777" w:rsidR="0039040E" w:rsidRPr="0039040E" w:rsidRDefault="0039040E" w:rsidP="0039040E">
      <w:pPr>
        <w:widowControl w:val="0"/>
        <w:numPr>
          <w:ilvl w:val="0"/>
          <w:numId w:val="2"/>
        </w:numPr>
        <w:spacing w:after="4" w:line="270" w:lineRule="auto"/>
        <w:ind w:right="6" w:firstLine="558"/>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J 441 -  Publicarea tabloului de bord de monitorizare cu obiective financiare și nefinanciare și indicatori de performanța pentru toate categoriile de societăți  publice; Prin implementarea acestor reforme se dorește:</w:t>
      </w:r>
    </w:p>
    <w:p w14:paraId="57FAEC1F" w14:textId="77777777" w:rsidR="0039040E" w:rsidRPr="0039040E" w:rsidRDefault="0039040E" w:rsidP="0039040E">
      <w:pPr>
        <w:widowControl w:val="0"/>
        <w:numPr>
          <w:ilvl w:val="0"/>
          <w:numId w:val="3"/>
        </w:numPr>
        <w:spacing w:after="4" w:line="270" w:lineRule="auto"/>
        <w:ind w:right="6" w:hanging="360"/>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creșterea eficienței și profitabilității întreprinderilor publice;</w:t>
      </w:r>
    </w:p>
    <w:p w14:paraId="50413A80" w14:textId="77777777" w:rsidR="0039040E" w:rsidRPr="0039040E" w:rsidRDefault="0039040E" w:rsidP="0039040E">
      <w:pPr>
        <w:widowControl w:val="0"/>
        <w:numPr>
          <w:ilvl w:val="0"/>
          <w:numId w:val="3"/>
        </w:numPr>
        <w:spacing w:after="4" w:line="270" w:lineRule="auto"/>
        <w:ind w:right="6" w:hanging="360"/>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 xml:space="preserve">transparentizarea în ceea ce privește monitorizarea performantei acestora; </w:t>
      </w:r>
    </w:p>
    <w:p w14:paraId="716E2726" w14:textId="77777777" w:rsidR="0039040E" w:rsidRPr="0039040E" w:rsidRDefault="0039040E" w:rsidP="0039040E">
      <w:pPr>
        <w:widowControl w:val="0"/>
        <w:numPr>
          <w:ilvl w:val="0"/>
          <w:numId w:val="3"/>
        </w:numPr>
        <w:spacing w:after="4" w:line="270" w:lineRule="auto"/>
        <w:ind w:right="6" w:hanging="360"/>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 xml:space="preserve">desfășurarea unor proceduri transparente și competitive pentru selectarea membrilor în consiliile de administrație. </w:t>
      </w:r>
    </w:p>
    <w:p w14:paraId="29E0D72A" w14:textId="77777777" w:rsidR="0039040E" w:rsidRPr="0039040E" w:rsidRDefault="0039040E" w:rsidP="0039040E">
      <w:pPr>
        <w:widowControl w:val="0"/>
        <w:spacing w:after="0" w:line="240" w:lineRule="auto"/>
        <w:ind w:left="-15" w:right="6" w:firstLine="375"/>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Prin dispozițiile Legii nr. 187/2023, Ordonanța de urgență a Guvernului nr. 109/2011 a fost modificată și completată în mod substanțial, pentru a pune în acord reglementările naționale în materie de guvernanță corporativă a întreprinderilor publice cu principiile Organizației pentru Cooperare și Dezvoltare Economică, precum și în vederea îndeplinirii a doua jaloane prevazute în Planul Național de Redresare și Rezilienta al României, respectiv J439 și  J440.</w:t>
      </w:r>
    </w:p>
    <w:p w14:paraId="31AB3190" w14:textId="77777777" w:rsidR="0039040E" w:rsidRPr="0039040E" w:rsidRDefault="0039040E" w:rsidP="0039040E">
      <w:pPr>
        <w:widowControl w:val="0"/>
        <w:spacing w:after="0" w:line="240" w:lineRule="auto"/>
        <w:ind w:left="-15" w:right="6" w:firstLine="375"/>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Astfel, una dintre modificările esențiale pe care intervenția legislativă asupra ordonanței de urgența  o aduce o reprezintă crearea, la centrul Guvernului, a unei structuri prin care să se asigure coordonarea și monitorizarea integrata a politicilor de guvernanță corporativă la nivelul întreprinderilor publice din România, atât a celor de la nivel central, cât și a celor de la nivel local.</w:t>
      </w:r>
    </w:p>
    <w:p w14:paraId="0F9929D9" w14:textId="77777777" w:rsidR="0039040E" w:rsidRPr="0039040E" w:rsidRDefault="0039040E" w:rsidP="0039040E">
      <w:pPr>
        <w:widowControl w:val="0"/>
        <w:spacing w:after="0" w:line="240" w:lineRule="auto"/>
        <w:ind w:left="-15" w:right="6" w:firstLine="735"/>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b/>
          <w:color w:val="000000"/>
          <w:sz w:val="24"/>
          <w:szCs w:val="24"/>
          <w:lang w:bidi="en-US"/>
        </w:rPr>
        <w:t xml:space="preserve">Agenția pentru Monitorizarea și Evaluarea Performanțelor Întreprinderilor Publice, </w:t>
      </w:r>
      <w:r w:rsidRPr="0039040E">
        <w:rPr>
          <w:rFonts w:ascii="Times New Roman" w:eastAsia="Times New Roman" w:hAnsi="Times New Roman" w:cs="Times New Roman"/>
          <w:color w:val="000000"/>
          <w:sz w:val="24"/>
          <w:szCs w:val="24"/>
          <w:lang w:bidi="en-US"/>
        </w:rPr>
        <w:t>organ de specialitate al administrației centrale,</w:t>
      </w:r>
      <w:r w:rsidRPr="0039040E">
        <w:rPr>
          <w:rFonts w:ascii="Times New Roman" w:eastAsia="Times New Roman" w:hAnsi="Times New Roman" w:cs="Times New Roman"/>
          <w:b/>
          <w:color w:val="000000"/>
          <w:sz w:val="24"/>
          <w:szCs w:val="24"/>
          <w:lang w:bidi="en-US"/>
        </w:rPr>
        <w:t xml:space="preserve"> </w:t>
      </w:r>
      <w:r w:rsidRPr="0039040E">
        <w:rPr>
          <w:rFonts w:ascii="Times New Roman" w:eastAsia="Times New Roman" w:hAnsi="Times New Roman" w:cs="Times New Roman"/>
          <w:color w:val="000000"/>
          <w:sz w:val="24"/>
          <w:szCs w:val="24"/>
          <w:lang w:bidi="en-US"/>
        </w:rPr>
        <w:t>cu personalitate juridica, în subordinea Guvernului și în coordonarea prim-ministrului, prin Secretariatul General al Guvernului, va avea responsabilitatea finală asupra procesului de selecție în consiliul de administrație din punct de vedere al respectării standardelor privind transparența și competitivitatea procedurii.</w:t>
      </w:r>
    </w:p>
    <w:p w14:paraId="01E716B8" w14:textId="77777777" w:rsidR="0039040E" w:rsidRPr="0039040E" w:rsidRDefault="0039040E" w:rsidP="0039040E">
      <w:pPr>
        <w:widowControl w:val="0"/>
        <w:spacing w:after="0" w:line="240" w:lineRule="auto"/>
        <w:ind w:left="-15" w:right="6" w:firstLine="735"/>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 xml:space="preserve">Pentru atingerea obiectivelor AMEPIP, principalul instrument de lucru va fi un tablou de bord de monitorizare a performanțelor întreprinderilor publice prin intermediul căruia vor fi urmăriți indicatorii de performanță, financiari și nefinanciari și cei cheie. De asemenea, vor fi făcute publice date relevante privind activitățile întreprinderilor publice. </w:t>
      </w:r>
    </w:p>
    <w:p w14:paraId="195F3CC1" w14:textId="77777777" w:rsidR="0039040E" w:rsidRPr="0039040E" w:rsidRDefault="0039040E" w:rsidP="0039040E">
      <w:pPr>
        <w:widowControl w:val="0"/>
        <w:spacing w:after="10" w:line="252" w:lineRule="auto"/>
        <w:ind w:left="-15" w:right="-6" w:firstLine="735"/>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 xml:space="preserve">Tabloul de bord de monitorizare a performanțelor întreprinderilor publice reprezintă, totodată, Jalonul 441 din Planul național de redresare și reziliență, și anume </w:t>
      </w:r>
      <w:r w:rsidRPr="0039040E">
        <w:rPr>
          <w:rFonts w:ascii="Times New Roman" w:eastAsia="Times New Roman" w:hAnsi="Times New Roman" w:cs="Times New Roman"/>
          <w:i/>
          <w:color w:val="000000"/>
          <w:sz w:val="24"/>
          <w:szCs w:val="24"/>
          <w:lang w:bidi="en-US"/>
        </w:rPr>
        <w:t>Publicarea tabloului de bord de monitorizare cu obiective financiare și nefinanciare și indicatori de performanță pentru toate categoriile de societăți publice (inclusiv din sectoare-cheie precum transporturile, energia, utilitățile publice).</w:t>
      </w:r>
    </w:p>
    <w:p w14:paraId="75AA7C86" w14:textId="77777777" w:rsidR="0039040E" w:rsidRPr="0039040E" w:rsidRDefault="0039040E" w:rsidP="0039040E">
      <w:pPr>
        <w:widowControl w:val="0"/>
        <w:spacing w:after="0" w:line="240" w:lineRule="auto"/>
        <w:ind w:left="-15" w:right="6" w:firstLine="710"/>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b/>
          <w:color w:val="000000"/>
          <w:sz w:val="24"/>
          <w:szCs w:val="24"/>
          <w:lang w:bidi="en-US"/>
        </w:rPr>
        <w:t xml:space="preserve">La nivel local, Strategia de dezvoltarea a Municipiului Câmpulung, </w:t>
      </w:r>
      <w:r w:rsidRPr="0039040E">
        <w:rPr>
          <w:rFonts w:ascii="Times New Roman" w:eastAsia="Times New Roman" w:hAnsi="Times New Roman" w:cs="Times New Roman"/>
          <w:color w:val="000000"/>
          <w:sz w:val="24"/>
          <w:szCs w:val="24"/>
          <w:lang w:bidi="en-US"/>
        </w:rPr>
        <w:t>definește o imagine clara a obiectivelor strategice și a căilor de operaționalizare a acestora, pe care administrația publica locală împreună cu principalii actori locali și le-au asumat pentru orizontul de timp.</w:t>
      </w:r>
    </w:p>
    <w:p w14:paraId="28780B4E" w14:textId="77777777" w:rsidR="0039040E" w:rsidRPr="0039040E" w:rsidRDefault="0039040E" w:rsidP="0039040E">
      <w:pPr>
        <w:widowControl w:val="0"/>
        <w:spacing w:after="0" w:line="240" w:lineRule="auto"/>
        <w:ind w:left="-15" w:right="6" w:firstLine="710"/>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 xml:space="preserve">Așa cum se precizează la momentul inițial al elaborării strategiei de dezvoltare, aceasta este un instrument de politică publică cu caracter pragmatic, ce necesita ajustare în intervalul de timp </w:t>
      </w:r>
      <w:r w:rsidRPr="0039040E">
        <w:rPr>
          <w:rFonts w:ascii="Times New Roman" w:eastAsia="Times New Roman" w:hAnsi="Times New Roman" w:cs="Times New Roman"/>
          <w:color w:val="000000"/>
          <w:sz w:val="24"/>
          <w:szCs w:val="24"/>
          <w:lang w:bidi="en-US"/>
        </w:rPr>
        <w:lastRenderedPageBreak/>
        <w:t xml:space="preserve">acoperit. Demersurile de actualizare fac parte din acest proces de ajustare necesar, pentru ca </w:t>
      </w:r>
      <w:r w:rsidRPr="0039040E">
        <w:rPr>
          <w:rFonts w:ascii="Times New Roman" w:eastAsia="Times New Roman" w:hAnsi="Times New Roman" w:cs="Times New Roman"/>
          <w:b/>
          <w:color w:val="000000"/>
          <w:sz w:val="24"/>
          <w:szCs w:val="24"/>
          <w:lang w:bidi="en-US"/>
        </w:rPr>
        <w:t>STRATEGIA</w:t>
      </w:r>
      <w:r w:rsidRPr="0039040E">
        <w:rPr>
          <w:rFonts w:ascii="Times New Roman" w:eastAsia="Times New Roman" w:hAnsi="Times New Roman" w:cs="Times New Roman"/>
          <w:color w:val="000000"/>
          <w:sz w:val="24"/>
          <w:szCs w:val="24"/>
          <w:lang w:bidi="en-US"/>
        </w:rPr>
        <w:t xml:space="preserve"> să poată permite focalizarea și ajustarea continua a eforturilor administrației publice locale pentru satisfacerea nevoilor locuitorilor municipiului, creșterea calității vieții acestora și valorificarea identității locale.</w:t>
      </w:r>
    </w:p>
    <w:p w14:paraId="20567519" w14:textId="77777777" w:rsidR="0039040E" w:rsidRPr="0039040E" w:rsidRDefault="0039040E" w:rsidP="0039040E">
      <w:pPr>
        <w:widowControl w:val="0"/>
        <w:spacing w:after="13" w:line="249" w:lineRule="auto"/>
        <w:ind w:left="563" w:hanging="10"/>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b/>
          <w:color w:val="000000"/>
          <w:sz w:val="24"/>
          <w:szCs w:val="24"/>
          <w:lang w:bidi="en-US"/>
        </w:rPr>
        <w:t>Strategia actualizată de dezvoltare a Municipiului Câmpulung permite:</w:t>
      </w:r>
    </w:p>
    <w:p w14:paraId="2FD6F7AE" w14:textId="77777777" w:rsidR="0039040E" w:rsidRPr="0039040E" w:rsidRDefault="0039040E" w:rsidP="0039040E">
      <w:pPr>
        <w:widowControl w:val="0"/>
        <w:numPr>
          <w:ilvl w:val="0"/>
          <w:numId w:val="4"/>
        </w:numPr>
        <w:spacing w:after="4" w:line="251" w:lineRule="auto"/>
        <w:ind w:hanging="360"/>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identificarea nevoilor actuale de dezvoltare, respectiv a potențialului de dezvoltare a zonei;</w:t>
      </w:r>
    </w:p>
    <w:p w14:paraId="64E89F82" w14:textId="77777777" w:rsidR="0039040E" w:rsidRPr="0039040E" w:rsidRDefault="0039040E" w:rsidP="0039040E">
      <w:pPr>
        <w:widowControl w:val="0"/>
        <w:numPr>
          <w:ilvl w:val="0"/>
          <w:numId w:val="4"/>
        </w:numPr>
        <w:spacing w:after="4" w:line="251" w:lineRule="auto"/>
        <w:ind w:hanging="360"/>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utilizarea eficiența a resurselor prezentate, prin  direcționarea acestora către prioritățile de dezvoltare stabilite;</w:t>
      </w:r>
    </w:p>
    <w:p w14:paraId="4B3C1B23" w14:textId="77777777" w:rsidR="0039040E" w:rsidRPr="0039040E" w:rsidRDefault="0039040E" w:rsidP="0039040E">
      <w:pPr>
        <w:widowControl w:val="0"/>
        <w:numPr>
          <w:ilvl w:val="0"/>
          <w:numId w:val="4"/>
        </w:numPr>
        <w:spacing w:after="4" w:line="251" w:lineRule="auto"/>
        <w:ind w:hanging="360"/>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identificarea unor soluții la problemele cu care se confrunta, operaționalizarea acestora și</w:t>
      </w:r>
    </w:p>
    <w:p w14:paraId="5BE9F08B" w14:textId="33A856CC" w:rsidR="0039040E" w:rsidRPr="0039040E" w:rsidRDefault="00B66E34" w:rsidP="0039040E">
      <w:pPr>
        <w:widowControl w:val="0"/>
        <w:numPr>
          <w:ilvl w:val="0"/>
          <w:numId w:val="4"/>
        </w:numPr>
        <w:spacing w:after="4" w:line="251" w:lineRule="auto"/>
        <w:ind w:hanging="360"/>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atragerea</w:t>
      </w:r>
      <w:r w:rsidR="0039040E" w:rsidRPr="0039040E">
        <w:rPr>
          <w:rFonts w:ascii="Times New Roman" w:eastAsia="Times New Roman" w:hAnsi="Times New Roman" w:cs="Times New Roman"/>
          <w:color w:val="000000"/>
          <w:sz w:val="24"/>
          <w:szCs w:val="24"/>
          <w:lang w:bidi="en-US"/>
        </w:rPr>
        <w:t xml:space="preserve"> de fonduri din surse rambursabile si/sau nerambursabile;</w:t>
      </w:r>
    </w:p>
    <w:p w14:paraId="38BDF4BD" w14:textId="77777777" w:rsidR="0039040E" w:rsidRPr="0039040E" w:rsidRDefault="0039040E" w:rsidP="0039040E">
      <w:pPr>
        <w:widowControl w:val="0"/>
        <w:numPr>
          <w:ilvl w:val="0"/>
          <w:numId w:val="4"/>
        </w:numPr>
        <w:spacing w:after="262" w:line="251" w:lineRule="auto"/>
        <w:ind w:hanging="360"/>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transparenta decizionala, actualizarea strategiei implicând un proces de consultare publica;</w:t>
      </w:r>
    </w:p>
    <w:p w14:paraId="6A62D43E" w14:textId="77777777" w:rsidR="0039040E" w:rsidRPr="0039040E" w:rsidRDefault="0039040E" w:rsidP="0039040E">
      <w:pPr>
        <w:widowControl w:val="0"/>
        <w:spacing w:after="0" w:line="240" w:lineRule="auto"/>
        <w:ind w:left="-15" w:right="6" w:firstLine="360"/>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b/>
          <w:color w:val="000000"/>
          <w:sz w:val="24"/>
          <w:szCs w:val="24"/>
          <w:lang w:bidi="en-US"/>
        </w:rPr>
        <w:t>Municipiul Câmpulung își propune</w:t>
      </w:r>
      <w:r w:rsidRPr="0039040E">
        <w:rPr>
          <w:rFonts w:ascii="Times New Roman" w:eastAsia="Times New Roman" w:hAnsi="Times New Roman" w:cs="Times New Roman"/>
          <w:color w:val="000000"/>
          <w:sz w:val="24"/>
          <w:szCs w:val="24"/>
          <w:lang w:bidi="en-US"/>
        </w:rPr>
        <w:t>, să fie un nucleu de dezvoltare, cu un mediu economic competitiv și cu resurse umane adaptate realității socio-economice interne.</w:t>
      </w:r>
    </w:p>
    <w:p w14:paraId="6C7549B4" w14:textId="77777777" w:rsidR="0039040E" w:rsidRPr="0039040E" w:rsidRDefault="0039040E" w:rsidP="0039040E">
      <w:pPr>
        <w:widowControl w:val="0"/>
        <w:spacing w:after="0" w:line="240" w:lineRule="auto"/>
        <w:ind w:left="-15" w:right="6" w:firstLine="360"/>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Reanalizarea particularităților locale în cadrul procesului de ajustare/actualizare a strategiei de dezvoltare, a condus la concluzia ca aceasta evoluție va putea deveni posibilă prin:</w:t>
      </w:r>
    </w:p>
    <w:p w14:paraId="6A996FE8" w14:textId="77777777" w:rsidR="0039040E" w:rsidRPr="0039040E" w:rsidRDefault="0039040E" w:rsidP="0039040E">
      <w:pPr>
        <w:widowControl w:val="0"/>
        <w:numPr>
          <w:ilvl w:val="0"/>
          <w:numId w:val="4"/>
        </w:numPr>
        <w:spacing w:after="4" w:line="251" w:lineRule="auto"/>
        <w:ind w:hanging="360"/>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valorificarea durabilă a pozitie geo-strategice și a resurselor naturale;</w:t>
      </w:r>
    </w:p>
    <w:p w14:paraId="1B66F851" w14:textId="6CB93E7D" w:rsidR="0039040E" w:rsidRPr="0039040E" w:rsidRDefault="00B66E34" w:rsidP="0039040E">
      <w:pPr>
        <w:widowControl w:val="0"/>
        <w:numPr>
          <w:ilvl w:val="0"/>
          <w:numId w:val="4"/>
        </w:numPr>
        <w:spacing w:after="4" w:line="251" w:lineRule="auto"/>
        <w:ind w:hanging="360"/>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creșterea</w:t>
      </w:r>
      <w:r w:rsidR="0039040E" w:rsidRPr="0039040E">
        <w:rPr>
          <w:rFonts w:ascii="Times New Roman" w:eastAsia="Times New Roman" w:hAnsi="Times New Roman" w:cs="Times New Roman"/>
          <w:color w:val="000000"/>
          <w:sz w:val="24"/>
          <w:szCs w:val="24"/>
          <w:lang w:bidi="en-US"/>
        </w:rPr>
        <w:t xml:space="preserve"> adaptabilității locuitorilor la particularitățile socio-economice locale si promovarea incluziunii sociale;</w:t>
      </w:r>
    </w:p>
    <w:p w14:paraId="5850F784" w14:textId="77777777" w:rsidR="0039040E" w:rsidRPr="0039040E" w:rsidRDefault="0039040E" w:rsidP="0039040E">
      <w:pPr>
        <w:widowControl w:val="0"/>
        <w:numPr>
          <w:ilvl w:val="0"/>
          <w:numId w:val="4"/>
        </w:numPr>
        <w:spacing w:after="4" w:line="251" w:lineRule="auto"/>
        <w:ind w:hanging="360"/>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facilitarea accesului la utilități, sevicii de calitate în domeniile asistentă socială, sănătate și educatie;</w:t>
      </w:r>
    </w:p>
    <w:p w14:paraId="353476B8" w14:textId="58E6B631" w:rsidR="0039040E" w:rsidRPr="0039040E" w:rsidRDefault="00B66E34" w:rsidP="0039040E">
      <w:pPr>
        <w:widowControl w:val="0"/>
        <w:numPr>
          <w:ilvl w:val="0"/>
          <w:numId w:val="4"/>
        </w:numPr>
        <w:spacing w:after="4" w:line="251" w:lineRule="auto"/>
        <w:ind w:hanging="360"/>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susținerea</w:t>
      </w:r>
      <w:r w:rsidR="0039040E" w:rsidRPr="0039040E">
        <w:rPr>
          <w:rFonts w:ascii="Times New Roman" w:eastAsia="Times New Roman" w:hAnsi="Times New Roman" w:cs="Times New Roman"/>
          <w:color w:val="000000"/>
          <w:sz w:val="24"/>
          <w:szCs w:val="24"/>
          <w:lang w:bidi="en-US"/>
        </w:rPr>
        <w:t xml:space="preserve"> culturii antreprenoriale și a </w:t>
      </w:r>
      <w:r w:rsidRPr="0039040E">
        <w:rPr>
          <w:rFonts w:ascii="Times New Roman" w:eastAsia="Times New Roman" w:hAnsi="Times New Roman" w:cs="Times New Roman"/>
          <w:color w:val="000000"/>
          <w:sz w:val="24"/>
          <w:szCs w:val="24"/>
          <w:lang w:bidi="en-US"/>
        </w:rPr>
        <w:t>inovării</w:t>
      </w:r>
      <w:r w:rsidR="0039040E" w:rsidRPr="0039040E">
        <w:rPr>
          <w:rFonts w:ascii="Times New Roman" w:eastAsia="Times New Roman" w:hAnsi="Times New Roman" w:cs="Times New Roman"/>
          <w:color w:val="000000"/>
          <w:sz w:val="24"/>
          <w:szCs w:val="24"/>
          <w:lang w:bidi="en-US"/>
        </w:rPr>
        <w:t>;</w:t>
      </w:r>
    </w:p>
    <w:p w14:paraId="38BB3CAC" w14:textId="77777777" w:rsidR="0039040E" w:rsidRPr="0039040E" w:rsidRDefault="0039040E" w:rsidP="0039040E">
      <w:pPr>
        <w:widowControl w:val="0"/>
        <w:numPr>
          <w:ilvl w:val="0"/>
          <w:numId w:val="4"/>
        </w:numPr>
        <w:spacing w:after="4" w:line="251" w:lineRule="auto"/>
        <w:ind w:hanging="360"/>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creșterea competitivității și atractivității economice la nivelul municipiului Tulcea;</w:t>
      </w:r>
    </w:p>
    <w:p w14:paraId="0213656F" w14:textId="25651591" w:rsidR="0039040E" w:rsidRPr="0039040E" w:rsidRDefault="0039040E" w:rsidP="0039040E">
      <w:pPr>
        <w:widowControl w:val="0"/>
        <w:numPr>
          <w:ilvl w:val="0"/>
          <w:numId w:val="4"/>
        </w:numPr>
        <w:spacing w:after="302" w:line="251" w:lineRule="auto"/>
        <w:ind w:hanging="360"/>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 xml:space="preserve">implicarea transparenta și activa a </w:t>
      </w:r>
      <w:r w:rsidR="00B66E34" w:rsidRPr="0039040E">
        <w:rPr>
          <w:rFonts w:ascii="Times New Roman" w:eastAsia="Times New Roman" w:hAnsi="Times New Roman" w:cs="Times New Roman"/>
          <w:color w:val="000000"/>
          <w:sz w:val="24"/>
          <w:szCs w:val="24"/>
          <w:lang w:bidi="en-US"/>
        </w:rPr>
        <w:t>instituțiilor</w:t>
      </w:r>
      <w:r w:rsidRPr="0039040E">
        <w:rPr>
          <w:rFonts w:ascii="Times New Roman" w:eastAsia="Times New Roman" w:hAnsi="Times New Roman" w:cs="Times New Roman"/>
          <w:color w:val="000000"/>
          <w:sz w:val="24"/>
          <w:szCs w:val="24"/>
          <w:lang w:bidi="en-US"/>
        </w:rPr>
        <w:t xml:space="preserve"> pentru </w:t>
      </w:r>
      <w:r w:rsidR="00B66E34" w:rsidRPr="0039040E">
        <w:rPr>
          <w:rFonts w:ascii="Times New Roman" w:eastAsia="Times New Roman" w:hAnsi="Times New Roman" w:cs="Times New Roman"/>
          <w:color w:val="000000"/>
          <w:sz w:val="24"/>
          <w:szCs w:val="24"/>
          <w:lang w:bidi="en-US"/>
        </w:rPr>
        <w:t>dezvoltarea</w:t>
      </w:r>
      <w:r w:rsidRPr="0039040E">
        <w:rPr>
          <w:rFonts w:ascii="Times New Roman" w:eastAsia="Times New Roman" w:hAnsi="Times New Roman" w:cs="Times New Roman"/>
          <w:color w:val="000000"/>
          <w:sz w:val="24"/>
          <w:szCs w:val="24"/>
          <w:lang w:bidi="en-US"/>
        </w:rPr>
        <w:t xml:space="preserve"> economico-socială echilibrata a municipiului.</w:t>
      </w:r>
    </w:p>
    <w:p w14:paraId="3D2709B9" w14:textId="3C8D4868" w:rsidR="0039040E" w:rsidRPr="0039040E" w:rsidRDefault="0039040E" w:rsidP="0039040E">
      <w:pPr>
        <w:keepNext/>
        <w:keepLines/>
        <w:spacing w:after="13" w:line="249" w:lineRule="auto"/>
        <w:ind w:left="563" w:hanging="10"/>
        <w:jc w:val="both"/>
        <w:outlineLvl w:val="0"/>
        <w:rPr>
          <w:rFonts w:ascii="Times New Roman" w:eastAsia="Times New Roman" w:hAnsi="Times New Roman" w:cs="Times New Roman"/>
          <w:b/>
          <w:color w:val="000000"/>
          <w:kern w:val="2"/>
          <w:sz w:val="24"/>
          <w:szCs w:val="24"/>
          <w:lang w:eastAsia="ro-RO"/>
        </w:rPr>
      </w:pPr>
      <w:r w:rsidRPr="0039040E">
        <w:rPr>
          <w:rFonts w:ascii="Times New Roman" w:eastAsia="Times New Roman" w:hAnsi="Times New Roman" w:cs="Times New Roman"/>
          <w:b/>
          <w:color w:val="000000"/>
          <w:kern w:val="2"/>
          <w:sz w:val="24"/>
          <w:szCs w:val="24"/>
          <w:lang w:eastAsia="ro-RO"/>
        </w:rPr>
        <w:t xml:space="preserve">Obiectivele strategice ale </w:t>
      </w:r>
      <w:r w:rsidR="00B66E34" w:rsidRPr="0039040E">
        <w:rPr>
          <w:rFonts w:ascii="Times New Roman" w:eastAsia="Times New Roman" w:hAnsi="Times New Roman" w:cs="Times New Roman"/>
          <w:b/>
          <w:color w:val="000000"/>
          <w:kern w:val="2"/>
          <w:sz w:val="24"/>
          <w:szCs w:val="24"/>
          <w:lang w:eastAsia="ro-RO"/>
        </w:rPr>
        <w:t>dezvoltării</w:t>
      </w:r>
      <w:r w:rsidRPr="0039040E">
        <w:rPr>
          <w:rFonts w:ascii="Times New Roman" w:eastAsia="Times New Roman" w:hAnsi="Times New Roman" w:cs="Times New Roman"/>
          <w:b/>
          <w:color w:val="000000"/>
          <w:kern w:val="2"/>
          <w:sz w:val="24"/>
          <w:szCs w:val="24"/>
          <w:lang w:eastAsia="ro-RO"/>
        </w:rPr>
        <w:t xml:space="preserve"> Municipiului Câmpulung </w:t>
      </w:r>
    </w:p>
    <w:p w14:paraId="1DACD31B" w14:textId="77777777" w:rsidR="0039040E" w:rsidRPr="0039040E" w:rsidRDefault="0039040E" w:rsidP="0039040E">
      <w:pPr>
        <w:keepNext/>
        <w:keepLines/>
        <w:spacing w:after="13" w:line="249" w:lineRule="auto"/>
        <w:ind w:left="563" w:hanging="10"/>
        <w:jc w:val="both"/>
        <w:outlineLvl w:val="0"/>
        <w:rPr>
          <w:rFonts w:ascii="Times New Roman" w:eastAsia="Times New Roman" w:hAnsi="Times New Roman" w:cs="Times New Roman"/>
          <w:b/>
          <w:color w:val="000000"/>
          <w:kern w:val="2"/>
          <w:sz w:val="24"/>
          <w:szCs w:val="24"/>
          <w:lang w:eastAsia="ro-RO"/>
        </w:rPr>
      </w:pPr>
      <w:r w:rsidRPr="0039040E">
        <w:rPr>
          <w:rFonts w:ascii="Times New Roman" w:eastAsia="Times New Roman" w:hAnsi="Times New Roman" w:cs="Times New Roman"/>
          <w:b/>
          <w:color w:val="000000"/>
          <w:kern w:val="2"/>
          <w:sz w:val="24"/>
          <w:szCs w:val="24"/>
          <w:lang w:eastAsia="ro-RO"/>
        </w:rPr>
        <w:t>1. Obiectivul General</w:t>
      </w:r>
    </w:p>
    <w:p w14:paraId="0A2B7593" w14:textId="77777777" w:rsidR="0039040E" w:rsidRPr="0039040E" w:rsidRDefault="0039040E" w:rsidP="0039040E">
      <w:pPr>
        <w:widowControl w:val="0"/>
        <w:spacing w:after="262" w:line="252" w:lineRule="auto"/>
        <w:ind w:left="-15" w:right="-6" w:firstLine="568"/>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Creșterea calității vieții pentru locuitorii Municipiului Câmpulung, în acord cu realitățile economice și sociale, concomitent cu crearea unui nucleu de dezvoltare la nivel local, capabil să genereze vectorii de progres către comunitățile situate în zona Câmpulungului.</w:t>
      </w:r>
    </w:p>
    <w:p w14:paraId="404A35CF" w14:textId="77777777" w:rsidR="0039040E" w:rsidRPr="0039040E" w:rsidRDefault="0039040E" w:rsidP="0039040E">
      <w:pPr>
        <w:keepNext/>
        <w:keepLines/>
        <w:spacing w:after="264" w:line="249" w:lineRule="auto"/>
        <w:ind w:left="563" w:hanging="10"/>
        <w:jc w:val="both"/>
        <w:outlineLvl w:val="0"/>
        <w:rPr>
          <w:rFonts w:ascii="Times New Roman" w:eastAsia="Times New Roman" w:hAnsi="Times New Roman" w:cs="Times New Roman"/>
          <w:b/>
          <w:color w:val="000000"/>
          <w:kern w:val="2"/>
          <w:sz w:val="24"/>
          <w:szCs w:val="24"/>
          <w:lang w:eastAsia="ro-RO"/>
        </w:rPr>
      </w:pPr>
      <w:r w:rsidRPr="0039040E">
        <w:rPr>
          <w:rFonts w:ascii="Times New Roman" w:eastAsia="Times New Roman" w:hAnsi="Times New Roman" w:cs="Times New Roman"/>
          <w:b/>
          <w:color w:val="000000"/>
          <w:kern w:val="2"/>
          <w:sz w:val="24"/>
          <w:szCs w:val="24"/>
          <w:lang w:eastAsia="ro-RO"/>
        </w:rPr>
        <w:t>2. Obiectivele Specifice</w:t>
      </w:r>
    </w:p>
    <w:p w14:paraId="79FF22E2" w14:textId="77777777" w:rsidR="0039040E" w:rsidRPr="0039040E" w:rsidRDefault="0039040E" w:rsidP="0039040E">
      <w:pPr>
        <w:widowControl w:val="0"/>
        <w:numPr>
          <w:ilvl w:val="0"/>
          <w:numId w:val="5"/>
        </w:numPr>
        <w:spacing w:after="4" w:line="251" w:lineRule="auto"/>
        <w:ind w:hanging="360"/>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Modernizarea</w:t>
      </w:r>
      <w:r w:rsidRPr="0039040E">
        <w:rPr>
          <w:rFonts w:ascii="Times New Roman" w:eastAsia="Times New Roman" w:hAnsi="Times New Roman" w:cs="Times New Roman"/>
          <w:b/>
          <w:color w:val="000000"/>
          <w:sz w:val="24"/>
          <w:szCs w:val="24"/>
          <w:lang w:bidi="en-US"/>
        </w:rPr>
        <w:t xml:space="preserve"> </w:t>
      </w:r>
      <w:r w:rsidRPr="0039040E">
        <w:rPr>
          <w:rFonts w:ascii="Times New Roman" w:eastAsia="Times New Roman" w:hAnsi="Times New Roman" w:cs="Times New Roman"/>
          <w:color w:val="000000"/>
          <w:sz w:val="24"/>
          <w:szCs w:val="24"/>
          <w:lang w:bidi="en-US"/>
        </w:rPr>
        <w:t>infrastructurii locale și gestionarea eficientă a resurselor;</w:t>
      </w:r>
    </w:p>
    <w:p w14:paraId="4BEA2C64" w14:textId="77777777" w:rsidR="0039040E" w:rsidRPr="0039040E" w:rsidRDefault="0039040E" w:rsidP="0039040E">
      <w:pPr>
        <w:widowControl w:val="0"/>
        <w:numPr>
          <w:ilvl w:val="0"/>
          <w:numId w:val="5"/>
        </w:numPr>
        <w:spacing w:after="4" w:line="251" w:lineRule="auto"/>
        <w:ind w:hanging="360"/>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Creșterea atractivității zonei prin susținerea culturii antreprenoriale, a societății informaționale, a inovației și crearea oportunităților de participare pe piața muncii;</w:t>
      </w:r>
    </w:p>
    <w:p w14:paraId="71B5CE91" w14:textId="77777777" w:rsidR="0039040E" w:rsidRPr="0039040E" w:rsidRDefault="0039040E" w:rsidP="0039040E">
      <w:pPr>
        <w:widowControl w:val="0"/>
        <w:numPr>
          <w:ilvl w:val="0"/>
          <w:numId w:val="5"/>
        </w:numPr>
        <w:spacing w:after="262" w:line="251" w:lineRule="auto"/>
        <w:ind w:hanging="360"/>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Asigurarea unei administrări locale calibrate pe necesitățile comunității și adecvate contextului strategic.</w:t>
      </w:r>
    </w:p>
    <w:p w14:paraId="66C29380" w14:textId="77777777" w:rsidR="0039040E" w:rsidRPr="0039040E" w:rsidRDefault="0039040E" w:rsidP="0039040E">
      <w:pPr>
        <w:keepNext/>
        <w:keepLines/>
        <w:spacing w:after="13" w:line="249" w:lineRule="auto"/>
        <w:ind w:left="563" w:hanging="10"/>
        <w:outlineLvl w:val="0"/>
        <w:rPr>
          <w:rFonts w:ascii="Times New Roman" w:eastAsia="Times New Roman" w:hAnsi="Times New Roman" w:cs="Times New Roman"/>
          <w:b/>
          <w:color w:val="000000"/>
          <w:kern w:val="2"/>
          <w:sz w:val="24"/>
          <w:szCs w:val="24"/>
          <w:lang w:eastAsia="ro-RO"/>
        </w:rPr>
      </w:pPr>
      <w:r w:rsidRPr="0039040E">
        <w:rPr>
          <w:rFonts w:ascii="Times New Roman" w:eastAsia="Times New Roman" w:hAnsi="Times New Roman" w:cs="Times New Roman"/>
          <w:b/>
          <w:color w:val="000000"/>
          <w:kern w:val="2"/>
          <w:sz w:val="24"/>
          <w:szCs w:val="24"/>
          <w:lang w:eastAsia="ro-RO"/>
        </w:rPr>
        <w:t xml:space="preserve">IV. Prezentarea societății </w:t>
      </w:r>
    </w:p>
    <w:p w14:paraId="51A17508" w14:textId="64240874" w:rsidR="0039040E" w:rsidRPr="0039040E" w:rsidRDefault="0039040E" w:rsidP="0039040E">
      <w:pPr>
        <w:widowControl w:val="0"/>
        <w:spacing w:after="0" w:line="240" w:lineRule="auto"/>
        <w:ind w:firstLine="553"/>
        <w:jc w:val="both"/>
        <w:rPr>
          <w:rFonts w:ascii="Times New Roman" w:eastAsia="Times New Roman" w:hAnsi="Times New Roman" w:cs="Times New Roman"/>
          <w:color w:val="000000"/>
          <w:sz w:val="24"/>
          <w:szCs w:val="24"/>
          <w:lang w:eastAsia="ro-RO"/>
        </w:rPr>
      </w:pPr>
      <w:bookmarkStart w:id="0" w:name="_Hlk224127211"/>
      <w:r w:rsidRPr="0039040E">
        <w:rPr>
          <w:rFonts w:ascii="Times New Roman" w:eastAsia="Times New Roman" w:hAnsi="Times New Roman" w:cs="Times New Roman"/>
          <w:color w:val="000000"/>
          <w:sz w:val="24"/>
          <w:szCs w:val="24"/>
          <w:lang w:eastAsia="ro-RO"/>
        </w:rPr>
        <w:t>S.C. Piețe Servicii Comunitare Muscel S.R.L.</w:t>
      </w:r>
      <w:bookmarkEnd w:id="0"/>
      <w:r w:rsidRPr="0039040E">
        <w:rPr>
          <w:rFonts w:ascii="Times New Roman" w:eastAsia="Times New Roman" w:hAnsi="Times New Roman" w:cs="Times New Roman"/>
          <w:color w:val="000000"/>
          <w:sz w:val="24"/>
          <w:szCs w:val="24"/>
          <w:lang w:eastAsia="ro-RO"/>
        </w:rPr>
        <w:t xml:space="preserve"> a fost înființată prin H.C.L. nr. 98  din 05.08.2010, ca urmare a </w:t>
      </w:r>
      <w:r w:rsidR="00B66E34" w:rsidRPr="0039040E">
        <w:rPr>
          <w:rFonts w:ascii="Times New Roman" w:eastAsia="Times New Roman" w:hAnsi="Times New Roman" w:cs="Times New Roman"/>
          <w:color w:val="000000"/>
          <w:sz w:val="24"/>
          <w:szCs w:val="24"/>
          <w:lang w:eastAsia="ro-RO"/>
        </w:rPr>
        <w:t>reorganizării</w:t>
      </w:r>
      <w:r w:rsidRPr="0039040E">
        <w:rPr>
          <w:rFonts w:ascii="Times New Roman" w:eastAsia="Times New Roman" w:hAnsi="Times New Roman" w:cs="Times New Roman"/>
          <w:color w:val="000000"/>
          <w:sz w:val="24"/>
          <w:szCs w:val="24"/>
          <w:lang w:eastAsia="ro-RO"/>
        </w:rPr>
        <w:t xml:space="preserve"> Serviciului Public Administratia Piețelor </w:t>
      </w:r>
      <w:r w:rsidR="00B66E34" w:rsidRPr="0039040E">
        <w:rPr>
          <w:rFonts w:ascii="Times New Roman" w:eastAsia="Times New Roman" w:hAnsi="Times New Roman" w:cs="Times New Roman"/>
          <w:color w:val="000000"/>
          <w:sz w:val="24"/>
          <w:szCs w:val="24"/>
          <w:lang w:eastAsia="ro-RO"/>
        </w:rPr>
        <w:t>Câmpulung</w:t>
      </w:r>
      <w:r w:rsidRPr="0039040E">
        <w:rPr>
          <w:rFonts w:ascii="Times New Roman" w:eastAsia="Times New Roman" w:hAnsi="Times New Roman" w:cs="Times New Roman"/>
          <w:color w:val="000000"/>
          <w:sz w:val="24"/>
          <w:szCs w:val="24"/>
          <w:lang w:eastAsia="ro-RO"/>
        </w:rPr>
        <w:t xml:space="preserve"> in baza O.G.nr. 71/2002 privind organizarea și funcționarea serviciilor publice de administrare a </w:t>
      </w:r>
      <w:r w:rsidRPr="0039040E">
        <w:rPr>
          <w:rFonts w:ascii="Times New Roman" w:eastAsia="Times New Roman" w:hAnsi="Times New Roman" w:cs="Times New Roman"/>
          <w:color w:val="000000"/>
          <w:sz w:val="24"/>
          <w:szCs w:val="24"/>
          <w:lang w:eastAsia="ro-RO"/>
        </w:rPr>
        <w:lastRenderedPageBreak/>
        <w:t>domeniului public şi privat de interes local și a Legii nr.10/2020 pentru modificarea și completarea O.G. nr.71/2002 privind organizarea și funcționarea serviciilor publice de administrare a domeniului public și privat de interes local, O.G. 955/2004, a H.G. 717/2008. Capitalul social 20 de parti a 10 lei fiecare al S</w:t>
      </w:r>
      <w:r w:rsidR="00B66E34">
        <w:rPr>
          <w:rFonts w:ascii="Times New Roman" w:eastAsia="Times New Roman" w:hAnsi="Times New Roman" w:cs="Times New Roman"/>
          <w:color w:val="000000"/>
          <w:sz w:val="24"/>
          <w:szCs w:val="24"/>
          <w:lang w:eastAsia="ro-RO"/>
        </w:rPr>
        <w:t>.</w:t>
      </w:r>
      <w:r w:rsidRPr="0039040E">
        <w:rPr>
          <w:rFonts w:ascii="Times New Roman" w:eastAsia="Times New Roman" w:hAnsi="Times New Roman" w:cs="Times New Roman"/>
          <w:color w:val="000000"/>
          <w:sz w:val="24"/>
          <w:szCs w:val="24"/>
          <w:lang w:eastAsia="ro-RO"/>
        </w:rPr>
        <w:t>C</w:t>
      </w:r>
      <w:r w:rsidR="00B66E34">
        <w:rPr>
          <w:rFonts w:ascii="Times New Roman" w:eastAsia="Times New Roman" w:hAnsi="Times New Roman" w:cs="Times New Roman"/>
          <w:color w:val="000000"/>
          <w:sz w:val="24"/>
          <w:szCs w:val="24"/>
          <w:lang w:eastAsia="ro-RO"/>
        </w:rPr>
        <w:t>.</w:t>
      </w:r>
      <w:r w:rsidRPr="0039040E">
        <w:rPr>
          <w:rFonts w:ascii="Times New Roman" w:eastAsia="Times New Roman" w:hAnsi="Times New Roman" w:cs="Times New Roman"/>
          <w:color w:val="000000"/>
          <w:sz w:val="24"/>
          <w:szCs w:val="24"/>
          <w:lang w:eastAsia="ro-RO"/>
        </w:rPr>
        <w:t xml:space="preserve"> Pie</w:t>
      </w:r>
      <w:r w:rsidR="00B66E34">
        <w:rPr>
          <w:rFonts w:ascii="Times New Roman" w:eastAsia="Times New Roman" w:hAnsi="Times New Roman" w:cs="Times New Roman"/>
          <w:color w:val="000000"/>
          <w:sz w:val="24"/>
          <w:szCs w:val="24"/>
          <w:lang w:eastAsia="ro-RO"/>
        </w:rPr>
        <w:t>ț</w:t>
      </w:r>
      <w:r w:rsidRPr="0039040E">
        <w:rPr>
          <w:rFonts w:ascii="Times New Roman" w:eastAsia="Times New Roman" w:hAnsi="Times New Roman" w:cs="Times New Roman"/>
          <w:color w:val="000000"/>
          <w:sz w:val="24"/>
          <w:szCs w:val="24"/>
          <w:lang w:eastAsia="ro-RO"/>
        </w:rPr>
        <w:t>e Servicii Comunitare Muscel S</w:t>
      </w:r>
      <w:r w:rsidR="00B66E34">
        <w:rPr>
          <w:rFonts w:ascii="Times New Roman" w:eastAsia="Times New Roman" w:hAnsi="Times New Roman" w:cs="Times New Roman"/>
          <w:color w:val="000000"/>
          <w:sz w:val="24"/>
          <w:szCs w:val="24"/>
          <w:lang w:eastAsia="ro-RO"/>
        </w:rPr>
        <w:t>.</w:t>
      </w:r>
      <w:r w:rsidRPr="0039040E">
        <w:rPr>
          <w:rFonts w:ascii="Times New Roman" w:eastAsia="Times New Roman" w:hAnsi="Times New Roman" w:cs="Times New Roman"/>
          <w:color w:val="000000"/>
          <w:sz w:val="24"/>
          <w:szCs w:val="24"/>
          <w:lang w:eastAsia="ro-RO"/>
        </w:rPr>
        <w:t>R</w:t>
      </w:r>
      <w:r w:rsidR="00B66E34">
        <w:rPr>
          <w:rFonts w:ascii="Times New Roman" w:eastAsia="Times New Roman" w:hAnsi="Times New Roman" w:cs="Times New Roman"/>
          <w:color w:val="000000"/>
          <w:sz w:val="24"/>
          <w:szCs w:val="24"/>
          <w:lang w:eastAsia="ro-RO"/>
        </w:rPr>
        <w:t>.</w:t>
      </w:r>
      <w:r w:rsidRPr="0039040E">
        <w:rPr>
          <w:rFonts w:ascii="Times New Roman" w:eastAsia="Times New Roman" w:hAnsi="Times New Roman" w:cs="Times New Roman"/>
          <w:color w:val="000000"/>
          <w:sz w:val="24"/>
          <w:szCs w:val="24"/>
          <w:lang w:eastAsia="ro-RO"/>
        </w:rPr>
        <w:t>L</w:t>
      </w:r>
      <w:r w:rsidR="00B66E34">
        <w:rPr>
          <w:rFonts w:ascii="Times New Roman" w:eastAsia="Times New Roman" w:hAnsi="Times New Roman" w:cs="Times New Roman"/>
          <w:color w:val="000000"/>
          <w:sz w:val="24"/>
          <w:szCs w:val="24"/>
          <w:lang w:eastAsia="ro-RO"/>
        </w:rPr>
        <w:t>.</w:t>
      </w:r>
      <w:r w:rsidRPr="0039040E">
        <w:rPr>
          <w:rFonts w:ascii="Times New Roman" w:eastAsia="Times New Roman" w:hAnsi="Times New Roman" w:cs="Times New Roman"/>
          <w:color w:val="000000"/>
          <w:sz w:val="24"/>
          <w:szCs w:val="24"/>
          <w:lang w:eastAsia="ro-RO"/>
        </w:rPr>
        <w:t xml:space="preserve"> este </w:t>
      </w:r>
      <w:r w:rsidR="00B66E34" w:rsidRPr="0039040E">
        <w:rPr>
          <w:rFonts w:ascii="Times New Roman" w:eastAsia="Times New Roman" w:hAnsi="Times New Roman" w:cs="Times New Roman"/>
          <w:color w:val="000000"/>
          <w:sz w:val="24"/>
          <w:szCs w:val="24"/>
          <w:lang w:eastAsia="ro-RO"/>
        </w:rPr>
        <w:t>deținut</w:t>
      </w:r>
      <w:r w:rsidRPr="0039040E">
        <w:rPr>
          <w:rFonts w:ascii="Times New Roman" w:eastAsia="Times New Roman" w:hAnsi="Times New Roman" w:cs="Times New Roman"/>
          <w:color w:val="000000"/>
          <w:sz w:val="24"/>
          <w:szCs w:val="24"/>
          <w:lang w:eastAsia="ro-RO"/>
        </w:rPr>
        <w:t xml:space="preserve"> </w:t>
      </w:r>
      <w:r w:rsidR="00B66E34">
        <w:rPr>
          <w:rFonts w:ascii="Times New Roman" w:eastAsia="Times New Roman" w:hAnsi="Times New Roman" w:cs="Times New Roman"/>
          <w:color w:val="000000"/>
          <w:sz w:val="24"/>
          <w:szCs w:val="24"/>
          <w:lang w:eastAsia="ro-RO"/>
        </w:rPr>
        <w:t>î</w:t>
      </w:r>
      <w:r w:rsidRPr="0039040E">
        <w:rPr>
          <w:rFonts w:ascii="Times New Roman" w:eastAsia="Times New Roman" w:hAnsi="Times New Roman" w:cs="Times New Roman"/>
          <w:color w:val="000000"/>
          <w:sz w:val="24"/>
          <w:szCs w:val="24"/>
          <w:lang w:eastAsia="ro-RO"/>
        </w:rPr>
        <w:t xml:space="preserve">n </w:t>
      </w:r>
      <w:r w:rsidR="00B66E34" w:rsidRPr="0039040E">
        <w:rPr>
          <w:rFonts w:ascii="Times New Roman" w:eastAsia="Times New Roman" w:hAnsi="Times New Roman" w:cs="Times New Roman"/>
          <w:color w:val="000000"/>
          <w:sz w:val="24"/>
          <w:szCs w:val="24"/>
          <w:lang w:eastAsia="ro-RO"/>
        </w:rPr>
        <w:t>proporție</w:t>
      </w:r>
      <w:r w:rsidRPr="0039040E">
        <w:rPr>
          <w:rFonts w:ascii="Times New Roman" w:eastAsia="Times New Roman" w:hAnsi="Times New Roman" w:cs="Times New Roman"/>
          <w:color w:val="000000"/>
          <w:sz w:val="24"/>
          <w:szCs w:val="24"/>
          <w:lang w:eastAsia="ro-RO"/>
        </w:rPr>
        <w:t xml:space="preserve"> de 100% de Consiliul Local al Municipiul Campulung în calitate de Asociat Unic.</w:t>
      </w:r>
    </w:p>
    <w:p w14:paraId="3A13A473" w14:textId="77777777" w:rsidR="0039040E" w:rsidRPr="0039040E" w:rsidRDefault="0039040E" w:rsidP="0039040E">
      <w:pPr>
        <w:widowControl w:val="0"/>
        <w:spacing w:after="0" w:line="240" w:lineRule="auto"/>
        <w:ind w:firstLine="553"/>
        <w:jc w:val="both"/>
        <w:rPr>
          <w:rFonts w:ascii="Times New Roman" w:eastAsia="Times New Roman" w:hAnsi="Times New Roman" w:cs="Times New Roman"/>
          <w:color w:val="000000"/>
          <w:sz w:val="24"/>
          <w:szCs w:val="24"/>
          <w:lang w:eastAsia="ro-RO"/>
        </w:rPr>
      </w:pPr>
      <w:r w:rsidRPr="0039040E">
        <w:rPr>
          <w:rFonts w:ascii="Times New Roman" w:eastAsia="Times New Roman" w:hAnsi="Times New Roman" w:cs="Times New Roman"/>
          <w:color w:val="000000"/>
          <w:sz w:val="24"/>
          <w:szCs w:val="24"/>
          <w:lang w:eastAsia="ro-RO"/>
        </w:rPr>
        <w:t>Conform Actului constitutiv actualizat prin Hotărârea A.G.A. Nr. 1 / 16.02.2026, societatea are ca activități:</w:t>
      </w:r>
    </w:p>
    <w:p w14:paraId="1E98A2E0" w14:textId="77777777" w:rsidR="0039040E" w:rsidRPr="0039040E" w:rsidRDefault="0039040E" w:rsidP="0039040E">
      <w:pPr>
        <w:widowControl w:val="0"/>
        <w:spacing w:after="0" w:line="240" w:lineRule="auto"/>
        <w:jc w:val="both"/>
        <w:rPr>
          <w:rFonts w:ascii="Times New Roman" w:eastAsia="Times New Roman" w:hAnsi="Times New Roman" w:cs="Times New Roman"/>
          <w:color w:val="000000"/>
          <w:sz w:val="24"/>
          <w:szCs w:val="24"/>
          <w:lang w:eastAsia="ro-RO"/>
        </w:rPr>
      </w:pPr>
      <w:r w:rsidRPr="0039040E">
        <w:rPr>
          <w:rFonts w:ascii="Times New Roman" w:eastAsia="Times New Roman" w:hAnsi="Times New Roman" w:cs="Times New Roman"/>
          <w:color w:val="000000"/>
          <w:sz w:val="24"/>
          <w:szCs w:val="24"/>
          <w:lang w:eastAsia="ro-RO"/>
        </w:rPr>
        <w:t>6820 – Închirierea şi subînchirierea bunurilor imobiliare proprii sau închiriate.</w:t>
      </w:r>
    </w:p>
    <w:p w14:paraId="60AD2FB5" w14:textId="77777777" w:rsidR="0039040E" w:rsidRPr="0039040E" w:rsidRDefault="0039040E" w:rsidP="0039040E">
      <w:pPr>
        <w:widowControl w:val="0"/>
        <w:spacing w:after="0" w:line="240" w:lineRule="auto"/>
        <w:jc w:val="both"/>
        <w:rPr>
          <w:rFonts w:ascii="Times New Roman" w:eastAsia="Times New Roman" w:hAnsi="Times New Roman" w:cs="Times New Roman"/>
          <w:color w:val="000000"/>
          <w:sz w:val="24"/>
          <w:szCs w:val="24"/>
          <w:lang w:eastAsia="ro-RO"/>
        </w:rPr>
      </w:pPr>
      <w:r w:rsidRPr="0039040E">
        <w:rPr>
          <w:rFonts w:ascii="Times New Roman" w:eastAsia="Times New Roman" w:hAnsi="Times New Roman" w:cs="Times New Roman"/>
          <w:color w:val="000000"/>
          <w:sz w:val="24"/>
          <w:szCs w:val="24"/>
          <w:lang w:eastAsia="ro-RO"/>
        </w:rPr>
        <w:t>(2) Obiectul secundar de activitate este:</w:t>
      </w:r>
    </w:p>
    <w:p w14:paraId="6F0C25C4" w14:textId="77777777" w:rsidR="0039040E" w:rsidRPr="0039040E" w:rsidRDefault="0039040E" w:rsidP="0039040E">
      <w:pPr>
        <w:widowControl w:val="0"/>
        <w:spacing w:after="0" w:line="240" w:lineRule="auto"/>
        <w:jc w:val="both"/>
        <w:rPr>
          <w:rFonts w:ascii="Times New Roman" w:eastAsia="Times New Roman" w:hAnsi="Times New Roman" w:cs="Times New Roman"/>
          <w:color w:val="000000"/>
          <w:sz w:val="24"/>
          <w:szCs w:val="24"/>
          <w:lang w:eastAsia="ro-RO"/>
        </w:rPr>
      </w:pPr>
      <w:r w:rsidRPr="0039040E">
        <w:rPr>
          <w:rFonts w:ascii="Times New Roman" w:eastAsia="Times New Roman" w:hAnsi="Times New Roman" w:cs="Times New Roman"/>
          <w:color w:val="000000"/>
          <w:sz w:val="24"/>
          <w:szCs w:val="24"/>
          <w:lang w:eastAsia="ro-RO"/>
        </w:rPr>
        <w:t>3811 -</w:t>
      </w:r>
      <w:r w:rsidRPr="0039040E">
        <w:rPr>
          <w:rFonts w:ascii="Times New Roman" w:eastAsia="Times New Roman" w:hAnsi="Times New Roman" w:cs="Times New Roman"/>
          <w:color w:val="000000"/>
          <w:sz w:val="24"/>
          <w:szCs w:val="24"/>
          <w:lang w:eastAsia="ro-RO"/>
        </w:rPr>
        <w:tab/>
        <w:t>Colectarea deşeurilor nepericuloase</w:t>
      </w:r>
    </w:p>
    <w:p w14:paraId="4011C970" w14:textId="77777777" w:rsidR="0039040E" w:rsidRPr="0039040E" w:rsidRDefault="0039040E" w:rsidP="0039040E">
      <w:pPr>
        <w:widowControl w:val="0"/>
        <w:spacing w:after="0" w:line="240" w:lineRule="auto"/>
        <w:jc w:val="both"/>
        <w:rPr>
          <w:rFonts w:ascii="Times New Roman" w:eastAsia="Times New Roman" w:hAnsi="Times New Roman" w:cs="Times New Roman"/>
          <w:color w:val="000000"/>
          <w:sz w:val="24"/>
          <w:szCs w:val="24"/>
          <w:lang w:eastAsia="ro-RO"/>
        </w:rPr>
      </w:pPr>
      <w:r w:rsidRPr="0039040E">
        <w:rPr>
          <w:rFonts w:ascii="Times New Roman" w:eastAsia="Times New Roman" w:hAnsi="Times New Roman" w:cs="Times New Roman"/>
          <w:color w:val="000000"/>
          <w:sz w:val="24"/>
          <w:szCs w:val="24"/>
          <w:lang w:eastAsia="ro-RO"/>
        </w:rPr>
        <w:t>4611 -</w:t>
      </w:r>
      <w:r w:rsidRPr="0039040E">
        <w:rPr>
          <w:rFonts w:ascii="Times New Roman" w:eastAsia="Times New Roman" w:hAnsi="Times New Roman" w:cs="Times New Roman"/>
          <w:color w:val="000000"/>
          <w:sz w:val="24"/>
          <w:szCs w:val="24"/>
          <w:lang w:eastAsia="ro-RO"/>
        </w:rPr>
        <w:tab/>
        <w:t>Intermedieri în comerţul cu materii prime agricole, animale vii, materii prime textile şi cu semifabricate</w:t>
      </w:r>
    </w:p>
    <w:p w14:paraId="0569A3A2" w14:textId="77777777" w:rsidR="0039040E" w:rsidRPr="0039040E" w:rsidRDefault="0039040E" w:rsidP="0039040E">
      <w:pPr>
        <w:widowControl w:val="0"/>
        <w:spacing w:after="0" w:line="240" w:lineRule="auto"/>
        <w:jc w:val="both"/>
        <w:rPr>
          <w:rFonts w:ascii="Times New Roman" w:eastAsia="Times New Roman" w:hAnsi="Times New Roman" w:cs="Times New Roman"/>
          <w:color w:val="000000"/>
          <w:sz w:val="24"/>
          <w:szCs w:val="24"/>
          <w:lang w:eastAsia="ro-RO"/>
        </w:rPr>
      </w:pPr>
      <w:r w:rsidRPr="0039040E">
        <w:rPr>
          <w:rFonts w:ascii="Times New Roman" w:eastAsia="Times New Roman" w:hAnsi="Times New Roman" w:cs="Times New Roman"/>
          <w:color w:val="000000"/>
          <w:sz w:val="24"/>
          <w:szCs w:val="24"/>
          <w:lang w:eastAsia="ro-RO"/>
        </w:rPr>
        <w:t>5210 -</w:t>
      </w:r>
      <w:r w:rsidRPr="0039040E">
        <w:rPr>
          <w:rFonts w:ascii="Times New Roman" w:eastAsia="Times New Roman" w:hAnsi="Times New Roman" w:cs="Times New Roman"/>
          <w:color w:val="000000"/>
          <w:sz w:val="24"/>
          <w:szCs w:val="24"/>
          <w:lang w:eastAsia="ro-RO"/>
        </w:rPr>
        <w:tab/>
        <w:t>Depozitări</w:t>
      </w:r>
    </w:p>
    <w:p w14:paraId="40B73E71" w14:textId="77777777" w:rsidR="0039040E" w:rsidRPr="0039040E" w:rsidRDefault="0039040E" w:rsidP="0039040E">
      <w:pPr>
        <w:widowControl w:val="0"/>
        <w:spacing w:after="0" w:line="240" w:lineRule="auto"/>
        <w:jc w:val="both"/>
        <w:rPr>
          <w:rFonts w:ascii="Times New Roman" w:eastAsia="Times New Roman" w:hAnsi="Times New Roman" w:cs="Times New Roman"/>
          <w:color w:val="000000"/>
          <w:sz w:val="24"/>
          <w:szCs w:val="24"/>
          <w:lang w:eastAsia="ro-RO"/>
        </w:rPr>
      </w:pPr>
      <w:r w:rsidRPr="0039040E">
        <w:rPr>
          <w:rFonts w:ascii="Times New Roman" w:eastAsia="Times New Roman" w:hAnsi="Times New Roman" w:cs="Times New Roman"/>
          <w:color w:val="000000"/>
          <w:sz w:val="24"/>
          <w:szCs w:val="24"/>
          <w:lang w:eastAsia="ro-RO"/>
        </w:rPr>
        <w:t>5590 -</w:t>
      </w:r>
      <w:r w:rsidRPr="0039040E">
        <w:rPr>
          <w:rFonts w:ascii="Times New Roman" w:eastAsia="Times New Roman" w:hAnsi="Times New Roman" w:cs="Times New Roman"/>
          <w:color w:val="000000"/>
          <w:sz w:val="24"/>
          <w:szCs w:val="24"/>
          <w:lang w:eastAsia="ro-RO"/>
        </w:rPr>
        <w:tab/>
        <w:t>Alte servicii de cazare</w:t>
      </w:r>
    </w:p>
    <w:p w14:paraId="50E33E8E" w14:textId="77777777" w:rsidR="0039040E" w:rsidRPr="0039040E" w:rsidRDefault="0039040E" w:rsidP="0039040E">
      <w:pPr>
        <w:widowControl w:val="0"/>
        <w:spacing w:after="0" w:line="240" w:lineRule="auto"/>
        <w:jc w:val="both"/>
        <w:rPr>
          <w:rFonts w:ascii="Times New Roman" w:eastAsia="Times New Roman" w:hAnsi="Times New Roman" w:cs="Times New Roman"/>
          <w:color w:val="000000"/>
          <w:sz w:val="24"/>
          <w:szCs w:val="24"/>
          <w:lang w:eastAsia="ro-RO"/>
        </w:rPr>
      </w:pPr>
      <w:r w:rsidRPr="0039040E">
        <w:rPr>
          <w:rFonts w:ascii="Times New Roman" w:eastAsia="Times New Roman" w:hAnsi="Times New Roman" w:cs="Times New Roman"/>
          <w:color w:val="000000"/>
          <w:sz w:val="24"/>
          <w:szCs w:val="24"/>
          <w:lang w:eastAsia="ro-RO"/>
        </w:rPr>
        <w:t>6832 –</w:t>
      </w:r>
      <w:r w:rsidRPr="0039040E">
        <w:rPr>
          <w:rFonts w:ascii="Times New Roman" w:eastAsia="Times New Roman" w:hAnsi="Times New Roman" w:cs="Times New Roman"/>
          <w:color w:val="000000"/>
          <w:sz w:val="24"/>
          <w:szCs w:val="24"/>
          <w:lang w:eastAsia="ro-RO"/>
        </w:rPr>
        <w:tab/>
        <w:t>Alte activități pentru tranzacții imobiliare pe baza de comision sau contract.</w:t>
      </w:r>
    </w:p>
    <w:p w14:paraId="38E3AEB2" w14:textId="77777777" w:rsidR="0039040E" w:rsidRPr="0039040E" w:rsidRDefault="0039040E" w:rsidP="0039040E">
      <w:pPr>
        <w:widowControl w:val="0"/>
        <w:spacing w:after="0" w:line="240" w:lineRule="auto"/>
        <w:jc w:val="both"/>
        <w:rPr>
          <w:rFonts w:ascii="Times New Roman" w:eastAsia="Times New Roman" w:hAnsi="Times New Roman" w:cs="Times New Roman"/>
          <w:color w:val="000000"/>
          <w:sz w:val="24"/>
          <w:szCs w:val="24"/>
          <w:lang w:eastAsia="ro-RO"/>
        </w:rPr>
      </w:pPr>
      <w:r w:rsidRPr="0039040E">
        <w:rPr>
          <w:rFonts w:ascii="Times New Roman" w:eastAsia="Times New Roman" w:hAnsi="Times New Roman" w:cs="Times New Roman"/>
          <w:color w:val="000000"/>
          <w:sz w:val="24"/>
          <w:szCs w:val="24"/>
          <w:lang w:eastAsia="ro-RO"/>
        </w:rPr>
        <w:t>8130 -</w:t>
      </w:r>
      <w:r w:rsidRPr="0039040E">
        <w:rPr>
          <w:rFonts w:ascii="Times New Roman" w:eastAsia="Times New Roman" w:hAnsi="Times New Roman" w:cs="Times New Roman"/>
          <w:color w:val="000000"/>
          <w:sz w:val="24"/>
          <w:szCs w:val="24"/>
          <w:lang w:eastAsia="ro-RO"/>
        </w:rPr>
        <w:tab/>
        <w:t>Activităţi de întreţinere peisagistică</w:t>
      </w:r>
    </w:p>
    <w:p w14:paraId="11B1A5BA" w14:textId="77777777" w:rsidR="0039040E" w:rsidRPr="0039040E" w:rsidRDefault="0039040E" w:rsidP="0039040E">
      <w:pPr>
        <w:widowControl w:val="0"/>
        <w:spacing w:after="0" w:line="240" w:lineRule="auto"/>
        <w:jc w:val="both"/>
        <w:rPr>
          <w:rFonts w:ascii="Times New Roman" w:eastAsia="Times New Roman" w:hAnsi="Times New Roman" w:cs="Times New Roman"/>
          <w:color w:val="000000"/>
          <w:sz w:val="24"/>
          <w:szCs w:val="24"/>
          <w:lang w:eastAsia="ro-RO"/>
        </w:rPr>
      </w:pPr>
      <w:r w:rsidRPr="0039040E">
        <w:rPr>
          <w:rFonts w:ascii="Times New Roman" w:eastAsia="Times New Roman" w:hAnsi="Times New Roman" w:cs="Times New Roman"/>
          <w:color w:val="000000"/>
          <w:sz w:val="24"/>
          <w:szCs w:val="24"/>
          <w:lang w:eastAsia="ro-RO"/>
        </w:rPr>
        <w:t>8230</w:t>
      </w:r>
      <w:r w:rsidRPr="0039040E">
        <w:rPr>
          <w:rFonts w:ascii="Times New Roman" w:eastAsia="Times New Roman" w:hAnsi="Times New Roman" w:cs="Times New Roman"/>
          <w:color w:val="000000"/>
          <w:sz w:val="24"/>
          <w:szCs w:val="24"/>
          <w:lang w:eastAsia="ro-RO"/>
        </w:rPr>
        <w:tab/>
        <w:t>Activităţi de organizare a expoziţiilor, târgurilor si congreselor</w:t>
      </w:r>
    </w:p>
    <w:p w14:paraId="672F99D9" w14:textId="77777777" w:rsidR="0039040E" w:rsidRPr="0039040E" w:rsidRDefault="0039040E" w:rsidP="0039040E">
      <w:pPr>
        <w:widowControl w:val="0"/>
        <w:spacing w:after="0" w:line="240" w:lineRule="auto"/>
        <w:jc w:val="both"/>
        <w:rPr>
          <w:rFonts w:ascii="Times New Roman" w:eastAsia="Times New Roman" w:hAnsi="Times New Roman" w:cs="Times New Roman"/>
          <w:color w:val="000000"/>
          <w:sz w:val="24"/>
          <w:szCs w:val="24"/>
          <w:lang w:eastAsia="ro-RO"/>
        </w:rPr>
      </w:pPr>
      <w:r w:rsidRPr="0039040E">
        <w:rPr>
          <w:rFonts w:ascii="Times New Roman" w:eastAsia="Times New Roman" w:hAnsi="Times New Roman" w:cs="Times New Roman"/>
          <w:color w:val="000000"/>
          <w:sz w:val="24"/>
          <w:szCs w:val="24"/>
          <w:lang w:eastAsia="ro-RO"/>
        </w:rPr>
        <w:t>9321 -</w:t>
      </w:r>
      <w:r w:rsidRPr="0039040E">
        <w:rPr>
          <w:rFonts w:ascii="Times New Roman" w:eastAsia="Times New Roman" w:hAnsi="Times New Roman" w:cs="Times New Roman"/>
          <w:color w:val="000000"/>
          <w:sz w:val="24"/>
          <w:szCs w:val="24"/>
          <w:lang w:eastAsia="ro-RO"/>
        </w:rPr>
        <w:tab/>
        <w:t>Activitati ale parcurilor tematice si de distracţii</w:t>
      </w:r>
    </w:p>
    <w:p w14:paraId="282E0C66" w14:textId="77777777" w:rsidR="0039040E" w:rsidRPr="0039040E" w:rsidRDefault="0039040E" w:rsidP="0039040E">
      <w:pPr>
        <w:widowControl w:val="0"/>
        <w:spacing w:after="0" w:line="240" w:lineRule="auto"/>
        <w:jc w:val="both"/>
        <w:rPr>
          <w:rFonts w:ascii="Times New Roman" w:eastAsia="Times New Roman" w:hAnsi="Times New Roman" w:cs="Times New Roman"/>
          <w:color w:val="000000"/>
          <w:sz w:val="24"/>
          <w:szCs w:val="24"/>
          <w:lang w:eastAsia="ro-RO"/>
        </w:rPr>
      </w:pPr>
      <w:r w:rsidRPr="0039040E">
        <w:rPr>
          <w:rFonts w:ascii="Times New Roman" w:eastAsia="Times New Roman" w:hAnsi="Times New Roman" w:cs="Times New Roman"/>
          <w:color w:val="000000"/>
          <w:sz w:val="24"/>
          <w:szCs w:val="24"/>
          <w:lang w:eastAsia="ro-RO"/>
        </w:rPr>
        <w:t xml:space="preserve">9329 - </w:t>
      </w:r>
      <w:r w:rsidRPr="0039040E">
        <w:rPr>
          <w:rFonts w:ascii="Times New Roman" w:eastAsia="Times New Roman" w:hAnsi="Times New Roman" w:cs="Times New Roman"/>
          <w:color w:val="000000"/>
          <w:sz w:val="24"/>
          <w:szCs w:val="24"/>
          <w:lang w:eastAsia="ro-RO"/>
        </w:rPr>
        <w:tab/>
        <w:t>Alte activităţi recreative şi distractive n.c.a.</w:t>
      </w:r>
    </w:p>
    <w:p w14:paraId="099E747B" w14:textId="77777777" w:rsidR="0039040E" w:rsidRPr="0039040E" w:rsidRDefault="0039040E" w:rsidP="0039040E">
      <w:pPr>
        <w:widowControl w:val="0"/>
        <w:spacing w:after="0" w:line="240" w:lineRule="auto"/>
        <w:ind w:firstLine="720"/>
        <w:jc w:val="both"/>
        <w:rPr>
          <w:rFonts w:ascii="Times New Roman" w:eastAsia="Times New Roman" w:hAnsi="Times New Roman" w:cs="Times New Roman"/>
          <w:color w:val="000000"/>
          <w:sz w:val="24"/>
          <w:szCs w:val="24"/>
          <w:lang w:eastAsia="ro-RO"/>
        </w:rPr>
      </w:pPr>
      <w:r w:rsidRPr="0039040E">
        <w:rPr>
          <w:rFonts w:ascii="Times New Roman" w:eastAsia="Times New Roman" w:hAnsi="Times New Roman" w:cs="Times New Roman"/>
          <w:color w:val="000000"/>
          <w:sz w:val="24"/>
          <w:szCs w:val="24"/>
          <w:lang w:eastAsia="ro-RO"/>
        </w:rPr>
        <w:t>Alte activitati prevăzute în actul constitutiv:</w:t>
      </w:r>
    </w:p>
    <w:p w14:paraId="1EE75AD8" w14:textId="23AD0953" w:rsidR="0039040E" w:rsidRPr="0039040E" w:rsidRDefault="0039040E" w:rsidP="0039040E">
      <w:pPr>
        <w:widowControl w:val="0"/>
        <w:spacing w:after="0" w:line="240" w:lineRule="auto"/>
        <w:jc w:val="both"/>
        <w:rPr>
          <w:rFonts w:ascii="Times New Roman" w:eastAsia="Times New Roman" w:hAnsi="Times New Roman" w:cs="Times New Roman"/>
          <w:color w:val="000000"/>
          <w:sz w:val="24"/>
          <w:szCs w:val="24"/>
          <w:lang w:eastAsia="ro-RO"/>
        </w:rPr>
      </w:pPr>
      <w:r w:rsidRPr="0039040E">
        <w:rPr>
          <w:rFonts w:ascii="Times New Roman" w:eastAsia="Times New Roman" w:hAnsi="Times New Roman" w:cs="Times New Roman"/>
          <w:color w:val="000000"/>
          <w:sz w:val="24"/>
          <w:szCs w:val="24"/>
          <w:lang w:eastAsia="ro-RO"/>
        </w:rPr>
        <w:tab/>
        <w:t>Activitatea desfasurata S.C. Piețe Servicii Comunitare Muscel S.R.L.</w:t>
      </w:r>
      <w:r w:rsidR="00B66E34">
        <w:rPr>
          <w:rFonts w:ascii="Times New Roman" w:eastAsia="Times New Roman" w:hAnsi="Times New Roman" w:cs="Times New Roman"/>
          <w:color w:val="000000"/>
          <w:sz w:val="24"/>
          <w:szCs w:val="24"/>
          <w:lang w:eastAsia="ro-RO"/>
        </w:rPr>
        <w:t xml:space="preserve"> </w:t>
      </w:r>
      <w:r w:rsidRPr="0039040E">
        <w:rPr>
          <w:rFonts w:ascii="Times New Roman" w:eastAsia="Times New Roman" w:hAnsi="Times New Roman" w:cs="Times New Roman"/>
          <w:color w:val="000000"/>
          <w:sz w:val="24"/>
          <w:szCs w:val="24"/>
          <w:lang w:eastAsia="ro-RO"/>
        </w:rPr>
        <w:t xml:space="preserve">a fost, in conformitate cu legislatia specifica si Contractul de delegare a gestiunii prin concesiune a serviciului public de intretinere, administrare si exploatare a pietelor agroalimentare si a targului din Municipiul Câmpulung nr. 7816/2021. In derularea contractului de concesiune se </w:t>
      </w:r>
      <w:r w:rsidR="00B66E34" w:rsidRPr="0039040E">
        <w:rPr>
          <w:rFonts w:ascii="Times New Roman" w:eastAsia="Times New Roman" w:hAnsi="Times New Roman" w:cs="Times New Roman"/>
          <w:color w:val="000000"/>
          <w:sz w:val="24"/>
          <w:szCs w:val="24"/>
          <w:lang w:eastAsia="ro-RO"/>
        </w:rPr>
        <w:t>utilizează</w:t>
      </w:r>
      <w:r w:rsidRPr="0039040E">
        <w:rPr>
          <w:rFonts w:ascii="Times New Roman" w:eastAsia="Times New Roman" w:hAnsi="Times New Roman" w:cs="Times New Roman"/>
          <w:color w:val="000000"/>
          <w:sz w:val="24"/>
          <w:szCs w:val="24"/>
          <w:lang w:eastAsia="ro-RO"/>
        </w:rPr>
        <w:t xml:space="preserve"> urmatoarele categorii de bunuri:</w:t>
      </w:r>
    </w:p>
    <w:p w14:paraId="2C94C0E0" w14:textId="77777777" w:rsidR="0039040E" w:rsidRPr="0039040E" w:rsidRDefault="0039040E" w:rsidP="0039040E">
      <w:pPr>
        <w:widowControl w:val="0"/>
        <w:spacing w:after="0" w:line="240" w:lineRule="auto"/>
        <w:jc w:val="both"/>
        <w:rPr>
          <w:rFonts w:ascii="Times New Roman" w:eastAsia="Times New Roman" w:hAnsi="Times New Roman" w:cs="Times New Roman"/>
          <w:color w:val="000000"/>
          <w:sz w:val="24"/>
          <w:szCs w:val="24"/>
          <w:lang w:eastAsia="ro-RO"/>
        </w:rPr>
      </w:pPr>
      <w:r w:rsidRPr="0039040E">
        <w:rPr>
          <w:rFonts w:ascii="Times New Roman" w:eastAsia="Times New Roman" w:hAnsi="Times New Roman" w:cs="Times New Roman"/>
          <w:color w:val="000000"/>
          <w:sz w:val="24"/>
          <w:szCs w:val="24"/>
          <w:lang w:eastAsia="ro-RO"/>
        </w:rPr>
        <w:t>a)</w:t>
      </w:r>
      <w:r w:rsidRPr="0039040E">
        <w:rPr>
          <w:rFonts w:ascii="Times New Roman" w:eastAsia="Times New Roman" w:hAnsi="Times New Roman" w:cs="Times New Roman"/>
          <w:color w:val="000000"/>
          <w:sz w:val="24"/>
          <w:szCs w:val="24"/>
          <w:lang w:eastAsia="ro-RO"/>
        </w:rPr>
        <w:tab/>
        <w:t>bunuri de retur: bunurile care au facut obiectul concesiunii precum si bunurile realizate in conformitate cu programele de investitii si care au legatura directa cu bunurile concesionate, facand parte integranta in acestea;</w:t>
      </w:r>
    </w:p>
    <w:p w14:paraId="61B811E3" w14:textId="77777777" w:rsidR="0039040E" w:rsidRPr="0039040E" w:rsidRDefault="0039040E" w:rsidP="0039040E">
      <w:pPr>
        <w:widowControl w:val="0"/>
        <w:spacing w:after="0" w:line="240" w:lineRule="auto"/>
        <w:jc w:val="both"/>
        <w:rPr>
          <w:rFonts w:ascii="Times New Roman" w:eastAsia="Times New Roman" w:hAnsi="Times New Roman" w:cs="Times New Roman"/>
          <w:color w:val="000000"/>
          <w:sz w:val="24"/>
          <w:szCs w:val="24"/>
          <w:lang w:eastAsia="ro-RO"/>
        </w:rPr>
      </w:pPr>
      <w:r w:rsidRPr="0039040E">
        <w:rPr>
          <w:rFonts w:ascii="Times New Roman" w:eastAsia="Times New Roman" w:hAnsi="Times New Roman" w:cs="Times New Roman"/>
          <w:color w:val="000000"/>
          <w:sz w:val="24"/>
          <w:szCs w:val="24"/>
          <w:lang w:eastAsia="ro-RO"/>
        </w:rPr>
        <w:t>b)</w:t>
      </w:r>
      <w:r w:rsidRPr="0039040E">
        <w:rPr>
          <w:rFonts w:ascii="Times New Roman" w:eastAsia="Times New Roman" w:hAnsi="Times New Roman" w:cs="Times New Roman"/>
          <w:color w:val="000000"/>
          <w:sz w:val="24"/>
          <w:szCs w:val="24"/>
          <w:lang w:eastAsia="ro-RO"/>
        </w:rPr>
        <w:tab/>
        <w:t>bunuri proprii ale concesionarului</w:t>
      </w:r>
    </w:p>
    <w:p w14:paraId="6D931A5D" w14:textId="77777777" w:rsidR="0039040E" w:rsidRPr="0039040E" w:rsidRDefault="0039040E" w:rsidP="0039040E">
      <w:pPr>
        <w:widowControl w:val="0"/>
        <w:spacing w:after="0" w:line="240" w:lineRule="auto"/>
        <w:jc w:val="both"/>
        <w:rPr>
          <w:rFonts w:ascii="Times New Roman" w:eastAsia="Times New Roman" w:hAnsi="Times New Roman" w:cs="Times New Roman"/>
          <w:color w:val="000000"/>
          <w:sz w:val="24"/>
          <w:szCs w:val="24"/>
          <w:lang w:eastAsia="ro-RO"/>
        </w:rPr>
      </w:pPr>
      <w:r w:rsidRPr="0039040E">
        <w:rPr>
          <w:rFonts w:ascii="Times New Roman" w:eastAsia="Times New Roman" w:hAnsi="Times New Roman" w:cs="Times New Roman"/>
          <w:color w:val="000000"/>
          <w:sz w:val="24"/>
          <w:szCs w:val="24"/>
          <w:lang w:eastAsia="ro-RO"/>
        </w:rPr>
        <w:t>Societatea este persoană juridică română având forma juridică de organizare de societate cu răspundere limitată, activitatea acesteia fiind reglementată de  actul constitutiv și se desfășoară în conformitate cu legislația română în vigoare.</w:t>
      </w:r>
    </w:p>
    <w:p w14:paraId="3F674703" w14:textId="77777777" w:rsidR="0039040E" w:rsidRPr="0039040E" w:rsidRDefault="0039040E" w:rsidP="0039040E">
      <w:pPr>
        <w:widowControl w:val="0"/>
        <w:spacing w:after="0" w:line="240" w:lineRule="auto"/>
        <w:ind w:firstLine="720"/>
        <w:jc w:val="both"/>
        <w:rPr>
          <w:rFonts w:ascii="Times New Roman" w:eastAsia="Times New Roman" w:hAnsi="Times New Roman" w:cs="Times New Roman"/>
          <w:color w:val="000000"/>
          <w:sz w:val="24"/>
          <w:szCs w:val="24"/>
          <w:lang w:eastAsia="ro-RO"/>
        </w:rPr>
      </w:pPr>
      <w:r w:rsidRPr="0039040E">
        <w:rPr>
          <w:rFonts w:ascii="Times New Roman" w:eastAsia="Times New Roman" w:hAnsi="Times New Roman" w:cs="Times New Roman"/>
          <w:color w:val="000000"/>
          <w:sz w:val="24"/>
          <w:szCs w:val="24"/>
          <w:lang w:eastAsia="ro-RO"/>
        </w:rPr>
        <w:t>S.C. Piețe Servicii Comunitare Muscel S.R.L. își desfășoară activitatea în următoarele puncte de lucru:</w:t>
      </w:r>
    </w:p>
    <w:p w14:paraId="781C2736" w14:textId="2D54DC79" w:rsidR="0039040E" w:rsidRPr="0039040E" w:rsidRDefault="0039040E" w:rsidP="0039040E">
      <w:pPr>
        <w:widowControl w:val="0"/>
        <w:spacing w:after="0" w:line="240" w:lineRule="auto"/>
        <w:jc w:val="both"/>
        <w:rPr>
          <w:rFonts w:ascii="Times New Roman" w:eastAsia="Times New Roman" w:hAnsi="Times New Roman" w:cs="Times New Roman"/>
          <w:color w:val="000000"/>
          <w:sz w:val="24"/>
          <w:szCs w:val="24"/>
          <w:lang w:eastAsia="ro-RO"/>
        </w:rPr>
      </w:pPr>
      <w:r w:rsidRPr="0039040E">
        <w:rPr>
          <w:rFonts w:ascii="Times New Roman" w:eastAsia="Times New Roman" w:hAnsi="Times New Roman" w:cs="Times New Roman"/>
          <w:b/>
          <w:color w:val="000000"/>
          <w:sz w:val="24"/>
          <w:szCs w:val="24"/>
          <w:lang w:eastAsia="ro-RO"/>
        </w:rPr>
        <w:t xml:space="preserve">1. Ansamblul </w:t>
      </w:r>
      <w:r w:rsidR="00B66E34" w:rsidRPr="0039040E">
        <w:rPr>
          <w:rFonts w:ascii="Times New Roman" w:eastAsia="Times New Roman" w:hAnsi="Times New Roman" w:cs="Times New Roman"/>
          <w:b/>
          <w:color w:val="000000"/>
          <w:sz w:val="24"/>
          <w:szCs w:val="24"/>
          <w:lang w:eastAsia="ro-RO"/>
        </w:rPr>
        <w:t>Pieței</w:t>
      </w:r>
      <w:r w:rsidRPr="0039040E">
        <w:rPr>
          <w:rFonts w:ascii="Times New Roman" w:eastAsia="Times New Roman" w:hAnsi="Times New Roman" w:cs="Times New Roman"/>
          <w:b/>
          <w:color w:val="000000"/>
          <w:sz w:val="24"/>
          <w:szCs w:val="24"/>
          <w:lang w:eastAsia="ro-RO"/>
        </w:rPr>
        <w:t xml:space="preserve"> Centrale</w:t>
      </w:r>
      <w:r w:rsidRPr="0039040E">
        <w:rPr>
          <w:rFonts w:ascii="Times New Roman" w:eastAsia="Times New Roman" w:hAnsi="Times New Roman" w:cs="Times New Roman"/>
          <w:color w:val="000000"/>
          <w:sz w:val="24"/>
          <w:szCs w:val="24"/>
          <w:lang w:eastAsia="ro-RO"/>
        </w:rPr>
        <w:t xml:space="preserve"> unde își are și sediul social – Câmpulung, str. Piața Jurământului, nr.1, Argeș cuprinde:</w:t>
      </w:r>
    </w:p>
    <w:p w14:paraId="6B193CBF" w14:textId="77777777" w:rsidR="0039040E" w:rsidRPr="0039040E" w:rsidRDefault="0039040E" w:rsidP="0039040E">
      <w:pPr>
        <w:widowControl w:val="0"/>
        <w:spacing w:after="0" w:line="240" w:lineRule="auto"/>
        <w:jc w:val="both"/>
        <w:rPr>
          <w:rFonts w:ascii="Times New Roman" w:eastAsia="Times New Roman" w:hAnsi="Times New Roman" w:cs="Times New Roman"/>
          <w:color w:val="000000"/>
          <w:sz w:val="24"/>
          <w:szCs w:val="24"/>
          <w:lang w:eastAsia="ro-RO"/>
        </w:rPr>
      </w:pPr>
      <w:r w:rsidRPr="0039040E">
        <w:rPr>
          <w:rFonts w:ascii="Times New Roman" w:eastAsia="Times New Roman" w:hAnsi="Times New Roman" w:cs="Times New Roman"/>
          <w:color w:val="000000"/>
          <w:sz w:val="24"/>
          <w:szCs w:val="24"/>
          <w:lang w:eastAsia="ro-RO"/>
        </w:rPr>
        <w:t xml:space="preserve">- </w:t>
      </w:r>
      <w:r w:rsidRPr="0039040E">
        <w:rPr>
          <w:rFonts w:ascii="Times New Roman" w:eastAsia="Times New Roman" w:hAnsi="Times New Roman" w:cs="Times New Roman"/>
          <w:b/>
          <w:color w:val="000000"/>
          <w:sz w:val="24"/>
          <w:szCs w:val="24"/>
          <w:lang w:eastAsia="ro-RO"/>
        </w:rPr>
        <w:t>Complexul Comercial al Pietei Centrale</w:t>
      </w:r>
      <w:r w:rsidRPr="0039040E">
        <w:rPr>
          <w:rFonts w:ascii="Times New Roman" w:eastAsia="Times New Roman" w:hAnsi="Times New Roman" w:cs="Times New Roman"/>
          <w:color w:val="000000"/>
          <w:sz w:val="24"/>
          <w:szCs w:val="24"/>
          <w:lang w:eastAsia="ro-RO"/>
        </w:rPr>
        <w:t xml:space="preserve"> – imobilul situat în str. Piaţa Jurământului nr.1;</w:t>
      </w:r>
    </w:p>
    <w:p w14:paraId="423C6E96" w14:textId="77777777" w:rsidR="0039040E" w:rsidRPr="0039040E" w:rsidRDefault="0039040E" w:rsidP="0039040E">
      <w:pPr>
        <w:widowControl w:val="0"/>
        <w:spacing w:after="0" w:line="240" w:lineRule="auto"/>
        <w:jc w:val="both"/>
        <w:rPr>
          <w:rFonts w:ascii="Times New Roman" w:eastAsia="Times New Roman" w:hAnsi="Times New Roman" w:cs="Times New Roman"/>
          <w:color w:val="000000"/>
          <w:sz w:val="24"/>
          <w:szCs w:val="24"/>
          <w:lang w:eastAsia="ro-RO"/>
        </w:rPr>
      </w:pPr>
      <w:r w:rsidRPr="0039040E">
        <w:rPr>
          <w:rFonts w:ascii="Times New Roman" w:eastAsia="Times New Roman" w:hAnsi="Times New Roman" w:cs="Times New Roman"/>
          <w:color w:val="000000"/>
          <w:sz w:val="24"/>
          <w:szCs w:val="24"/>
          <w:lang w:eastAsia="ro-RO"/>
        </w:rPr>
        <w:t xml:space="preserve">- </w:t>
      </w:r>
      <w:r w:rsidRPr="0039040E">
        <w:rPr>
          <w:rFonts w:ascii="Times New Roman" w:eastAsia="Times New Roman" w:hAnsi="Times New Roman" w:cs="Times New Roman"/>
          <w:b/>
          <w:color w:val="000000"/>
          <w:sz w:val="24"/>
          <w:szCs w:val="24"/>
          <w:lang w:eastAsia="ro-RO"/>
        </w:rPr>
        <w:t xml:space="preserve">Sectorul de tarabe speciale </w:t>
      </w:r>
      <w:r w:rsidRPr="0039040E">
        <w:rPr>
          <w:rFonts w:ascii="Times New Roman" w:eastAsia="Times New Roman" w:hAnsi="Times New Roman" w:cs="Times New Roman"/>
          <w:color w:val="000000"/>
          <w:sz w:val="24"/>
          <w:szCs w:val="24"/>
          <w:lang w:eastAsia="ro-RO"/>
        </w:rPr>
        <w:t>– situat în str. Piaţa Jurământului nr.1 colț cu str.Matei Basarab;</w:t>
      </w:r>
    </w:p>
    <w:p w14:paraId="236B4C6E" w14:textId="21526A6E" w:rsidR="0039040E" w:rsidRPr="0039040E" w:rsidRDefault="0039040E" w:rsidP="0039040E">
      <w:pPr>
        <w:widowControl w:val="0"/>
        <w:spacing w:after="0" w:line="240" w:lineRule="auto"/>
        <w:jc w:val="both"/>
        <w:rPr>
          <w:rFonts w:ascii="Times New Roman" w:eastAsia="Times New Roman" w:hAnsi="Times New Roman" w:cs="Times New Roman"/>
          <w:color w:val="000000"/>
          <w:sz w:val="24"/>
          <w:szCs w:val="24"/>
          <w:lang w:eastAsia="ro-RO"/>
        </w:rPr>
      </w:pPr>
      <w:r w:rsidRPr="0039040E">
        <w:rPr>
          <w:rFonts w:ascii="Times New Roman" w:eastAsia="Times New Roman" w:hAnsi="Times New Roman" w:cs="Times New Roman"/>
          <w:color w:val="000000"/>
          <w:sz w:val="24"/>
          <w:szCs w:val="24"/>
          <w:lang w:eastAsia="ro-RO"/>
        </w:rPr>
        <w:t xml:space="preserve">- </w:t>
      </w:r>
      <w:r w:rsidRPr="0039040E">
        <w:rPr>
          <w:rFonts w:ascii="Times New Roman" w:eastAsia="Times New Roman" w:hAnsi="Times New Roman" w:cs="Times New Roman"/>
          <w:b/>
          <w:color w:val="000000"/>
          <w:sz w:val="24"/>
          <w:szCs w:val="24"/>
          <w:lang w:eastAsia="ro-RO"/>
        </w:rPr>
        <w:t>Chioșcurile de flori</w:t>
      </w:r>
      <w:r w:rsidRPr="0039040E">
        <w:rPr>
          <w:rFonts w:ascii="Times New Roman" w:eastAsia="Times New Roman" w:hAnsi="Times New Roman" w:cs="Times New Roman"/>
          <w:color w:val="000000"/>
          <w:sz w:val="24"/>
          <w:szCs w:val="24"/>
          <w:lang w:eastAsia="ro-RO"/>
        </w:rPr>
        <w:t xml:space="preserve"> - amplasate în perimetrul str, Piaţa Jurământului colţ nord-estic pe aleea de nord a Parcului « Crucea </w:t>
      </w:r>
      <w:r w:rsidR="00B66E34" w:rsidRPr="0039040E">
        <w:rPr>
          <w:rFonts w:ascii="Times New Roman" w:eastAsia="Times New Roman" w:hAnsi="Times New Roman" w:cs="Times New Roman"/>
          <w:color w:val="000000"/>
          <w:sz w:val="24"/>
          <w:szCs w:val="24"/>
          <w:lang w:eastAsia="ro-RO"/>
        </w:rPr>
        <w:t>Jurământului</w:t>
      </w:r>
      <w:r w:rsidRPr="0039040E">
        <w:rPr>
          <w:rFonts w:ascii="Times New Roman" w:eastAsia="Times New Roman" w:hAnsi="Times New Roman" w:cs="Times New Roman"/>
          <w:color w:val="000000"/>
          <w:sz w:val="24"/>
          <w:szCs w:val="24"/>
          <w:lang w:eastAsia="ro-RO"/>
        </w:rPr>
        <w:t xml:space="preserve"> »</w:t>
      </w:r>
    </w:p>
    <w:p w14:paraId="665FECED" w14:textId="77777777" w:rsidR="0039040E" w:rsidRPr="0039040E" w:rsidRDefault="0039040E" w:rsidP="0039040E">
      <w:pPr>
        <w:widowControl w:val="0"/>
        <w:spacing w:after="0" w:line="240" w:lineRule="auto"/>
        <w:jc w:val="both"/>
        <w:rPr>
          <w:rFonts w:ascii="Times New Roman" w:eastAsia="Times New Roman" w:hAnsi="Times New Roman" w:cs="Times New Roman"/>
          <w:color w:val="000000"/>
          <w:sz w:val="24"/>
          <w:szCs w:val="24"/>
          <w:lang w:eastAsia="ro-RO"/>
        </w:rPr>
      </w:pPr>
      <w:r w:rsidRPr="0039040E">
        <w:rPr>
          <w:rFonts w:ascii="Times New Roman" w:eastAsia="Times New Roman" w:hAnsi="Times New Roman" w:cs="Times New Roman"/>
          <w:color w:val="000000"/>
          <w:sz w:val="24"/>
          <w:szCs w:val="24"/>
          <w:lang w:eastAsia="ro-RO"/>
        </w:rPr>
        <w:t xml:space="preserve">- </w:t>
      </w:r>
      <w:r w:rsidRPr="0039040E">
        <w:rPr>
          <w:rFonts w:ascii="Times New Roman" w:eastAsia="Times New Roman" w:hAnsi="Times New Roman" w:cs="Times New Roman"/>
          <w:b/>
          <w:color w:val="000000"/>
          <w:sz w:val="24"/>
          <w:szCs w:val="24"/>
          <w:lang w:eastAsia="ro-RO"/>
        </w:rPr>
        <w:t>Piața temporară</w:t>
      </w:r>
      <w:r w:rsidRPr="0039040E">
        <w:rPr>
          <w:rFonts w:ascii="Times New Roman" w:eastAsia="Times New Roman" w:hAnsi="Times New Roman" w:cs="Times New Roman"/>
          <w:color w:val="000000"/>
          <w:sz w:val="24"/>
          <w:szCs w:val="24"/>
          <w:lang w:eastAsia="ro-RO"/>
        </w:rPr>
        <w:t>,  situată în str. Piaţa Jurământului nr.1, cu perioadă de funcţionare zilnică;</w:t>
      </w:r>
    </w:p>
    <w:p w14:paraId="09113F8E" w14:textId="77777777" w:rsidR="0039040E" w:rsidRPr="0039040E" w:rsidRDefault="0039040E" w:rsidP="0039040E">
      <w:pPr>
        <w:widowControl w:val="0"/>
        <w:spacing w:after="0" w:line="240" w:lineRule="auto"/>
        <w:jc w:val="both"/>
        <w:rPr>
          <w:rFonts w:ascii="Times New Roman" w:eastAsia="Times New Roman" w:hAnsi="Times New Roman" w:cs="Times New Roman"/>
          <w:color w:val="000000"/>
          <w:sz w:val="24"/>
          <w:szCs w:val="24"/>
          <w:lang w:eastAsia="ro-RO"/>
        </w:rPr>
      </w:pPr>
      <w:r w:rsidRPr="0039040E">
        <w:rPr>
          <w:rFonts w:ascii="Times New Roman" w:eastAsia="Times New Roman" w:hAnsi="Times New Roman" w:cs="Times New Roman"/>
          <w:color w:val="000000"/>
          <w:sz w:val="24"/>
          <w:szCs w:val="24"/>
          <w:lang w:eastAsia="ro-RO"/>
        </w:rPr>
        <w:t xml:space="preserve">2. </w:t>
      </w:r>
      <w:r w:rsidRPr="0039040E">
        <w:rPr>
          <w:rFonts w:ascii="Times New Roman" w:eastAsia="Times New Roman" w:hAnsi="Times New Roman" w:cs="Times New Roman"/>
          <w:b/>
          <w:color w:val="000000"/>
          <w:sz w:val="24"/>
          <w:szCs w:val="24"/>
          <w:lang w:eastAsia="ro-RO"/>
        </w:rPr>
        <w:t>Târgul de legume</w:t>
      </w:r>
      <w:r w:rsidRPr="0039040E">
        <w:rPr>
          <w:rFonts w:ascii="Times New Roman" w:eastAsia="Times New Roman" w:hAnsi="Times New Roman" w:cs="Times New Roman"/>
          <w:color w:val="000000"/>
          <w:sz w:val="24"/>
          <w:szCs w:val="24"/>
          <w:lang w:eastAsia="ro-RO"/>
        </w:rPr>
        <w:t xml:space="preserve"> –</w:t>
      </w:r>
      <w:r w:rsidRPr="0039040E">
        <w:rPr>
          <w:rFonts w:ascii="Times New Roman" w:eastAsia="Times New Roman" w:hAnsi="Times New Roman" w:cs="Times New Roman"/>
          <w:b/>
          <w:color w:val="000000"/>
          <w:sz w:val="24"/>
          <w:szCs w:val="24"/>
          <w:lang w:eastAsia="ro-RO"/>
        </w:rPr>
        <w:t xml:space="preserve"> fructe </w:t>
      </w:r>
      <w:r w:rsidRPr="0039040E">
        <w:rPr>
          <w:rFonts w:ascii="Times New Roman" w:eastAsia="Times New Roman" w:hAnsi="Times New Roman" w:cs="Times New Roman"/>
          <w:color w:val="000000"/>
          <w:sz w:val="24"/>
          <w:szCs w:val="24"/>
          <w:lang w:eastAsia="ro-RO"/>
        </w:rPr>
        <w:t>- situat în centrul Municipiului Câmpulung pe str. Fratii Golesti;</w:t>
      </w:r>
    </w:p>
    <w:p w14:paraId="75BFDCEF" w14:textId="77777777" w:rsidR="0039040E" w:rsidRPr="0039040E" w:rsidRDefault="0039040E" w:rsidP="0039040E">
      <w:pPr>
        <w:widowControl w:val="0"/>
        <w:spacing w:after="0" w:line="240" w:lineRule="auto"/>
        <w:jc w:val="both"/>
        <w:rPr>
          <w:rFonts w:ascii="Times New Roman" w:eastAsia="Times New Roman" w:hAnsi="Times New Roman" w:cs="Times New Roman"/>
          <w:color w:val="000000"/>
          <w:sz w:val="24"/>
          <w:szCs w:val="24"/>
          <w:lang w:eastAsia="ro-RO"/>
        </w:rPr>
      </w:pPr>
      <w:r w:rsidRPr="0039040E">
        <w:rPr>
          <w:rFonts w:ascii="Times New Roman" w:eastAsia="Times New Roman" w:hAnsi="Times New Roman" w:cs="Times New Roman"/>
          <w:color w:val="000000"/>
          <w:sz w:val="24"/>
          <w:szCs w:val="24"/>
          <w:lang w:eastAsia="ro-RO"/>
        </w:rPr>
        <w:t xml:space="preserve">3. </w:t>
      </w:r>
      <w:r w:rsidRPr="0039040E">
        <w:rPr>
          <w:rFonts w:ascii="Times New Roman" w:eastAsia="Times New Roman" w:hAnsi="Times New Roman" w:cs="Times New Roman"/>
          <w:b/>
          <w:color w:val="000000"/>
          <w:sz w:val="24"/>
          <w:szCs w:val="24"/>
          <w:lang w:eastAsia="ro-RO"/>
        </w:rPr>
        <w:t>Centrul de Afaceri - (clădire şi curte)</w:t>
      </w:r>
      <w:r w:rsidRPr="0039040E">
        <w:rPr>
          <w:rFonts w:ascii="Times New Roman" w:eastAsia="Times New Roman" w:hAnsi="Times New Roman" w:cs="Times New Roman"/>
          <w:color w:val="000000"/>
          <w:sz w:val="24"/>
          <w:szCs w:val="24"/>
          <w:lang w:eastAsia="ro-RO"/>
        </w:rPr>
        <w:t>, situat în incinta Colegiului Tehnic Câmpulung, str. Calea Braşovului nr.1 A.</w:t>
      </w:r>
    </w:p>
    <w:p w14:paraId="5C8BBF6C" w14:textId="48EF7EB8" w:rsidR="0039040E" w:rsidRPr="0039040E" w:rsidRDefault="0039040E" w:rsidP="0039040E">
      <w:pPr>
        <w:widowControl w:val="0"/>
        <w:spacing w:after="0" w:line="240" w:lineRule="auto"/>
        <w:ind w:firstLine="720"/>
        <w:jc w:val="both"/>
        <w:rPr>
          <w:rFonts w:ascii="Times New Roman" w:eastAsia="Times New Roman" w:hAnsi="Times New Roman" w:cs="Times New Roman"/>
          <w:color w:val="000000"/>
          <w:sz w:val="24"/>
          <w:szCs w:val="24"/>
          <w:lang w:eastAsia="ro-RO"/>
        </w:rPr>
      </w:pPr>
      <w:r w:rsidRPr="0039040E">
        <w:rPr>
          <w:rFonts w:ascii="Times New Roman" w:eastAsia="Times New Roman" w:hAnsi="Times New Roman" w:cs="Times New Roman"/>
          <w:color w:val="000000"/>
          <w:sz w:val="24"/>
          <w:szCs w:val="24"/>
          <w:lang w:eastAsia="ro-RO"/>
        </w:rPr>
        <w:t xml:space="preserve">La data redactarii prezentei Scrisori de asteptari, se află în derulare un proiect de </w:t>
      </w:r>
      <w:r w:rsidRPr="0039040E">
        <w:rPr>
          <w:rFonts w:ascii="Times New Roman" w:eastAsia="Times New Roman" w:hAnsi="Times New Roman" w:cs="Times New Roman"/>
          <w:color w:val="000000"/>
          <w:sz w:val="24"/>
          <w:szCs w:val="24"/>
          <w:lang w:eastAsia="ro-RO"/>
        </w:rPr>
        <w:lastRenderedPageBreak/>
        <w:t>investitie:”</w:t>
      </w:r>
      <w:r w:rsidRPr="0039040E">
        <w:rPr>
          <w:rFonts w:ascii="Times New Roman" w:eastAsia="Times New Roman" w:hAnsi="Times New Roman" w:cs="Times New Roman"/>
          <w:b/>
          <w:color w:val="000000"/>
          <w:sz w:val="24"/>
          <w:szCs w:val="24"/>
          <w:lang w:eastAsia="ro-RO"/>
        </w:rPr>
        <w:t>Construire Hală Piață Câmpulung” finantat de C.N.I</w:t>
      </w:r>
      <w:r w:rsidRPr="0039040E">
        <w:rPr>
          <w:rFonts w:ascii="Times New Roman" w:eastAsia="Times New Roman" w:hAnsi="Times New Roman" w:cs="Times New Roman"/>
          <w:color w:val="000000"/>
          <w:sz w:val="24"/>
          <w:szCs w:val="24"/>
          <w:lang w:eastAsia="ro-RO"/>
        </w:rPr>
        <w:t>.. Această investitie va afecta pe un termen de aproximativ 2 ani desfășurarea normală a activității în ceea ce privește hala agroalimentară și sediul social(sediul administrativ).</w:t>
      </w:r>
      <w:r w:rsidR="00B66E34">
        <w:rPr>
          <w:rFonts w:ascii="Times New Roman" w:eastAsia="Times New Roman" w:hAnsi="Times New Roman" w:cs="Times New Roman"/>
          <w:color w:val="000000"/>
          <w:sz w:val="24"/>
          <w:szCs w:val="24"/>
          <w:lang w:eastAsia="ro-RO"/>
        </w:rPr>
        <w:t xml:space="preserve"> </w:t>
      </w:r>
      <w:r w:rsidRPr="0039040E">
        <w:rPr>
          <w:rFonts w:ascii="Times New Roman" w:eastAsia="Times New Roman" w:hAnsi="Times New Roman" w:cs="Times New Roman"/>
          <w:color w:val="000000"/>
          <w:sz w:val="24"/>
          <w:szCs w:val="24"/>
          <w:lang w:eastAsia="ro-RO"/>
        </w:rPr>
        <w:t xml:space="preserve"> Acestea fac la acest moment obiectul relocarii temporare a activității.</w:t>
      </w:r>
    </w:p>
    <w:p w14:paraId="783B8326" w14:textId="77777777" w:rsidR="0039040E" w:rsidRPr="0039040E" w:rsidRDefault="0039040E" w:rsidP="0039040E">
      <w:pPr>
        <w:widowControl w:val="0"/>
        <w:spacing w:after="0" w:line="240" w:lineRule="auto"/>
        <w:jc w:val="both"/>
        <w:rPr>
          <w:rFonts w:ascii="Times New Roman" w:eastAsia="Times New Roman" w:hAnsi="Times New Roman" w:cs="Times New Roman"/>
          <w:i/>
          <w:color w:val="000000"/>
          <w:sz w:val="24"/>
          <w:szCs w:val="24"/>
          <w:lang w:eastAsia="ro-RO"/>
        </w:rPr>
      </w:pPr>
    </w:p>
    <w:p w14:paraId="1E233EBF" w14:textId="77777777" w:rsidR="0039040E" w:rsidRPr="0039040E" w:rsidRDefault="0039040E" w:rsidP="0039040E">
      <w:pPr>
        <w:widowControl w:val="0"/>
        <w:spacing w:after="0" w:line="240" w:lineRule="auto"/>
        <w:jc w:val="both"/>
        <w:rPr>
          <w:rFonts w:ascii="Times New Roman" w:eastAsia="Times New Roman" w:hAnsi="Times New Roman" w:cs="Times New Roman"/>
          <w:b/>
          <w:color w:val="000000"/>
          <w:sz w:val="24"/>
          <w:szCs w:val="24"/>
          <w:lang w:eastAsia="ro-RO"/>
        </w:rPr>
      </w:pPr>
      <w:r w:rsidRPr="0039040E">
        <w:rPr>
          <w:rFonts w:ascii="Times New Roman" w:eastAsia="Times New Roman" w:hAnsi="Times New Roman" w:cs="Times New Roman"/>
          <w:b/>
          <w:color w:val="000000"/>
          <w:sz w:val="24"/>
          <w:szCs w:val="24"/>
          <w:lang w:eastAsia="ro-RO"/>
        </w:rPr>
        <w:t>Administrarea și conducerea societății</w:t>
      </w:r>
    </w:p>
    <w:p w14:paraId="492AD544" w14:textId="77777777" w:rsidR="0039040E" w:rsidRPr="0039040E" w:rsidRDefault="0039040E" w:rsidP="0039040E">
      <w:pPr>
        <w:widowControl w:val="0"/>
        <w:spacing w:after="0" w:line="240" w:lineRule="auto"/>
        <w:jc w:val="both"/>
        <w:rPr>
          <w:rFonts w:ascii="Times New Roman" w:eastAsia="Times New Roman" w:hAnsi="Times New Roman" w:cs="Times New Roman"/>
          <w:color w:val="000000"/>
          <w:sz w:val="24"/>
          <w:szCs w:val="24"/>
          <w:lang w:eastAsia="ro-RO"/>
        </w:rPr>
      </w:pPr>
    </w:p>
    <w:p w14:paraId="0B446E2B" w14:textId="77777777" w:rsidR="0039040E" w:rsidRPr="0039040E" w:rsidRDefault="0039040E" w:rsidP="0039040E">
      <w:pPr>
        <w:widowControl w:val="0"/>
        <w:spacing w:after="0" w:line="240" w:lineRule="auto"/>
        <w:ind w:firstLine="720"/>
        <w:jc w:val="both"/>
        <w:rPr>
          <w:rFonts w:ascii="Times New Roman" w:eastAsia="Times New Roman" w:hAnsi="Times New Roman" w:cs="Times New Roman"/>
          <w:color w:val="000000"/>
          <w:sz w:val="24"/>
          <w:szCs w:val="24"/>
          <w:lang w:eastAsia="ro-RO"/>
        </w:rPr>
      </w:pPr>
      <w:r w:rsidRPr="0039040E">
        <w:rPr>
          <w:rFonts w:ascii="Times New Roman" w:eastAsia="Times New Roman" w:hAnsi="Times New Roman" w:cs="Times New Roman"/>
          <w:color w:val="000000"/>
          <w:sz w:val="24"/>
          <w:szCs w:val="24"/>
          <w:lang w:eastAsia="ro-RO"/>
        </w:rPr>
        <w:t xml:space="preserve">Sistemul de administrare al societății este sistemul unitar. </w:t>
      </w:r>
    </w:p>
    <w:p w14:paraId="5B4320A4" w14:textId="77777777" w:rsidR="0039040E" w:rsidRPr="0039040E" w:rsidRDefault="0039040E" w:rsidP="0039040E">
      <w:pPr>
        <w:widowControl w:val="0"/>
        <w:spacing w:after="0" w:line="240" w:lineRule="auto"/>
        <w:ind w:firstLine="720"/>
        <w:jc w:val="both"/>
        <w:rPr>
          <w:rFonts w:ascii="Times New Roman" w:eastAsia="Times New Roman" w:hAnsi="Times New Roman" w:cs="Times New Roman"/>
          <w:color w:val="000000"/>
          <w:sz w:val="24"/>
          <w:szCs w:val="24"/>
          <w:lang w:eastAsia="ro-RO"/>
        </w:rPr>
      </w:pPr>
      <w:r w:rsidRPr="0039040E">
        <w:rPr>
          <w:rFonts w:ascii="Times New Roman" w:eastAsia="Times New Roman" w:hAnsi="Times New Roman" w:cs="Times New Roman"/>
          <w:color w:val="000000"/>
          <w:sz w:val="24"/>
          <w:szCs w:val="24"/>
          <w:lang w:eastAsia="ro-RO"/>
        </w:rPr>
        <w:t>Administrarea societății va fi efectuată de către Consiliul de Administrație în limitele stabilite de Adunarea Generală a Asociaților. Prin Hotărârea Adunării Generale a Asociatului Unic, se stabilește componența Consiliului de Administrație al societății, care este format din 3 membrii(Conf. HCL. Nr.14/31.01.2023). Mandatul este de 4 ani, cu posibilitatea de prelungire pe baza hotărârii Adunării Generale a Asociatului Unic.</w:t>
      </w:r>
    </w:p>
    <w:p w14:paraId="3948162F" w14:textId="77777777" w:rsidR="0039040E" w:rsidRPr="0039040E" w:rsidRDefault="0039040E" w:rsidP="0039040E">
      <w:pPr>
        <w:widowControl w:val="0"/>
        <w:spacing w:after="0" w:line="240" w:lineRule="auto"/>
        <w:ind w:firstLine="720"/>
        <w:jc w:val="both"/>
        <w:rPr>
          <w:rFonts w:ascii="Times New Roman" w:eastAsia="Times New Roman" w:hAnsi="Times New Roman" w:cs="Times New Roman"/>
          <w:color w:val="000000"/>
          <w:sz w:val="24"/>
          <w:szCs w:val="24"/>
          <w:lang w:eastAsia="ro-RO"/>
        </w:rPr>
      </w:pPr>
      <w:r w:rsidRPr="0039040E">
        <w:rPr>
          <w:rFonts w:ascii="Times New Roman" w:eastAsia="Times New Roman" w:hAnsi="Times New Roman" w:cs="Times New Roman"/>
          <w:color w:val="000000"/>
          <w:sz w:val="24"/>
          <w:szCs w:val="24"/>
          <w:lang w:eastAsia="ro-RO"/>
        </w:rPr>
        <w:t>Membrii consiliului de administraţie trebuie să aibă studii superioare şi experienţă în domeniul ştiinţelor inginereşti, economice, sociale, juridice sau în domeniul de activitate al respectivei întreprinderi publice de cel puţin 7 ani.</w:t>
      </w:r>
    </w:p>
    <w:p w14:paraId="1D87E46A" w14:textId="77777777" w:rsidR="0039040E" w:rsidRPr="0039040E" w:rsidRDefault="0039040E" w:rsidP="0039040E">
      <w:pPr>
        <w:widowControl w:val="0"/>
        <w:spacing w:after="0" w:line="240" w:lineRule="auto"/>
        <w:ind w:firstLine="720"/>
        <w:jc w:val="both"/>
        <w:rPr>
          <w:rFonts w:ascii="Times New Roman" w:eastAsia="Times New Roman" w:hAnsi="Times New Roman" w:cs="Times New Roman"/>
          <w:color w:val="000000"/>
          <w:sz w:val="24"/>
          <w:szCs w:val="24"/>
          <w:lang w:eastAsia="ro-RO"/>
        </w:rPr>
      </w:pPr>
      <w:r w:rsidRPr="0039040E">
        <w:rPr>
          <w:rFonts w:ascii="Times New Roman" w:eastAsia="Times New Roman" w:hAnsi="Times New Roman" w:cs="Times New Roman"/>
          <w:color w:val="000000"/>
          <w:sz w:val="24"/>
          <w:szCs w:val="24"/>
          <w:lang w:eastAsia="ro-RO"/>
        </w:rPr>
        <w:t>În cazul consiliului de administraţie al S.C. Piețe Servicii Comunitare Muscel S.R.L., nu pot fi numiţi mai mult de un membru din rândul funcţionarilor publici sau al altor categorii de personal din cadrul autorităţii publice tutelare ori din cadrul altor autorităţi sau instituţii publice.</w:t>
      </w:r>
    </w:p>
    <w:p w14:paraId="01527A19" w14:textId="77777777" w:rsidR="0039040E" w:rsidRPr="0039040E" w:rsidRDefault="0039040E" w:rsidP="0039040E">
      <w:pPr>
        <w:widowControl w:val="0"/>
        <w:spacing w:after="0" w:line="240" w:lineRule="auto"/>
        <w:jc w:val="both"/>
        <w:rPr>
          <w:rFonts w:ascii="Times New Roman" w:eastAsia="Times New Roman" w:hAnsi="Times New Roman" w:cs="Times New Roman"/>
          <w:color w:val="000000"/>
          <w:sz w:val="24"/>
          <w:szCs w:val="24"/>
          <w:lang w:eastAsia="ro-RO"/>
        </w:rPr>
      </w:pPr>
      <w:r w:rsidRPr="0039040E">
        <w:rPr>
          <w:rFonts w:ascii="Times New Roman" w:eastAsia="Times New Roman" w:hAnsi="Times New Roman" w:cs="Times New Roman"/>
          <w:color w:val="000000"/>
          <w:sz w:val="24"/>
          <w:szCs w:val="24"/>
          <w:lang w:eastAsia="ro-RO"/>
        </w:rPr>
        <w:t>Membrii consiliului de administraţie sunt desemnaţi de autoritatea publică tutelară şi numiţi de către adunarea generală a acţionarilor la propunerea unei comisii constituite la nivelul autorităţii publice tutelare. Informaţiile referitoare la aceste desemnări şi numiri se transmit către AMEPIP, care verifică respectarea de către autoritatea publică tutelară a dispoziţiilor privind calificarea acestora şi, în termen de 10 zile de la primirea informaţiilor, emite un aviz conform prin care aprobă sau anulează desemnarea membrului respectiv.</w:t>
      </w:r>
    </w:p>
    <w:p w14:paraId="5422BE6A" w14:textId="77777777" w:rsidR="0039040E" w:rsidRPr="0039040E" w:rsidRDefault="0039040E" w:rsidP="0039040E">
      <w:pPr>
        <w:widowControl w:val="0"/>
        <w:spacing w:after="0" w:line="240" w:lineRule="auto"/>
        <w:ind w:firstLine="720"/>
        <w:jc w:val="both"/>
        <w:rPr>
          <w:rFonts w:ascii="Times New Roman" w:eastAsia="Times New Roman" w:hAnsi="Times New Roman" w:cs="Times New Roman"/>
          <w:color w:val="000000"/>
          <w:sz w:val="24"/>
          <w:szCs w:val="24"/>
          <w:lang w:eastAsia="ro-RO"/>
        </w:rPr>
      </w:pPr>
      <w:r w:rsidRPr="0039040E">
        <w:rPr>
          <w:rFonts w:ascii="Times New Roman" w:eastAsia="Times New Roman" w:hAnsi="Times New Roman" w:cs="Times New Roman"/>
          <w:color w:val="000000"/>
          <w:sz w:val="24"/>
          <w:szCs w:val="24"/>
          <w:lang w:eastAsia="ro-RO"/>
        </w:rPr>
        <w:t>Majoritatea membrilor consiliului de administraţie este formată din administratori neexecutivi şi independenţi în înţelesul art. 1382 din Legea nr. 31/1990, republicată, cu modificările ulterioare. Funcţionarii publici, înalţii funcţionari publici, precum şi alte categorii de personal din cadrul autorităţii publice tutelare ori din cadrul altor autorităţi sau instituţii publice nu pot fi consideraţi independenţi.</w:t>
      </w:r>
    </w:p>
    <w:p w14:paraId="53EFBE3A" w14:textId="77777777" w:rsidR="0039040E" w:rsidRPr="0039040E" w:rsidRDefault="0039040E" w:rsidP="0039040E">
      <w:pPr>
        <w:widowControl w:val="0"/>
        <w:spacing w:after="0" w:line="240" w:lineRule="auto"/>
        <w:ind w:firstLine="720"/>
        <w:jc w:val="both"/>
        <w:rPr>
          <w:rFonts w:ascii="Times New Roman" w:eastAsia="Times New Roman" w:hAnsi="Times New Roman" w:cs="Times New Roman"/>
          <w:color w:val="000000"/>
          <w:sz w:val="24"/>
          <w:szCs w:val="24"/>
          <w:lang w:eastAsia="ro-RO"/>
        </w:rPr>
      </w:pPr>
      <w:r w:rsidRPr="0039040E">
        <w:rPr>
          <w:rFonts w:ascii="Times New Roman" w:eastAsia="Times New Roman" w:hAnsi="Times New Roman" w:cs="Times New Roman"/>
          <w:color w:val="000000"/>
          <w:sz w:val="24"/>
          <w:szCs w:val="24"/>
          <w:lang w:eastAsia="ro-RO"/>
        </w:rPr>
        <w:t>Stabilirea numărului de membri ai consiliului de administraţie se face cu respectarea principiilor prevăzute de Legea nr. 202/2002, republicată, cu modificările şi completările ulterioare, astfel încât cel puţin o treime din totalul administratorilor să fie femei şi cel puţin o treime din totalul administratorilor să fie bărbaţi, Consiliul de administraţie nu poate fi format în exclusivitate din persoane de acelaşi gen.</w:t>
      </w:r>
    </w:p>
    <w:p w14:paraId="2F619495" w14:textId="77777777" w:rsidR="0039040E" w:rsidRPr="0039040E" w:rsidRDefault="0039040E" w:rsidP="0039040E">
      <w:pPr>
        <w:widowControl w:val="0"/>
        <w:spacing w:after="0" w:line="240" w:lineRule="auto"/>
        <w:ind w:firstLine="720"/>
        <w:jc w:val="both"/>
        <w:rPr>
          <w:rFonts w:ascii="Times New Roman" w:eastAsia="Times New Roman" w:hAnsi="Times New Roman" w:cs="Times New Roman"/>
          <w:color w:val="000000"/>
          <w:sz w:val="24"/>
          <w:szCs w:val="24"/>
          <w:lang w:eastAsia="ro-RO"/>
        </w:rPr>
      </w:pPr>
      <w:r w:rsidRPr="0039040E">
        <w:rPr>
          <w:rFonts w:ascii="Times New Roman" w:eastAsia="Times New Roman" w:hAnsi="Times New Roman" w:cs="Times New Roman"/>
          <w:color w:val="000000"/>
          <w:sz w:val="24"/>
          <w:szCs w:val="24"/>
          <w:lang w:eastAsia="ro-RO"/>
        </w:rPr>
        <w:t>Mandatul administratorilor este stabilit prin actul constitutiv, neputând depăşi 4 ani. Mandatul administratorilor care şi-au îndeplinit în mod corespunzător atribuţiile poate fi reînnoit o singură dată ca urmare a unui proces de evaluare. Mandatul administratorilor numiţi ca urmare a încetării, sub orice formă, a mandatului administratorilor iniţiali coincide cu durata rămasă din mandatul administratorului care a fost înlocuit.</w:t>
      </w:r>
    </w:p>
    <w:p w14:paraId="4D8DE5FB" w14:textId="77777777" w:rsidR="0039040E" w:rsidRPr="0039040E" w:rsidRDefault="0039040E" w:rsidP="0039040E">
      <w:pPr>
        <w:widowControl w:val="0"/>
        <w:spacing w:after="0" w:line="240" w:lineRule="auto"/>
        <w:ind w:firstLine="720"/>
        <w:jc w:val="both"/>
        <w:rPr>
          <w:rFonts w:ascii="Times New Roman" w:eastAsia="Times New Roman" w:hAnsi="Times New Roman" w:cs="Times New Roman"/>
          <w:color w:val="000000"/>
          <w:sz w:val="24"/>
          <w:szCs w:val="24"/>
          <w:lang w:eastAsia="ro-RO"/>
        </w:rPr>
      </w:pPr>
      <w:r w:rsidRPr="0039040E">
        <w:rPr>
          <w:rFonts w:ascii="Times New Roman" w:eastAsia="Times New Roman" w:hAnsi="Times New Roman" w:cs="Times New Roman"/>
          <w:color w:val="000000"/>
          <w:sz w:val="24"/>
          <w:szCs w:val="24"/>
          <w:lang w:eastAsia="ro-RO"/>
        </w:rPr>
        <w:t xml:space="preserve">Membrii consiliului de administraţie sunt desemnaţi de adunarea generală a acţionarilor, la propunerea comisiei de selecţie şi nominalizare constituita prin hotărârea autorității deliberative, care înaintează autorităţii publice tutelare, în vederea formulării de propuneri pentru desemnarea în adunarea generală a Asociatului unic, o listă scurtă pentru fiecare post de administrator al întreprinderii publice, pe baza criteriilor de selecţie comunicate public, prin anunţ, în ordinea </w:t>
      </w:r>
      <w:r w:rsidRPr="0039040E">
        <w:rPr>
          <w:rFonts w:ascii="Times New Roman" w:eastAsia="Times New Roman" w:hAnsi="Times New Roman" w:cs="Times New Roman"/>
          <w:color w:val="000000"/>
          <w:sz w:val="24"/>
          <w:szCs w:val="24"/>
          <w:lang w:eastAsia="ro-RO"/>
        </w:rPr>
        <w:lastRenderedPageBreak/>
        <w:t>clasamentului candidaţilor pentru postul respectiv.</w:t>
      </w:r>
    </w:p>
    <w:p w14:paraId="57BC9D75" w14:textId="77777777" w:rsidR="0039040E" w:rsidRPr="0039040E" w:rsidRDefault="0039040E" w:rsidP="0039040E">
      <w:pPr>
        <w:widowControl w:val="0"/>
        <w:spacing w:after="0" w:line="240" w:lineRule="auto"/>
        <w:ind w:firstLine="720"/>
        <w:jc w:val="both"/>
        <w:rPr>
          <w:rFonts w:ascii="Times New Roman" w:eastAsia="Times New Roman" w:hAnsi="Times New Roman" w:cs="Times New Roman"/>
          <w:color w:val="000000"/>
          <w:sz w:val="24"/>
          <w:szCs w:val="24"/>
          <w:lang w:eastAsia="ro-RO"/>
        </w:rPr>
      </w:pPr>
      <w:r w:rsidRPr="0039040E">
        <w:rPr>
          <w:rFonts w:ascii="Times New Roman" w:eastAsia="Times New Roman" w:hAnsi="Times New Roman" w:cs="Times New Roman"/>
          <w:color w:val="000000"/>
          <w:sz w:val="24"/>
          <w:szCs w:val="24"/>
          <w:lang w:eastAsia="ro-RO"/>
        </w:rPr>
        <w:t>Desemnarea membrilor consiliului de administraţie se realizează de către adunarea generală a acţionarilor din lista scurtă a candidaţilor elaborată de comisia de selecţie şi nominalizare. În cazul în care lista scurtă conţine un singur candidat, acesta va fi propus pentru postul respectiv. Atunci când există mai mulţi candidaţi incluşi în lista scurtă, numirea pe post se va face în ordinea clasamentului. În situaţia în care nu există candidaţi înscrişi sau niciun candidat nu se califică pe lista scurtă, procesul de selecţie se va relua.</w:t>
      </w:r>
    </w:p>
    <w:p w14:paraId="79F17215" w14:textId="77777777" w:rsidR="0039040E" w:rsidRPr="0039040E" w:rsidRDefault="0039040E" w:rsidP="0039040E">
      <w:pPr>
        <w:widowControl w:val="0"/>
        <w:spacing w:after="0" w:line="240" w:lineRule="auto"/>
        <w:jc w:val="both"/>
        <w:rPr>
          <w:rFonts w:ascii="Times New Roman" w:eastAsia="Times New Roman" w:hAnsi="Times New Roman" w:cs="Times New Roman"/>
          <w:color w:val="000000"/>
          <w:sz w:val="24"/>
          <w:szCs w:val="24"/>
          <w:lang w:eastAsia="ro-RO"/>
        </w:rPr>
      </w:pPr>
      <w:r w:rsidRPr="0039040E">
        <w:rPr>
          <w:rFonts w:ascii="Times New Roman" w:eastAsia="Times New Roman" w:hAnsi="Times New Roman" w:cs="Times New Roman"/>
          <w:color w:val="000000"/>
          <w:sz w:val="24"/>
          <w:szCs w:val="24"/>
          <w:lang w:eastAsia="ro-RO"/>
        </w:rPr>
        <w:t xml:space="preserve">Procedura de selecţie pentru membrii consiliului de administraţie sau supraveghere se finalizează în termen de cel mult 150 de zile de la data aprobării hotărârii adunării generale a Asociatului unic de iniţiere a procedurii, respectiv de la data de  28.05.2026. </w:t>
      </w:r>
    </w:p>
    <w:p w14:paraId="3EB29500" w14:textId="77777777" w:rsidR="0039040E" w:rsidRPr="0039040E" w:rsidRDefault="0039040E" w:rsidP="0039040E">
      <w:pPr>
        <w:widowControl w:val="0"/>
        <w:spacing w:after="0" w:line="240" w:lineRule="auto"/>
        <w:ind w:firstLine="720"/>
        <w:jc w:val="both"/>
        <w:rPr>
          <w:rFonts w:ascii="Times New Roman" w:eastAsia="Times New Roman" w:hAnsi="Times New Roman" w:cs="Times New Roman"/>
          <w:color w:val="000000"/>
          <w:sz w:val="24"/>
          <w:szCs w:val="24"/>
          <w:lang w:eastAsia="ro-RO"/>
        </w:rPr>
      </w:pPr>
      <w:r w:rsidRPr="0039040E">
        <w:rPr>
          <w:rFonts w:ascii="Times New Roman" w:eastAsia="Times New Roman" w:hAnsi="Times New Roman" w:cs="Times New Roman"/>
          <w:color w:val="000000"/>
          <w:sz w:val="24"/>
          <w:szCs w:val="24"/>
          <w:lang w:eastAsia="ro-RO"/>
        </w:rPr>
        <w:t>Autoritatea publică tutelară poate recomanda candidaţi pentru consiliul de administraţie, respectiv supraveghere, care îndeplinesc condiţiile prevăzute de calificare. Candidaţii recomandaţi vor urma procedura de selecţie prevăzută de acest articol.</w:t>
      </w:r>
    </w:p>
    <w:p w14:paraId="640B0720" w14:textId="77777777" w:rsidR="0039040E" w:rsidRPr="0039040E" w:rsidRDefault="0039040E" w:rsidP="0039040E">
      <w:pPr>
        <w:widowControl w:val="0"/>
        <w:spacing w:after="0" w:line="240" w:lineRule="auto"/>
        <w:ind w:firstLine="720"/>
        <w:jc w:val="both"/>
        <w:rPr>
          <w:rFonts w:ascii="Times New Roman" w:eastAsia="Times New Roman" w:hAnsi="Times New Roman" w:cs="Times New Roman"/>
          <w:color w:val="000000"/>
          <w:sz w:val="24"/>
          <w:szCs w:val="24"/>
          <w:lang w:eastAsia="ro-RO"/>
        </w:rPr>
      </w:pPr>
      <w:r w:rsidRPr="0039040E">
        <w:rPr>
          <w:rFonts w:ascii="Times New Roman" w:eastAsia="Times New Roman" w:hAnsi="Times New Roman" w:cs="Times New Roman"/>
          <w:color w:val="000000"/>
          <w:sz w:val="24"/>
          <w:szCs w:val="24"/>
          <w:lang w:eastAsia="ro-RO"/>
        </w:rPr>
        <w:t>La stabilirea criteriilor de selecţie a administratorilor, comisia de selecţie şi nominalizare trebuie să ţină cont de specificul şi complexitatea activităţii societăţii, precum şi de cerinţele din scrisoarea de aşteptări.</w:t>
      </w:r>
    </w:p>
    <w:p w14:paraId="161D4692" w14:textId="77777777" w:rsidR="0039040E" w:rsidRPr="0039040E" w:rsidRDefault="0039040E" w:rsidP="0039040E">
      <w:pPr>
        <w:widowControl w:val="0"/>
        <w:spacing w:after="0" w:line="240" w:lineRule="auto"/>
        <w:ind w:firstLine="720"/>
        <w:jc w:val="both"/>
        <w:rPr>
          <w:rFonts w:ascii="Times New Roman" w:eastAsia="Times New Roman" w:hAnsi="Times New Roman" w:cs="Times New Roman"/>
          <w:color w:val="000000"/>
          <w:sz w:val="24"/>
          <w:szCs w:val="24"/>
          <w:lang w:eastAsia="ro-RO"/>
        </w:rPr>
      </w:pPr>
      <w:r w:rsidRPr="0039040E">
        <w:rPr>
          <w:rFonts w:ascii="Times New Roman" w:eastAsia="Times New Roman" w:hAnsi="Times New Roman" w:cs="Times New Roman"/>
          <w:color w:val="000000"/>
          <w:sz w:val="24"/>
          <w:szCs w:val="24"/>
          <w:lang w:eastAsia="ro-RO"/>
        </w:rPr>
        <w:t>În termen de maximum 30 de zile de la data numirii sale, consiliul de administraţie elaborează o propunere pentru componenta de administrare a planului de administrare, în vederea realizării indicatorilor de performanţă financiari şi nefinanciari.</w:t>
      </w:r>
    </w:p>
    <w:p w14:paraId="7C2910BF" w14:textId="77777777" w:rsidR="0039040E" w:rsidRPr="0039040E" w:rsidRDefault="0039040E" w:rsidP="0039040E">
      <w:pPr>
        <w:widowControl w:val="0"/>
        <w:spacing w:after="0" w:line="240" w:lineRule="auto"/>
        <w:ind w:firstLine="720"/>
        <w:jc w:val="both"/>
        <w:rPr>
          <w:rFonts w:ascii="Times New Roman" w:eastAsia="Times New Roman" w:hAnsi="Times New Roman" w:cs="Times New Roman"/>
          <w:color w:val="000000"/>
          <w:sz w:val="24"/>
          <w:szCs w:val="24"/>
          <w:lang w:eastAsia="ro-RO"/>
        </w:rPr>
      </w:pPr>
      <w:r w:rsidRPr="0039040E">
        <w:rPr>
          <w:rFonts w:ascii="Times New Roman" w:eastAsia="Times New Roman" w:hAnsi="Times New Roman" w:cs="Times New Roman"/>
          <w:color w:val="000000"/>
          <w:sz w:val="24"/>
          <w:szCs w:val="24"/>
          <w:lang w:eastAsia="ro-RO"/>
        </w:rPr>
        <w:t>Componenta de administrare se completează cu componenta de management elaborată conform prevederilor legale. Planul de administrare se supune analizei şi aprobării consiliului de administraţie al societăţii în termenul prevăzut de art. 36 alin. (3) din Ordonanța de Urgența a Guvernului nr. 109/2011, cu modificările și completările ulterioare.</w:t>
      </w:r>
    </w:p>
    <w:p w14:paraId="4E747B0D" w14:textId="77777777" w:rsidR="0039040E" w:rsidRPr="0039040E" w:rsidRDefault="0039040E" w:rsidP="0039040E">
      <w:pPr>
        <w:widowControl w:val="0"/>
        <w:spacing w:after="0" w:line="240" w:lineRule="auto"/>
        <w:ind w:firstLine="720"/>
        <w:jc w:val="both"/>
        <w:rPr>
          <w:rFonts w:ascii="Times New Roman" w:eastAsia="Times New Roman" w:hAnsi="Times New Roman" w:cs="Times New Roman"/>
          <w:color w:val="000000"/>
          <w:sz w:val="24"/>
          <w:szCs w:val="24"/>
          <w:lang w:eastAsia="ro-RO"/>
        </w:rPr>
      </w:pPr>
      <w:r w:rsidRPr="0039040E">
        <w:rPr>
          <w:rFonts w:ascii="Times New Roman" w:eastAsia="Times New Roman" w:hAnsi="Times New Roman" w:cs="Times New Roman"/>
          <w:color w:val="000000"/>
          <w:sz w:val="24"/>
          <w:szCs w:val="24"/>
          <w:lang w:eastAsia="ro-RO"/>
        </w:rPr>
        <w:t xml:space="preserve">În termen de 5 zile de la aprobarea în integralitate a planului de administrare, prin grija preşedintelui consiliului de administraţie, se convoacă adunarea generală a acţionarilor, în vederea negocierii şi aprobării indicatorilor-cheie de performanţă, avizaţi în prealabil de către AMEPIP, rezultaţi din planul de administrare, pornind de la nivelul indicatorilor-cheie de performanţă asumaţi prin declaraţiile de intenţie întocmite de către administratorii numiţi. Indicatorii negociaţi şi aprobaţi de către adunarea generală a acţionarilor se comunică AMEPIP, în termen de 15 zile de la aprobare, în vederea avizării lor finale şi includerii în tabloul de bord. </w:t>
      </w:r>
    </w:p>
    <w:p w14:paraId="65A191BD" w14:textId="77777777" w:rsidR="0039040E" w:rsidRPr="0039040E" w:rsidRDefault="0039040E" w:rsidP="0039040E">
      <w:pPr>
        <w:widowControl w:val="0"/>
        <w:spacing w:after="0" w:line="240" w:lineRule="auto"/>
        <w:jc w:val="both"/>
        <w:rPr>
          <w:rFonts w:ascii="Times New Roman" w:eastAsia="Times New Roman" w:hAnsi="Times New Roman" w:cs="Times New Roman"/>
          <w:color w:val="000000"/>
          <w:sz w:val="24"/>
          <w:szCs w:val="24"/>
          <w:lang w:eastAsia="ro-RO"/>
        </w:rPr>
      </w:pPr>
      <w:r w:rsidRPr="0039040E">
        <w:rPr>
          <w:rFonts w:ascii="Times New Roman" w:eastAsia="Times New Roman" w:hAnsi="Times New Roman" w:cs="Times New Roman"/>
          <w:color w:val="000000"/>
          <w:sz w:val="24"/>
          <w:szCs w:val="24"/>
          <w:lang w:eastAsia="ro-RO"/>
        </w:rPr>
        <w:t>În cazul în care AMEPIP constată încălcarea nivelului minim al indicatorilor-cheie de performanţă, aceasta nu emite avizul conform. În acest caz, AMEPIP transmite autorităţii publice tutelare cererea de refacere a acestor indicatori.</w:t>
      </w:r>
    </w:p>
    <w:p w14:paraId="0260EEB5" w14:textId="77777777" w:rsidR="0039040E" w:rsidRPr="0039040E" w:rsidRDefault="0039040E" w:rsidP="0039040E">
      <w:pPr>
        <w:widowControl w:val="0"/>
        <w:spacing w:after="0" w:line="240" w:lineRule="auto"/>
        <w:ind w:firstLine="720"/>
        <w:jc w:val="both"/>
        <w:rPr>
          <w:rFonts w:ascii="Times New Roman" w:eastAsia="Times New Roman" w:hAnsi="Times New Roman" w:cs="Times New Roman"/>
          <w:color w:val="000000"/>
          <w:sz w:val="24"/>
          <w:szCs w:val="24"/>
          <w:lang w:eastAsia="ro-RO"/>
        </w:rPr>
      </w:pPr>
      <w:r w:rsidRPr="0039040E">
        <w:rPr>
          <w:rFonts w:ascii="Times New Roman" w:eastAsia="Times New Roman" w:hAnsi="Times New Roman" w:cs="Times New Roman"/>
          <w:color w:val="000000"/>
          <w:sz w:val="24"/>
          <w:szCs w:val="24"/>
          <w:lang w:eastAsia="ro-RO"/>
        </w:rPr>
        <w:t>Negocierea indicatorilor de performanţă financiari şi nefinanciari bazaţi pe planul de administrare se realizează în termen de 45 de zile de la data comunicării acestora de către consiliul de administraţie  autorităţii publice tutelare. În cazul unei extinderi a perioadei de negocieri de către autoritatea publică tutelară, care nu poate fi mai mare de 30 de zile, aceasta poate solicita AMEPIP participarea la negocieri pentru a media o soluţie în beneficiul întreprinderii publice.</w:t>
      </w:r>
    </w:p>
    <w:p w14:paraId="5BB25092" w14:textId="77777777" w:rsidR="0039040E" w:rsidRPr="0039040E" w:rsidRDefault="0039040E" w:rsidP="0039040E">
      <w:pPr>
        <w:widowControl w:val="0"/>
        <w:spacing w:after="0" w:line="240" w:lineRule="auto"/>
        <w:ind w:firstLine="720"/>
        <w:jc w:val="both"/>
        <w:rPr>
          <w:rFonts w:ascii="Times New Roman" w:eastAsia="Times New Roman" w:hAnsi="Times New Roman" w:cs="Times New Roman"/>
          <w:color w:val="000000"/>
          <w:sz w:val="24"/>
          <w:szCs w:val="24"/>
          <w:lang w:eastAsia="ro-RO"/>
        </w:rPr>
      </w:pPr>
      <w:r w:rsidRPr="0039040E">
        <w:rPr>
          <w:rFonts w:ascii="Times New Roman" w:eastAsia="Times New Roman" w:hAnsi="Times New Roman" w:cs="Times New Roman"/>
          <w:color w:val="000000"/>
          <w:sz w:val="24"/>
          <w:szCs w:val="24"/>
          <w:lang w:eastAsia="ro-RO"/>
        </w:rPr>
        <w:t>Indicatorii de performanţă financiari şi nefinanciari negociaţi şi aprobaţi de adunarea generală a acţionarilor, avizaţi final de către AMEPIP, constituie elemente faţă de care se determină componenta variabilă a remuneraţiei a directorului societății</w:t>
      </w:r>
    </w:p>
    <w:p w14:paraId="62C9E16F" w14:textId="77777777" w:rsidR="0039040E" w:rsidRPr="0039040E" w:rsidRDefault="0039040E" w:rsidP="0039040E">
      <w:pPr>
        <w:widowControl w:val="0"/>
        <w:spacing w:after="0" w:line="240" w:lineRule="auto"/>
        <w:ind w:firstLine="720"/>
        <w:jc w:val="both"/>
        <w:rPr>
          <w:rFonts w:ascii="Times New Roman" w:eastAsia="Times New Roman" w:hAnsi="Times New Roman" w:cs="Times New Roman"/>
          <w:color w:val="000000"/>
          <w:sz w:val="24"/>
          <w:szCs w:val="24"/>
          <w:lang w:eastAsia="ro-RO"/>
        </w:rPr>
      </w:pPr>
      <w:r w:rsidRPr="0039040E">
        <w:rPr>
          <w:rFonts w:ascii="Times New Roman" w:eastAsia="Times New Roman" w:hAnsi="Times New Roman" w:cs="Times New Roman"/>
          <w:color w:val="000000"/>
          <w:sz w:val="24"/>
          <w:szCs w:val="24"/>
          <w:lang w:eastAsia="ro-RO"/>
        </w:rPr>
        <w:t>Evaluarea activităţii administratorilor se realizează anual de către adunarea generală a acţionarilor, cu sprijinul unor experţi în astfel de evaluări, după caz. Evaluarea vizează atât execuţia contractului de mandat, cât şi a planului de administrare.</w:t>
      </w:r>
    </w:p>
    <w:p w14:paraId="75DA3B7C" w14:textId="77777777" w:rsidR="0039040E" w:rsidRPr="0039040E" w:rsidRDefault="0039040E" w:rsidP="0039040E">
      <w:pPr>
        <w:widowControl w:val="0"/>
        <w:spacing w:after="0" w:line="240" w:lineRule="auto"/>
        <w:ind w:firstLine="720"/>
        <w:jc w:val="both"/>
        <w:rPr>
          <w:rFonts w:ascii="Times New Roman" w:eastAsia="Times New Roman" w:hAnsi="Times New Roman" w:cs="Times New Roman"/>
          <w:color w:val="000000"/>
          <w:sz w:val="24"/>
          <w:szCs w:val="24"/>
          <w:lang w:eastAsia="ro-RO"/>
        </w:rPr>
      </w:pPr>
      <w:r w:rsidRPr="0039040E">
        <w:rPr>
          <w:rFonts w:ascii="Times New Roman" w:eastAsia="Times New Roman" w:hAnsi="Times New Roman" w:cs="Times New Roman"/>
          <w:color w:val="000000"/>
          <w:sz w:val="24"/>
          <w:szCs w:val="24"/>
          <w:lang w:eastAsia="ro-RO"/>
        </w:rPr>
        <w:t xml:space="preserve">Rapoartele de evaluare ale administratorilor se transmit către AMEPIP, în termen de 15 </w:t>
      </w:r>
      <w:r w:rsidRPr="0039040E">
        <w:rPr>
          <w:rFonts w:ascii="Times New Roman" w:eastAsia="Times New Roman" w:hAnsi="Times New Roman" w:cs="Times New Roman"/>
          <w:color w:val="000000"/>
          <w:sz w:val="24"/>
          <w:szCs w:val="24"/>
          <w:lang w:eastAsia="ro-RO"/>
        </w:rPr>
        <w:lastRenderedPageBreak/>
        <w:t>zile de la data adunării generale a acţionarilor care a aprobat aceste rapoarte. Rapoartele de evaluare se transmit AMEPIP şi sunt folosite în proceduri viitoare de reînnoire a mandatului administratorilor astfel evaluaţi.</w:t>
      </w:r>
    </w:p>
    <w:p w14:paraId="5028EDEB" w14:textId="77777777" w:rsidR="0039040E" w:rsidRPr="0039040E" w:rsidRDefault="0039040E" w:rsidP="0039040E">
      <w:pPr>
        <w:widowControl w:val="0"/>
        <w:spacing w:after="0" w:line="240" w:lineRule="auto"/>
        <w:ind w:firstLine="720"/>
        <w:jc w:val="both"/>
        <w:rPr>
          <w:rFonts w:ascii="Times New Roman" w:eastAsia="Times New Roman" w:hAnsi="Times New Roman" w:cs="Times New Roman"/>
          <w:color w:val="000000"/>
          <w:sz w:val="24"/>
          <w:szCs w:val="24"/>
          <w:lang w:eastAsia="ro-RO"/>
        </w:rPr>
      </w:pPr>
      <w:r w:rsidRPr="0039040E">
        <w:rPr>
          <w:rFonts w:ascii="Times New Roman" w:eastAsia="Times New Roman" w:hAnsi="Times New Roman" w:cs="Times New Roman"/>
          <w:color w:val="000000"/>
          <w:sz w:val="24"/>
          <w:szCs w:val="24"/>
          <w:lang w:eastAsia="ro-RO"/>
        </w:rPr>
        <w:t>Administratorii pot fi revocaţi de către adunarea generală a acţionarilor conform legii, în condiţiile stabilite în contractul de mandat.</w:t>
      </w:r>
    </w:p>
    <w:p w14:paraId="4D3C4389" w14:textId="77777777" w:rsidR="0039040E" w:rsidRPr="0039040E" w:rsidRDefault="0039040E" w:rsidP="0039040E">
      <w:pPr>
        <w:widowControl w:val="0"/>
        <w:spacing w:after="0" w:line="240" w:lineRule="auto"/>
        <w:ind w:firstLine="720"/>
        <w:jc w:val="both"/>
        <w:rPr>
          <w:rFonts w:ascii="Times New Roman" w:eastAsia="Times New Roman" w:hAnsi="Times New Roman" w:cs="Times New Roman"/>
          <w:color w:val="000000"/>
          <w:sz w:val="24"/>
          <w:szCs w:val="24"/>
          <w:lang w:eastAsia="ro-RO"/>
        </w:rPr>
      </w:pPr>
      <w:r w:rsidRPr="0039040E">
        <w:rPr>
          <w:rFonts w:ascii="Times New Roman" w:eastAsia="Times New Roman" w:hAnsi="Times New Roman" w:cs="Times New Roman"/>
          <w:color w:val="000000"/>
          <w:sz w:val="24"/>
          <w:szCs w:val="24"/>
          <w:lang w:eastAsia="ro-RO"/>
        </w:rPr>
        <w:t>În cazul în care, din motive imputabile, administratorii nu îndeplinesc indicatorii de performanţă stabiliţi prin contractele de mandat, adunarea generală a acţionarilor îi revocă din funcţie şi hotărăşte, în termen de maximum 45 de zile de la vacantare, declanşarea procedurii de selecţie pentru desemnarea de noi administratori, în conformitate cu prevederile art. 29 din Ordonanta de urgența a Guvernului nr. 109/2011, cu modificarile și completarile ulterioare.</w:t>
      </w:r>
    </w:p>
    <w:p w14:paraId="1BF7BF94" w14:textId="77777777" w:rsidR="0039040E" w:rsidRPr="0039040E" w:rsidRDefault="0039040E" w:rsidP="0039040E">
      <w:pPr>
        <w:widowControl w:val="0"/>
        <w:spacing w:after="0" w:line="240" w:lineRule="auto"/>
        <w:ind w:firstLine="720"/>
        <w:jc w:val="both"/>
        <w:rPr>
          <w:rFonts w:ascii="Times New Roman" w:eastAsia="Times New Roman" w:hAnsi="Times New Roman" w:cs="Times New Roman"/>
          <w:color w:val="000000"/>
          <w:sz w:val="24"/>
          <w:szCs w:val="24"/>
          <w:lang w:eastAsia="ro-RO"/>
        </w:rPr>
      </w:pPr>
      <w:r w:rsidRPr="0039040E">
        <w:rPr>
          <w:rFonts w:ascii="Times New Roman" w:eastAsia="Times New Roman" w:hAnsi="Times New Roman" w:cs="Times New Roman"/>
          <w:color w:val="000000"/>
          <w:sz w:val="24"/>
          <w:szCs w:val="24"/>
          <w:lang w:eastAsia="ro-RO"/>
        </w:rPr>
        <w:t>Administratorii revocaţi nu mai pot candida timp de 5 ani de la data rămânerii definitive a hotărârii de revocare pentru alte consilii de administraţie prevăzute de prezenta lege.</w:t>
      </w:r>
    </w:p>
    <w:p w14:paraId="0A7D5E52" w14:textId="77777777" w:rsidR="0039040E" w:rsidRPr="0039040E" w:rsidRDefault="0039040E" w:rsidP="0039040E">
      <w:pPr>
        <w:widowControl w:val="0"/>
        <w:spacing w:after="0" w:line="240" w:lineRule="auto"/>
        <w:ind w:firstLine="720"/>
        <w:jc w:val="both"/>
        <w:rPr>
          <w:rFonts w:ascii="Times New Roman" w:eastAsia="Times New Roman" w:hAnsi="Times New Roman" w:cs="Times New Roman"/>
          <w:color w:val="000000"/>
          <w:sz w:val="24"/>
          <w:szCs w:val="24"/>
          <w:lang w:eastAsia="ro-RO"/>
        </w:rPr>
      </w:pPr>
      <w:r w:rsidRPr="0039040E">
        <w:rPr>
          <w:rFonts w:ascii="Times New Roman" w:eastAsia="Times New Roman" w:hAnsi="Times New Roman" w:cs="Times New Roman"/>
          <w:color w:val="000000"/>
          <w:sz w:val="24"/>
          <w:szCs w:val="24"/>
          <w:lang w:eastAsia="ro-RO"/>
        </w:rPr>
        <w:t>O persoană fizică poate exercita concomitent cel mult 2 mandate de membru al consiliului de administraţie şi/sau de membru al consiliului de supraveghere în întreprinderi publice al căror sediu se află pe teritoriul României.</w:t>
      </w:r>
    </w:p>
    <w:p w14:paraId="06982332" w14:textId="77777777" w:rsidR="0039040E" w:rsidRPr="0039040E" w:rsidRDefault="0039040E" w:rsidP="0039040E">
      <w:pPr>
        <w:widowControl w:val="0"/>
        <w:spacing w:after="0" w:line="240" w:lineRule="auto"/>
        <w:ind w:firstLine="720"/>
        <w:jc w:val="both"/>
        <w:rPr>
          <w:rFonts w:ascii="Times New Roman" w:eastAsia="Times New Roman" w:hAnsi="Times New Roman" w:cs="Times New Roman"/>
          <w:color w:val="000000"/>
          <w:sz w:val="24"/>
          <w:szCs w:val="24"/>
          <w:lang w:eastAsia="ro-RO"/>
        </w:rPr>
      </w:pPr>
      <w:r w:rsidRPr="0039040E">
        <w:rPr>
          <w:rFonts w:ascii="Times New Roman" w:eastAsia="Times New Roman" w:hAnsi="Times New Roman" w:cs="Times New Roman"/>
          <w:color w:val="000000"/>
          <w:sz w:val="24"/>
          <w:szCs w:val="24"/>
          <w:lang w:eastAsia="ro-RO"/>
        </w:rPr>
        <w:t>În cadrul consiliului de administraţie  se constituie comitetul de nominalizare şi remunerare, comitetul de gestionare a riscurilor şi comitetul de audit. În cazul consiliilor formate din 3 membri, funcţiile comitetului de gestionare a riscurilor se pot delega comitetului de audit, cu înştiinţarea autorităţii publice tutelare</w:t>
      </w:r>
    </w:p>
    <w:p w14:paraId="158AD982" w14:textId="77777777" w:rsidR="0039040E" w:rsidRPr="0039040E" w:rsidRDefault="0039040E" w:rsidP="0039040E">
      <w:pPr>
        <w:widowControl w:val="0"/>
        <w:spacing w:after="0" w:line="240" w:lineRule="auto"/>
        <w:ind w:firstLine="720"/>
        <w:jc w:val="both"/>
        <w:rPr>
          <w:rFonts w:ascii="Times New Roman" w:eastAsia="Times New Roman" w:hAnsi="Times New Roman" w:cs="Times New Roman"/>
          <w:color w:val="000000"/>
          <w:sz w:val="24"/>
          <w:szCs w:val="24"/>
          <w:lang w:eastAsia="ro-RO"/>
        </w:rPr>
      </w:pPr>
      <w:r w:rsidRPr="0039040E">
        <w:rPr>
          <w:rFonts w:ascii="Times New Roman" w:eastAsia="Times New Roman" w:hAnsi="Times New Roman" w:cs="Times New Roman"/>
          <w:color w:val="000000"/>
          <w:sz w:val="24"/>
          <w:szCs w:val="24"/>
          <w:lang w:eastAsia="ro-RO"/>
        </w:rPr>
        <w:t>Comitetul de nominalizare şi remunerare organizează sesiuni de instruire pentru membrii consiliului, formulează propuneri de remunerare a administratorilor şi directorilor, cu respectarea politicii de remunerare transmise de AMEPIP, şi sprijină consiliul în evaluarea propriei performanţe, precum şi a performanţei conducerii executive.</w:t>
      </w:r>
    </w:p>
    <w:p w14:paraId="0AC70761" w14:textId="77777777" w:rsidR="0039040E" w:rsidRPr="0039040E" w:rsidRDefault="0039040E" w:rsidP="0039040E">
      <w:pPr>
        <w:widowControl w:val="0"/>
        <w:spacing w:after="0" w:line="240" w:lineRule="auto"/>
        <w:ind w:firstLine="720"/>
        <w:jc w:val="both"/>
        <w:rPr>
          <w:rFonts w:ascii="Times New Roman" w:eastAsia="Times New Roman" w:hAnsi="Times New Roman" w:cs="Times New Roman"/>
          <w:color w:val="000000"/>
          <w:sz w:val="24"/>
          <w:szCs w:val="24"/>
          <w:lang w:eastAsia="ro-RO"/>
        </w:rPr>
      </w:pPr>
      <w:r w:rsidRPr="0039040E">
        <w:rPr>
          <w:rFonts w:ascii="Times New Roman" w:eastAsia="Times New Roman" w:hAnsi="Times New Roman" w:cs="Times New Roman"/>
          <w:color w:val="000000"/>
          <w:sz w:val="24"/>
          <w:szCs w:val="24"/>
          <w:lang w:eastAsia="ro-RO"/>
        </w:rPr>
        <w:t>Comitetul de gestionare a riscurilor asigură concordanţa activităţilor de control cu riscurile generate de activităţile şi procesele care fac obiectul controlului, identifică, analizează, evaluează, monitorizează şi raportează riscurile identificate, planul de măsuri de atenuare sau anticipare a acestora, alte măsuri luate de conducerea executivă. De asemenea, este responsabil cu măsurarea solvabilităţii întreprinderii publice, prin raportare la atribuţiile şi obligaţiile uzuale ale acesteia, şi informează sau, după caz, face propuneri consiliului de administraţie.</w:t>
      </w:r>
    </w:p>
    <w:p w14:paraId="1072BBBB" w14:textId="77777777" w:rsidR="0039040E" w:rsidRPr="0039040E" w:rsidRDefault="0039040E" w:rsidP="0039040E">
      <w:pPr>
        <w:widowControl w:val="0"/>
        <w:spacing w:after="0" w:line="240" w:lineRule="auto"/>
        <w:ind w:firstLine="720"/>
        <w:jc w:val="both"/>
        <w:rPr>
          <w:rFonts w:ascii="Times New Roman" w:eastAsia="Times New Roman" w:hAnsi="Times New Roman" w:cs="Times New Roman"/>
          <w:color w:val="000000"/>
          <w:sz w:val="24"/>
          <w:szCs w:val="24"/>
          <w:lang w:eastAsia="ro-RO"/>
        </w:rPr>
      </w:pPr>
      <w:r w:rsidRPr="0039040E">
        <w:rPr>
          <w:rFonts w:ascii="Times New Roman" w:eastAsia="Times New Roman" w:hAnsi="Times New Roman" w:cs="Times New Roman"/>
          <w:color w:val="000000"/>
          <w:sz w:val="24"/>
          <w:szCs w:val="24"/>
          <w:lang w:eastAsia="ro-RO"/>
        </w:rPr>
        <w:t>Comitetul de audit îndeplineşte atribuţiile prevăzute la art. 65 din Legea nr. 162/2017, cu modificările ulterioare.</w:t>
      </w:r>
    </w:p>
    <w:p w14:paraId="1C989DD9" w14:textId="77777777" w:rsidR="0039040E" w:rsidRPr="0039040E" w:rsidRDefault="0039040E" w:rsidP="0039040E">
      <w:pPr>
        <w:widowControl w:val="0"/>
        <w:spacing w:after="0" w:line="240" w:lineRule="auto"/>
        <w:ind w:firstLine="720"/>
        <w:jc w:val="both"/>
        <w:rPr>
          <w:rFonts w:ascii="Times New Roman" w:eastAsia="Times New Roman" w:hAnsi="Times New Roman" w:cs="Times New Roman"/>
          <w:color w:val="000000"/>
          <w:sz w:val="24"/>
          <w:szCs w:val="24"/>
          <w:lang w:eastAsia="ro-RO"/>
        </w:rPr>
      </w:pPr>
      <w:r w:rsidRPr="0039040E">
        <w:rPr>
          <w:rFonts w:ascii="Times New Roman" w:eastAsia="Times New Roman" w:hAnsi="Times New Roman" w:cs="Times New Roman"/>
          <w:color w:val="000000"/>
          <w:sz w:val="24"/>
          <w:szCs w:val="24"/>
          <w:lang w:eastAsia="ro-RO"/>
        </w:rPr>
        <w:t>Comitetul de audit este  format din administratori neexecutivi, majoritatea administratorilor fiind independenţi şi din care cel puţin unul este calificat ca auditor financiar conform unui document emis de către autoritatea competentă din România, din alt stat membru, dintr-un stat membru al Asociaţiei Europene a Liberului Schimb, din Elveţia sau din Regatul Unit al Marii Britanii şi Irlandei de Nord, potrivit legii. Prin excepţie de la această prevedere, este competentă să facă parte din Comitetul de audit al unei întreprinderi publice şi persoana care are experienţă de cel puţin 3 ani în audit statutar, dobândită prin participarea la misiuni de audit statutar în România, în alt stat membru, într-un stat al AELS, în Elveţia sau în Regatul Unit al Marii Britanii şi Irlandei de Nord sau în cadrul comitetelor de audit formate la nivelul consiliilor de administraţie/supraveghere ale unor societăţi/entităţi de interes public, dovedită cu documente.</w:t>
      </w:r>
    </w:p>
    <w:p w14:paraId="25EC480E" w14:textId="77777777" w:rsidR="0039040E" w:rsidRPr="0039040E" w:rsidRDefault="0039040E" w:rsidP="0039040E">
      <w:pPr>
        <w:widowControl w:val="0"/>
        <w:spacing w:after="0" w:line="240" w:lineRule="auto"/>
        <w:ind w:firstLine="720"/>
        <w:jc w:val="both"/>
        <w:rPr>
          <w:rFonts w:ascii="Times New Roman" w:eastAsia="Times New Roman" w:hAnsi="Times New Roman" w:cs="Times New Roman"/>
          <w:color w:val="000000"/>
          <w:sz w:val="24"/>
          <w:szCs w:val="24"/>
          <w:lang w:eastAsia="ro-RO"/>
        </w:rPr>
      </w:pPr>
      <w:r w:rsidRPr="0039040E">
        <w:rPr>
          <w:rFonts w:ascii="Times New Roman" w:eastAsia="Times New Roman" w:hAnsi="Times New Roman" w:cs="Times New Roman"/>
          <w:color w:val="000000"/>
          <w:sz w:val="24"/>
          <w:szCs w:val="24"/>
          <w:lang w:eastAsia="ro-RO"/>
        </w:rPr>
        <w:t>Consiliul de administraţie va delega conducerea societăţii unui director general.   Durata contractului de mandat al directorului căruia i-au fost delegate atribuţii de conducere a societăţii se corelează cu durata mandatelor membrilor consiliului de administraţie, respectiv de maximum patru ani.</w:t>
      </w:r>
    </w:p>
    <w:p w14:paraId="7494F9BB" w14:textId="77777777" w:rsidR="0039040E" w:rsidRPr="0039040E" w:rsidRDefault="0039040E" w:rsidP="0039040E">
      <w:pPr>
        <w:widowControl w:val="0"/>
        <w:spacing w:after="0" w:line="240" w:lineRule="auto"/>
        <w:ind w:firstLine="720"/>
        <w:jc w:val="both"/>
        <w:rPr>
          <w:rFonts w:ascii="Times New Roman" w:eastAsia="Times New Roman" w:hAnsi="Times New Roman" w:cs="Times New Roman"/>
          <w:color w:val="000000"/>
          <w:sz w:val="24"/>
          <w:szCs w:val="24"/>
          <w:lang w:eastAsia="ro-RO"/>
        </w:rPr>
      </w:pPr>
      <w:r w:rsidRPr="0039040E">
        <w:rPr>
          <w:rFonts w:ascii="Times New Roman" w:eastAsia="Times New Roman" w:hAnsi="Times New Roman" w:cs="Times New Roman"/>
          <w:color w:val="000000"/>
          <w:sz w:val="24"/>
          <w:szCs w:val="24"/>
          <w:lang w:eastAsia="ro-RO"/>
        </w:rPr>
        <w:lastRenderedPageBreak/>
        <w:t>Directorul poate  fi numit  din afara consiliului de administraţie sau dintre administratori, care devin astfel administrator executiv.</w:t>
      </w:r>
    </w:p>
    <w:p w14:paraId="123D6110" w14:textId="77777777" w:rsidR="0039040E" w:rsidRPr="0039040E" w:rsidRDefault="0039040E" w:rsidP="0039040E">
      <w:pPr>
        <w:widowControl w:val="0"/>
        <w:spacing w:after="0" w:line="240" w:lineRule="auto"/>
        <w:jc w:val="both"/>
        <w:rPr>
          <w:rFonts w:ascii="Times New Roman" w:eastAsia="Times New Roman" w:hAnsi="Times New Roman" w:cs="Times New Roman"/>
          <w:color w:val="000000"/>
          <w:sz w:val="24"/>
          <w:szCs w:val="24"/>
          <w:lang w:eastAsia="ro-RO"/>
        </w:rPr>
      </w:pPr>
      <w:r w:rsidRPr="0039040E">
        <w:rPr>
          <w:rFonts w:ascii="Times New Roman" w:eastAsia="Times New Roman" w:hAnsi="Times New Roman" w:cs="Times New Roman"/>
          <w:color w:val="000000"/>
          <w:sz w:val="24"/>
          <w:szCs w:val="24"/>
          <w:lang w:eastAsia="ro-RO"/>
        </w:rPr>
        <w:tab/>
        <w:t>Preşedintele consiliului de administraţie al societăţii nu poate fi numit şi director general.</w:t>
      </w:r>
    </w:p>
    <w:p w14:paraId="57C16C77" w14:textId="77777777" w:rsidR="0039040E" w:rsidRPr="0039040E" w:rsidRDefault="0039040E" w:rsidP="0039040E">
      <w:pPr>
        <w:widowControl w:val="0"/>
        <w:spacing w:after="0" w:line="240" w:lineRule="auto"/>
        <w:jc w:val="both"/>
        <w:rPr>
          <w:rFonts w:ascii="Times New Roman" w:eastAsia="Times New Roman" w:hAnsi="Times New Roman" w:cs="Times New Roman"/>
          <w:color w:val="000000"/>
          <w:sz w:val="24"/>
          <w:szCs w:val="24"/>
          <w:lang w:eastAsia="ro-RO"/>
        </w:rPr>
      </w:pPr>
      <w:r w:rsidRPr="0039040E">
        <w:rPr>
          <w:rFonts w:ascii="Times New Roman" w:eastAsia="Times New Roman" w:hAnsi="Times New Roman" w:cs="Times New Roman"/>
          <w:color w:val="000000"/>
          <w:sz w:val="24"/>
          <w:szCs w:val="24"/>
          <w:lang w:eastAsia="ro-RO"/>
        </w:rPr>
        <w:t xml:space="preserve">Directorul, indiferent dacă este selectat din cadrul consiliului de administraţie sau din afara acestuia, este numit de consiliul de administraţie, la recomandarea comitetului de nominalizare în urma unei proceduri de selecţie pentru poziţia respectivă, desfăşurată după numirea membrilor consiliului de administraţie în conformitate cu prevederile art. 29 din Ordonanța de Urgență a Guvernului nr. 109/2011. </w:t>
      </w:r>
    </w:p>
    <w:p w14:paraId="326B0046" w14:textId="77777777" w:rsidR="0039040E" w:rsidRPr="0039040E" w:rsidRDefault="0039040E" w:rsidP="0039040E">
      <w:pPr>
        <w:widowControl w:val="0"/>
        <w:spacing w:after="0" w:line="240" w:lineRule="auto"/>
        <w:ind w:firstLine="720"/>
        <w:jc w:val="both"/>
        <w:rPr>
          <w:rFonts w:ascii="Times New Roman" w:eastAsia="Times New Roman" w:hAnsi="Times New Roman" w:cs="Times New Roman"/>
          <w:color w:val="000000"/>
          <w:sz w:val="24"/>
          <w:szCs w:val="24"/>
          <w:lang w:eastAsia="ro-RO"/>
        </w:rPr>
      </w:pPr>
      <w:r w:rsidRPr="0039040E">
        <w:rPr>
          <w:rFonts w:ascii="Times New Roman" w:eastAsia="Times New Roman" w:hAnsi="Times New Roman" w:cs="Times New Roman"/>
          <w:color w:val="000000"/>
          <w:sz w:val="24"/>
          <w:szCs w:val="24"/>
          <w:lang w:eastAsia="ro-RO"/>
        </w:rPr>
        <w:t>Consiliul de administraţie poate decide să fie asistat sau ca selecţia să fie efectuată de un expert independent, persoană fizică sau juridică specializată în recrutarea resurselor umane, ale cărui servicii sunt contractate în condiţiile legii.</w:t>
      </w:r>
    </w:p>
    <w:p w14:paraId="4DF65E9C" w14:textId="77777777" w:rsidR="0039040E" w:rsidRPr="0039040E" w:rsidRDefault="0039040E" w:rsidP="0039040E">
      <w:pPr>
        <w:widowControl w:val="0"/>
        <w:spacing w:after="0" w:line="240" w:lineRule="auto"/>
        <w:ind w:firstLine="720"/>
        <w:jc w:val="both"/>
        <w:rPr>
          <w:rFonts w:ascii="Times New Roman" w:eastAsia="Times New Roman" w:hAnsi="Times New Roman" w:cs="Times New Roman"/>
          <w:color w:val="000000"/>
          <w:sz w:val="24"/>
          <w:szCs w:val="24"/>
          <w:lang w:eastAsia="ro-RO"/>
        </w:rPr>
      </w:pPr>
      <w:r w:rsidRPr="0039040E">
        <w:rPr>
          <w:rFonts w:ascii="Times New Roman" w:eastAsia="Times New Roman" w:hAnsi="Times New Roman" w:cs="Times New Roman"/>
          <w:color w:val="000000"/>
          <w:sz w:val="24"/>
          <w:szCs w:val="24"/>
          <w:lang w:eastAsia="ro-RO"/>
        </w:rPr>
        <w:t>Consiliul de administraţie sau, după caz, expertul independent, împreună cu membrii comitetului de nominalizare şi remunerare, stabileşte criteriile de selecţie, care includ, cel puţin, dar fără a se limita la aceasta, o experienţă relevantă în consultanţă în management sau în activitatea de conducere a unor autorităţi publice, întreprinderi publice ori societăţi din sectorul privat. Criteriile de selecţie vor fi elaborate şi selecţia va fi efectuată cu respectarea principiilor liberei competiţii, nediscriminării, transparenţei şi asumării răspunderii şi cu luarea în considerare a specificului domeniului de activitate a societăţii.</w:t>
      </w:r>
    </w:p>
    <w:p w14:paraId="7F987710" w14:textId="77777777" w:rsidR="0039040E" w:rsidRPr="0039040E" w:rsidRDefault="0039040E" w:rsidP="0039040E">
      <w:pPr>
        <w:widowControl w:val="0"/>
        <w:spacing w:after="0" w:line="240" w:lineRule="auto"/>
        <w:ind w:firstLine="720"/>
        <w:jc w:val="both"/>
        <w:rPr>
          <w:rFonts w:ascii="Times New Roman" w:eastAsia="Times New Roman" w:hAnsi="Times New Roman" w:cs="Times New Roman"/>
          <w:color w:val="000000"/>
          <w:sz w:val="24"/>
          <w:szCs w:val="24"/>
          <w:lang w:eastAsia="ro-RO"/>
        </w:rPr>
      </w:pPr>
      <w:r w:rsidRPr="0039040E">
        <w:rPr>
          <w:rFonts w:ascii="Times New Roman" w:eastAsia="Times New Roman" w:hAnsi="Times New Roman" w:cs="Times New Roman"/>
          <w:color w:val="000000"/>
          <w:sz w:val="24"/>
          <w:szCs w:val="24"/>
          <w:lang w:eastAsia="ro-RO"/>
        </w:rPr>
        <w:t>În termen de 60 de zile de la numire, directorii  elaborează şi prezintă consiliului de administraţie o propunere pentru componenta de management a planului de administrare pe durata mandatului, în vederea realizării indicatorilor de performanţă financiari şi nefinanciari.</w:t>
      </w:r>
    </w:p>
    <w:p w14:paraId="171C8C56" w14:textId="77777777" w:rsidR="0039040E" w:rsidRPr="0039040E" w:rsidRDefault="0039040E" w:rsidP="0039040E">
      <w:pPr>
        <w:widowControl w:val="0"/>
        <w:spacing w:after="0" w:line="240" w:lineRule="auto"/>
        <w:jc w:val="both"/>
        <w:rPr>
          <w:rFonts w:ascii="Times New Roman" w:eastAsia="Times New Roman" w:hAnsi="Times New Roman" w:cs="Times New Roman"/>
          <w:color w:val="000000"/>
          <w:sz w:val="24"/>
          <w:szCs w:val="24"/>
          <w:lang w:eastAsia="ro-RO"/>
        </w:rPr>
      </w:pPr>
      <w:r w:rsidRPr="0039040E">
        <w:rPr>
          <w:rFonts w:ascii="Times New Roman" w:eastAsia="Times New Roman" w:hAnsi="Times New Roman" w:cs="Times New Roman"/>
          <w:color w:val="000000"/>
          <w:sz w:val="24"/>
          <w:szCs w:val="24"/>
          <w:lang w:eastAsia="ro-RO"/>
        </w:rPr>
        <w:t>Consiliul de administraţie poate cere completarea sau revizuirea componentei de management a planului de administrare dacă aceasta nu prevede măsurile pentru realizarea obiectivelor cuprinse în scrisoarea de aşteptări şi nu cuprinde rezultatele prognozate care să asigure evaluarea indicatorilor de performanţă financiari şi nefinanciari.</w:t>
      </w:r>
    </w:p>
    <w:p w14:paraId="3D408BE5" w14:textId="77777777" w:rsidR="0039040E" w:rsidRPr="0039040E" w:rsidRDefault="0039040E" w:rsidP="0039040E">
      <w:pPr>
        <w:widowControl w:val="0"/>
        <w:spacing w:after="0" w:line="240" w:lineRule="auto"/>
        <w:ind w:firstLine="720"/>
        <w:jc w:val="both"/>
        <w:rPr>
          <w:rFonts w:ascii="Times New Roman" w:eastAsia="Times New Roman" w:hAnsi="Times New Roman" w:cs="Times New Roman"/>
          <w:color w:val="000000"/>
          <w:sz w:val="24"/>
          <w:szCs w:val="24"/>
          <w:lang w:eastAsia="ro-RO"/>
        </w:rPr>
      </w:pPr>
      <w:r w:rsidRPr="0039040E">
        <w:rPr>
          <w:rFonts w:ascii="Times New Roman" w:eastAsia="Times New Roman" w:hAnsi="Times New Roman" w:cs="Times New Roman"/>
          <w:color w:val="000000"/>
          <w:sz w:val="24"/>
          <w:szCs w:val="24"/>
          <w:lang w:eastAsia="ro-RO"/>
        </w:rPr>
        <w:t>Aprobarea componentei de management şi a planului de administrare în integralitate de către consiliul de administraţie se realizează în termen de maximum 80 de zile de la numirea directorului.</w:t>
      </w:r>
    </w:p>
    <w:p w14:paraId="7043A30F" w14:textId="77777777" w:rsidR="0039040E" w:rsidRPr="0039040E" w:rsidRDefault="0039040E" w:rsidP="0039040E">
      <w:pPr>
        <w:widowControl w:val="0"/>
        <w:spacing w:after="0" w:line="240" w:lineRule="auto"/>
        <w:ind w:firstLine="720"/>
        <w:jc w:val="both"/>
        <w:rPr>
          <w:rFonts w:ascii="Times New Roman" w:eastAsia="Times New Roman" w:hAnsi="Times New Roman" w:cs="Times New Roman"/>
          <w:color w:val="000000"/>
          <w:sz w:val="24"/>
          <w:szCs w:val="24"/>
          <w:lang w:eastAsia="ro-RO"/>
        </w:rPr>
      </w:pPr>
      <w:r w:rsidRPr="0039040E">
        <w:rPr>
          <w:rFonts w:ascii="Times New Roman" w:eastAsia="Times New Roman" w:hAnsi="Times New Roman" w:cs="Times New Roman"/>
          <w:color w:val="000000"/>
          <w:sz w:val="24"/>
          <w:szCs w:val="24"/>
          <w:lang w:eastAsia="ro-RO"/>
        </w:rPr>
        <w:t>După aprobarea planului de administrare de către consiliul de administraţie, componenta de management sau, după caz, indicatorii-cheie de performanţă, avizaţi de AMEPIP, constituie anexă la contractul de mandat încheiat cu directorii.</w:t>
      </w:r>
    </w:p>
    <w:p w14:paraId="6DD3729A" w14:textId="77777777" w:rsidR="0039040E" w:rsidRPr="0039040E" w:rsidRDefault="0039040E" w:rsidP="0039040E">
      <w:pPr>
        <w:widowControl w:val="0"/>
        <w:spacing w:after="0" w:line="240" w:lineRule="auto"/>
        <w:ind w:firstLine="720"/>
        <w:jc w:val="both"/>
        <w:rPr>
          <w:rFonts w:ascii="Times New Roman" w:eastAsia="Times New Roman" w:hAnsi="Times New Roman" w:cs="Times New Roman"/>
          <w:color w:val="000000"/>
          <w:sz w:val="24"/>
          <w:szCs w:val="24"/>
          <w:lang w:eastAsia="ro-RO"/>
        </w:rPr>
      </w:pPr>
      <w:r w:rsidRPr="0039040E">
        <w:rPr>
          <w:rFonts w:ascii="Times New Roman" w:eastAsia="Times New Roman" w:hAnsi="Times New Roman" w:cs="Times New Roman"/>
          <w:color w:val="000000"/>
          <w:sz w:val="24"/>
          <w:szCs w:val="24"/>
          <w:lang w:eastAsia="ro-RO"/>
        </w:rPr>
        <w:t>Evaluarea activităţii directorilor, se face anual de către consiliul de administraţie şi vizează atât execuţia contractului de mandat, cât şi a componentei de management a planului de administrare.</w:t>
      </w:r>
    </w:p>
    <w:p w14:paraId="63E07D65" w14:textId="77777777" w:rsidR="0039040E" w:rsidRPr="0039040E" w:rsidRDefault="0039040E" w:rsidP="0039040E">
      <w:pPr>
        <w:widowControl w:val="0"/>
        <w:spacing w:after="0" w:line="240" w:lineRule="auto"/>
        <w:ind w:firstLine="720"/>
        <w:jc w:val="both"/>
        <w:rPr>
          <w:rFonts w:ascii="Times New Roman" w:eastAsia="Times New Roman" w:hAnsi="Times New Roman" w:cs="Times New Roman"/>
          <w:color w:val="000000"/>
          <w:sz w:val="24"/>
          <w:szCs w:val="24"/>
          <w:lang w:eastAsia="ro-RO"/>
        </w:rPr>
      </w:pPr>
      <w:r w:rsidRPr="0039040E">
        <w:rPr>
          <w:rFonts w:ascii="Times New Roman" w:eastAsia="Times New Roman" w:hAnsi="Times New Roman" w:cs="Times New Roman"/>
          <w:color w:val="000000"/>
          <w:sz w:val="24"/>
          <w:szCs w:val="24"/>
          <w:lang w:eastAsia="ro-RO"/>
        </w:rPr>
        <w:t>Raportul de evaluare se publică pe pagina de internet a autorităţii publice tutelare, la data de 31 mai a anului următor celui pentru care se efectuează evaluarea. Datele care conform legii au caracter confidenţial sau secret sunt exceptate de la publicare şi se comunică AMEPIP.</w:t>
      </w:r>
    </w:p>
    <w:p w14:paraId="36378AD8" w14:textId="77777777" w:rsidR="0039040E" w:rsidRPr="0039040E" w:rsidRDefault="0039040E" w:rsidP="0039040E">
      <w:pPr>
        <w:widowControl w:val="0"/>
        <w:spacing w:after="0" w:line="240" w:lineRule="auto"/>
        <w:ind w:firstLine="720"/>
        <w:jc w:val="both"/>
        <w:rPr>
          <w:rFonts w:ascii="Times New Roman" w:eastAsia="Times New Roman" w:hAnsi="Times New Roman" w:cs="Times New Roman"/>
          <w:b/>
          <w:color w:val="000000"/>
          <w:sz w:val="24"/>
          <w:szCs w:val="24"/>
          <w:lang w:eastAsia="ro-RO"/>
        </w:rPr>
      </w:pPr>
      <w:r w:rsidRPr="0039040E">
        <w:rPr>
          <w:rFonts w:ascii="Times New Roman" w:eastAsia="Times New Roman" w:hAnsi="Times New Roman" w:cs="Times New Roman"/>
          <w:b/>
          <w:color w:val="000000"/>
          <w:sz w:val="24"/>
          <w:szCs w:val="24"/>
          <w:lang w:eastAsia="ro-RO"/>
        </w:rPr>
        <w:t>Audit statutar şi audit intern</w:t>
      </w:r>
    </w:p>
    <w:p w14:paraId="0BD663AD" w14:textId="77777777" w:rsidR="0039040E" w:rsidRPr="0039040E" w:rsidRDefault="0039040E" w:rsidP="0039040E">
      <w:pPr>
        <w:widowControl w:val="0"/>
        <w:spacing w:after="0" w:line="240" w:lineRule="auto"/>
        <w:ind w:firstLine="720"/>
        <w:jc w:val="both"/>
        <w:rPr>
          <w:rFonts w:ascii="Times New Roman" w:eastAsia="Times New Roman" w:hAnsi="Times New Roman" w:cs="Times New Roman"/>
          <w:color w:val="000000"/>
          <w:sz w:val="24"/>
          <w:szCs w:val="24"/>
          <w:lang w:eastAsia="ro-RO"/>
        </w:rPr>
      </w:pPr>
      <w:r w:rsidRPr="0039040E">
        <w:rPr>
          <w:rFonts w:ascii="Times New Roman" w:eastAsia="Times New Roman" w:hAnsi="Times New Roman" w:cs="Times New Roman"/>
          <w:color w:val="000000"/>
          <w:sz w:val="24"/>
          <w:szCs w:val="24"/>
          <w:lang w:eastAsia="ro-RO"/>
        </w:rPr>
        <w:t>Situaţiile financiare ale societății  sunt supuse auditului statutar, care se efectuează de către auditori statutari, persoane fizice sau juridice autorizate în condiţiile legii.</w:t>
      </w:r>
    </w:p>
    <w:p w14:paraId="3ABAAA35" w14:textId="77777777" w:rsidR="0039040E" w:rsidRPr="0039040E" w:rsidRDefault="0039040E" w:rsidP="0039040E">
      <w:pPr>
        <w:widowControl w:val="0"/>
        <w:spacing w:after="0" w:line="240" w:lineRule="auto"/>
        <w:ind w:firstLine="720"/>
        <w:jc w:val="both"/>
        <w:rPr>
          <w:rFonts w:ascii="Times New Roman" w:eastAsia="Times New Roman" w:hAnsi="Times New Roman" w:cs="Times New Roman"/>
          <w:color w:val="000000"/>
          <w:sz w:val="24"/>
          <w:szCs w:val="24"/>
          <w:lang w:eastAsia="ro-RO"/>
        </w:rPr>
      </w:pPr>
      <w:r w:rsidRPr="0039040E">
        <w:rPr>
          <w:rFonts w:ascii="Times New Roman" w:eastAsia="Times New Roman" w:hAnsi="Times New Roman" w:cs="Times New Roman"/>
          <w:color w:val="000000"/>
          <w:sz w:val="24"/>
          <w:szCs w:val="24"/>
          <w:lang w:eastAsia="ro-RO"/>
        </w:rPr>
        <w:t>Auditorii statutari sunt numiţi, pe baza unor criterii de selecţie transparente, înainte de încheierea exerciţiului financiar, de către adunarea generală a acţionarilor ir  perioada maximă de auditare a societatii de către acelaşi auditor financiar, persoană fizică sau juridică, este de 6 ani consecutivi şi se efectuează în conformitate cu standardele internaţionale de audit.</w:t>
      </w:r>
    </w:p>
    <w:p w14:paraId="26207C3C" w14:textId="77777777" w:rsidR="0039040E" w:rsidRPr="0039040E" w:rsidRDefault="0039040E" w:rsidP="0039040E">
      <w:pPr>
        <w:widowControl w:val="0"/>
        <w:spacing w:after="0" w:line="240" w:lineRule="auto"/>
        <w:ind w:firstLine="720"/>
        <w:jc w:val="both"/>
        <w:rPr>
          <w:rFonts w:ascii="Times New Roman" w:eastAsia="Times New Roman" w:hAnsi="Times New Roman" w:cs="Times New Roman"/>
          <w:color w:val="000000"/>
          <w:sz w:val="24"/>
          <w:szCs w:val="24"/>
          <w:lang w:eastAsia="ro-RO"/>
        </w:rPr>
      </w:pPr>
      <w:r w:rsidRPr="0039040E">
        <w:rPr>
          <w:rFonts w:ascii="Times New Roman" w:eastAsia="Times New Roman" w:hAnsi="Times New Roman" w:cs="Times New Roman"/>
          <w:color w:val="000000"/>
          <w:sz w:val="24"/>
          <w:szCs w:val="24"/>
          <w:lang w:eastAsia="ro-RO"/>
        </w:rPr>
        <w:t xml:space="preserve">După încheierea unei perioade de 6 ani consecutivi în care societatea a fost auditată de </w:t>
      </w:r>
      <w:r w:rsidRPr="0039040E">
        <w:rPr>
          <w:rFonts w:ascii="Times New Roman" w:eastAsia="Times New Roman" w:hAnsi="Times New Roman" w:cs="Times New Roman"/>
          <w:color w:val="000000"/>
          <w:sz w:val="24"/>
          <w:szCs w:val="24"/>
          <w:lang w:eastAsia="ro-RO"/>
        </w:rPr>
        <w:lastRenderedPageBreak/>
        <w:t>acelaşi auditor financiar, un nou contract de audit poate fi încheiat cu aceeaşi întreprindere publică numai după expirarea unei perioade de cel puţin 3 ani de la ultimul audit statutar.</w:t>
      </w:r>
    </w:p>
    <w:p w14:paraId="474AE07D" w14:textId="77777777" w:rsidR="0039040E" w:rsidRPr="0039040E" w:rsidRDefault="0039040E" w:rsidP="0039040E">
      <w:pPr>
        <w:widowControl w:val="0"/>
        <w:spacing w:after="0" w:line="240" w:lineRule="auto"/>
        <w:jc w:val="both"/>
        <w:rPr>
          <w:rFonts w:ascii="Times New Roman" w:eastAsia="Times New Roman" w:hAnsi="Times New Roman" w:cs="Times New Roman"/>
          <w:color w:val="000000"/>
          <w:sz w:val="24"/>
          <w:szCs w:val="24"/>
          <w:lang w:eastAsia="ro-RO"/>
        </w:rPr>
      </w:pPr>
      <w:r w:rsidRPr="0039040E">
        <w:rPr>
          <w:rFonts w:ascii="Times New Roman" w:eastAsia="Times New Roman" w:hAnsi="Times New Roman" w:cs="Times New Roman"/>
          <w:color w:val="000000"/>
          <w:sz w:val="24"/>
          <w:szCs w:val="24"/>
          <w:lang w:eastAsia="ro-RO"/>
        </w:rPr>
        <w:t>Situaţiile financiare anuale, auditate potrivit legii, se depun de către societate  la unităţile teritoriale ale Ministerului Finanţelor. O copie a acestora se va transmite către AMEPIP în termen de 15 zile de la data aprobării de către adunarea generală a acţionarilor.</w:t>
      </w:r>
    </w:p>
    <w:p w14:paraId="1E92FB52" w14:textId="77777777" w:rsidR="0039040E" w:rsidRPr="0039040E" w:rsidRDefault="0039040E" w:rsidP="0039040E">
      <w:pPr>
        <w:widowControl w:val="0"/>
        <w:spacing w:after="0" w:line="240" w:lineRule="auto"/>
        <w:ind w:firstLine="720"/>
        <w:jc w:val="both"/>
        <w:rPr>
          <w:rFonts w:ascii="Times New Roman" w:eastAsia="Times New Roman" w:hAnsi="Times New Roman" w:cs="Times New Roman"/>
          <w:color w:val="000000"/>
          <w:sz w:val="24"/>
          <w:szCs w:val="24"/>
          <w:lang w:eastAsia="ro-RO"/>
        </w:rPr>
      </w:pPr>
      <w:r w:rsidRPr="0039040E">
        <w:rPr>
          <w:rFonts w:ascii="Times New Roman" w:eastAsia="Times New Roman" w:hAnsi="Times New Roman" w:cs="Times New Roman"/>
          <w:color w:val="000000"/>
          <w:sz w:val="24"/>
          <w:szCs w:val="24"/>
          <w:lang w:eastAsia="ro-RO"/>
        </w:rPr>
        <w:t>În vederea auditării situaţiilor financiare ale întreprinderilor publice, auditorul financiar, persoană fizică sau juridică, trebuie să îndeplinească cumulativ următoarele condiţii:</w:t>
      </w:r>
    </w:p>
    <w:p w14:paraId="07C03F73" w14:textId="77777777" w:rsidR="0039040E" w:rsidRPr="0039040E" w:rsidRDefault="0039040E" w:rsidP="0039040E">
      <w:pPr>
        <w:widowControl w:val="0"/>
        <w:spacing w:after="0" w:line="240" w:lineRule="auto"/>
        <w:jc w:val="both"/>
        <w:rPr>
          <w:rFonts w:ascii="Times New Roman" w:eastAsia="Times New Roman" w:hAnsi="Times New Roman" w:cs="Times New Roman"/>
          <w:color w:val="000000"/>
          <w:sz w:val="24"/>
          <w:szCs w:val="24"/>
          <w:lang w:eastAsia="ro-RO"/>
        </w:rPr>
      </w:pPr>
      <w:r w:rsidRPr="0039040E">
        <w:rPr>
          <w:rFonts w:ascii="Times New Roman" w:eastAsia="Times New Roman" w:hAnsi="Times New Roman" w:cs="Times New Roman"/>
          <w:color w:val="000000"/>
          <w:sz w:val="24"/>
          <w:szCs w:val="24"/>
          <w:lang w:eastAsia="ro-RO"/>
        </w:rPr>
        <w:t>a)</w:t>
      </w:r>
      <w:r w:rsidRPr="0039040E">
        <w:rPr>
          <w:rFonts w:ascii="Times New Roman" w:eastAsia="Times New Roman" w:hAnsi="Times New Roman" w:cs="Times New Roman"/>
          <w:color w:val="000000"/>
          <w:sz w:val="24"/>
          <w:szCs w:val="24"/>
          <w:lang w:eastAsia="ro-RO"/>
        </w:rPr>
        <w:tab/>
        <w:t>să fie înregistrat ca persoană fizică sau juridică în Registrul public electronic al auditorilor financiari şi al firmelor de audit, publicat de Autoritatea pentru Supravegherea Publică a Activităţii de Audit Statutar, conform reglementărilor legale în vigoare, şi să aibă experienţă profesională de cel puţin 5 ani;</w:t>
      </w:r>
    </w:p>
    <w:p w14:paraId="754EDD44" w14:textId="77777777" w:rsidR="0039040E" w:rsidRPr="0039040E" w:rsidRDefault="0039040E" w:rsidP="0039040E">
      <w:pPr>
        <w:widowControl w:val="0"/>
        <w:spacing w:after="0" w:line="240" w:lineRule="auto"/>
        <w:jc w:val="both"/>
        <w:rPr>
          <w:rFonts w:ascii="Times New Roman" w:eastAsia="Times New Roman" w:hAnsi="Times New Roman" w:cs="Times New Roman"/>
          <w:color w:val="000000"/>
          <w:sz w:val="24"/>
          <w:szCs w:val="24"/>
          <w:lang w:eastAsia="ro-RO"/>
        </w:rPr>
      </w:pPr>
      <w:r w:rsidRPr="0039040E">
        <w:rPr>
          <w:rFonts w:ascii="Times New Roman" w:eastAsia="Times New Roman" w:hAnsi="Times New Roman" w:cs="Times New Roman"/>
          <w:color w:val="000000"/>
          <w:sz w:val="24"/>
          <w:szCs w:val="24"/>
          <w:lang w:eastAsia="ro-RO"/>
        </w:rPr>
        <w:t>b)</w:t>
      </w:r>
      <w:r w:rsidRPr="0039040E">
        <w:rPr>
          <w:rFonts w:ascii="Times New Roman" w:eastAsia="Times New Roman" w:hAnsi="Times New Roman" w:cs="Times New Roman"/>
          <w:color w:val="000000"/>
          <w:sz w:val="24"/>
          <w:szCs w:val="24"/>
          <w:lang w:eastAsia="ro-RO"/>
        </w:rPr>
        <w:tab/>
        <w:t>să nu fi fost sancţionat disciplinar prin decizie definitivă în ultimii 3 ani de către autorităţile competente care le supraveghează activitatea;</w:t>
      </w:r>
    </w:p>
    <w:p w14:paraId="6D8B6646" w14:textId="77777777" w:rsidR="0039040E" w:rsidRPr="0039040E" w:rsidRDefault="0039040E" w:rsidP="0039040E">
      <w:pPr>
        <w:widowControl w:val="0"/>
        <w:spacing w:after="0" w:line="240" w:lineRule="auto"/>
        <w:jc w:val="both"/>
        <w:rPr>
          <w:rFonts w:ascii="Times New Roman" w:eastAsia="Times New Roman" w:hAnsi="Times New Roman" w:cs="Times New Roman"/>
          <w:color w:val="000000"/>
          <w:sz w:val="24"/>
          <w:szCs w:val="24"/>
          <w:lang w:eastAsia="ro-RO"/>
        </w:rPr>
      </w:pPr>
      <w:r w:rsidRPr="0039040E">
        <w:rPr>
          <w:rFonts w:ascii="Times New Roman" w:eastAsia="Times New Roman" w:hAnsi="Times New Roman" w:cs="Times New Roman"/>
          <w:color w:val="000000"/>
          <w:sz w:val="24"/>
          <w:szCs w:val="24"/>
          <w:lang w:eastAsia="ro-RO"/>
        </w:rPr>
        <w:t>c)</w:t>
      </w:r>
      <w:r w:rsidRPr="0039040E">
        <w:rPr>
          <w:rFonts w:ascii="Times New Roman" w:eastAsia="Times New Roman" w:hAnsi="Times New Roman" w:cs="Times New Roman"/>
          <w:color w:val="000000"/>
          <w:sz w:val="24"/>
          <w:szCs w:val="24"/>
          <w:lang w:eastAsia="ro-RO"/>
        </w:rPr>
        <w:tab/>
        <w:t>să fi încheiat un contract de asigurare de răspundere civilă profesională, în conformitate cu normele privind asigurarea riscurilor profesionale;</w:t>
      </w:r>
    </w:p>
    <w:p w14:paraId="17DF6CEA" w14:textId="77777777" w:rsidR="0039040E" w:rsidRPr="0039040E" w:rsidRDefault="0039040E" w:rsidP="0039040E">
      <w:pPr>
        <w:widowControl w:val="0"/>
        <w:spacing w:after="0" w:line="240" w:lineRule="auto"/>
        <w:jc w:val="both"/>
        <w:rPr>
          <w:rFonts w:ascii="Times New Roman" w:eastAsia="Times New Roman" w:hAnsi="Times New Roman" w:cs="Times New Roman"/>
          <w:color w:val="000000"/>
          <w:sz w:val="24"/>
          <w:szCs w:val="24"/>
          <w:lang w:eastAsia="ro-RO"/>
        </w:rPr>
      </w:pPr>
      <w:r w:rsidRPr="0039040E">
        <w:rPr>
          <w:rFonts w:ascii="Times New Roman" w:eastAsia="Times New Roman" w:hAnsi="Times New Roman" w:cs="Times New Roman"/>
          <w:color w:val="000000"/>
          <w:sz w:val="24"/>
          <w:szCs w:val="24"/>
          <w:lang w:eastAsia="ro-RO"/>
        </w:rPr>
        <w:t>d)</w:t>
      </w:r>
      <w:r w:rsidRPr="0039040E">
        <w:rPr>
          <w:rFonts w:ascii="Times New Roman" w:eastAsia="Times New Roman" w:hAnsi="Times New Roman" w:cs="Times New Roman"/>
          <w:color w:val="000000"/>
          <w:sz w:val="24"/>
          <w:szCs w:val="24"/>
          <w:lang w:eastAsia="ro-RO"/>
        </w:rPr>
        <w:tab/>
        <w:t>să nu se afle în situaţia de incompatibilitate sau conflict de interese prevăzută de legislaţia în vigoare şi să nu fi fost angajat al vreunei întreprinderi publice sau al vreunei alte instituţii publice în ultimii 3 ani;</w:t>
      </w:r>
    </w:p>
    <w:p w14:paraId="71620C9F" w14:textId="77777777" w:rsidR="0039040E" w:rsidRPr="0039040E" w:rsidRDefault="0039040E" w:rsidP="0039040E">
      <w:pPr>
        <w:widowControl w:val="0"/>
        <w:spacing w:after="0" w:line="240" w:lineRule="auto"/>
        <w:jc w:val="both"/>
        <w:rPr>
          <w:rFonts w:ascii="Times New Roman" w:eastAsia="Times New Roman" w:hAnsi="Times New Roman" w:cs="Times New Roman"/>
          <w:color w:val="000000"/>
          <w:sz w:val="24"/>
          <w:szCs w:val="24"/>
          <w:lang w:eastAsia="ro-RO"/>
        </w:rPr>
      </w:pPr>
      <w:r w:rsidRPr="0039040E">
        <w:rPr>
          <w:rFonts w:ascii="Times New Roman" w:eastAsia="Times New Roman" w:hAnsi="Times New Roman" w:cs="Times New Roman"/>
          <w:color w:val="000000"/>
          <w:sz w:val="24"/>
          <w:szCs w:val="24"/>
          <w:lang w:eastAsia="ro-RO"/>
        </w:rPr>
        <w:t>e)</w:t>
      </w:r>
      <w:r w:rsidRPr="0039040E">
        <w:rPr>
          <w:rFonts w:ascii="Times New Roman" w:eastAsia="Times New Roman" w:hAnsi="Times New Roman" w:cs="Times New Roman"/>
          <w:color w:val="000000"/>
          <w:sz w:val="24"/>
          <w:szCs w:val="24"/>
          <w:lang w:eastAsia="ro-RO"/>
        </w:rPr>
        <w:tab/>
        <w:t>auditorul financiar persoană juridică să aibă cel puţin 3 auditori financiari angajaţi activi, înregistraţi în Registrul electronic public al auditorilor financiari şi al firmelor de audit, publicat de Autoritatea pentru Supravegherea Publică a Activităţii de Audit Statutar, care îndeplinesc condiţiile prevăzute la lit. a)-d).</w:t>
      </w:r>
    </w:p>
    <w:p w14:paraId="598B11C4" w14:textId="77777777" w:rsidR="0039040E" w:rsidRPr="0039040E" w:rsidRDefault="0039040E" w:rsidP="0039040E">
      <w:pPr>
        <w:widowControl w:val="0"/>
        <w:spacing w:after="0" w:line="240" w:lineRule="auto"/>
        <w:ind w:firstLine="720"/>
        <w:jc w:val="both"/>
        <w:rPr>
          <w:rFonts w:ascii="Times New Roman" w:eastAsia="Times New Roman" w:hAnsi="Times New Roman" w:cs="Times New Roman"/>
          <w:color w:val="000000"/>
          <w:sz w:val="24"/>
          <w:szCs w:val="24"/>
          <w:lang w:eastAsia="ro-RO"/>
        </w:rPr>
      </w:pPr>
      <w:r w:rsidRPr="0039040E">
        <w:rPr>
          <w:rFonts w:ascii="Times New Roman" w:eastAsia="Times New Roman" w:hAnsi="Times New Roman" w:cs="Times New Roman"/>
          <w:color w:val="000000"/>
          <w:sz w:val="24"/>
          <w:szCs w:val="24"/>
          <w:lang w:eastAsia="ro-RO"/>
        </w:rPr>
        <w:t>Auditul statutar trebuie să fie efectuat în conformitate cu standardele internaţionale de audit adoptate de Comisia Europeană în conformitate cu prevederile art. 26 alin. (3) din Directiva 2006/43/CE a Parlamentului European a Consiliului din 17 mai 2006 privind auditul legal al conturilor anuale şi al conturilor consolidate, de modificare a Directivelor 78/660/CEE şi 83/349/CEE ale Consiliului şi de abrogare a Directivei 84/253/CEE a Consiliului, cu modificările şi completările ulterioare, denumite Standarde internaţionale de audit - ISA.</w:t>
      </w:r>
    </w:p>
    <w:p w14:paraId="47357C85" w14:textId="77777777" w:rsidR="0039040E" w:rsidRPr="0039040E" w:rsidRDefault="0039040E" w:rsidP="0039040E">
      <w:pPr>
        <w:widowControl w:val="0"/>
        <w:spacing w:after="0" w:line="240" w:lineRule="auto"/>
        <w:ind w:firstLine="720"/>
        <w:jc w:val="both"/>
        <w:rPr>
          <w:rFonts w:ascii="Times New Roman" w:eastAsia="Times New Roman" w:hAnsi="Times New Roman" w:cs="Times New Roman"/>
          <w:color w:val="000000"/>
          <w:sz w:val="24"/>
          <w:szCs w:val="24"/>
          <w:lang w:eastAsia="ro-RO"/>
        </w:rPr>
      </w:pPr>
      <w:r w:rsidRPr="0039040E">
        <w:rPr>
          <w:rFonts w:ascii="Times New Roman" w:eastAsia="Times New Roman" w:hAnsi="Times New Roman" w:cs="Times New Roman"/>
          <w:color w:val="000000"/>
          <w:sz w:val="24"/>
          <w:szCs w:val="24"/>
          <w:lang w:eastAsia="ro-RO"/>
        </w:rPr>
        <w:t>Societatea organizează auditul intern în conformitate cu dispoziţiile Legii nr. 672/2002 privind auditul public intern, republicată, cu modificările şi completările ulterioare.</w:t>
      </w:r>
    </w:p>
    <w:p w14:paraId="69F6DEDE" w14:textId="77777777" w:rsidR="0039040E" w:rsidRPr="0039040E" w:rsidRDefault="0039040E" w:rsidP="0039040E">
      <w:pPr>
        <w:widowControl w:val="0"/>
        <w:spacing w:after="0" w:line="240" w:lineRule="auto"/>
        <w:jc w:val="both"/>
        <w:rPr>
          <w:rFonts w:ascii="Times New Roman" w:eastAsia="Times New Roman" w:hAnsi="Times New Roman" w:cs="Times New Roman"/>
          <w:color w:val="000000"/>
          <w:sz w:val="24"/>
          <w:szCs w:val="24"/>
          <w:lang w:eastAsia="ro-RO"/>
        </w:rPr>
      </w:pPr>
      <w:r w:rsidRPr="0039040E">
        <w:rPr>
          <w:rFonts w:ascii="Times New Roman" w:eastAsia="Times New Roman" w:hAnsi="Times New Roman" w:cs="Times New Roman"/>
          <w:color w:val="000000"/>
          <w:sz w:val="24"/>
          <w:szCs w:val="24"/>
          <w:lang w:eastAsia="ro-RO"/>
        </w:rPr>
        <w:t>Compartimentul de audit intern se constituie distinct în subordinea directă a consiliului de administraţie sau a consiliului de supraveghere, după caz.</w:t>
      </w:r>
    </w:p>
    <w:p w14:paraId="3ED0E1B6" w14:textId="77777777" w:rsidR="0039040E" w:rsidRPr="0039040E" w:rsidRDefault="0039040E" w:rsidP="0039040E">
      <w:pPr>
        <w:widowControl w:val="0"/>
        <w:spacing w:after="0" w:line="240" w:lineRule="auto"/>
        <w:ind w:firstLine="720"/>
        <w:jc w:val="both"/>
        <w:rPr>
          <w:rFonts w:ascii="Times New Roman" w:eastAsia="Times New Roman" w:hAnsi="Times New Roman" w:cs="Times New Roman"/>
          <w:color w:val="000000"/>
          <w:sz w:val="24"/>
          <w:szCs w:val="24"/>
          <w:lang w:eastAsia="ro-RO"/>
        </w:rPr>
      </w:pPr>
      <w:r w:rsidRPr="0039040E">
        <w:rPr>
          <w:rFonts w:ascii="Times New Roman" w:eastAsia="Times New Roman" w:hAnsi="Times New Roman" w:cs="Times New Roman"/>
          <w:color w:val="000000"/>
          <w:sz w:val="24"/>
          <w:szCs w:val="24"/>
          <w:lang w:eastAsia="ro-RO"/>
        </w:rPr>
        <w:t>Obligaţia asigurării cadrului organizatoric şi funcţional necesar desfăşurării activităţii de audit intern este a consiliului de administraţie sau consiliului de supraveghere, după caz.</w:t>
      </w:r>
    </w:p>
    <w:p w14:paraId="114CB9F6" w14:textId="77777777" w:rsidR="00B66E34" w:rsidRDefault="00B66E34" w:rsidP="0039040E">
      <w:pPr>
        <w:widowControl w:val="0"/>
        <w:spacing w:after="0" w:line="240" w:lineRule="auto"/>
        <w:ind w:firstLine="720"/>
        <w:jc w:val="both"/>
        <w:rPr>
          <w:rFonts w:ascii="Times New Roman" w:eastAsia="Times New Roman" w:hAnsi="Times New Roman" w:cs="Times New Roman"/>
          <w:b/>
          <w:color w:val="000000"/>
          <w:sz w:val="24"/>
          <w:szCs w:val="24"/>
          <w:lang w:eastAsia="ro-RO"/>
        </w:rPr>
      </w:pPr>
    </w:p>
    <w:p w14:paraId="6E6FCEA4" w14:textId="26DD427F" w:rsidR="0039040E" w:rsidRPr="0039040E" w:rsidRDefault="0039040E" w:rsidP="0039040E">
      <w:pPr>
        <w:widowControl w:val="0"/>
        <w:spacing w:after="0" w:line="240" w:lineRule="auto"/>
        <w:ind w:firstLine="720"/>
        <w:jc w:val="both"/>
        <w:rPr>
          <w:rFonts w:ascii="Times New Roman" w:eastAsia="Times New Roman" w:hAnsi="Times New Roman" w:cs="Times New Roman"/>
          <w:b/>
          <w:color w:val="000000"/>
          <w:sz w:val="24"/>
          <w:szCs w:val="24"/>
          <w:lang w:eastAsia="ro-RO"/>
        </w:rPr>
      </w:pPr>
      <w:r w:rsidRPr="0039040E">
        <w:rPr>
          <w:rFonts w:ascii="Times New Roman" w:eastAsia="Times New Roman" w:hAnsi="Times New Roman" w:cs="Times New Roman"/>
          <w:b/>
          <w:color w:val="000000"/>
          <w:sz w:val="24"/>
          <w:szCs w:val="24"/>
          <w:lang w:eastAsia="ro-RO"/>
        </w:rPr>
        <w:t>V. Viziunea autorității publice tutelare și a acționarilor, misiunea și obiectivele</w:t>
      </w:r>
      <w:r w:rsidRPr="0039040E">
        <w:rPr>
          <w:rFonts w:ascii="Times New Roman" w:eastAsia="Times New Roman" w:hAnsi="Times New Roman" w:cs="Times New Roman"/>
          <w:color w:val="000000"/>
          <w:sz w:val="24"/>
          <w:szCs w:val="24"/>
          <w:lang w:eastAsia="ro-RO"/>
        </w:rPr>
        <w:t xml:space="preserve"> </w:t>
      </w:r>
      <w:r w:rsidRPr="0039040E">
        <w:rPr>
          <w:rFonts w:ascii="Times New Roman" w:eastAsia="Times New Roman" w:hAnsi="Times New Roman" w:cs="Times New Roman"/>
          <w:b/>
          <w:color w:val="000000"/>
          <w:sz w:val="24"/>
          <w:szCs w:val="24"/>
          <w:lang w:eastAsia="ro-RO"/>
        </w:rPr>
        <w:t>societății S.C. Piețe Servicii Comunitare Muscel S.R.L.</w:t>
      </w:r>
      <w:r w:rsidRPr="0039040E">
        <w:rPr>
          <w:rFonts w:ascii="Times New Roman" w:eastAsia="Times New Roman" w:hAnsi="Times New Roman" w:cs="Times New Roman"/>
          <w:color w:val="000000"/>
          <w:sz w:val="24"/>
          <w:szCs w:val="24"/>
          <w:lang w:eastAsia="ro-RO"/>
        </w:rPr>
        <w:t xml:space="preserve">, </w:t>
      </w:r>
      <w:r w:rsidRPr="0039040E">
        <w:rPr>
          <w:rFonts w:ascii="Times New Roman" w:eastAsia="Times New Roman" w:hAnsi="Times New Roman" w:cs="Times New Roman"/>
          <w:b/>
          <w:color w:val="000000"/>
          <w:sz w:val="24"/>
          <w:szCs w:val="24"/>
          <w:lang w:eastAsia="ro-RO"/>
        </w:rPr>
        <w:t>derivate din politica guvernamentală</w:t>
      </w:r>
    </w:p>
    <w:p w14:paraId="7F0BE931" w14:textId="1A3B0BCE" w:rsidR="0039040E" w:rsidRPr="0039040E" w:rsidRDefault="0039040E" w:rsidP="0039040E">
      <w:pPr>
        <w:widowControl w:val="0"/>
        <w:spacing w:after="0" w:line="240" w:lineRule="auto"/>
        <w:ind w:left="-15" w:right="6" w:firstLine="735"/>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 xml:space="preserve">Autoritatea tutelară, Consiliul Local al Municipiului Câmpulung  ca autoritate deliberativă si Municipiul Câmpulung, în calitate de unic </w:t>
      </w:r>
      <w:r w:rsidR="00B66E34" w:rsidRPr="0039040E">
        <w:rPr>
          <w:rFonts w:ascii="Times New Roman" w:eastAsia="Times New Roman" w:hAnsi="Times New Roman" w:cs="Times New Roman"/>
          <w:color w:val="000000"/>
          <w:sz w:val="24"/>
          <w:szCs w:val="24"/>
          <w:lang w:bidi="en-US"/>
        </w:rPr>
        <w:t>acționar</w:t>
      </w:r>
      <w:r w:rsidRPr="0039040E">
        <w:rPr>
          <w:rFonts w:ascii="Times New Roman" w:eastAsia="Times New Roman" w:hAnsi="Times New Roman" w:cs="Times New Roman"/>
          <w:color w:val="000000"/>
          <w:sz w:val="24"/>
          <w:szCs w:val="24"/>
          <w:lang w:bidi="en-US"/>
        </w:rPr>
        <w:t xml:space="preserve"> al societatii, se așteaptă ca managementul societății S.C. Piețe Servicii Comunitare Muscel S.R.L. să fie orientat spre dezvoltarea afacerii în condiții de profitabilitate, să urmărească permanent stabilirea unui echilibru între calitatea lucrărilor și a serviciilor realizate, protecția mediului, securitatea și sănătatea lucrătorilor, orientată către cetățean în vederea creșterii nivelului de viața al populației locale.</w:t>
      </w:r>
    </w:p>
    <w:p w14:paraId="06FDFD88" w14:textId="77777777" w:rsidR="0039040E" w:rsidRPr="0039040E" w:rsidRDefault="0039040E" w:rsidP="0039040E">
      <w:pPr>
        <w:widowControl w:val="0"/>
        <w:spacing w:after="0" w:line="240" w:lineRule="auto"/>
        <w:ind w:left="-15" w:right="6"/>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b/>
          <w:i/>
          <w:color w:val="000000"/>
          <w:sz w:val="24"/>
          <w:szCs w:val="24"/>
          <w:lang w:bidi="en-US"/>
        </w:rPr>
        <w:t xml:space="preserve">       </w:t>
      </w:r>
      <w:r w:rsidRPr="0039040E">
        <w:rPr>
          <w:rFonts w:ascii="Times New Roman" w:eastAsia="Times New Roman" w:hAnsi="Times New Roman" w:cs="Times New Roman"/>
          <w:color w:val="000000"/>
          <w:sz w:val="24"/>
          <w:szCs w:val="24"/>
          <w:lang w:bidi="en-US"/>
        </w:rPr>
        <w:t xml:space="preserve">Misiunea societății este cea de administrare și exploatare a piețelor agroalimentare de pe raza Municipiului Câmpulung, în vederea îmbunătățirii nivelului de trai al locuitorilor, în condiții de </w:t>
      </w:r>
      <w:r w:rsidRPr="0039040E">
        <w:rPr>
          <w:rFonts w:ascii="Times New Roman" w:eastAsia="Times New Roman" w:hAnsi="Times New Roman" w:cs="Times New Roman"/>
          <w:color w:val="000000"/>
          <w:sz w:val="24"/>
          <w:szCs w:val="24"/>
          <w:lang w:bidi="en-US"/>
        </w:rPr>
        <w:lastRenderedPageBreak/>
        <w:t>eficiența și profitabilitate pe termen mediu și lung, prin asigurarea realizarii obiectului principal de activitate în condiții de legalitate și calitate.</w:t>
      </w:r>
    </w:p>
    <w:p w14:paraId="58F40047" w14:textId="77777777" w:rsidR="0039040E" w:rsidRPr="0039040E" w:rsidRDefault="0039040E" w:rsidP="0039040E">
      <w:pPr>
        <w:widowControl w:val="0"/>
        <w:spacing w:after="245" w:line="240" w:lineRule="auto"/>
        <w:ind w:left="-15" w:right="6" w:firstLine="568"/>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Obiectivele societății, în concordanța cu viziunea, misiunea și obiectivele din Strategia de dezvoltare a Municipiului Câmpulung trebuie sa permită măsurarea performanței societății în următoarea perioada de mandat a administratorilor din consiliul de administratie al societății, respectiv pentru perioada 2026-2030, în vederea îmbunătățirii activităților și utilizării resurselor într-un mod cât mai eficient.</w:t>
      </w:r>
    </w:p>
    <w:p w14:paraId="23BB94A3" w14:textId="77777777" w:rsidR="0039040E" w:rsidRPr="0039040E" w:rsidRDefault="0039040E" w:rsidP="0039040E">
      <w:pPr>
        <w:keepNext/>
        <w:keepLines/>
        <w:spacing w:after="13" w:line="249" w:lineRule="auto"/>
        <w:ind w:left="563" w:hanging="10"/>
        <w:outlineLvl w:val="0"/>
        <w:rPr>
          <w:rFonts w:ascii="Times New Roman" w:eastAsia="Times New Roman" w:hAnsi="Times New Roman" w:cs="Times New Roman"/>
          <w:b/>
          <w:color w:val="000000"/>
          <w:kern w:val="2"/>
          <w:sz w:val="24"/>
          <w:szCs w:val="24"/>
          <w:lang w:eastAsia="ro-RO"/>
        </w:rPr>
      </w:pPr>
      <w:r w:rsidRPr="0039040E">
        <w:rPr>
          <w:rFonts w:ascii="Times New Roman" w:eastAsia="Times New Roman" w:hAnsi="Times New Roman" w:cs="Times New Roman"/>
          <w:b/>
          <w:color w:val="000000"/>
          <w:kern w:val="2"/>
          <w:sz w:val="24"/>
          <w:szCs w:val="24"/>
          <w:lang w:eastAsia="ro-RO"/>
        </w:rPr>
        <w:t xml:space="preserve">1. Eficiența economică </w:t>
      </w:r>
    </w:p>
    <w:p w14:paraId="6E41F9D1" w14:textId="77777777" w:rsidR="0039040E" w:rsidRPr="0039040E" w:rsidRDefault="0039040E" w:rsidP="0039040E">
      <w:pPr>
        <w:widowControl w:val="0"/>
        <w:numPr>
          <w:ilvl w:val="0"/>
          <w:numId w:val="6"/>
        </w:numPr>
        <w:spacing w:after="4" w:line="270" w:lineRule="auto"/>
        <w:ind w:right="6" w:firstLine="558"/>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 xml:space="preserve">gestionarea eficientă a activelor societății, în vederea valorificării optime a potențialului economic al patrimoniului administrat, prin creșterea ratei de rotație a activelor  și diminuarea perioadei de încasare a creanțelor societății, prin îmbunătățirea vitezei de rotație a creanțelor; </w:t>
      </w:r>
    </w:p>
    <w:p w14:paraId="7419C780" w14:textId="64F9732F" w:rsidR="0039040E" w:rsidRPr="0039040E" w:rsidRDefault="0039040E" w:rsidP="0039040E">
      <w:pPr>
        <w:widowControl w:val="0"/>
        <w:numPr>
          <w:ilvl w:val="0"/>
          <w:numId w:val="6"/>
        </w:numPr>
        <w:spacing w:after="4" w:line="270" w:lineRule="auto"/>
        <w:ind w:right="6" w:firstLine="558"/>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 xml:space="preserve">aplicarea unor metode performanțe de management care sa </w:t>
      </w:r>
      <w:r w:rsidR="00072CDE" w:rsidRPr="0039040E">
        <w:rPr>
          <w:rFonts w:ascii="Times New Roman" w:eastAsia="Times New Roman" w:hAnsi="Times New Roman" w:cs="Times New Roman"/>
          <w:color w:val="000000"/>
          <w:sz w:val="24"/>
          <w:szCs w:val="24"/>
          <w:lang w:bidi="en-US"/>
        </w:rPr>
        <w:t>conducă</w:t>
      </w:r>
      <w:r w:rsidRPr="0039040E">
        <w:rPr>
          <w:rFonts w:ascii="Times New Roman" w:eastAsia="Times New Roman" w:hAnsi="Times New Roman" w:cs="Times New Roman"/>
          <w:color w:val="000000"/>
          <w:sz w:val="24"/>
          <w:szCs w:val="24"/>
          <w:lang w:bidi="en-US"/>
        </w:rPr>
        <w:t xml:space="preserve"> la îmbunătățirea </w:t>
      </w:r>
      <w:r w:rsidR="00072CDE" w:rsidRPr="0039040E">
        <w:rPr>
          <w:rFonts w:ascii="Times New Roman" w:eastAsia="Times New Roman" w:hAnsi="Times New Roman" w:cs="Times New Roman"/>
          <w:color w:val="000000"/>
          <w:sz w:val="24"/>
          <w:szCs w:val="24"/>
          <w:lang w:bidi="en-US"/>
        </w:rPr>
        <w:t>rentabilității</w:t>
      </w:r>
      <w:r w:rsidRPr="0039040E">
        <w:rPr>
          <w:rFonts w:ascii="Times New Roman" w:eastAsia="Times New Roman" w:hAnsi="Times New Roman" w:cs="Times New Roman"/>
          <w:color w:val="000000"/>
          <w:sz w:val="24"/>
          <w:szCs w:val="24"/>
          <w:lang w:bidi="en-US"/>
        </w:rPr>
        <w:t xml:space="preserve"> societății;</w:t>
      </w:r>
    </w:p>
    <w:p w14:paraId="1C076E04" w14:textId="77777777" w:rsidR="0039040E" w:rsidRPr="0039040E" w:rsidRDefault="0039040E" w:rsidP="0039040E">
      <w:pPr>
        <w:widowControl w:val="0"/>
        <w:numPr>
          <w:ilvl w:val="0"/>
          <w:numId w:val="6"/>
        </w:numPr>
        <w:spacing w:after="4" w:line="270" w:lineRule="auto"/>
        <w:ind w:right="6" w:firstLine="558"/>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asigurarea capacității de plată prin menținerea lichidității și solvabilității societății.</w:t>
      </w:r>
    </w:p>
    <w:p w14:paraId="6414544F" w14:textId="77777777" w:rsidR="0039040E" w:rsidRPr="0039040E" w:rsidRDefault="0039040E" w:rsidP="0039040E">
      <w:pPr>
        <w:keepNext/>
        <w:keepLines/>
        <w:spacing w:after="13" w:line="249" w:lineRule="auto"/>
        <w:ind w:left="563" w:hanging="10"/>
        <w:outlineLvl w:val="0"/>
        <w:rPr>
          <w:rFonts w:ascii="Times New Roman" w:eastAsia="Times New Roman" w:hAnsi="Times New Roman" w:cs="Times New Roman"/>
          <w:b/>
          <w:color w:val="000000"/>
          <w:kern w:val="2"/>
          <w:sz w:val="24"/>
          <w:szCs w:val="24"/>
          <w:lang w:eastAsia="ro-RO"/>
        </w:rPr>
      </w:pPr>
      <w:r w:rsidRPr="0039040E">
        <w:rPr>
          <w:rFonts w:ascii="Times New Roman" w:eastAsia="Times New Roman" w:hAnsi="Times New Roman" w:cs="Times New Roman"/>
          <w:b/>
          <w:color w:val="000000"/>
          <w:kern w:val="2"/>
          <w:sz w:val="24"/>
          <w:szCs w:val="24"/>
          <w:lang w:eastAsia="ro-RO"/>
        </w:rPr>
        <w:t xml:space="preserve">2. Modernizarea și îmbunătățirea serviciilor </w:t>
      </w:r>
    </w:p>
    <w:p w14:paraId="7AF35820" w14:textId="77777777" w:rsidR="0039040E" w:rsidRPr="0039040E" w:rsidRDefault="0039040E" w:rsidP="0039040E">
      <w:pPr>
        <w:widowControl w:val="0"/>
        <w:numPr>
          <w:ilvl w:val="0"/>
          <w:numId w:val="7"/>
        </w:numPr>
        <w:spacing w:after="4" w:line="270" w:lineRule="auto"/>
        <w:ind w:right="6" w:firstLine="558"/>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modernizarea și reabilitarea piețelor agroalimentare, în beneficiul utilizatorilor, populației și al mediului înconjurător, în conformitate cu prevederile contractului de delegare a gestiunii și cu strategia de dezvoltare a Municipiului Câmpulung;</w:t>
      </w:r>
    </w:p>
    <w:p w14:paraId="6488C65F" w14:textId="5EE2438E" w:rsidR="0039040E" w:rsidRPr="0039040E" w:rsidRDefault="00072CDE" w:rsidP="0039040E">
      <w:pPr>
        <w:widowControl w:val="0"/>
        <w:numPr>
          <w:ilvl w:val="0"/>
          <w:numId w:val="7"/>
        </w:numPr>
        <w:spacing w:after="245" w:line="270" w:lineRule="auto"/>
        <w:ind w:right="6" w:firstLine="558"/>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creșterea</w:t>
      </w:r>
      <w:r w:rsidR="0039040E" w:rsidRPr="0039040E">
        <w:rPr>
          <w:rFonts w:ascii="Times New Roman" w:eastAsia="Times New Roman" w:hAnsi="Times New Roman" w:cs="Times New Roman"/>
          <w:color w:val="000000"/>
          <w:sz w:val="24"/>
          <w:szCs w:val="24"/>
          <w:lang w:bidi="en-US"/>
        </w:rPr>
        <w:t xml:space="preserve"> gradului de realizare a Programului de investiții și identificarea tuturor activelor neperformante în vederea înlocuirii;</w:t>
      </w:r>
    </w:p>
    <w:p w14:paraId="6E2F295D" w14:textId="77777777" w:rsidR="0039040E" w:rsidRPr="0039040E" w:rsidRDefault="0039040E" w:rsidP="0039040E">
      <w:pPr>
        <w:keepNext/>
        <w:keepLines/>
        <w:spacing w:after="13" w:line="249" w:lineRule="auto"/>
        <w:ind w:left="563" w:hanging="10"/>
        <w:outlineLvl w:val="0"/>
        <w:rPr>
          <w:rFonts w:ascii="Times New Roman" w:eastAsia="Times New Roman" w:hAnsi="Times New Roman" w:cs="Times New Roman"/>
          <w:b/>
          <w:color w:val="000000"/>
          <w:kern w:val="2"/>
          <w:sz w:val="24"/>
          <w:szCs w:val="24"/>
          <w:lang w:eastAsia="ro-RO"/>
        </w:rPr>
      </w:pPr>
      <w:r w:rsidRPr="0039040E">
        <w:rPr>
          <w:rFonts w:ascii="Times New Roman" w:eastAsia="Times New Roman" w:hAnsi="Times New Roman" w:cs="Times New Roman"/>
          <w:b/>
          <w:color w:val="000000"/>
          <w:kern w:val="2"/>
          <w:sz w:val="24"/>
          <w:szCs w:val="24"/>
          <w:lang w:eastAsia="ro-RO"/>
        </w:rPr>
        <w:t>3. Orientarea către clienți</w:t>
      </w:r>
    </w:p>
    <w:p w14:paraId="2252C27B" w14:textId="77777777" w:rsidR="0039040E" w:rsidRPr="0039040E" w:rsidRDefault="0039040E" w:rsidP="0039040E">
      <w:pPr>
        <w:widowControl w:val="0"/>
        <w:spacing w:after="245" w:line="240" w:lineRule="auto"/>
        <w:ind w:left="-15" w:right="6"/>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b/>
          <w:color w:val="000000"/>
          <w:sz w:val="24"/>
          <w:szCs w:val="24"/>
          <w:lang w:bidi="en-US"/>
        </w:rPr>
        <w:t xml:space="preserve">- </w:t>
      </w:r>
      <w:r w:rsidRPr="0039040E">
        <w:rPr>
          <w:rFonts w:ascii="Times New Roman" w:eastAsia="Times New Roman" w:hAnsi="Times New Roman" w:cs="Times New Roman"/>
          <w:color w:val="000000"/>
          <w:sz w:val="24"/>
          <w:szCs w:val="24"/>
          <w:lang w:bidi="en-US"/>
        </w:rPr>
        <w:t>preocuparea permanentă pentru creșterea gradului de satisfacție  al clienților și pentru asigurarea unei transparențe legate de acțiunile întreprinse;</w:t>
      </w:r>
    </w:p>
    <w:p w14:paraId="5BFBBF86" w14:textId="77777777" w:rsidR="0039040E" w:rsidRPr="0039040E" w:rsidRDefault="0039040E" w:rsidP="0039040E">
      <w:pPr>
        <w:keepNext/>
        <w:keepLines/>
        <w:spacing w:after="13" w:line="249" w:lineRule="auto"/>
        <w:ind w:left="563" w:hanging="10"/>
        <w:outlineLvl w:val="0"/>
        <w:rPr>
          <w:rFonts w:ascii="Times New Roman" w:eastAsia="Times New Roman" w:hAnsi="Times New Roman" w:cs="Times New Roman"/>
          <w:b/>
          <w:color w:val="000000"/>
          <w:kern w:val="2"/>
          <w:sz w:val="24"/>
          <w:szCs w:val="24"/>
          <w:lang w:eastAsia="ro-RO"/>
        </w:rPr>
      </w:pPr>
      <w:r w:rsidRPr="0039040E">
        <w:rPr>
          <w:rFonts w:ascii="Times New Roman" w:eastAsia="Times New Roman" w:hAnsi="Times New Roman" w:cs="Times New Roman"/>
          <w:b/>
          <w:color w:val="000000"/>
          <w:kern w:val="2"/>
          <w:sz w:val="24"/>
          <w:szCs w:val="24"/>
          <w:lang w:eastAsia="ro-RO"/>
        </w:rPr>
        <w:t xml:space="preserve">4.Competența profesională </w:t>
      </w:r>
    </w:p>
    <w:p w14:paraId="63EF6586" w14:textId="76FECB7C" w:rsidR="0039040E" w:rsidRPr="0039040E" w:rsidRDefault="0039040E" w:rsidP="0039040E">
      <w:pPr>
        <w:widowControl w:val="0"/>
        <w:numPr>
          <w:ilvl w:val="0"/>
          <w:numId w:val="8"/>
        </w:numPr>
        <w:spacing w:after="4" w:line="270" w:lineRule="auto"/>
        <w:ind w:right="6" w:firstLine="558"/>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creșterea eficienței generale a companiei prin corecta dimensionare, informare și motivare a</w:t>
      </w:r>
      <w:r w:rsidR="00072CDE">
        <w:rPr>
          <w:rFonts w:ascii="Times New Roman" w:eastAsia="Times New Roman" w:hAnsi="Times New Roman" w:cs="Times New Roman"/>
          <w:color w:val="000000"/>
          <w:sz w:val="24"/>
          <w:szCs w:val="24"/>
          <w:lang w:bidi="en-US"/>
        </w:rPr>
        <w:t xml:space="preserve"> </w:t>
      </w:r>
      <w:r w:rsidRPr="0039040E">
        <w:rPr>
          <w:rFonts w:ascii="Times New Roman" w:eastAsia="Times New Roman" w:hAnsi="Times New Roman" w:cs="Times New Roman"/>
          <w:color w:val="000000"/>
          <w:sz w:val="24"/>
          <w:szCs w:val="24"/>
          <w:lang w:bidi="en-US"/>
        </w:rPr>
        <w:t>personalului societății;</w:t>
      </w:r>
    </w:p>
    <w:p w14:paraId="7216AA75" w14:textId="27D1512E" w:rsidR="0039040E" w:rsidRPr="0039040E" w:rsidRDefault="0039040E" w:rsidP="0039040E">
      <w:pPr>
        <w:widowControl w:val="0"/>
        <w:numPr>
          <w:ilvl w:val="0"/>
          <w:numId w:val="8"/>
        </w:numPr>
        <w:spacing w:after="245" w:line="270" w:lineRule="auto"/>
        <w:ind w:right="6" w:firstLine="558"/>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creșterea gradului de profesionalism prin instruirea permanentă a personalului societății,</w:t>
      </w:r>
      <w:r w:rsidR="00072CDE">
        <w:rPr>
          <w:rFonts w:ascii="Times New Roman" w:eastAsia="Times New Roman" w:hAnsi="Times New Roman" w:cs="Times New Roman"/>
          <w:color w:val="000000"/>
          <w:sz w:val="24"/>
          <w:szCs w:val="24"/>
          <w:lang w:bidi="en-US"/>
        </w:rPr>
        <w:t xml:space="preserve"> </w:t>
      </w:r>
      <w:r w:rsidRPr="0039040E">
        <w:rPr>
          <w:rFonts w:ascii="Times New Roman" w:eastAsia="Times New Roman" w:hAnsi="Times New Roman" w:cs="Times New Roman"/>
          <w:color w:val="000000"/>
          <w:sz w:val="24"/>
          <w:szCs w:val="24"/>
          <w:lang w:bidi="en-US"/>
        </w:rPr>
        <w:t>cu prioritate in materie de siguranta.</w:t>
      </w:r>
    </w:p>
    <w:p w14:paraId="6A96301B" w14:textId="51E2D6AE" w:rsidR="0039040E" w:rsidRPr="0039040E" w:rsidRDefault="0039040E" w:rsidP="0039040E">
      <w:pPr>
        <w:keepNext/>
        <w:keepLines/>
        <w:spacing w:after="13" w:line="249" w:lineRule="auto"/>
        <w:ind w:left="563" w:hanging="10"/>
        <w:outlineLvl w:val="0"/>
        <w:rPr>
          <w:rFonts w:ascii="Times New Roman" w:eastAsia="Times New Roman" w:hAnsi="Times New Roman" w:cs="Times New Roman"/>
          <w:b/>
          <w:color w:val="000000"/>
          <w:kern w:val="2"/>
          <w:sz w:val="24"/>
          <w:szCs w:val="24"/>
          <w:lang w:eastAsia="ro-RO"/>
        </w:rPr>
      </w:pPr>
      <w:r w:rsidRPr="0039040E">
        <w:rPr>
          <w:rFonts w:ascii="Times New Roman" w:eastAsia="Times New Roman" w:hAnsi="Times New Roman" w:cs="Times New Roman"/>
          <w:b/>
          <w:color w:val="000000"/>
          <w:kern w:val="2"/>
          <w:sz w:val="24"/>
          <w:szCs w:val="24"/>
          <w:lang w:eastAsia="ro-RO"/>
        </w:rPr>
        <w:t xml:space="preserve">5. Grija pentru </w:t>
      </w:r>
      <w:r w:rsidR="00072CDE" w:rsidRPr="0039040E">
        <w:rPr>
          <w:rFonts w:ascii="Times New Roman" w:eastAsia="Times New Roman" w:hAnsi="Times New Roman" w:cs="Times New Roman"/>
          <w:b/>
          <w:color w:val="000000"/>
          <w:kern w:val="2"/>
          <w:sz w:val="24"/>
          <w:szCs w:val="24"/>
          <w:lang w:eastAsia="ro-RO"/>
        </w:rPr>
        <w:t>populație</w:t>
      </w:r>
      <w:r w:rsidRPr="0039040E">
        <w:rPr>
          <w:rFonts w:ascii="Times New Roman" w:eastAsia="Times New Roman" w:hAnsi="Times New Roman" w:cs="Times New Roman"/>
          <w:b/>
          <w:color w:val="000000"/>
          <w:kern w:val="2"/>
          <w:sz w:val="24"/>
          <w:szCs w:val="24"/>
          <w:lang w:eastAsia="ro-RO"/>
        </w:rPr>
        <w:t xml:space="preserve"> și mediul </w:t>
      </w:r>
      <w:r w:rsidR="00072CDE" w:rsidRPr="0039040E">
        <w:rPr>
          <w:rFonts w:ascii="Times New Roman" w:eastAsia="Times New Roman" w:hAnsi="Times New Roman" w:cs="Times New Roman"/>
          <w:b/>
          <w:color w:val="000000"/>
          <w:kern w:val="2"/>
          <w:sz w:val="24"/>
          <w:szCs w:val="24"/>
          <w:lang w:eastAsia="ro-RO"/>
        </w:rPr>
        <w:t>înconjurător</w:t>
      </w:r>
    </w:p>
    <w:p w14:paraId="1EC06157" w14:textId="5AD68FE3" w:rsidR="0039040E" w:rsidRPr="0039040E" w:rsidRDefault="0039040E" w:rsidP="0039040E">
      <w:pPr>
        <w:widowControl w:val="0"/>
        <w:spacing w:after="245" w:line="240" w:lineRule="auto"/>
        <w:ind w:left="-15" w:right="6"/>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b/>
          <w:color w:val="000000"/>
          <w:sz w:val="24"/>
          <w:szCs w:val="24"/>
          <w:lang w:bidi="en-US"/>
        </w:rPr>
        <w:t xml:space="preserve">- </w:t>
      </w:r>
      <w:r w:rsidRPr="0039040E">
        <w:rPr>
          <w:rFonts w:ascii="Times New Roman" w:eastAsia="Times New Roman" w:hAnsi="Times New Roman" w:cs="Times New Roman"/>
          <w:color w:val="000000"/>
          <w:sz w:val="24"/>
          <w:szCs w:val="24"/>
          <w:lang w:bidi="en-US"/>
        </w:rPr>
        <w:t xml:space="preserve">preocuparea continua pentru protejarea sănătății publice prin creșterea gradului de </w:t>
      </w:r>
      <w:r w:rsidR="00072CDE" w:rsidRPr="0039040E">
        <w:rPr>
          <w:rFonts w:ascii="Times New Roman" w:eastAsia="Times New Roman" w:hAnsi="Times New Roman" w:cs="Times New Roman"/>
          <w:color w:val="000000"/>
          <w:sz w:val="24"/>
          <w:szCs w:val="24"/>
          <w:lang w:bidi="en-US"/>
        </w:rPr>
        <w:t>îndeplinire</w:t>
      </w:r>
      <w:r w:rsidRPr="0039040E">
        <w:rPr>
          <w:rFonts w:ascii="Times New Roman" w:eastAsia="Times New Roman" w:hAnsi="Times New Roman" w:cs="Times New Roman"/>
          <w:color w:val="000000"/>
          <w:sz w:val="24"/>
          <w:szCs w:val="24"/>
          <w:lang w:bidi="en-US"/>
        </w:rPr>
        <w:t xml:space="preserve"> a condițiilor </w:t>
      </w:r>
      <w:r w:rsidR="00072CDE" w:rsidRPr="0039040E">
        <w:rPr>
          <w:rFonts w:ascii="Times New Roman" w:eastAsia="Times New Roman" w:hAnsi="Times New Roman" w:cs="Times New Roman"/>
          <w:color w:val="000000"/>
          <w:sz w:val="24"/>
          <w:szCs w:val="24"/>
          <w:lang w:bidi="en-US"/>
        </w:rPr>
        <w:t>igienic</w:t>
      </w:r>
      <w:r w:rsidR="00072CDE">
        <w:rPr>
          <w:rFonts w:ascii="Times New Roman" w:eastAsia="Times New Roman" w:hAnsi="Times New Roman" w:cs="Times New Roman"/>
          <w:color w:val="000000"/>
          <w:sz w:val="24"/>
          <w:szCs w:val="24"/>
          <w:lang w:bidi="en-US"/>
        </w:rPr>
        <w:t>o</w:t>
      </w:r>
      <w:r w:rsidRPr="0039040E">
        <w:rPr>
          <w:rFonts w:ascii="Times New Roman" w:eastAsia="Times New Roman" w:hAnsi="Times New Roman" w:cs="Times New Roman"/>
          <w:color w:val="000000"/>
          <w:sz w:val="24"/>
          <w:szCs w:val="24"/>
          <w:lang w:bidi="en-US"/>
        </w:rPr>
        <w:t xml:space="preserve">-sanitare impuse de legislația specifică activităților desfășurate în piețe; </w:t>
      </w:r>
    </w:p>
    <w:p w14:paraId="5562FECD" w14:textId="77777777" w:rsidR="0039040E" w:rsidRPr="0039040E" w:rsidRDefault="0039040E" w:rsidP="0039040E">
      <w:pPr>
        <w:keepNext/>
        <w:keepLines/>
        <w:spacing w:after="13" w:line="249" w:lineRule="auto"/>
        <w:ind w:left="563" w:hanging="10"/>
        <w:outlineLvl w:val="0"/>
        <w:rPr>
          <w:rFonts w:ascii="Times New Roman" w:eastAsia="Times New Roman" w:hAnsi="Times New Roman" w:cs="Times New Roman"/>
          <w:b/>
          <w:color w:val="000000"/>
          <w:kern w:val="2"/>
          <w:sz w:val="24"/>
          <w:szCs w:val="24"/>
          <w:lang w:eastAsia="ro-RO"/>
        </w:rPr>
      </w:pPr>
      <w:r w:rsidRPr="0039040E">
        <w:rPr>
          <w:rFonts w:ascii="Times New Roman" w:eastAsia="Times New Roman" w:hAnsi="Times New Roman" w:cs="Times New Roman"/>
          <w:b/>
          <w:color w:val="000000"/>
          <w:kern w:val="2"/>
          <w:sz w:val="24"/>
          <w:szCs w:val="24"/>
          <w:lang w:eastAsia="ro-RO"/>
        </w:rPr>
        <w:t>6. Etica, Integritate și Transparentă</w:t>
      </w:r>
    </w:p>
    <w:p w14:paraId="51D5E127" w14:textId="77777777" w:rsidR="0039040E" w:rsidRPr="0039040E" w:rsidRDefault="0039040E" w:rsidP="0039040E">
      <w:pPr>
        <w:widowControl w:val="0"/>
        <w:numPr>
          <w:ilvl w:val="0"/>
          <w:numId w:val="9"/>
        </w:numPr>
        <w:spacing w:after="4" w:line="270" w:lineRule="auto"/>
        <w:ind w:right="6" w:firstLine="558"/>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actualizarea Codului de etica și publicarea acestuia pe site-ul societății;</w:t>
      </w:r>
    </w:p>
    <w:p w14:paraId="152B777A" w14:textId="165C3E1F" w:rsidR="0039040E" w:rsidRPr="0039040E" w:rsidRDefault="0039040E" w:rsidP="0039040E">
      <w:pPr>
        <w:widowControl w:val="0"/>
        <w:numPr>
          <w:ilvl w:val="0"/>
          <w:numId w:val="9"/>
        </w:numPr>
        <w:spacing w:after="4" w:line="270" w:lineRule="auto"/>
        <w:ind w:right="6" w:firstLine="558"/>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 xml:space="preserve">implementarea Strategiei naționale </w:t>
      </w:r>
      <w:r w:rsidR="00072CDE" w:rsidRPr="0039040E">
        <w:rPr>
          <w:rFonts w:ascii="Times New Roman" w:eastAsia="Times New Roman" w:hAnsi="Times New Roman" w:cs="Times New Roman"/>
          <w:color w:val="000000"/>
          <w:sz w:val="24"/>
          <w:szCs w:val="24"/>
          <w:lang w:bidi="en-US"/>
        </w:rPr>
        <w:t>Anticorupție</w:t>
      </w:r>
      <w:r w:rsidRPr="0039040E">
        <w:rPr>
          <w:rFonts w:ascii="Times New Roman" w:eastAsia="Times New Roman" w:hAnsi="Times New Roman" w:cs="Times New Roman"/>
          <w:color w:val="000000"/>
          <w:sz w:val="24"/>
          <w:szCs w:val="24"/>
          <w:lang w:bidi="en-US"/>
        </w:rPr>
        <w:t>, în conformitate cu Planul de Integritate;</w:t>
      </w:r>
    </w:p>
    <w:p w14:paraId="3F9342C9" w14:textId="6BC7F750" w:rsidR="0039040E" w:rsidRPr="0039040E" w:rsidRDefault="0039040E" w:rsidP="0039040E">
      <w:pPr>
        <w:widowControl w:val="0"/>
        <w:numPr>
          <w:ilvl w:val="0"/>
          <w:numId w:val="9"/>
        </w:numPr>
        <w:spacing w:after="245" w:line="270" w:lineRule="auto"/>
        <w:ind w:right="6" w:firstLine="558"/>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publicarea tuturor documentelor și informaților cu caracter public aferente activității</w:t>
      </w:r>
      <w:r w:rsidR="00072CDE">
        <w:rPr>
          <w:rFonts w:ascii="Times New Roman" w:eastAsia="Times New Roman" w:hAnsi="Times New Roman" w:cs="Times New Roman"/>
          <w:color w:val="000000"/>
          <w:sz w:val="24"/>
          <w:szCs w:val="24"/>
          <w:lang w:bidi="en-US"/>
        </w:rPr>
        <w:t xml:space="preserve"> </w:t>
      </w:r>
      <w:r w:rsidRPr="0039040E">
        <w:rPr>
          <w:rFonts w:ascii="Times New Roman" w:eastAsia="Times New Roman" w:hAnsi="Times New Roman" w:cs="Times New Roman"/>
          <w:color w:val="000000"/>
          <w:sz w:val="24"/>
          <w:szCs w:val="24"/>
          <w:lang w:bidi="en-US"/>
        </w:rPr>
        <w:t>desfășurate în cadrul societății;</w:t>
      </w:r>
    </w:p>
    <w:p w14:paraId="0F75ED18" w14:textId="77777777" w:rsidR="0039040E" w:rsidRPr="0039040E" w:rsidRDefault="0039040E" w:rsidP="0039040E">
      <w:pPr>
        <w:keepNext/>
        <w:keepLines/>
        <w:spacing w:after="13" w:line="249" w:lineRule="auto"/>
        <w:ind w:left="563" w:hanging="10"/>
        <w:outlineLvl w:val="0"/>
        <w:rPr>
          <w:rFonts w:ascii="Times New Roman" w:eastAsia="Times New Roman" w:hAnsi="Times New Roman" w:cs="Times New Roman"/>
          <w:b/>
          <w:i/>
          <w:color w:val="000000"/>
          <w:kern w:val="2"/>
          <w:sz w:val="24"/>
          <w:szCs w:val="24"/>
          <w:lang w:eastAsia="ro-RO"/>
        </w:rPr>
      </w:pPr>
      <w:r w:rsidRPr="0039040E">
        <w:rPr>
          <w:rFonts w:ascii="Times New Roman" w:eastAsia="Times New Roman" w:hAnsi="Times New Roman" w:cs="Times New Roman"/>
          <w:b/>
          <w:i/>
          <w:color w:val="000000"/>
          <w:kern w:val="2"/>
          <w:sz w:val="24"/>
          <w:szCs w:val="24"/>
          <w:lang w:eastAsia="ro-RO"/>
        </w:rPr>
        <w:lastRenderedPageBreak/>
        <w:t>7. Guvernanță Corporativă</w:t>
      </w:r>
    </w:p>
    <w:p w14:paraId="3A155D8D" w14:textId="68329158" w:rsidR="0039040E" w:rsidRPr="0039040E" w:rsidRDefault="0039040E" w:rsidP="0039040E">
      <w:pPr>
        <w:widowControl w:val="0"/>
        <w:numPr>
          <w:ilvl w:val="0"/>
          <w:numId w:val="10"/>
        </w:numPr>
        <w:spacing w:after="4" w:line="270" w:lineRule="auto"/>
        <w:ind w:right="6" w:firstLine="558"/>
        <w:jc w:val="both"/>
        <w:rPr>
          <w:rFonts w:ascii="Times New Roman" w:eastAsia="Times New Roman" w:hAnsi="Times New Roman" w:cs="Times New Roman"/>
          <w:i/>
          <w:color w:val="000000"/>
          <w:sz w:val="24"/>
          <w:szCs w:val="24"/>
          <w:lang w:bidi="en-US"/>
        </w:rPr>
      </w:pPr>
      <w:r w:rsidRPr="0039040E">
        <w:rPr>
          <w:rFonts w:ascii="Times New Roman" w:eastAsia="Times New Roman" w:hAnsi="Times New Roman" w:cs="Times New Roman"/>
          <w:i/>
          <w:color w:val="000000"/>
          <w:sz w:val="24"/>
          <w:szCs w:val="24"/>
          <w:lang w:bidi="en-US"/>
        </w:rPr>
        <w:t>implementarea politicii de remunerare a membrilor consiliului de administrație și al</w:t>
      </w:r>
      <w:r w:rsidR="00072CDE">
        <w:rPr>
          <w:rFonts w:ascii="Times New Roman" w:eastAsia="Times New Roman" w:hAnsi="Times New Roman" w:cs="Times New Roman"/>
          <w:i/>
          <w:color w:val="000000"/>
          <w:sz w:val="24"/>
          <w:szCs w:val="24"/>
          <w:lang w:bidi="en-US"/>
        </w:rPr>
        <w:t xml:space="preserve"> </w:t>
      </w:r>
      <w:r w:rsidRPr="0039040E">
        <w:rPr>
          <w:rFonts w:ascii="Times New Roman" w:eastAsia="Times New Roman" w:hAnsi="Times New Roman" w:cs="Times New Roman"/>
          <w:i/>
          <w:color w:val="000000"/>
          <w:sz w:val="24"/>
          <w:szCs w:val="24"/>
          <w:lang w:bidi="en-US"/>
        </w:rPr>
        <w:t>directorului executiv al societății;</w:t>
      </w:r>
    </w:p>
    <w:p w14:paraId="60B2CE07" w14:textId="77777777" w:rsidR="0039040E" w:rsidRPr="0039040E" w:rsidRDefault="0039040E" w:rsidP="0039040E">
      <w:pPr>
        <w:widowControl w:val="0"/>
        <w:numPr>
          <w:ilvl w:val="0"/>
          <w:numId w:val="10"/>
        </w:numPr>
        <w:spacing w:after="241" w:line="270" w:lineRule="auto"/>
        <w:ind w:right="6" w:firstLine="558"/>
        <w:jc w:val="both"/>
        <w:rPr>
          <w:rFonts w:ascii="Times New Roman" w:eastAsia="Times New Roman" w:hAnsi="Times New Roman" w:cs="Times New Roman"/>
          <w:i/>
          <w:color w:val="000000"/>
          <w:sz w:val="24"/>
          <w:szCs w:val="24"/>
          <w:lang w:bidi="en-US"/>
        </w:rPr>
      </w:pPr>
      <w:r w:rsidRPr="0039040E">
        <w:rPr>
          <w:rFonts w:ascii="Times New Roman" w:eastAsia="Times New Roman" w:hAnsi="Times New Roman" w:cs="Times New Roman"/>
          <w:i/>
          <w:color w:val="000000"/>
          <w:sz w:val="24"/>
          <w:szCs w:val="24"/>
          <w:lang w:bidi="en-US"/>
        </w:rPr>
        <w:t xml:space="preserve">implementarea politicilor de gestionare a riscurilor. </w:t>
      </w:r>
    </w:p>
    <w:p w14:paraId="4696BA49" w14:textId="77777777" w:rsidR="0039040E" w:rsidRPr="0039040E" w:rsidRDefault="0039040E" w:rsidP="0039040E">
      <w:pPr>
        <w:widowControl w:val="0"/>
        <w:spacing w:after="0" w:line="240" w:lineRule="auto"/>
        <w:ind w:left="-15" w:right="6" w:firstLine="291"/>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 xml:space="preserve">În conformitate cu prevederile Hotărârii Guvernului nr. 639/2023, Anexa nr. 2, autoritatea publică tutelară </w:t>
      </w:r>
      <w:r w:rsidRPr="0039040E">
        <w:rPr>
          <w:rFonts w:ascii="Times New Roman" w:eastAsia="Times New Roman" w:hAnsi="Times New Roman" w:cs="Times New Roman"/>
          <w:b/>
          <w:color w:val="000000"/>
          <w:sz w:val="24"/>
          <w:szCs w:val="24"/>
          <w:lang w:bidi="en-US"/>
        </w:rPr>
        <w:t xml:space="preserve">va stabili </w:t>
      </w:r>
      <w:r w:rsidRPr="0039040E">
        <w:rPr>
          <w:rFonts w:ascii="Times New Roman" w:eastAsia="Times New Roman" w:hAnsi="Times New Roman" w:cs="Times New Roman"/>
          <w:color w:val="000000"/>
          <w:sz w:val="24"/>
          <w:szCs w:val="24"/>
          <w:lang w:bidi="en-US"/>
        </w:rPr>
        <w:t xml:space="preserve">și monitoriza, fără a se limita la aceștia, </w:t>
      </w:r>
      <w:r w:rsidRPr="0039040E">
        <w:rPr>
          <w:rFonts w:ascii="Times New Roman" w:eastAsia="Times New Roman" w:hAnsi="Times New Roman" w:cs="Times New Roman"/>
          <w:color w:val="000000"/>
          <w:sz w:val="24"/>
          <w:szCs w:val="24"/>
          <w:u w:val="single" w:color="000000"/>
          <w:lang w:bidi="en-US"/>
        </w:rPr>
        <w:t>dintre</w:t>
      </w:r>
      <w:r w:rsidRPr="0039040E">
        <w:rPr>
          <w:rFonts w:ascii="Times New Roman" w:eastAsia="Times New Roman" w:hAnsi="Times New Roman" w:cs="Times New Roman"/>
          <w:color w:val="000000"/>
          <w:sz w:val="24"/>
          <w:szCs w:val="24"/>
          <w:lang w:bidi="en-US"/>
        </w:rPr>
        <w:t xml:space="preserve"> următorii indicatori de performanță:</w:t>
      </w:r>
    </w:p>
    <w:tbl>
      <w:tblPr>
        <w:tblStyle w:val="TableGrid"/>
        <w:tblW w:w="10181" w:type="dxa"/>
        <w:tblInd w:w="-273" w:type="dxa"/>
        <w:tblCellMar>
          <w:top w:w="14" w:type="dxa"/>
          <w:left w:w="96" w:type="dxa"/>
          <w:right w:w="94" w:type="dxa"/>
        </w:tblCellMar>
        <w:tblLook w:val="04A0" w:firstRow="1" w:lastRow="0" w:firstColumn="1" w:lastColumn="0" w:noHBand="0" w:noVBand="1"/>
      </w:tblPr>
      <w:tblGrid>
        <w:gridCol w:w="530"/>
        <w:gridCol w:w="1256"/>
        <w:gridCol w:w="2537"/>
        <w:gridCol w:w="752"/>
        <w:gridCol w:w="5106"/>
      </w:tblGrid>
      <w:tr w:rsidR="0039040E" w:rsidRPr="0039040E" w14:paraId="43FF5F7D" w14:textId="77777777" w:rsidTr="006848D8">
        <w:trPr>
          <w:trHeight w:val="474"/>
        </w:trPr>
        <w:tc>
          <w:tcPr>
            <w:tcW w:w="530" w:type="dxa"/>
            <w:tcBorders>
              <w:top w:val="single" w:sz="4" w:space="0" w:color="000000"/>
              <w:left w:val="single" w:sz="5" w:space="0" w:color="000000"/>
              <w:bottom w:val="single" w:sz="4" w:space="0" w:color="000000"/>
              <w:right w:val="single" w:sz="4" w:space="0" w:color="000000"/>
            </w:tcBorders>
            <w:shd w:val="clear" w:color="auto" w:fill="DAE2F5"/>
          </w:tcPr>
          <w:p w14:paraId="1F7550E6" w14:textId="77777777" w:rsidR="0039040E" w:rsidRPr="0039040E" w:rsidRDefault="0039040E" w:rsidP="0039040E">
            <w:pPr>
              <w:widowControl w:val="0"/>
              <w:ind w:left="15"/>
              <w:rPr>
                <w:rFonts w:ascii="Times New Roman" w:hAnsi="Times New Roman" w:cs="Times New Roman"/>
                <w:color w:val="000000"/>
                <w:lang w:bidi="en-US"/>
              </w:rPr>
            </w:pPr>
            <w:r w:rsidRPr="0039040E">
              <w:rPr>
                <w:rFonts w:ascii="Times New Roman" w:hAnsi="Times New Roman" w:cs="Times New Roman"/>
                <w:b/>
                <w:color w:val="000000"/>
                <w:sz w:val="20"/>
                <w:lang w:bidi="en-US"/>
              </w:rPr>
              <w:t>Nr.</w:t>
            </w:r>
          </w:p>
          <w:p w14:paraId="72AD3AE1" w14:textId="77777777" w:rsidR="0039040E" w:rsidRPr="0039040E" w:rsidRDefault="0039040E" w:rsidP="0039040E">
            <w:pPr>
              <w:widowControl w:val="0"/>
              <w:ind w:left="15"/>
              <w:rPr>
                <w:rFonts w:ascii="Times New Roman" w:hAnsi="Times New Roman" w:cs="Times New Roman"/>
                <w:color w:val="000000"/>
                <w:lang w:bidi="en-US"/>
              </w:rPr>
            </w:pPr>
            <w:r w:rsidRPr="0039040E">
              <w:rPr>
                <w:rFonts w:ascii="Times New Roman" w:hAnsi="Times New Roman" w:cs="Times New Roman"/>
                <w:b/>
                <w:color w:val="000000"/>
                <w:sz w:val="20"/>
                <w:lang w:bidi="en-US"/>
              </w:rPr>
              <w:t>Crt</w:t>
            </w:r>
          </w:p>
        </w:tc>
        <w:tc>
          <w:tcPr>
            <w:tcW w:w="1256" w:type="dxa"/>
            <w:tcBorders>
              <w:top w:val="single" w:sz="4" w:space="0" w:color="000000"/>
              <w:left w:val="single" w:sz="4" w:space="0" w:color="000000"/>
              <w:bottom w:val="single" w:sz="4" w:space="0" w:color="000000"/>
              <w:right w:val="single" w:sz="4" w:space="0" w:color="000000"/>
            </w:tcBorders>
            <w:shd w:val="clear" w:color="auto" w:fill="DAE2F5"/>
          </w:tcPr>
          <w:p w14:paraId="7AB8B3D5" w14:textId="61F752DB" w:rsidR="0039040E" w:rsidRPr="0039040E" w:rsidRDefault="0039040E" w:rsidP="0039040E">
            <w:pPr>
              <w:widowControl w:val="0"/>
              <w:ind w:left="21" w:right="8" w:firstLine="200"/>
              <w:rPr>
                <w:rFonts w:ascii="Times New Roman" w:hAnsi="Times New Roman" w:cs="Times New Roman"/>
                <w:color w:val="000000"/>
                <w:lang w:bidi="en-US"/>
              </w:rPr>
            </w:pPr>
            <w:r w:rsidRPr="0039040E">
              <w:rPr>
                <w:rFonts w:ascii="Times New Roman" w:hAnsi="Times New Roman" w:cs="Times New Roman"/>
                <w:b/>
                <w:color w:val="000000"/>
                <w:sz w:val="20"/>
                <w:lang w:bidi="en-US"/>
              </w:rPr>
              <w:t>Categori</w:t>
            </w:r>
            <w:r w:rsidR="00072CDE">
              <w:rPr>
                <w:rFonts w:ascii="Times New Roman" w:hAnsi="Times New Roman" w:cs="Times New Roman"/>
                <w:b/>
                <w:color w:val="000000"/>
                <w:sz w:val="20"/>
                <w:lang w:bidi="en-US"/>
              </w:rPr>
              <w:t>e</w:t>
            </w:r>
          </w:p>
        </w:tc>
        <w:tc>
          <w:tcPr>
            <w:tcW w:w="2537" w:type="dxa"/>
            <w:tcBorders>
              <w:top w:val="single" w:sz="4" w:space="0" w:color="000000"/>
              <w:left w:val="single" w:sz="4" w:space="0" w:color="000000"/>
              <w:bottom w:val="single" w:sz="4" w:space="0" w:color="000000"/>
              <w:right w:val="single" w:sz="4" w:space="0" w:color="000000"/>
            </w:tcBorders>
            <w:shd w:val="clear" w:color="auto" w:fill="DAE2F5"/>
            <w:vAlign w:val="center"/>
          </w:tcPr>
          <w:p w14:paraId="1AD7FA60" w14:textId="77777777" w:rsidR="0039040E" w:rsidRPr="0039040E" w:rsidRDefault="0039040E" w:rsidP="0039040E">
            <w:pPr>
              <w:widowControl w:val="0"/>
              <w:ind w:left="7"/>
              <w:jc w:val="center"/>
              <w:rPr>
                <w:rFonts w:ascii="Times New Roman" w:hAnsi="Times New Roman" w:cs="Times New Roman"/>
                <w:color w:val="000000"/>
                <w:lang w:bidi="en-US"/>
              </w:rPr>
            </w:pPr>
            <w:r w:rsidRPr="0039040E">
              <w:rPr>
                <w:rFonts w:ascii="Times New Roman" w:hAnsi="Times New Roman" w:cs="Times New Roman"/>
                <w:b/>
                <w:color w:val="000000"/>
                <w:sz w:val="20"/>
                <w:lang w:bidi="en-US"/>
              </w:rPr>
              <w:t>Indicator</w:t>
            </w:r>
          </w:p>
        </w:tc>
        <w:tc>
          <w:tcPr>
            <w:tcW w:w="752" w:type="dxa"/>
            <w:tcBorders>
              <w:top w:val="single" w:sz="4" w:space="0" w:color="000000"/>
              <w:left w:val="single" w:sz="4" w:space="0" w:color="000000"/>
              <w:bottom w:val="single" w:sz="4" w:space="0" w:color="000000"/>
              <w:right w:val="single" w:sz="4" w:space="0" w:color="000000"/>
            </w:tcBorders>
            <w:shd w:val="clear" w:color="auto" w:fill="DAE2F5"/>
            <w:vAlign w:val="center"/>
          </w:tcPr>
          <w:p w14:paraId="6AAD026C" w14:textId="77777777" w:rsidR="0039040E" w:rsidRPr="0039040E" w:rsidRDefault="0039040E" w:rsidP="0039040E">
            <w:pPr>
              <w:widowControl w:val="0"/>
              <w:ind w:left="110"/>
              <w:rPr>
                <w:rFonts w:ascii="Times New Roman" w:hAnsi="Times New Roman" w:cs="Times New Roman"/>
                <w:color w:val="000000"/>
                <w:lang w:bidi="en-US"/>
              </w:rPr>
            </w:pPr>
            <w:r w:rsidRPr="0039040E">
              <w:rPr>
                <w:rFonts w:ascii="Times New Roman" w:hAnsi="Times New Roman" w:cs="Times New Roman"/>
                <w:b/>
                <w:color w:val="000000"/>
                <w:sz w:val="20"/>
                <w:lang w:bidi="en-US"/>
              </w:rPr>
              <w:t>UM</w:t>
            </w:r>
          </w:p>
        </w:tc>
        <w:tc>
          <w:tcPr>
            <w:tcW w:w="5106" w:type="dxa"/>
            <w:tcBorders>
              <w:top w:val="single" w:sz="4" w:space="0" w:color="000000"/>
              <w:left w:val="single" w:sz="4" w:space="0" w:color="000000"/>
              <w:bottom w:val="single" w:sz="4" w:space="0" w:color="000000"/>
              <w:right w:val="single" w:sz="4" w:space="0" w:color="000000"/>
            </w:tcBorders>
            <w:shd w:val="clear" w:color="auto" w:fill="DAE2F5"/>
            <w:vAlign w:val="center"/>
          </w:tcPr>
          <w:p w14:paraId="0A42E95E" w14:textId="77777777" w:rsidR="0039040E" w:rsidRPr="0039040E" w:rsidRDefault="0039040E" w:rsidP="0039040E">
            <w:pPr>
              <w:widowControl w:val="0"/>
              <w:ind w:right="8"/>
              <w:jc w:val="center"/>
              <w:rPr>
                <w:rFonts w:ascii="Times New Roman" w:hAnsi="Times New Roman" w:cs="Times New Roman"/>
                <w:color w:val="000000"/>
                <w:lang w:bidi="en-US"/>
              </w:rPr>
            </w:pPr>
            <w:r w:rsidRPr="0039040E">
              <w:rPr>
                <w:rFonts w:ascii="Times New Roman" w:hAnsi="Times New Roman" w:cs="Times New Roman"/>
                <w:b/>
                <w:color w:val="000000"/>
                <w:sz w:val="20"/>
                <w:lang w:bidi="en-US"/>
              </w:rPr>
              <w:t>Formula de calcul</w:t>
            </w:r>
          </w:p>
        </w:tc>
      </w:tr>
      <w:tr w:rsidR="0039040E" w:rsidRPr="0039040E" w14:paraId="4C401BC4" w14:textId="77777777" w:rsidTr="006848D8">
        <w:trPr>
          <w:trHeight w:val="370"/>
        </w:trPr>
        <w:tc>
          <w:tcPr>
            <w:tcW w:w="1786" w:type="dxa"/>
            <w:gridSpan w:val="2"/>
            <w:tcBorders>
              <w:top w:val="single" w:sz="4" w:space="0" w:color="000000"/>
              <w:left w:val="single" w:sz="5" w:space="0" w:color="000000"/>
              <w:bottom w:val="single" w:sz="4" w:space="0" w:color="000000"/>
              <w:right w:val="nil"/>
            </w:tcBorders>
            <w:shd w:val="clear" w:color="auto" w:fill="BCD7F2"/>
          </w:tcPr>
          <w:p w14:paraId="36FF1BEC" w14:textId="77777777" w:rsidR="0039040E" w:rsidRPr="0039040E" w:rsidRDefault="0039040E" w:rsidP="0039040E">
            <w:pPr>
              <w:widowControl w:val="0"/>
              <w:rPr>
                <w:rFonts w:ascii="Times New Roman" w:hAnsi="Times New Roman" w:cs="Times New Roman"/>
                <w:color w:val="000000"/>
                <w:lang w:bidi="en-US"/>
              </w:rPr>
            </w:pPr>
          </w:p>
        </w:tc>
        <w:tc>
          <w:tcPr>
            <w:tcW w:w="8395" w:type="dxa"/>
            <w:gridSpan w:val="3"/>
            <w:tcBorders>
              <w:top w:val="single" w:sz="4" w:space="0" w:color="000000"/>
              <w:left w:val="nil"/>
              <w:bottom w:val="single" w:sz="4" w:space="0" w:color="000000"/>
              <w:right w:val="single" w:sz="4" w:space="0" w:color="000000"/>
            </w:tcBorders>
            <w:shd w:val="clear" w:color="auto" w:fill="BCD7F2"/>
          </w:tcPr>
          <w:p w14:paraId="73DEFA95" w14:textId="77777777" w:rsidR="0039040E" w:rsidRPr="0039040E" w:rsidRDefault="0039040E" w:rsidP="0039040E">
            <w:pPr>
              <w:widowControl w:val="0"/>
              <w:ind w:left="983"/>
              <w:rPr>
                <w:rFonts w:ascii="Times New Roman" w:hAnsi="Times New Roman" w:cs="Times New Roman"/>
                <w:color w:val="000000"/>
                <w:lang w:bidi="en-US"/>
              </w:rPr>
            </w:pPr>
            <w:r w:rsidRPr="0039040E">
              <w:rPr>
                <w:rFonts w:ascii="Times New Roman" w:hAnsi="Times New Roman" w:cs="Times New Roman"/>
                <w:b/>
                <w:color w:val="000000"/>
                <w:sz w:val="20"/>
                <w:lang w:bidi="en-US"/>
              </w:rPr>
              <w:t>INDICATORI FINANCIARI DE PERFORMANȚĂ</w:t>
            </w:r>
          </w:p>
        </w:tc>
      </w:tr>
      <w:tr w:rsidR="0039040E" w:rsidRPr="0039040E" w14:paraId="29C386A8" w14:textId="77777777" w:rsidTr="006848D8">
        <w:trPr>
          <w:trHeight w:val="726"/>
        </w:trPr>
        <w:tc>
          <w:tcPr>
            <w:tcW w:w="530" w:type="dxa"/>
            <w:tcBorders>
              <w:top w:val="single" w:sz="4" w:space="0" w:color="000000"/>
              <w:left w:val="single" w:sz="5" w:space="0" w:color="000000"/>
              <w:bottom w:val="single" w:sz="4" w:space="0" w:color="000000"/>
              <w:right w:val="single" w:sz="4" w:space="0" w:color="000000"/>
            </w:tcBorders>
            <w:vAlign w:val="center"/>
          </w:tcPr>
          <w:p w14:paraId="52760EEF" w14:textId="77777777" w:rsidR="0039040E" w:rsidRPr="0039040E" w:rsidRDefault="0039040E" w:rsidP="0039040E">
            <w:pPr>
              <w:widowControl w:val="0"/>
              <w:jc w:val="right"/>
              <w:rPr>
                <w:rFonts w:ascii="Times New Roman" w:hAnsi="Times New Roman" w:cs="Times New Roman"/>
                <w:color w:val="000000"/>
                <w:lang w:bidi="en-US"/>
              </w:rPr>
            </w:pPr>
            <w:r w:rsidRPr="0039040E">
              <w:rPr>
                <w:rFonts w:ascii="Times New Roman" w:hAnsi="Times New Roman" w:cs="Times New Roman"/>
                <w:color w:val="000000"/>
                <w:sz w:val="20"/>
                <w:lang w:bidi="en-US"/>
              </w:rPr>
              <w:t>1</w:t>
            </w:r>
          </w:p>
        </w:tc>
        <w:tc>
          <w:tcPr>
            <w:tcW w:w="1256" w:type="dxa"/>
            <w:tcBorders>
              <w:top w:val="single" w:sz="4" w:space="0" w:color="000000"/>
              <w:left w:val="single" w:sz="4" w:space="0" w:color="000000"/>
              <w:bottom w:val="single" w:sz="4" w:space="0" w:color="000000"/>
              <w:right w:val="single" w:sz="5" w:space="0" w:color="000000"/>
            </w:tcBorders>
            <w:vAlign w:val="center"/>
          </w:tcPr>
          <w:p w14:paraId="1627D3C6" w14:textId="77777777" w:rsidR="0039040E" w:rsidRPr="0039040E" w:rsidRDefault="0039040E" w:rsidP="0039040E">
            <w:pPr>
              <w:widowControl w:val="0"/>
              <w:ind w:left="21"/>
              <w:rPr>
                <w:rFonts w:ascii="Times New Roman" w:hAnsi="Times New Roman" w:cs="Times New Roman"/>
                <w:color w:val="000000"/>
                <w:lang w:bidi="en-US"/>
              </w:rPr>
            </w:pPr>
            <w:r w:rsidRPr="0039040E">
              <w:rPr>
                <w:rFonts w:ascii="Times New Roman" w:hAnsi="Times New Roman" w:cs="Times New Roman"/>
                <w:color w:val="000000"/>
                <w:sz w:val="20"/>
                <w:lang w:bidi="en-US"/>
              </w:rPr>
              <w:t>Politica de investiții</w:t>
            </w:r>
          </w:p>
        </w:tc>
        <w:tc>
          <w:tcPr>
            <w:tcW w:w="2537" w:type="dxa"/>
            <w:tcBorders>
              <w:top w:val="single" w:sz="4" w:space="0" w:color="000000"/>
              <w:left w:val="single" w:sz="5" w:space="0" w:color="000000"/>
              <w:bottom w:val="single" w:sz="4" w:space="0" w:color="000000"/>
              <w:right w:val="single" w:sz="6" w:space="0" w:color="000000"/>
            </w:tcBorders>
            <w:vAlign w:val="center"/>
          </w:tcPr>
          <w:p w14:paraId="10F40A74" w14:textId="77777777" w:rsidR="0039040E" w:rsidRPr="0039040E" w:rsidRDefault="0039040E" w:rsidP="0039040E">
            <w:pPr>
              <w:widowControl w:val="0"/>
              <w:ind w:left="13"/>
              <w:rPr>
                <w:rFonts w:ascii="Times New Roman" w:hAnsi="Times New Roman" w:cs="Times New Roman"/>
                <w:color w:val="000000"/>
                <w:lang w:bidi="en-US"/>
              </w:rPr>
            </w:pPr>
            <w:r w:rsidRPr="0039040E">
              <w:rPr>
                <w:rFonts w:ascii="Times New Roman" w:hAnsi="Times New Roman" w:cs="Times New Roman"/>
                <w:color w:val="000000"/>
                <w:sz w:val="20"/>
                <w:lang w:bidi="en-US"/>
              </w:rPr>
              <w:t>Rata cheltuielilor de capital (CapEx)</w:t>
            </w:r>
          </w:p>
        </w:tc>
        <w:tc>
          <w:tcPr>
            <w:tcW w:w="752" w:type="dxa"/>
            <w:tcBorders>
              <w:top w:val="single" w:sz="4" w:space="0" w:color="000000"/>
              <w:left w:val="single" w:sz="6" w:space="0" w:color="000000"/>
              <w:bottom w:val="single" w:sz="4" w:space="0" w:color="000000"/>
              <w:right w:val="single" w:sz="4" w:space="0" w:color="000000"/>
            </w:tcBorders>
            <w:vAlign w:val="center"/>
          </w:tcPr>
          <w:p w14:paraId="7D41CE77" w14:textId="77777777" w:rsidR="0039040E" w:rsidRPr="0039040E" w:rsidRDefault="0039040E" w:rsidP="0039040E">
            <w:pPr>
              <w:widowControl w:val="0"/>
              <w:ind w:left="202"/>
              <w:jc w:val="center"/>
              <w:rPr>
                <w:rFonts w:ascii="Times New Roman" w:hAnsi="Times New Roman" w:cs="Times New Roman"/>
                <w:color w:val="000000"/>
                <w:lang w:bidi="en-US"/>
              </w:rPr>
            </w:pPr>
            <w:r w:rsidRPr="0039040E">
              <w:rPr>
                <w:rFonts w:ascii="Times New Roman" w:hAnsi="Times New Roman" w:cs="Times New Roman"/>
                <w:color w:val="000000"/>
                <w:sz w:val="20"/>
                <w:lang w:bidi="en-US"/>
              </w:rPr>
              <w:t>%</w:t>
            </w:r>
          </w:p>
        </w:tc>
        <w:tc>
          <w:tcPr>
            <w:tcW w:w="5106" w:type="dxa"/>
            <w:tcBorders>
              <w:top w:val="single" w:sz="4" w:space="0" w:color="000000"/>
              <w:left w:val="single" w:sz="4" w:space="0" w:color="000000"/>
              <w:bottom w:val="single" w:sz="4" w:space="0" w:color="000000"/>
              <w:right w:val="single" w:sz="4" w:space="0" w:color="000000"/>
            </w:tcBorders>
            <w:vAlign w:val="center"/>
          </w:tcPr>
          <w:p w14:paraId="609AB2A0" w14:textId="77777777" w:rsidR="0039040E" w:rsidRPr="0039040E" w:rsidRDefault="0039040E" w:rsidP="0039040E">
            <w:pPr>
              <w:widowControl w:val="0"/>
              <w:rPr>
                <w:rFonts w:ascii="Times New Roman" w:hAnsi="Times New Roman" w:cs="Times New Roman"/>
                <w:color w:val="000000"/>
                <w:lang w:bidi="en-US"/>
              </w:rPr>
            </w:pPr>
            <w:r w:rsidRPr="0039040E">
              <w:rPr>
                <w:rFonts w:ascii="Times New Roman" w:hAnsi="Times New Roman" w:cs="Times New Roman"/>
                <w:i/>
                <w:color w:val="000000"/>
                <w:lang w:bidi="en-US"/>
              </w:rPr>
              <w:t xml:space="preserve">         Cheltuieli de capital/Total active</w:t>
            </w:r>
          </w:p>
        </w:tc>
      </w:tr>
      <w:tr w:rsidR="0039040E" w:rsidRPr="0039040E" w14:paraId="287316C0" w14:textId="77777777" w:rsidTr="006848D8">
        <w:trPr>
          <w:trHeight w:val="566"/>
        </w:trPr>
        <w:tc>
          <w:tcPr>
            <w:tcW w:w="530" w:type="dxa"/>
            <w:tcBorders>
              <w:top w:val="single" w:sz="4" w:space="0" w:color="000000"/>
              <w:left w:val="single" w:sz="5" w:space="0" w:color="000000"/>
              <w:bottom w:val="single" w:sz="4" w:space="0" w:color="000000"/>
              <w:right w:val="single" w:sz="4" w:space="0" w:color="000000"/>
            </w:tcBorders>
            <w:vAlign w:val="center"/>
          </w:tcPr>
          <w:p w14:paraId="4D11AF66" w14:textId="77777777" w:rsidR="0039040E" w:rsidRPr="0039040E" w:rsidRDefault="0039040E" w:rsidP="0039040E">
            <w:pPr>
              <w:widowControl w:val="0"/>
              <w:jc w:val="right"/>
              <w:rPr>
                <w:rFonts w:ascii="Times New Roman" w:hAnsi="Times New Roman" w:cs="Times New Roman"/>
                <w:color w:val="000000"/>
                <w:lang w:bidi="en-US"/>
              </w:rPr>
            </w:pPr>
            <w:r w:rsidRPr="0039040E">
              <w:rPr>
                <w:rFonts w:ascii="Times New Roman" w:hAnsi="Times New Roman" w:cs="Times New Roman"/>
                <w:color w:val="000000"/>
                <w:sz w:val="20"/>
                <w:lang w:bidi="en-US"/>
              </w:rPr>
              <w:t>2</w:t>
            </w:r>
          </w:p>
        </w:tc>
        <w:tc>
          <w:tcPr>
            <w:tcW w:w="1256" w:type="dxa"/>
            <w:tcBorders>
              <w:top w:val="single" w:sz="4" w:space="0" w:color="000000"/>
              <w:left w:val="single" w:sz="4" w:space="0" w:color="000000"/>
              <w:bottom w:val="single" w:sz="4" w:space="0" w:color="000000"/>
              <w:right w:val="single" w:sz="5" w:space="0" w:color="000000"/>
            </w:tcBorders>
            <w:vAlign w:val="center"/>
          </w:tcPr>
          <w:p w14:paraId="3A82CA20" w14:textId="77777777" w:rsidR="0039040E" w:rsidRPr="0039040E" w:rsidRDefault="0039040E" w:rsidP="0039040E">
            <w:pPr>
              <w:widowControl w:val="0"/>
              <w:ind w:left="21"/>
              <w:rPr>
                <w:rFonts w:ascii="Times New Roman" w:hAnsi="Times New Roman" w:cs="Times New Roman"/>
                <w:color w:val="000000"/>
                <w:lang w:bidi="en-US"/>
              </w:rPr>
            </w:pPr>
            <w:r w:rsidRPr="0039040E">
              <w:rPr>
                <w:rFonts w:ascii="Times New Roman" w:hAnsi="Times New Roman" w:cs="Times New Roman"/>
                <w:color w:val="000000"/>
                <w:sz w:val="20"/>
                <w:lang w:bidi="en-US"/>
              </w:rPr>
              <w:t>Finanțarea</w:t>
            </w:r>
          </w:p>
        </w:tc>
        <w:tc>
          <w:tcPr>
            <w:tcW w:w="2537" w:type="dxa"/>
            <w:tcBorders>
              <w:top w:val="single" w:sz="4" w:space="0" w:color="000000"/>
              <w:left w:val="single" w:sz="5" w:space="0" w:color="000000"/>
              <w:bottom w:val="single" w:sz="4" w:space="0" w:color="000000"/>
              <w:right w:val="single" w:sz="6" w:space="0" w:color="000000"/>
            </w:tcBorders>
          </w:tcPr>
          <w:p w14:paraId="469100F2" w14:textId="77777777" w:rsidR="0039040E" w:rsidRPr="0039040E" w:rsidRDefault="0039040E" w:rsidP="0039040E">
            <w:pPr>
              <w:widowControl w:val="0"/>
              <w:spacing w:after="14"/>
              <w:ind w:left="13"/>
              <w:rPr>
                <w:rFonts w:ascii="Times New Roman" w:hAnsi="Times New Roman" w:cs="Times New Roman"/>
                <w:color w:val="000000"/>
                <w:lang w:bidi="en-US"/>
              </w:rPr>
            </w:pPr>
            <w:r w:rsidRPr="0039040E">
              <w:rPr>
                <w:rFonts w:ascii="Times New Roman" w:hAnsi="Times New Roman" w:cs="Times New Roman"/>
                <w:color w:val="000000"/>
                <w:sz w:val="20"/>
                <w:lang w:bidi="en-US"/>
              </w:rPr>
              <w:t xml:space="preserve">Rata lichidității curente </w:t>
            </w:r>
          </w:p>
          <w:p w14:paraId="43DE1D27" w14:textId="77777777" w:rsidR="0039040E" w:rsidRPr="0039040E" w:rsidRDefault="0039040E" w:rsidP="0039040E">
            <w:pPr>
              <w:widowControl w:val="0"/>
              <w:tabs>
                <w:tab w:val="center" w:pos="1113"/>
              </w:tabs>
              <w:rPr>
                <w:rFonts w:ascii="Times New Roman" w:hAnsi="Times New Roman" w:cs="Times New Roman"/>
                <w:color w:val="000000"/>
                <w:lang w:bidi="en-US"/>
              </w:rPr>
            </w:pPr>
            <w:r w:rsidRPr="0039040E">
              <w:rPr>
                <w:rFonts w:ascii="Times New Roman" w:hAnsi="Times New Roman" w:cs="Times New Roman"/>
                <w:color w:val="000000"/>
                <w:sz w:val="20"/>
                <w:lang w:bidi="en-US"/>
              </w:rPr>
              <w:t>(CR)</w:t>
            </w:r>
            <w:r w:rsidRPr="0039040E">
              <w:rPr>
                <w:rFonts w:ascii="Times New Roman" w:hAnsi="Times New Roman" w:cs="Times New Roman"/>
                <w:color w:val="000000"/>
                <w:sz w:val="20"/>
                <w:lang w:bidi="en-US"/>
              </w:rPr>
              <w:tab/>
              <w:t>’</w:t>
            </w:r>
          </w:p>
        </w:tc>
        <w:tc>
          <w:tcPr>
            <w:tcW w:w="752" w:type="dxa"/>
            <w:tcBorders>
              <w:top w:val="single" w:sz="4" w:space="0" w:color="000000"/>
              <w:left w:val="single" w:sz="6" w:space="0" w:color="000000"/>
              <w:bottom w:val="single" w:sz="4" w:space="0" w:color="000000"/>
              <w:right w:val="single" w:sz="4" w:space="0" w:color="000000"/>
            </w:tcBorders>
            <w:vAlign w:val="center"/>
          </w:tcPr>
          <w:p w14:paraId="3B1147D2" w14:textId="77777777" w:rsidR="0039040E" w:rsidRPr="0039040E" w:rsidRDefault="0039040E" w:rsidP="0039040E">
            <w:pPr>
              <w:widowControl w:val="0"/>
              <w:ind w:left="202"/>
              <w:jc w:val="center"/>
              <w:rPr>
                <w:rFonts w:ascii="Times New Roman" w:hAnsi="Times New Roman" w:cs="Times New Roman"/>
                <w:color w:val="000000"/>
                <w:lang w:bidi="en-US"/>
              </w:rPr>
            </w:pPr>
            <w:r w:rsidRPr="0039040E">
              <w:rPr>
                <w:rFonts w:ascii="Times New Roman" w:hAnsi="Times New Roman" w:cs="Times New Roman"/>
                <w:color w:val="000000"/>
                <w:sz w:val="20"/>
                <w:lang w:bidi="en-US"/>
              </w:rPr>
              <w:t>%</w:t>
            </w:r>
          </w:p>
        </w:tc>
        <w:tc>
          <w:tcPr>
            <w:tcW w:w="5106" w:type="dxa"/>
            <w:tcBorders>
              <w:top w:val="single" w:sz="4" w:space="0" w:color="000000"/>
              <w:left w:val="single" w:sz="4" w:space="0" w:color="000000"/>
              <w:bottom w:val="single" w:sz="4" w:space="0" w:color="000000"/>
              <w:right w:val="single" w:sz="4" w:space="0" w:color="000000"/>
            </w:tcBorders>
            <w:vAlign w:val="center"/>
          </w:tcPr>
          <w:p w14:paraId="20FD1749" w14:textId="77777777" w:rsidR="0039040E" w:rsidRPr="0039040E" w:rsidRDefault="0039040E" w:rsidP="0039040E">
            <w:pPr>
              <w:widowControl w:val="0"/>
              <w:ind w:right="13"/>
              <w:jc w:val="center"/>
              <w:rPr>
                <w:rFonts w:ascii="Times New Roman" w:hAnsi="Times New Roman" w:cs="Times New Roman"/>
                <w:color w:val="000000"/>
                <w:lang w:bidi="en-US"/>
              </w:rPr>
            </w:pPr>
            <w:r w:rsidRPr="0039040E">
              <w:rPr>
                <w:rFonts w:ascii="Times New Roman" w:hAnsi="Times New Roman" w:cs="Times New Roman"/>
                <w:i/>
                <w:color w:val="000000"/>
                <w:lang w:bidi="en-US"/>
              </w:rPr>
              <w:t>Active curente (circulante) /Datorii curente</w:t>
            </w:r>
          </w:p>
        </w:tc>
      </w:tr>
      <w:tr w:rsidR="0039040E" w:rsidRPr="0039040E" w14:paraId="256A101D" w14:textId="77777777" w:rsidTr="006848D8">
        <w:trPr>
          <w:trHeight w:val="840"/>
        </w:trPr>
        <w:tc>
          <w:tcPr>
            <w:tcW w:w="530" w:type="dxa"/>
            <w:tcBorders>
              <w:top w:val="single" w:sz="4" w:space="0" w:color="000000"/>
              <w:left w:val="single" w:sz="5" w:space="0" w:color="000000"/>
              <w:bottom w:val="single" w:sz="4" w:space="0" w:color="000000"/>
              <w:right w:val="single" w:sz="4" w:space="0" w:color="000000"/>
            </w:tcBorders>
            <w:vAlign w:val="center"/>
          </w:tcPr>
          <w:p w14:paraId="623C854F" w14:textId="77777777" w:rsidR="0039040E" w:rsidRPr="0039040E" w:rsidRDefault="0039040E" w:rsidP="0039040E">
            <w:pPr>
              <w:widowControl w:val="0"/>
              <w:ind w:left="233"/>
              <w:rPr>
                <w:rFonts w:ascii="Times New Roman" w:hAnsi="Times New Roman" w:cs="Times New Roman"/>
                <w:color w:val="000000"/>
                <w:lang w:bidi="en-US"/>
              </w:rPr>
            </w:pPr>
            <w:r w:rsidRPr="0039040E">
              <w:rPr>
                <w:rFonts w:ascii="Times New Roman" w:hAnsi="Times New Roman" w:cs="Times New Roman"/>
                <w:color w:val="000000"/>
                <w:sz w:val="20"/>
                <w:lang w:bidi="en-US"/>
              </w:rPr>
              <w:t>3</w:t>
            </w:r>
          </w:p>
        </w:tc>
        <w:tc>
          <w:tcPr>
            <w:tcW w:w="1256" w:type="dxa"/>
            <w:tcBorders>
              <w:top w:val="single" w:sz="4" w:space="0" w:color="000000"/>
              <w:left w:val="single" w:sz="4" w:space="0" w:color="000000"/>
              <w:bottom w:val="single" w:sz="4" w:space="0" w:color="000000"/>
              <w:right w:val="single" w:sz="5" w:space="0" w:color="000000"/>
            </w:tcBorders>
            <w:vAlign w:val="center"/>
          </w:tcPr>
          <w:p w14:paraId="46D3256E" w14:textId="77777777" w:rsidR="0039040E" w:rsidRPr="0039040E" w:rsidRDefault="0039040E" w:rsidP="0039040E">
            <w:pPr>
              <w:widowControl w:val="0"/>
              <w:ind w:left="7"/>
              <w:rPr>
                <w:rFonts w:ascii="Times New Roman" w:hAnsi="Times New Roman" w:cs="Times New Roman"/>
                <w:color w:val="000000"/>
                <w:lang w:bidi="en-US"/>
              </w:rPr>
            </w:pPr>
            <w:r w:rsidRPr="0039040E">
              <w:rPr>
                <w:rFonts w:ascii="Times New Roman" w:hAnsi="Times New Roman" w:cs="Times New Roman"/>
                <w:color w:val="000000"/>
                <w:sz w:val="20"/>
                <w:lang w:bidi="en-US"/>
              </w:rPr>
              <w:t>Finanțarea</w:t>
            </w:r>
          </w:p>
        </w:tc>
        <w:tc>
          <w:tcPr>
            <w:tcW w:w="2537" w:type="dxa"/>
            <w:tcBorders>
              <w:top w:val="single" w:sz="4" w:space="0" w:color="000000"/>
              <w:left w:val="single" w:sz="5" w:space="0" w:color="000000"/>
              <w:bottom w:val="single" w:sz="4" w:space="0" w:color="000000"/>
              <w:right w:val="single" w:sz="6" w:space="0" w:color="000000"/>
            </w:tcBorders>
            <w:vAlign w:val="center"/>
          </w:tcPr>
          <w:p w14:paraId="2D4FBEDC" w14:textId="77777777" w:rsidR="0039040E" w:rsidRPr="0039040E" w:rsidRDefault="0039040E" w:rsidP="0039040E">
            <w:pPr>
              <w:widowControl w:val="0"/>
              <w:ind w:left="15"/>
              <w:rPr>
                <w:rFonts w:ascii="Times New Roman" w:hAnsi="Times New Roman" w:cs="Times New Roman"/>
                <w:color w:val="000000"/>
                <w:lang w:bidi="en-US"/>
              </w:rPr>
            </w:pPr>
            <w:r w:rsidRPr="0039040E">
              <w:rPr>
                <w:rFonts w:ascii="Times New Roman" w:hAnsi="Times New Roman" w:cs="Times New Roman"/>
                <w:color w:val="000000"/>
                <w:sz w:val="20"/>
                <w:lang w:bidi="en-US"/>
              </w:rPr>
              <w:t>Levierul</w:t>
            </w:r>
          </w:p>
        </w:tc>
        <w:tc>
          <w:tcPr>
            <w:tcW w:w="752" w:type="dxa"/>
            <w:tcBorders>
              <w:top w:val="single" w:sz="4" w:space="0" w:color="000000"/>
              <w:left w:val="single" w:sz="6" w:space="0" w:color="000000"/>
              <w:bottom w:val="single" w:sz="4" w:space="0" w:color="000000"/>
              <w:right w:val="single" w:sz="4" w:space="0" w:color="000000"/>
            </w:tcBorders>
            <w:vAlign w:val="center"/>
          </w:tcPr>
          <w:p w14:paraId="6759C5DA" w14:textId="77777777" w:rsidR="0039040E" w:rsidRPr="0039040E" w:rsidRDefault="0039040E" w:rsidP="0039040E">
            <w:pPr>
              <w:widowControl w:val="0"/>
              <w:ind w:left="10"/>
              <w:rPr>
                <w:rFonts w:ascii="Times New Roman" w:hAnsi="Times New Roman" w:cs="Times New Roman"/>
                <w:color w:val="000000"/>
                <w:lang w:bidi="en-US"/>
              </w:rPr>
            </w:pPr>
            <w:r w:rsidRPr="0039040E">
              <w:rPr>
                <w:rFonts w:ascii="Times New Roman" w:hAnsi="Times New Roman" w:cs="Times New Roman"/>
                <w:color w:val="000000"/>
                <w:sz w:val="20"/>
                <w:lang w:bidi="en-US"/>
              </w:rPr>
              <w:t>număr</w:t>
            </w:r>
          </w:p>
        </w:tc>
        <w:tc>
          <w:tcPr>
            <w:tcW w:w="5106" w:type="dxa"/>
            <w:tcBorders>
              <w:top w:val="single" w:sz="4" w:space="0" w:color="000000"/>
              <w:left w:val="single" w:sz="4" w:space="0" w:color="000000"/>
              <w:bottom w:val="single" w:sz="4" w:space="0" w:color="000000"/>
              <w:right w:val="single" w:sz="4" w:space="0" w:color="000000"/>
            </w:tcBorders>
            <w:vAlign w:val="center"/>
          </w:tcPr>
          <w:p w14:paraId="7A08246B" w14:textId="77777777" w:rsidR="0039040E" w:rsidRPr="0039040E" w:rsidRDefault="0039040E" w:rsidP="0039040E">
            <w:pPr>
              <w:widowControl w:val="0"/>
              <w:ind w:left="28"/>
              <w:rPr>
                <w:rFonts w:ascii="Times New Roman" w:hAnsi="Times New Roman" w:cs="Times New Roman"/>
                <w:color w:val="000000"/>
                <w:lang w:bidi="en-US"/>
              </w:rPr>
            </w:pPr>
            <w:r w:rsidRPr="0039040E">
              <w:rPr>
                <w:rFonts w:ascii="Times New Roman" w:hAnsi="Times New Roman" w:cs="Times New Roman"/>
                <w:i/>
                <w:color w:val="000000"/>
                <w:lang w:bidi="en-US"/>
              </w:rPr>
              <w:t xml:space="preserve">         Datorii totale</w:t>
            </w:r>
            <w:r w:rsidRPr="0039040E">
              <w:rPr>
                <w:rFonts w:ascii="Times New Roman" w:hAnsi="Times New Roman" w:cs="Times New Roman"/>
                <w:i/>
                <w:strike/>
                <w:color w:val="000000"/>
                <w:sz w:val="20"/>
                <w:lang w:bidi="en-US"/>
              </w:rPr>
              <w:t>/</w:t>
            </w:r>
            <w:r w:rsidRPr="0039040E">
              <w:rPr>
                <w:rFonts w:ascii="Times New Roman" w:hAnsi="Times New Roman" w:cs="Times New Roman"/>
                <w:i/>
                <w:color w:val="000000"/>
                <w:lang w:bidi="en-US"/>
              </w:rPr>
              <w:t>Active totale</w:t>
            </w:r>
          </w:p>
        </w:tc>
      </w:tr>
      <w:tr w:rsidR="0039040E" w:rsidRPr="0039040E" w14:paraId="657D9418" w14:textId="77777777" w:rsidTr="006848D8">
        <w:trPr>
          <w:trHeight w:val="1154"/>
        </w:trPr>
        <w:tc>
          <w:tcPr>
            <w:tcW w:w="530" w:type="dxa"/>
            <w:tcBorders>
              <w:top w:val="single" w:sz="4" w:space="0" w:color="000000"/>
              <w:left w:val="single" w:sz="5" w:space="0" w:color="000000"/>
              <w:bottom w:val="single" w:sz="4" w:space="0" w:color="000000"/>
              <w:right w:val="single" w:sz="4" w:space="0" w:color="000000"/>
            </w:tcBorders>
            <w:vAlign w:val="center"/>
          </w:tcPr>
          <w:p w14:paraId="70F8EA18" w14:textId="77777777" w:rsidR="0039040E" w:rsidRPr="0039040E" w:rsidRDefault="0039040E" w:rsidP="0039040E">
            <w:pPr>
              <w:widowControl w:val="0"/>
              <w:ind w:left="233"/>
              <w:rPr>
                <w:rFonts w:ascii="Times New Roman" w:hAnsi="Times New Roman" w:cs="Times New Roman"/>
                <w:color w:val="000000"/>
                <w:lang w:bidi="en-US"/>
              </w:rPr>
            </w:pPr>
            <w:r w:rsidRPr="0039040E">
              <w:rPr>
                <w:rFonts w:ascii="Times New Roman" w:hAnsi="Times New Roman" w:cs="Times New Roman"/>
                <w:color w:val="000000"/>
                <w:sz w:val="20"/>
                <w:lang w:bidi="en-US"/>
              </w:rPr>
              <w:t>4</w:t>
            </w:r>
          </w:p>
        </w:tc>
        <w:tc>
          <w:tcPr>
            <w:tcW w:w="1256" w:type="dxa"/>
            <w:tcBorders>
              <w:top w:val="single" w:sz="4" w:space="0" w:color="000000"/>
              <w:left w:val="single" w:sz="4" w:space="0" w:color="000000"/>
              <w:bottom w:val="single" w:sz="4" w:space="0" w:color="000000"/>
              <w:right w:val="single" w:sz="5" w:space="0" w:color="000000"/>
            </w:tcBorders>
            <w:vAlign w:val="center"/>
          </w:tcPr>
          <w:p w14:paraId="18399874" w14:textId="77777777" w:rsidR="0039040E" w:rsidRPr="0039040E" w:rsidRDefault="0039040E" w:rsidP="0039040E">
            <w:pPr>
              <w:widowControl w:val="0"/>
              <w:ind w:left="7"/>
              <w:rPr>
                <w:rFonts w:ascii="Times New Roman" w:hAnsi="Times New Roman" w:cs="Times New Roman"/>
                <w:color w:val="000000"/>
                <w:lang w:bidi="en-US"/>
              </w:rPr>
            </w:pPr>
            <w:r w:rsidRPr="0039040E">
              <w:rPr>
                <w:rFonts w:ascii="Times New Roman" w:hAnsi="Times New Roman" w:cs="Times New Roman"/>
                <w:color w:val="000000"/>
                <w:sz w:val="20"/>
                <w:lang w:bidi="en-US"/>
              </w:rPr>
              <w:t>Operațiuni</w:t>
            </w:r>
          </w:p>
        </w:tc>
        <w:tc>
          <w:tcPr>
            <w:tcW w:w="2537" w:type="dxa"/>
            <w:tcBorders>
              <w:top w:val="single" w:sz="4" w:space="0" w:color="000000"/>
              <w:left w:val="single" w:sz="5" w:space="0" w:color="000000"/>
              <w:bottom w:val="single" w:sz="4" w:space="0" w:color="000000"/>
              <w:right w:val="single" w:sz="6" w:space="0" w:color="000000"/>
            </w:tcBorders>
            <w:vAlign w:val="center"/>
          </w:tcPr>
          <w:p w14:paraId="749A45D2" w14:textId="77777777" w:rsidR="0039040E" w:rsidRPr="0039040E" w:rsidRDefault="0039040E" w:rsidP="0039040E">
            <w:pPr>
              <w:widowControl w:val="0"/>
              <w:ind w:left="15"/>
              <w:rPr>
                <w:rFonts w:ascii="Times New Roman" w:hAnsi="Times New Roman" w:cs="Times New Roman"/>
                <w:color w:val="000000"/>
                <w:lang w:bidi="en-US"/>
              </w:rPr>
            </w:pPr>
            <w:r w:rsidRPr="0039040E">
              <w:rPr>
                <w:rFonts w:ascii="Times New Roman" w:hAnsi="Times New Roman" w:cs="Times New Roman"/>
                <w:color w:val="000000"/>
                <w:sz w:val="20"/>
                <w:lang w:bidi="en-US"/>
              </w:rPr>
              <w:t xml:space="preserve">Viteza de rotație a activelor </w:t>
            </w:r>
          </w:p>
          <w:p w14:paraId="5D758585" w14:textId="77777777" w:rsidR="0039040E" w:rsidRPr="0039040E" w:rsidRDefault="0039040E" w:rsidP="0039040E">
            <w:pPr>
              <w:widowControl w:val="0"/>
              <w:tabs>
                <w:tab w:val="center" w:pos="1167"/>
              </w:tabs>
              <w:rPr>
                <w:rFonts w:ascii="Times New Roman" w:hAnsi="Times New Roman" w:cs="Times New Roman"/>
                <w:color w:val="000000"/>
                <w:lang w:bidi="en-US"/>
              </w:rPr>
            </w:pPr>
            <w:r w:rsidRPr="0039040E">
              <w:rPr>
                <w:rFonts w:ascii="Times New Roman" w:hAnsi="Times New Roman" w:cs="Times New Roman"/>
                <w:color w:val="000000"/>
                <w:sz w:val="20"/>
                <w:lang w:bidi="en-US"/>
              </w:rPr>
              <w:t>(TAT)</w:t>
            </w:r>
            <w:r w:rsidRPr="0039040E">
              <w:rPr>
                <w:rFonts w:ascii="Times New Roman" w:hAnsi="Times New Roman" w:cs="Times New Roman"/>
                <w:color w:val="000000"/>
                <w:sz w:val="20"/>
                <w:lang w:bidi="en-US"/>
              </w:rPr>
              <w:tab/>
              <w:t>’</w:t>
            </w:r>
          </w:p>
        </w:tc>
        <w:tc>
          <w:tcPr>
            <w:tcW w:w="752" w:type="dxa"/>
            <w:tcBorders>
              <w:top w:val="single" w:sz="4" w:space="0" w:color="000000"/>
              <w:left w:val="single" w:sz="6" w:space="0" w:color="000000"/>
              <w:bottom w:val="single" w:sz="4" w:space="0" w:color="000000"/>
              <w:right w:val="single" w:sz="4" w:space="0" w:color="000000"/>
            </w:tcBorders>
            <w:vAlign w:val="center"/>
          </w:tcPr>
          <w:p w14:paraId="00901F74" w14:textId="77777777" w:rsidR="0039040E" w:rsidRPr="0039040E" w:rsidRDefault="0039040E" w:rsidP="0039040E">
            <w:pPr>
              <w:widowControl w:val="0"/>
              <w:ind w:left="10"/>
              <w:rPr>
                <w:rFonts w:ascii="Times New Roman" w:hAnsi="Times New Roman" w:cs="Times New Roman"/>
                <w:color w:val="000000"/>
                <w:lang w:bidi="en-US"/>
              </w:rPr>
            </w:pPr>
            <w:r w:rsidRPr="0039040E">
              <w:rPr>
                <w:rFonts w:ascii="Times New Roman" w:hAnsi="Times New Roman" w:cs="Times New Roman"/>
                <w:color w:val="000000"/>
                <w:sz w:val="20"/>
                <w:lang w:bidi="en-US"/>
              </w:rPr>
              <w:t>număr</w:t>
            </w:r>
          </w:p>
        </w:tc>
        <w:tc>
          <w:tcPr>
            <w:tcW w:w="5106" w:type="dxa"/>
            <w:tcBorders>
              <w:top w:val="single" w:sz="4" w:space="0" w:color="000000"/>
              <w:left w:val="single" w:sz="4" w:space="0" w:color="000000"/>
              <w:bottom w:val="single" w:sz="4" w:space="0" w:color="000000"/>
              <w:right w:val="single" w:sz="4" w:space="0" w:color="000000"/>
            </w:tcBorders>
            <w:vAlign w:val="center"/>
          </w:tcPr>
          <w:p w14:paraId="34135A57" w14:textId="77777777" w:rsidR="0039040E" w:rsidRPr="0039040E" w:rsidRDefault="0039040E" w:rsidP="0039040E">
            <w:pPr>
              <w:widowControl w:val="0"/>
              <w:ind w:left="2076" w:hanging="1852"/>
              <w:rPr>
                <w:rFonts w:ascii="Times New Roman" w:hAnsi="Times New Roman" w:cs="Times New Roman"/>
                <w:color w:val="000000"/>
                <w:lang w:bidi="en-US"/>
              </w:rPr>
            </w:pPr>
            <w:r w:rsidRPr="0039040E">
              <w:rPr>
                <w:rFonts w:ascii="Times New Roman" w:hAnsi="Times New Roman" w:cs="Times New Roman"/>
                <w:i/>
                <w:color w:val="000000"/>
                <w:lang w:bidi="en-US"/>
              </w:rPr>
              <w:t xml:space="preserve">     Cifra de afaceri neta/  Valoarea medie a tuturor activelor</w:t>
            </w:r>
          </w:p>
        </w:tc>
      </w:tr>
      <w:tr w:rsidR="0039040E" w:rsidRPr="0039040E" w14:paraId="4AFF8B66" w14:textId="77777777" w:rsidTr="006848D8">
        <w:trPr>
          <w:trHeight w:val="849"/>
        </w:trPr>
        <w:tc>
          <w:tcPr>
            <w:tcW w:w="530" w:type="dxa"/>
            <w:tcBorders>
              <w:top w:val="single" w:sz="4" w:space="0" w:color="000000"/>
              <w:left w:val="single" w:sz="5" w:space="0" w:color="000000"/>
              <w:bottom w:val="nil"/>
              <w:right w:val="single" w:sz="4" w:space="0" w:color="000000"/>
            </w:tcBorders>
            <w:vAlign w:val="center"/>
          </w:tcPr>
          <w:p w14:paraId="1DA755EB" w14:textId="77777777" w:rsidR="0039040E" w:rsidRPr="0039040E" w:rsidRDefault="0039040E" w:rsidP="0039040E">
            <w:pPr>
              <w:widowControl w:val="0"/>
              <w:ind w:left="233"/>
              <w:rPr>
                <w:rFonts w:ascii="Times New Roman" w:hAnsi="Times New Roman" w:cs="Times New Roman"/>
                <w:color w:val="000000"/>
                <w:lang w:bidi="en-US"/>
              </w:rPr>
            </w:pPr>
            <w:r w:rsidRPr="0039040E">
              <w:rPr>
                <w:rFonts w:ascii="Times New Roman" w:hAnsi="Times New Roman" w:cs="Times New Roman"/>
                <w:color w:val="000000"/>
                <w:sz w:val="20"/>
                <w:lang w:bidi="en-US"/>
              </w:rPr>
              <w:t>5</w:t>
            </w:r>
          </w:p>
        </w:tc>
        <w:tc>
          <w:tcPr>
            <w:tcW w:w="1256" w:type="dxa"/>
            <w:tcBorders>
              <w:top w:val="single" w:sz="4" w:space="0" w:color="000000"/>
              <w:left w:val="single" w:sz="4" w:space="0" w:color="000000"/>
              <w:bottom w:val="nil"/>
              <w:right w:val="single" w:sz="5" w:space="0" w:color="000000"/>
            </w:tcBorders>
            <w:vAlign w:val="center"/>
          </w:tcPr>
          <w:p w14:paraId="3797D776" w14:textId="77777777" w:rsidR="0039040E" w:rsidRPr="0039040E" w:rsidRDefault="0039040E" w:rsidP="0039040E">
            <w:pPr>
              <w:widowControl w:val="0"/>
              <w:ind w:left="7"/>
              <w:rPr>
                <w:rFonts w:ascii="Times New Roman" w:hAnsi="Times New Roman" w:cs="Times New Roman"/>
                <w:color w:val="000000"/>
                <w:lang w:bidi="en-US"/>
              </w:rPr>
            </w:pPr>
            <w:r w:rsidRPr="0039040E">
              <w:rPr>
                <w:rFonts w:ascii="Times New Roman" w:hAnsi="Times New Roman" w:cs="Times New Roman"/>
                <w:color w:val="000000"/>
                <w:sz w:val="20"/>
                <w:lang w:bidi="en-US"/>
              </w:rPr>
              <w:t>Operațiuni</w:t>
            </w:r>
          </w:p>
        </w:tc>
        <w:tc>
          <w:tcPr>
            <w:tcW w:w="2537" w:type="dxa"/>
            <w:tcBorders>
              <w:top w:val="single" w:sz="4" w:space="0" w:color="000000"/>
              <w:left w:val="single" w:sz="5" w:space="0" w:color="000000"/>
              <w:bottom w:val="nil"/>
              <w:right w:val="single" w:sz="6" w:space="0" w:color="000000"/>
            </w:tcBorders>
            <w:vAlign w:val="center"/>
          </w:tcPr>
          <w:p w14:paraId="5731A175" w14:textId="77777777" w:rsidR="0039040E" w:rsidRPr="0039040E" w:rsidRDefault="0039040E" w:rsidP="0039040E">
            <w:pPr>
              <w:widowControl w:val="0"/>
              <w:ind w:left="15"/>
              <w:rPr>
                <w:rFonts w:ascii="Times New Roman" w:hAnsi="Times New Roman" w:cs="Times New Roman"/>
                <w:color w:val="000000"/>
                <w:lang w:bidi="en-US"/>
              </w:rPr>
            </w:pPr>
            <w:r w:rsidRPr="0039040E">
              <w:rPr>
                <w:rFonts w:ascii="Times New Roman" w:hAnsi="Times New Roman" w:cs="Times New Roman"/>
                <w:color w:val="000000"/>
                <w:sz w:val="20"/>
                <w:lang w:bidi="en-US"/>
              </w:rPr>
              <w:t>Viteza de rotație a creanțelor</w:t>
            </w:r>
          </w:p>
          <w:p w14:paraId="260BEC4F" w14:textId="77777777" w:rsidR="0039040E" w:rsidRPr="0039040E" w:rsidRDefault="0039040E" w:rsidP="0039040E">
            <w:pPr>
              <w:widowControl w:val="0"/>
              <w:tabs>
                <w:tab w:val="center" w:pos="1163"/>
                <w:tab w:val="center" w:pos="1983"/>
              </w:tabs>
              <w:rPr>
                <w:rFonts w:ascii="Times New Roman" w:hAnsi="Times New Roman" w:cs="Times New Roman"/>
                <w:color w:val="000000"/>
                <w:lang w:bidi="en-US"/>
              </w:rPr>
            </w:pPr>
            <w:r w:rsidRPr="0039040E">
              <w:rPr>
                <w:rFonts w:ascii="Times New Roman" w:hAnsi="Times New Roman" w:cs="Times New Roman"/>
                <w:color w:val="000000"/>
                <w:sz w:val="20"/>
                <w:lang w:bidi="en-US"/>
              </w:rPr>
              <w:t>(RT)</w:t>
            </w:r>
            <w:r w:rsidRPr="0039040E">
              <w:rPr>
                <w:rFonts w:ascii="Times New Roman" w:hAnsi="Times New Roman" w:cs="Times New Roman"/>
                <w:color w:val="000000"/>
                <w:sz w:val="20"/>
                <w:lang w:bidi="en-US"/>
              </w:rPr>
              <w:tab/>
              <w:t>’</w:t>
            </w:r>
            <w:r w:rsidRPr="0039040E">
              <w:rPr>
                <w:rFonts w:ascii="Times New Roman" w:hAnsi="Times New Roman" w:cs="Times New Roman"/>
                <w:color w:val="000000"/>
                <w:sz w:val="20"/>
                <w:lang w:bidi="en-US"/>
              </w:rPr>
              <w:tab/>
              <w:t>’</w:t>
            </w:r>
          </w:p>
        </w:tc>
        <w:tc>
          <w:tcPr>
            <w:tcW w:w="752" w:type="dxa"/>
            <w:tcBorders>
              <w:top w:val="single" w:sz="4" w:space="0" w:color="000000"/>
              <w:left w:val="single" w:sz="6" w:space="0" w:color="000000"/>
              <w:bottom w:val="nil"/>
              <w:right w:val="single" w:sz="4" w:space="0" w:color="000000"/>
            </w:tcBorders>
            <w:vAlign w:val="center"/>
          </w:tcPr>
          <w:p w14:paraId="32754E45" w14:textId="77777777" w:rsidR="0039040E" w:rsidRPr="0039040E" w:rsidRDefault="0039040E" w:rsidP="0039040E">
            <w:pPr>
              <w:widowControl w:val="0"/>
              <w:ind w:left="10"/>
              <w:rPr>
                <w:rFonts w:ascii="Times New Roman" w:hAnsi="Times New Roman" w:cs="Times New Roman"/>
                <w:color w:val="000000"/>
                <w:lang w:bidi="en-US"/>
              </w:rPr>
            </w:pPr>
            <w:r w:rsidRPr="0039040E">
              <w:rPr>
                <w:rFonts w:ascii="Times New Roman" w:hAnsi="Times New Roman" w:cs="Times New Roman"/>
                <w:color w:val="000000"/>
                <w:sz w:val="20"/>
                <w:lang w:bidi="en-US"/>
              </w:rPr>
              <w:t>număr</w:t>
            </w:r>
          </w:p>
        </w:tc>
        <w:tc>
          <w:tcPr>
            <w:tcW w:w="5106" w:type="dxa"/>
            <w:tcBorders>
              <w:top w:val="single" w:sz="4" w:space="0" w:color="000000"/>
              <w:left w:val="single" w:sz="4" w:space="0" w:color="000000"/>
              <w:bottom w:val="nil"/>
              <w:right w:val="single" w:sz="4" w:space="0" w:color="000000"/>
            </w:tcBorders>
            <w:vAlign w:val="center"/>
          </w:tcPr>
          <w:p w14:paraId="5948700D" w14:textId="77777777" w:rsidR="0039040E" w:rsidRPr="0039040E" w:rsidRDefault="0039040E" w:rsidP="0039040E">
            <w:pPr>
              <w:widowControl w:val="0"/>
              <w:ind w:left="28"/>
              <w:rPr>
                <w:rFonts w:ascii="Times New Roman" w:hAnsi="Times New Roman" w:cs="Times New Roman"/>
                <w:color w:val="000000"/>
                <w:lang w:bidi="en-US"/>
              </w:rPr>
            </w:pPr>
            <w:r w:rsidRPr="0039040E">
              <w:rPr>
                <w:rFonts w:ascii="Times New Roman" w:hAnsi="Times New Roman" w:cs="Times New Roman"/>
                <w:i/>
                <w:color w:val="000000"/>
                <w:lang w:bidi="en-US"/>
              </w:rPr>
              <w:t>Cifra de afaceri neta/Valoarea medie creanțe</w:t>
            </w:r>
          </w:p>
        </w:tc>
      </w:tr>
      <w:tr w:rsidR="0039040E" w:rsidRPr="0039040E" w14:paraId="3CD7D0E4" w14:textId="77777777" w:rsidTr="006848D8">
        <w:trPr>
          <w:trHeight w:val="870"/>
        </w:trPr>
        <w:tc>
          <w:tcPr>
            <w:tcW w:w="530" w:type="dxa"/>
            <w:tcBorders>
              <w:top w:val="single" w:sz="4" w:space="0" w:color="000000"/>
              <w:left w:val="single" w:sz="4" w:space="0" w:color="000000"/>
              <w:bottom w:val="single" w:sz="4" w:space="0" w:color="000000"/>
              <w:right w:val="single" w:sz="4" w:space="0" w:color="000000"/>
            </w:tcBorders>
            <w:vAlign w:val="center"/>
          </w:tcPr>
          <w:p w14:paraId="48939861" w14:textId="77777777" w:rsidR="0039040E" w:rsidRPr="0039040E" w:rsidRDefault="0039040E" w:rsidP="0039040E">
            <w:pPr>
              <w:widowControl w:val="0"/>
              <w:rPr>
                <w:rFonts w:ascii="Times New Roman" w:hAnsi="Times New Roman" w:cs="Times New Roman"/>
                <w:color w:val="000000"/>
                <w:lang w:bidi="en-US"/>
              </w:rPr>
            </w:pPr>
            <w:r w:rsidRPr="0039040E">
              <w:rPr>
                <w:rFonts w:ascii="Times New Roman" w:hAnsi="Times New Roman" w:cs="Times New Roman"/>
                <w:color w:val="000000"/>
                <w:sz w:val="20"/>
                <w:lang w:bidi="en-US"/>
              </w:rPr>
              <w:t xml:space="preserve">    6</w:t>
            </w:r>
          </w:p>
        </w:tc>
        <w:tc>
          <w:tcPr>
            <w:tcW w:w="1256" w:type="dxa"/>
            <w:tcBorders>
              <w:top w:val="single" w:sz="4" w:space="0" w:color="000000"/>
              <w:left w:val="single" w:sz="4" w:space="0" w:color="000000"/>
              <w:bottom w:val="single" w:sz="4" w:space="0" w:color="000000"/>
              <w:right w:val="single" w:sz="4" w:space="0" w:color="000000"/>
            </w:tcBorders>
            <w:vAlign w:val="center"/>
          </w:tcPr>
          <w:p w14:paraId="61499049" w14:textId="77777777" w:rsidR="0039040E" w:rsidRPr="0039040E" w:rsidRDefault="0039040E" w:rsidP="0039040E">
            <w:pPr>
              <w:widowControl w:val="0"/>
              <w:rPr>
                <w:rFonts w:ascii="Times New Roman" w:hAnsi="Times New Roman" w:cs="Times New Roman"/>
                <w:color w:val="000000"/>
                <w:lang w:bidi="en-US"/>
              </w:rPr>
            </w:pPr>
            <w:r w:rsidRPr="0039040E">
              <w:rPr>
                <w:rFonts w:ascii="Times New Roman" w:hAnsi="Times New Roman" w:cs="Times New Roman"/>
                <w:color w:val="000000"/>
                <w:sz w:val="20"/>
                <w:lang w:bidi="en-US"/>
              </w:rPr>
              <w:t>Rentabilitate</w:t>
            </w:r>
          </w:p>
        </w:tc>
        <w:tc>
          <w:tcPr>
            <w:tcW w:w="2537" w:type="dxa"/>
            <w:tcBorders>
              <w:top w:val="single" w:sz="4" w:space="0" w:color="000000"/>
              <w:left w:val="single" w:sz="4" w:space="0" w:color="000000"/>
              <w:bottom w:val="single" w:sz="4" w:space="0" w:color="000000"/>
              <w:right w:val="single" w:sz="4" w:space="0" w:color="000000"/>
            </w:tcBorders>
            <w:vAlign w:val="bottom"/>
          </w:tcPr>
          <w:p w14:paraId="5E31328F" w14:textId="77777777" w:rsidR="0039040E" w:rsidRPr="0039040E" w:rsidRDefault="0039040E" w:rsidP="0039040E">
            <w:pPr>
              <w:widowControl w:val="0"/>
              <w:rPr>
                <w:rFonts w:ascii="Times New Roman" w:hAnsi="Times New Roman" w:cs="Times New Roman"/>
                <w:color w:val="000000"/>
                <w:lang w:bidi="en-US"/>
              </w:rPr>
            </w:pPr>
            <w:r w:rsidRPr="0039040E">
              <w:rPr>
                <w:rFonts w:ascii="Times New Roman" w:hAnsi="Times New Roman" w:cs="Times New Roman"/>
                <w:color w:val="000000"/>
                <w:sz w:val="20"/>
                <w:lang w:bidi="en-US"/>
              </w:rPr>
              <w:t>Rentabilitatea capitalului propriu (ROE)</w:t>
            </w:r>
          </w:p>
        </w:tc>
        <w:tc>
          <w:tcPr>
            <w:tcW w:w="752" w:type="dxa"/>
            <w:tcBorders>
              <w:top w:val="single" w:sz="4" w:space="0" w:color="000000"/>
              <w:left w:val="single" w:sz="4" w:space="0" w:color="000000"/>
              <w:bottom w:val="single" w:sz="4" w:space="0" w:color="000000"/>
              <w:right w:val="single" w:sz="4" w:space="0" w:color="000000"/>
            </w:tcBorders>
            <w:vAlign w:val="center"/>
          </w:tcPr>
          <w:p w14:paraId="206D8353" w14:textId="77777777" w:rsidR="0039040E" w:rsidRPr="0039040E" w:rsidRDefault="0039040E" w:rsidP="0039040E">
            <w:pPr>
              <w:widowControl w:val="0"/>
              <w:ind w:left="161"/>
              <w:jc w:val="center"/>
              <w:rPr>
                <w:rFonts w:ascii="Times New Roman" w:hAnsi="Times New Roman" w:cs="Times New Roman"/>
                <w:color w:val="000000"/>
                <w:lang w:bidi="en-US"/>
              </w:rPr>
            </w:pPr>
            <w:r w:rsidRPr="0039040E">
              <w:rPr>
                <w:rFonts w:ascii="Times New Roman" w:hAnsi="Times New Roman" w:cs="Times New Roman"/>
                <w:color w:val="000000"/>
                <w:sz w:val="20"/>
                <w:lang w:bidi="en-US"/>
              </w:rPr>
              <w:t>%</w:t>
            </w:r>
          </w:p>
        </w:tc>
        <w:tc>
          <w:tcPr>
            <w:tcW w:w="5106" w:type="dxa"/>
            <w:tcBorders>
              <w:top w:val="single" w:sz="4" w:space="0" w:color="000000"/>
              <w:left w:val="single" w:sz="4" w:space="0" w:color="000000"/>
              <w:bottom w:val="single" w:sz="4" w:space="0" w:color="000000"/>
              <w:right w:val="single" w:sz="4" w:space="0" w:color="000000"/>
            </w:tcBorders>
            <w:vAlign w:val="bottom"/>
          </w:tcPr>
          <w:p w14:paraId="2453C5CB" w14:textId="77777777" w:rsidR="0039040E" w:rsidRPr="0039040E" w:rsidRDefault="0039040E" w:rsidP="0039040E">
            <w:pPr>
              <w:widowControl w:val="0"/>
              <w:rPr>
                <w:rFonts w:ascii="Times New Roman" w:hAnsi="Times New Roman" w:cs="Times New Roman"/>
                <w:color w:val="000000"/>
                <w:lang w:bidi="en-US"/>
              </w:rPr>
            </w:pPr>
            <w:r w:rsidRPr="0039040E">
              <w:rPr>
                <w:rFonts w:ascii="Times New Roman" w:hAnsi="Times New Roman" w:cs="Times New Roman"/>
                <w:i/>
                <w:color w:val="000000"/>
                <w:lang w:bidi="en-US"/>
              </w:rPr>
              <w:t>Profit net/Valoare capital propriu</w:t>
            </w:r>
          </w:p>
        </w:tc>
      </w:tr>
      <w:tr w:rsidR="0039040E" w:rsidRPr="0039040E" w14:paraId="7505D127" w14:textId="77777777" w:rsidTr="006848D8">
        <w:trPr>
          <w:trHeight w:val="872"/>
        </w:trPr>
        <w:tc>
          <w:tcPr>
            <w:tcW w:w="530" w:type="dxa"/>
            <w:tcBorders>
              <w:top w:val="single" w:sz="4" w:space="0" w:color="000000"/>
              <w:left w:val="single" w:sz="4" w:space="0" w:color="000000"/>
              <w:bottom w:val="single" w:sz="4" w:space="0" w:color="000000"/>
              <w:right w:val="single" w:sz="4" w:space="0" w:color="000000"/>
            </w:tcBorders>
            <w:vAlign w:val="center"/>
          </w:tcPr>
          <w:p w14:paraId="3E7593FE" w14:textId="77777777" w:rsidR="0039040E" w:rsidRPr="0039040E" w:rsidRDefault="0039040E" w:rsidP="0039040E">
            <w:pPr>
              <w:widowControl w:val="0"/>
              <w:rPr>
                <w:rFonts w:ascii="Times New Roman" w:hAnsi="Times New Roman" w:cs="Times New Roman"/>
                <w:color w:val="000000"/>
                <w:lang w:bidi="en-US"/>
              </w:rPr>
            </w:pPr>
            <w:r w:rsidRPr="0039040E">
              <w:rPr>
                <w:rFonts w:ascii="Times New Roman" w:hAnsi="Times New Roman" w:cs="Times New Roman"/>
                <w:color w:val="000000"/>
                <w:sz w:val="20"/>
                <w:lang w:bidi="en-US"/>
              </w:rPr>
              <w:t xml:space="preserve">   7</w:t>
            </w:r>
          </w:p>
        </w:tc>
        <w:tc>
          <w:tcPr>
            <w:tcW w:w="1256" w:type="dxa"/>
            <w:tcBorders>
              <w:top w:val="single" w:sz="4" w:space="0" w:color="000000"/>
              <w:left w:val="single" w:sz="4" w:space="0" w:color="000000"/>
              <w:bottom w:val="single" w:sz="4" w:space="0" w:color="000000"/>
              <w:right w:val="single" w:sz="4" w:space="0" w:color="000000"/>
            </w:tcBorders>
            <w:vAlign w:val="center"/>
          </w:tcPr>
          <w:p w14:paraId="3FBB56F5" w14:textId="77777777" w:rsidR="0039040E" w:rsidRPr="0039040E" w:rsidRDefault="0039040E" w:rsidP="0039040E">
            <w:pPr>
              <w:widowControl w:val="0"/>
              <w:rPr>
                <w:rFonts w:ascii="Times New Roman" w:hAnsi="Times New Roman" w:cs="Times New Roman"/>
                <w:color w:val="000000"/>
                <w:lang w:bidi="en-US"/>
              </w:rPr>
            </w:pPr>
            <w:r w:rsidRPr="0039040E">
              <w:rPr>
                <w:rFonts w:ascii="Times New Roman" w:hAnsi="Times New Roman" w:cs="Times New Roman"/>
                <w:color w:val="000000"/>
                <w:sz w:val="20"/>
                <w:lang w:bidi="en-US"/>
              </w:rPr>
              <w:t>Rentabilitate</w:t>
            </w:r>
          </w:p>
        </w:tc>
        <w:tc>
          <w:tcPr>
            <w:tcW w:w="2537" w:type="dxa"/>
            <w:tcBorders>
              <w:top w:val="single" w:sz="4" w:space="0" w:color="000000"/>
              <w:left w:val="single" w:sz="4" w:space="0" w:color="000000"/>
              <w:bottom w:val="single" w:sz="4" w:space="0" w:color="000000"/>
              <w:right w:val="single" w:sz="4" w:space="0" w:color="000000"/>
            </w:tcBorders>
            <w:vAlign w:val="bottom"/>
          </w:tcPr>
          <w:p w14:paraId="1103CD1F" w14:textId="77777777" w:rsidR="0039040E" w:rsidRPr="0039040E" w:rsidRDefault="0039040E" w:rsidP="0039040E">
            <w:pPr>
              <w:widowControl w:val="0"/>
              <w:rPr>
                <w:rFonts w:ascii="Times New Roman" w:hAnsi="Times New Roman" w:cs="Times New Roman"/>
                <w:color w:val="000000"/>
                <w:lang w:bidi="en-US"/>
              </w:rPr>
            </w:pPr>
            <w:r w:rsidRPr="0039040E">
              <w:rPr>
                <w:rFonts w:ascii="Times New Roman" w:hAnsi="Times New Roman" w:cs="Times New Roman"/>
                <w:color w:val="000000"/>
                <w:sz w:val="20"/>
                <w:lang w:bidi="en-US"/>
              </w:rPr>
              <w:t>Rata de creștere a cifrei de afaceri nete</w:t>
            </w:r>
          </w:p>
        </w:tc>
        <w:tc>
          <w:tcPr>
            <w:tcW w:w="752" w:type="dxa"/>
            <w:tcBorders>
              <w:top w:val="single" w:sz="4" w:space="0" w:color="000000"/>
              <w:left w:val="single" w:sz="4" w:space="0" w:color="000000"/>
              <w:bottom w:val="single" w:sz="4" w:space="0" w:color="000000"/>
              <w:right w:val="single" w:sz="4" w:space="0" w:color="000000"/>
            </w:tcBorders>
            <w:vAlign w:val="center"/>
          </w:tcPr>
          <w:p w14:paraId="59E0E91D" w14:textId="77777777" w:rsidR="0039040E" w:rsidRPr="0039040E" w:rsidRDefault="0039040E" w:rsidP="0039040E">
            <w:pPr>
              <w:widowControl w:val="0"/>
              <w:ind w:left="161"/>
              <w:jc w:val="center"/>
              <w:rPr>
                <w:rFonts w:ascii="Times New Roman" w:hAnsi="Times New Roman" w:cs="Times New Roman"/>
                <w:color w:val="000000"/>
                <w:lang w:bidi="en-US"/>
              </w:rPr>
            </w:pPr>
            <w:r w:rsidRPr="0039040E">
              <w:rPr>
                <w:rFonts w:ascii="Times New Roman" w:hAnsi="Times New Roman" w:cs="Times New Roman"/>
                <w:color w:val="000000"/>
                <w:sz w:val="20"/>
                <w:lang w:bidi="en-US"/>
              </w:rPr>
              <w:t>%</w:t>
            </w:r>
          </w:p>
        </w:tc>
        <w:tc>
          <w:tcPr>
            <w:tcW w:w="5106" w:type="dxa"/>
            <w:tcBorders>
              <w:top w:val="single" w:sz="4" w:space="0" w:color="000000"/>
              <w:left w:val="single" w:sz="4" w:space="0" w:color="000000"/>
              <w:bottom w:val="single" w:sz="4" w:space="0" w:color="000000"/>
              <w:right w:val="single" w:sz="4" w:space="0" w:color="000000"/>
            </w:tcBorders>
          </w:tcPr>
          <w:p w14:paraId="245BE8FC" w14:textId="77777777" w:rsidR="0039040E" w:rsidRPr="0039040E" w:rsidRDefault="0039040E" w:rsidP="0039040E">
            <w:pPr>
              <w:widowControl w:val="0"/>
              <w:ind w:firstLine="320"/>
              <w:rPr>
                <w:rFonts w:ascii="Times New Roman" w:hAnsi="Times New Roman" w:cs="Times New Roman"/>
                <w:color w:val="000000"/>
                <w:lang w:bidi="en-US"/>
              </w:rPr>
            </w:pPr>
            <w:r w:rsidRPr="0039040E">
              <w:rPr>
                <w:rFonts w:ascii="Times New Roman" w:hAnsi="Times New Roman" w:cs="Times New Roman"/>
                <w:i/>
                <w:color w:val="000000"/>
                <w:lang w:bidi="en-US"/>
              </w:rPr>
              <w:t>Cifra de afaceri neta(T</w:t>
            </w:r>
            <w:r w:rsidRPr="0039040E">
              <w:rPr>
                <w:rFonts w:ascii="Times New Roman" w:hAnsi="Times New Roman" w:cs="Times New Roman"/>
                <w:i/>
                <w:color w:val="000000"/>
                <w:vertAlign w:val="subscript"/>
                <w:lang w:bidi="en-US"/>
              </w:rPr>
              <w:t>1</w:t>
            </w:r>
            <w:r w:rsidRPr="0039040E">
              <w:rPr>
                <w:rFonts w:ascii="Times New Roman" w:hAnsi="Times New Roman" w:cs="Times New Roman"/>
                <w:i/>
                <w:color w:val="000000"/>
                <w:lang w:bidi="en-US"/>
              </w:rPr>
              <w:t>)-Cifra de afaceri netă(T</w:t>
            </w:r>
            <w:r w:rsidRPr="0039040E">
              <w:rPr>
                <w:rFonts w:ascii="Times New Roman" w:hAnsi="Times New Roman" w:cs="Times New Roman"/>
                <w:i/>
                <w:color w:val="000000"/>
                <w:vertAlign w:val="subscript"/>
                <w:lang w:bidi="en-US"/>
              </w:rPr>
              <w:t>0)/</w:t>
            </w:r>
            <w:r w:rsidRPr="0039040E">
              <w:rPr>
                <w:rFonts w:ascii="Times New Roman" w:hAnsi="Times New Roman" w:cs="Times New Roman"/>
                <w:i/>
                <w:color w:val="000000"/>
                <w:lang w:bidi="en-US"/>
              </w:rPr>
              <w:t>/Cifra de afaceri(T</w:t>
            </w:r>
            <w:r w:rsidRPr="0039040E">
              <w:rPr>
                <w:rFonts w:ascii="Times New Roman" w:hAnsi="Times New Roman" w:cs="Times New Roman"/>
                <w:i/>
                <w:color w:val="000000"/>
                <w:vertAlign w:val="subscript"/>
                <w:lang w:bidi="en-US"/>
              </w:rPr>
              <w:t>0</w:t>
            </w:r>
            <w:r w:rsidRPr="0039040E">
              <w:rPr>
                <w:rFonts w:ascii="Times New Roman" w:hAnsi="Times New Roman" w:cs="Times New Roman"/>
                <w:i/>
                <w:color w:val="000000"/>
                <w:lang w:bidi="en-US"/>
              </w:rPr>
              <w:t>)</w:t>
            </w:r>
          </w:p>
        </w:tc>
      </w:tr>
      <w:tr w:rsidR="0039040E" w:rsidRPr="0039040E" w14:paraId="27A54528" w14:textId="77777777" w:rsidTr="006848D8">
        <w:trPr>
          <w:trHeight w:val="847"/>
        </w:trPr>
        <w:tc>
          <w:tcPr>
            <w:tcW w:w="530" w:type="dxa"/>
            <w:tcBorders>
              <w:top w:val="single" w:sz="4" w:space="0" w:color="000000"/>
              <w:left w:val="single" w:sz="4" w:space="0" w:color="000000"/>
              <w:bottom w:val="single" w:sz="4" w:space="0" w:color="000000"/>
              <w:right w:val="single" w:sz="4" w:space="0" w:color="000000"/>
            </w:tcBorders>
            <w:vAlign w:val="center"/>
          </w:tcPr>
          <w:p w14:paraId="7B35BB8D" w14:textId="77777777" w:rsidR="0039040E" w:rsidRPr="0039040E" w:rsidRDefault="0039040E" w:rsidP="0039040E">
            <w:pPr>
              <w:widowControl w:val="0"/>
              <w:rPr>
                <w:rFonts w:ascii="Times New Roman" w:hAnsi="Times New Roman" w:cs="Times New Roman"/>
                <w:color w:val="000000"/>
                <w:lang w:bidi="en-US"/>
              </w:rPr>
            </w:pPr>
            <w:r w:rsidRPr="0039040E">
              <w:rPr>
                <w:rFonts w:ascii="Times New Roman" w:hAnsi="Times New Roman" w:cs="Times New Roman"/>
                <w:color w:val="000000"/>
                <w:sz w:val="20"/>
                <w:lang w:bidi="en-US"/>
              </w:rPr>
              <w:t xml:space="preserve">   8</w:t>
            </w:r>
          </w:p>
        </w:tc>
        <w:tc>
          <w:tcPr>
            <w:tcW w:w="1256" w:type="dxa"/>
            <w:tcBorders>
              <w:top w:val="single" w:sz="4" w:space="0" w:color="000000"/>
              <w:left w:val="single" w:sz="4" w:space="0" w:color="000000"/>
              <w:bottom w:val="single" w:sz="4" w:space="0" w:color="000000"/>
              <w:right w:val="single" w:sz="4" w:space="0" w:color="000000"/>
            </w:tcBorders>
            <w:vAlign w:val="bottom"/>
          </w:tcPr>
          <w:p w14:paraId="57691020" w14:textId="77777777" w:rsidR="0039040E" w:rsidRPr="0039040E" w:rsidRDefault="0039040E" w:rsidP="0039040E">
            <w:pPr>
              <w:widowControl w:val="0"/>
              <w:rPr>
                <w:rFonts w:ascii="Times New Roman" w:hAnsi="Times New Roman" w:cs="Times New Roman"/>
                <w:color w:val="000000"/>
                <w:lang w:bidi="en-US"/>
              </w:rPr>
            </w:pPr>
            <w:r w:rsidRPr="0039040E">
              <w:rPr>
                <w:rFonts w:ascii="Times New Roman" w:hAnsi="Times New Roman" w:cs="Times New Roman"/>
                <w:color w:val="000000"/>
                <w:sz w:val="20"/>
                <w:lang w:bidi="en-US"/>
              </w:rPr>
              <w:t>Politica de dividende</w:t>
            </w:r>
          </w:p>
        </w:tc>
        <w:tc>
          <w:tcPr>
            <w:tcW w:w="2537" w:type="dxa"/>
            <w:tcBorders>
              <w:top w:val="single" w:sz="4" w:space="0" w:color="000000"/>
              <w:left w:val="single" w:sz="4" w:space="0" w:color="000000"/>
              <w:bottom w:val="single" w:sz="4" w:space="0" w:color="000000"/>
              <w:right w:val="single" w:sz="4" w:space="0" w:color="000000"/>
            </w:tcBorders>
            <w:vAlign w:val="bottom"/>
          </w:tcPr>
          <w:p w14:paraId="749C77DC" w14:textId="0D657596" w:rsidR="0039040E" w:rsidRPr="0039040E" w:rsidRDefault="0039040E" w:rsidP="0039040E">
            <w:pPr>
              <w:widowControl w:val="0"/>
              <w:rPr>
                <w:rFonts w:ascii="Times New Roman" w:hAnsi="Times New Roman" w:cs="Times New Roman"/>
                <w:color w:val="000000"/>
                <w:lang w:bidi="en-US"/>
              </w:rPr>
            </w:pPr>
            <w:r w:rsidRPr="0039040E">
              <w:rPr>
                <w:rFonts w:ascii="Times New Roman" w:hAnsi="Times New Roman" w:cs="Times New Roman"/>
                <w:color w:val="000000"/>
                <w:sz w:val="20"/>
                <w:lang w:bidi="en-US"/>
              </w:rPr>
              <w:t xml:space="preserve">Rata de plată a </w:t>
            </w:r>
            <w:r w:rsidR="00B66E34" w:rsidRPr="0039040E">
              <w:rPr>
                <w:rFonts w:ascii="Times New Roman" w:hAnsi="Times New Roman" w:cs="Times New Roman"/>
                <w:color w:val="000000"/>
                <w:sz w:val="20"/>
                <w:lang w:bidi="en-US"/>
              </w:rPr>
              <w:t>dividendelor</w:t>
            </w:r>
            <w:r w:rsidRPr="0039040E">
              <w:rPr>
                <w:rFonts w:ascii="Times New Roman" w:hAnsi="Times New Roman" w:cs="Times New Roman"/>
                <w:color w:val="000000"/>
                <w:sz w:val="20"/>
                <w:lang w:bidi="en-US"/>
              </w:rPr>
              <w:t xml:space="preserve"> (DPR)</w:t>
            </w:r>
          </w:p>
        </w:tc>
        <w:tc>
          <w:tcPr>
            <w:tcW w:w="752" w:type="dxa"/>
            <w:tcBorders>
              <w:top w:val="single" w:sz="4" w:space="0" w:color="000000"/>
              <w:left w:val="single" w:sz="4" w:space="0" w:color="000000"/>
              <w:bottom w:val="single" w:sz="4" w:space="0" w:color="000000"/>
              <w:right w:val="single" w:sz="4" w:space="0" w:color="000000"/>
            </w:tcBorders>
            <w:vAlign w:val="center"/>
          </w:tcPr>
          <w:p w14:paraId="31AF23C4" w14:textId="77777777" w:rsidR="0039040E" w:rsidRPr="0039040E" w:rsidRDefault="0039040E" w:rsidP="0039040E">
            <w:pPr>
              <w:widowControl w:val="0"/>
              <w:ind w:left="161"/>
              <w:jc w:val="center"/>
              <w:rPr>
                <w:rFonts w:ascii="Times New Roman" w:hAnsi="Times New Roman" w:cs="Times New Roman"/>
                <w:color w:val="000000"/>
                <w:lang w:bidi="en-US"/>
              </w:rPr>
            </w:pPr>
            <w:r w:rsidRPr="0039040E">
              <w:rPr>
                <w:rFonts w:ascii="Times New Roman" w:hAnsi="Times New Roman" w:cs="Times New Roman"/>
                <w:color w:val="000000"/>
                <w:sz w:val="20"/>
                <w:lang w:bidi="en-US"/>
              </w:rPr>
              <w:t>%</w:t>
            </w:r>
          </w:p>
        </w:tc>
        <w:tc>
          <w:tcPr>
            <w:tcW w:w="5106" w:type="dxa"/>
            <w:tcBorders>
              <w:top w:val="single" w:sz="4" w:space="0" w:color="000000"/>
              <w:left w:val="single" w:sz="4" w:space="0" w:color="000000"/>
              <w:bottom w:val="single" w:sz="4" w:space="0" w:color="000000"/>
              <w:right w:val="single" w:sz="4" w:space="0" w:color="000000"/>
            </w:tcBorders>
            <w:vAlign w:val="bottom"/>
          </w:tcPr>
          <w:p w14:paraId="26FBDEF6" w14:textId="77777777" w:rsidR="0039040E" w:rsidRPr="0039040E" w:rsidRDefault="0039040E" w:rsidP="0039040E">
            <w:pPr>
              <w:widowControl w:val="0"/>
              <w:ind w:left="2080"/>
              <w:rPr>
                <w:rFonts w:ascii="Times New Roman" w:hAnsi="Times New Roman" w:cs="Times New Roman"/>
                <w:color w:val="000000"/>
                <w:lang w:bidi="en-US"/>
              </w:rPr>
            </w:pPr>
            <w:r w:rsidRPr="0039040E">
              <w:rPr>
                <w:rFonts w:ascii="Times New Roman" w:hAnsi="Times New Roman" w:cs="Times New Roman"/>
                <w:i/>
                <w:color w:val="000000"/>
                <w:lang w:bidi="en-US"/>
              </w:rPr>
              <w:t>Dividende plătite/Profit net</w:t>
            </w:r>
          </w:p>
        </w:tc>
      </w:tr>
      <w:tr w:rsidR="0039040E" w:rsidRPr="0039040E" w14:paraId="59BB1595" w14:textId="77777777" w:rsidTr="006848D8">
        <w:trPr>
          <w:trHeight w:val="240"/>
        </w:trPr>
        <w:tc>
          <w:tcPr>
            <w:tcW w:w="10181" w:type="dxa"/>
            <w:gridSpan w:val="5"/>
            <w:tcBorders>
              <w:top w:val="single" w:sz="4" w:space="0" w:color="000000"/>
              <w:left w:val="single" w:sz="4" w:space="0" w:color="000000"/>
              <w:bottom w:val="single" w:sz="4" w:space="0" w:color="000000"/>
              <w:right w:val="single" w:sz="4" w:space="0" w:color="000000"/>
            </w:tcBorders>
            <w:shd w:val="clear" w:color="auto" w:fill="BCD7F2"/>
          </w:tcPr>
          <w:p w14:paraId="0A5AD571" w14:textId="77777777" w:rsidR="0039040E" w:rsidRPr="0039040E" w:rsidRDefault="0039040E" w:rsidP="0039040E">
            <w:pPr>
              <w:widowControl w:val="0"/>
              <w:ind w:right="14"/>
              <w:jc w:val="center"/>
              <w:rPr>
                <w:rFonts w:ascii="Times New Roman" w:hAnsi="Times New Roman" w:cs="Times New Roman"/>
                <w:color w:val="000000"/>
                <w:lang w:bidi="en-US"/>
              </w:rPr>
            </w:pPr>
            <w:r w:rsidRPr="0039040E">
              <w:rPr>
                <w:rFonts w:ascii="Times New Roman" w:hAnsi="Times New Roman" w:cs="Times New Roman"/>
                <w:b/>
                <w:color w:val="000000"/>
                <w:sz w:val="20"/>
                <w:lang w:bidi="en-US"/>
              </w:rPr>
              <w:t>INDICATORI NEFINANCIARI</w:t>
            </w:r>
          </w:p>
        </w:tc>
      </w:tr>
      <w:tr w:rsidR="0039040E" w:rsidRPr="0039040E" w14:paraId="1E7EFFF4" w14:textId="77777777" w:rsidTr="006848D8">
        <w:trPr>
          <w:trHeight w:val="808"/>
        </w:trPr>
        <w:tc>
          <w:tcPr>
            <w:tcW w:w="530" w:type="dxa"/>
            <w:tcBorders>
              <w:top w:val="single" w:sz="4" w:space="0" w:color="000000"/>
              <w:left w:val="single" w:sz="4" w:space="0" w:color="000000"/>
              <w:bottom w:val="single" w:sz="4" w:space="0" w:color="000000"/>
              <w:right w:val="single" w:sz="4" w:space="0" w:color="000000"/>
            </w:tcBorders>
            <w:vAlign w:val="center"/>
          </w:tcPr>
          <w:p w14:paraId="7937E48B" w14:textId="77777777" w:rsidR="0039040E" w:rsidRPr="0039040E" w:rsidRDefault="0039040E" w:rsidP="0039040E">
            <w:pPr>
              <w:widowControl w:val="0"/>
              <w:jc w:val="right"/>
              <w:rPr>
                <w:rFonts w:ascii="Times New Roman" w:hAnsi="Times New Roman" w:cs="Times New Roman"/>
                <w:color w:val="000000"/>
                <w:lang w:bidi="en-US"/>
              </w:rPr>
            </w:pPr>
            <w:r w:rsidRPr="0039040E">
              <w:rPr>
                <w:rFonts w:ascii="Times New Roman" w:hAnsi="Times New Roman" w:cs="Times New Roman"/>
                <w:color w:val="000000"/>
                <w:sz w:val="20"/>
                <w:lang w:bidi="en-US"/>
              </w:rPr>
              <w:t>1</w:t>
            </w:r>
          </w:p>
        </w:tc>
        <w:tc>
          <w:tcPr>
            <w:tcW w:w="1256" w:type="dxa"/>
            <w:tcBorders>
              <w:top w:val="single" w:sz="4" w:space="0" w:color="000000"/>
              <w:left w:val="single" w:sz="4" w:space="0" w:color="000000"/>
              <w:bottom w:val="single" w:sz="4" w:space="0" w:color="000000"/>
              <w:right w:val="single" w:sz="4" w:space="0" w:color="000000"/>
            </w:tcBorders>
            <w:vAlign w:val="center"/>
          </w:tcPr>
          <w:p w14:paraId="7047AC84" w14:textId="67550A64" w:rsidR="0039040E" w:rsidRPr="0039040E" w:rsidRDefault="0039040E" w:rsidP="0039040E">
            <w:pPr>
              <w:widowControl w:val="0"/>
              <w:rPr>
                <w:rFonts w:ascii="Times New Roman" w:hAnsi="Times New Roman" w:cs="Times New Roman"/>
                <w:color w:val="000000"/>
                <w:lang w:bidi="en-US"/>
              </w:rPr>
            </w:pPr>
            <w:r w:rsidRPr="0039040E">
              <w:rPr>
                <w:rFonts w:ascii="Times New Roman" w:hAnsi="Times New Roman" w:cs="Times New Roman"/>
                <w:color w:val="000000"/>
                <w:sz w:val="20"/>
                <w:lang w:bidi="en-US"/>
              </w:rPr>
              <w:t xml:space="preserve">Referitor la </w:t>
            </w:r>
            <w:r w:rsidR="00B66E34" w:rsidRPr="0039040E">
              <w:rPr>
                <w:rFonts w:ascii="Times New Roman" w:hAnsi="Times New Roman" w:cs="Times New Roman"/>
                <w:color w:val="000000"/>
                <w:sz w:val="20"/>
                <w:lang w:bidi="en-US"/>
              </w:rPr>
              <w:t>populație</w:t>
            </w:r>
          </w:p>
        </w:tc>
        <w:tc>
          <w:tcPr>
            <w:tcW w:w="2537" w:type="dxa"/>
            <w:tcBorders>
              <w:top w:val="single" w:sz="4" w:space="0" w:color="000000"/>
              <w:left w:val="single" w:sz="4" w:space="0" w:color="000000"/>
              <w:bottom w:val="single" w:sz="4" w:space="0" w:color="000000"/>
              <w:right w:val="single" w:sz="4" w:space="0" w:color="000000"/>
            </w:tcBorders>
          </w:tcPr>
          <w:p w14:paraId="08B24642" w14:textId="77777777" w:rsidR="0039040E" w:rsidRPr="0039040E" w:rsidRDefault="0039040E" w:rsidP="0039040E">
            <w:pPr>
              <w:widowControl w:val="0"/>
              <w:rPr>
                <w:rFonts w:ascii="Times New Roman" w:hAnsi="Times New Roman" w:cs="Times New Roman"/>
                <w:color w:val="000000"/>
                <w:lang w:bidi="en-US"/>
              </w:rPr>
            </w:pPr>
            <w:r w:rsidRPr="0039040E">
              <w:rPr>
                <w:rFonts w:ascii="Times New Roman" w:hAnsi="Times New Roman" w:cs="Times New Roman"/>
                <w:color w:val="000000"/>
                <w:sz w:val="20"/>
                <w:lang w:bidi="en-US"/>
              </w:rPr>
              <w:t>Asigurarea gradului de conformare cu normele sanitar veterinare</w:t>
            </w:r>
          </w:p>
        </w:tc>
        <w:tc>
          <w:tcPr>
            <w:tcW w:w="752" w:type="dxa"/>
            <w:tcBorders>
              <w:top w:val="single" w:sz="4" w:space="0" w:color="000000"/>
              <w:left w:val="single" w:sz="4" w:space="0" w:color="000000"/>
              <w:bottom w:val="single" w:sz="4" w:space="0" w:color="000000"/>
              <w:right w:val="single" w:sz="4" w:space="0" w:color="000000"/>
            </w:tcBorders>
            <w:vAlign w:val="center"/>
          </w:tcPr>
          <w:p w14:paraId="3A3E00A8" w14:textId="57978A46" w:rsidR="0039040E" w:rsidRPr="0039040E" w:rsidRDefault="00B66E34" w:rsidP="0039040E">
            <w:pPr>
              <w:widowControl w:val="0"/>
              <w:ind w:left="22"/>
              <w:rPr>
                <w:rFonts w:ascii="Times New Roman" w:hAnsi="Times New Roman" w:cs="Times New Roman"/>
                <w:color w:val="000000"/>
                <w:lang w:bidi="en-US"/>
              </w:rPr>
            </w:pPr>
            <w:r w:rsidRPr="0039040E">
              <w:rPr>
                <w:rFonts w:ascii="Times New Roman" w:hAnsi="Times New Roman" w:cs="Times New Roman"/>
                <w:color w:val="000000"/>
                <w:sz w:val="20"/>
                <w:lang w:bidi="en-US"/>
              </w:rPr>
              <w:t>număr</w:t>
            </w:r>
          </w:p>
        </w:tc>
        <w:tc>
          <w:tcPr>
            <w:tcW w:w="5106" w:type="dxa"/>
            <w:tcBorders>
              <w:top w:val="single" w:sz="4" w:space="0" w:color="000000"/>
              <w:left w:val="single" w:sz="4" w:space="0" w:color="000000"/>
              <w:bottom w:val="single" w:sz="4" w:space="0" w:color="000000"/>
              <w:right w:val="single" w:sz="4" w:space="0" w:color="000000"/>
            </w:tcBorders>
            <w:vAlign w:val="center"/>
          </w:tcPr>
          <w:p w14:paraId="77AC0D16" w14:textId="0924DD8A" w:rsidR="0039040E" w:rsidRPr="0039040E" w:rsidRDefault="0039040E" w:rsidP="0039040E">
            <w:pPr>
              <w:widowControl w:val="0"/>
              <w:rPr>
                <w:rFonts w:ascii="Times New Roman" w:hAnsi="Times New Roman" w:cs="Times New Roman"/>
                <w:color w:val="000000"/>
                <w:lang w:bidi="en-US"/>
              </w:rPr>
            </w:pPr>
            <w:r w:rsidRPr="0039040E">
              <w:rPr>
                <w:rFonts w:ascii="Times New Roman" w:hAnsi="Times New Roman" w:cs="Times New Roman"/>
                <w:i/>
                <w:color w:val="000000"/>
                <w:lang w:bidi="en-US"/>
              </w:rPr>
              <w:t>Lip</w:t>
            </w:r>
            <w:r w:rsidR="00B66E34">
              <w:rPr>
                <w:rFonts w:ascii="Times New Roman" w:hAnsi="Times New Roman" w:cs="Times New Roman"/>
                <w:i/>
                <w:color w:val="000000"/>
                <w:lang w:bidi="en-US"/>
              </w:rPr>
              <w:t>s</w:t>
            </w:r>
            <w:r w:rsidRPr="0039040E">
              <w:rPr>
                <w:rFonts w:ascii="Times New Roman" w:hAnsi="Times New Roman" w:cs="Times New Roman"/>
                <w:i/>
                <w:color w:val="000000"/>
                <w:lang w:bidi="en-US"/>
              </w:rPr>
              <w:t>a sancțiunilor pecuniare</w:t>
            </w:r>
          </w:p>
        </w:tc>
      </w:tr>
      <w:tr w:rsidR="0039040E" w:rsidRPr="0039040E" w14:paraId="0626E23A" w14:textId="77777777" w:rsidTr="006848D8">
        <w:trPr>
          <w:trHeight w:val="1150"/>
        </w:trPr>
        <w:tc>
          <w:tcPr>
            <w:tcW w:w="530" w:type="dxa"/>
            <w:tcBorders>
              <w:top w:val="single" w:sz="4" w:space="0" w:color="000000"/>
              <w:left w:val="single" w:sz="4" w:space="0" w:color="000000"/>
              <w:bottom w:val="single" w:sz="4" w:space="0" w:color="000000"/>
              <w:right w:val="single" w:sz="4" w:space="0" w:color="000000"/>
            </w:tcBorders>
            <w:vAlign w:val="center"/>
          </w:tcPr>
          <w:p w14:paraId="092DE9F8" w14:textId="77777777" w:rsidR="0039040E" w:rsidRPr="0039040E" w:rsidRDefault="0039040E" w:rsidP="0039040E">
            <w:pPr>
              <w:widowControl w:val="0"/>
              <w:jc w:val="right"/>
              <w:rPr>
                <w:rFonts w:ascii="Times New Roman" w:hAnsi="Times New Roman" w:cs="Times New Roman"/>
                <w:color w:val="000000"/>
                <w:lang w:bidi="en-US"/>
              </w:rPr>
            </w:pPr>
            <w:r w:rsidRPr="0039040E">
              <w:rPr>
                <w:rFonts w:ascii="Times New Roman" w:hAnsi="Times New Roman" w:cs="Times New Roman"/>
                <w:color w:val="000000"/>
                <w:sz w:val="20"/>
                <w:lang w:bidi="en-US"/>
              </w:rPr>
              <w:t>2</w:t>
            </w:r>
          </w:p>
        </w:tc>
        <w:tc>
          <w:tcPr>
            <w:tcW w:w="1256" w:type="dxa"/>
            <w:tcBorders>
              <w:top w:val="single" w:sz="4" w:space="0" w:color="000000"/>
              <w:left w:val="single" w:sz="4" w:space="0" w:color="000000"/>
              <w:bottom w:val="single" w:sz="4" w:space="0" w:color="000000"/>
              <w:right w:val="single" w:sz="4" w:space="0" w:color="000000"/>
            </w:tcBorders>
            <w:vAlign w:val="center"/>
          </w:tcPr>
          <w:p w14:paraId="417576A8" w14:textId="77777777" w:rsidR="0039040E" w:rsidRPr="0039040E" w:rsidRDefault="0039040E" w:rsidP="0039040E">
            <w:pPr>
              <w:widowControl w:val="0"/>
              <w:rPr>
                <w:rFonts w:ascii="Times New Roman" w:hAnsi="Times New Roman" w:cs="Times New Roman"/>
                <w:color w:val="000000"/>
                <w:lang w:bidi="en-US"/>
              </w:rPr>
            </w:pPr>
            <w:r w:rsidRPr="0039040E">
              <w:rPr>
                <w:rFonts w:ascii="Times New Roman" w:hAnsi="Times New Roman" w:cs="Times New Roman"/>
                <w:color w:val="000000"/>
                <w:sz w:val="20"/>
                <w:lang w:bidi="en-US"/>
              </w:rPr>
              <w:t>Referitor la clienți</w:t>
            </w:r>
          </w:p>
        </w:tc>
        <w:tc>
          <w:tcPr>
            <w:tcW w:w="2537" w:type="dxa"/>
            <w:tcBorders>
              <w:top w:val="single" w:sz="4" w:space="0" w:color="000000"/>
              <w:left w:val="single" w:sz="4" w:space="0" w:color="000000"/>
              <w:bottom w:val="single" w:sz="4" w:space="0" w:color="000000"/>
              <w:right w:val="single" w:sz="4" w:space="0" w:color="000000"/>
            </w:tcBorders>
            <w:vAlign w:val="center"/>
          </w:tcPr>
          <w:p w14:paraId="5255E146" w14:textId="7B144200" w:rsidR="0039040E" w:rsidRPr="0039040E" w:rsidRDefault="00B66E34" w:rsidP="0039040E">
            <w:pPr>
              <w:widowControl w:val="0"/>
              <w:rPr>
                <w:rFonts w:ascii="Times New Roman" w:hAnsi="Times New Roman" w:cs="Times New Roman"/>
                <w:color w:val="000000"/>
                <w:lang w:bidi="en-US"/>
              </w:rPr>
            </w:pPr>
            <w:r w:rsidRPr="0039040E">
              <w:rPr>
                <w:rFonts w:ascii="Times New Roman" w:hAnsi="Times New Roman" w:cs="Times New Roman"/>
                <w:color w:val="000000"/>
                <w:sz w:val="20"/>
                <w:lang w:bidi="en-US"/>
              </w:rPr>
              <w:t>Creșterea</w:t>
            </w:r>
            <w:r w:rsidR="0039040E" w:rsidRPr="0039040E">
              <w:rPr>
                <w:rFonts w:ascii="Times New Roman" w:hAnsi="Times New Roman" w:cs="Times New Roman"/>
                <w:color w:val="000000"/>
                <w:sz w:val="20"/>
                <w:lang w:bidi="en-US"/>
              </w:rPr>
              <w:t xml:space="preserve"> gradului de satisfacției al  clienților</w:t>
            </w:r>
          </w:p>
        </w:tc>
        <w:tc>
          <w:tcPr>
            <w:tcW w:w="752" w:type="dxa"/>
            <w:tcBorders>
              <w:top w:val="single" w:sz="4" w:space="0" w:color="000000"/>
              <w:left w:val="single" w:sz="4" w:space="0" w:color="000000"/>
              <w:bottom w:val="single" w:sz="4" w:space="0" w:color="000000"/>
              <w:right w:val="single" w:sz="4" w:space="0" w:color="000000"/>
            </w:tcBorders>
            <w:vAlign w:val="center"/>
          </w:tcPr>
          <w:p w14:paraId="43B016E4" w14:textId="77777777" w:rsidR="0039040E" w:rsidRPr="0039040E" w:rsidRDefault="0039040E" w:rsidP="0039040E">
            <w:pPr>
              <w:widowControl w:val="0"/>
              <w:rPr>
                <w:rFonts w:ascii="Times New Roman" w:hAnsi="Times New Roman" w:cs="Times New Roman"/>
                <w:color w:val="000000"/>
                <w:lang w:bidi="en-US"/>
              </w:rPr>
            </w:pPr>
            <w:r w:rsidRPr="0039040E">
              <w:rPr>
                <w:rFonts w:ascii="Times New Roman" w:hAnsi="Times New Roman" w:cs="Times New Roman"/>
                <w:color w:val="000000"/>
                <w:sz w:val="20"/>
                <w:lang w:bidi="en-US"/>
              </w:rPr>
              <w:t>număr</w:t>
            </w:r>
          </w:p>
        </w:tc>
        <w:tc>
          <w:tcPr>
            <w:tcW w:w="5106" w:type="dxa"/>
            <w:tcBorders>
              <w:top w:val="single" w:sz="4" w:space="0" w:color="000000"/>
              <w:left w:val="single" w:sz="4" w:space="0" w:color="000000"/>
              <w:bottom w:val="single" w:sz="4" w:space="0" w:color="000000"/>
              <w:right w:val="single" w:sz="4" w:space="0" w:color="000000"/>
            </w:tcBorders>
            <w:vAlign w:val="bottom"/>
          </w:tcPr>
          <w:p w14:paraId="556B0836" w14:textId="0E06905F" w:rsidR="0039040E" w:rsidRPr="0039040E" w:rsidRDefault="0039040E" w:rsidP="0039040E">
            <w:pPr>
              <w:widowControl w:val="0"/>
              <w:rPr>
                <w:rFonts w:ascii="Times New Roman" w:hAnsi="Times New Roman" w:cs="Times New Roman"/>
                <w:color w:val="000000"/>
                <w:lang w:bidi="en-US"/>
              </w:rPr>
            </w:pPr>
            <w:r w:rsidRPr="0039040E">
              <w:rPr>
                <w:rFonts w:ascii="Times New Roman" w:hAnsi="Times New Roman" w:cs="Times New Roman"/>
                <w:i/>
                <w:color w:val="000000"/>
                <w:lang w:bidi="en-US"/>
              </w:rPr>
              <w:t xml:space="preserve">Scor </w:t>
            </w:r>
            <w:r w:rsidR="00B66E34" w:rsidRPr="0039040E">
              <w:rPr>
                <w:rFonts w:ascii="Times New Roman" w:hAnsi="Times New Roman" w:cs="Times New Roman"/>
                <w:i/>
                <w:color w:val="000000"/>
                <w:lang w:bidi="en-US"/>
              </w:rPr>
              <w:t>satisfacție</w:t>
            </w:r>
            <w:r w:rsidRPr="0039040E">
              <w:rPr>
                <w:rFonts w:ascii="Times New Roman" w:hAnsi="Times New Roman" w:cs="Times New Roman"/>
                <w:i/>
                <w:color w:val="000000"/>
                <w:lang w:bidi="en-US"/>
              </w:rPr>
              <w:t xml:space="preserve"> clienti(T</w:t>
            </w:r>
            <w:r w:rsidRPr="0039040E">
              <w:rPr>
                <w:rFonts w:ascii="Times New Roman" w:hAnsi="Times New Roman" w:cs="Times New Roman"/>
                <w:i/>
                <w:color w:val="000000"/>
                <w:vertAlign w:val="subscript"/>
                <w:lang w:bidi="en-US"/>
              </w:rPr>
              <w:t>1</w:t>
            </w:r>
            <w:r w:rsidRPr="0039040E">
              <w:rPr>
                <w:rFonts w:ascii="Times New Roman" w:hAnsi="Times New Roman" w:cs="Times New Roman"/>
                <w:i/>
                <w:color w:val="000000"/>
                <w:lang w:bidi="en-US"/>
              </w:rPr>
              <w:t xml:space="preserve">)=Total număr </w:t>
            </w:r>
            <w:r w:rsidR="00B66E34" w:rsidRPr="0039040E">
              <w:rPr>
                <w:rFonts w:ascii="Times New Roman" w:hAnsi="Times New Roman" w:cs="Times New Roman"/>
                <w:i/>
                <w:color w:val="000000"/>
                <w:lang w:bidi="en-US"/>
              </w:rPr>
              <w:t>evaluări</w:t>
            </w:r>
            <w:r w:rsidRPr="0039040E">
              <w:rPr>
                <w:rFonts w:ascii="Times New Roman" w:hAnsi="Times New Roman" w:cs="Times New Roman"/>
                <w:i/>
                <w:color w:val="000000"/>
                <w:lang w:bidi="en-US"/>
              </w:rPr>
              <w:t xml:space="preserve"> de 4 si</w:t>
            </w:r>
            <w:r w:rsidRPr="0039040E">
              <w:rPr>
                <w:rFonts w:ascii="Times New Roman" w:hAnsi="Times New Roman" w:cs="Times New Roman"/>
                <w:color w:val="000000"/>
                <w:lang w:bidi="en-US"/>
              </w:rPr>
              <w:t xml:space="preserve"> 5 </w:t>
            </w:r>
            <w:r w:rsidRPr="0039040E">
              <w:rPr>
                <w:rFonts w:ascii="Times New Roman" w:hAnsi="Times New Roman" w:cs="Times New Roman"/>
                <w:i/>
                <w:color w:val="000000"/>
                <w:lang w:bidi="en-US"/>
              </w:rPr>
              <w:t>(T1)/Total număr evaluari (T0)</w:t>
            </w:r>
          </w:p>
        </w:tc>
      </w:tr>
      <w:tr w:rsidR="0039040E" w:rsidRPr="0039040E" w14:paraId="4C9226BE" w14:textId="77777777" w:rsidTr="006848D8">
        <w:trPr>
          <w:trHeight w:val="880"/>
        </w:trPr>
        <w:tc>
          <w:tcPr>
            <w:tcW w:w="530" w:type="dxa"/>
            <w:tcBorders>
              <w:top w:val="single" w:sz="4" w:space="0" w:color="000000"/>
              <w:left w:val="single" w:sz="4" w:space="0" w:color="000000"/>
              <w:bottom w:val="single" w:sz="4" w:space="0" w:color="000000"/>
              <w:right w:val="single" w:sz="4" w:space="0" w:color="000000"/>
            </w:tcBorders>
          </w:tcPr>
          <w:p w14:paraId="1CC1800C" w14:textId="77777777" w:rsidR="0039040E" w:rsidRPr="0039040E" w:rsidRDefault="0039040E" w:rsidP="0039040E">
            <w:pPr>
              <w:widowControl w:val="0"/>
              <w:jc w:val="right"/>
              <w:rPr>
                <w:rFonts w:ascii="Times New Roman" w:hAnsi="Times New Roman" w:cs="Times New Roman"/>
                <w:color w:val="000000"/>
                <w:lang w:bidi="en-US"/>
              </w:rPr>
            </w:pPr>
            <w:r w:rsidRPr="0039040E">
              <w:rPr>
                <w:rFonts w:ascii="Times New Roman" w:hAnsi="Times New Roman" w:cs="Times New Roman"/>
                <w:color w:val="000000"/>
                <w:sz w:val="20"/>
                <w:lang w:bidi="en-US"/>
              </w:rPr>
              <w:lastRenderedPageBreak/>
              <w:t>3</w:t>
            </w:r>
          </w:p>
        </w:tc>
        <w:tc>
          <w:tcPr>
            <w:tcW w:w="1256" w:type="dxa"/>
            <w:tcBorders>
              <w:top w:val="single" w:sz="4" w:space="0" w:color="000000"/>
              <w:left w:val="single" w:sz="4" w:space="0" w:color="000000"/>
              <w:bottom w:val="single" w:sz="4" w:space="0" w:color="000000"/>
              <w:right w:val="single" w:sz="4" w:space="0" w:color="000000"/>
            </w:tcBorders>
            <w:vAlign w:val="bottom"/>
          </w:tcPr>
          <w:p w14:paraId="465A0FF2" w14:textId="77777777" w:rsidR="0039040E" w:rsidRPr="0039040E" w:rsidRDefault="0039040E" w:rsidP="0039040E">
            <w:pPr>
              <w:widowControl w:val="0"/>
              <w:rPr>
                <w:rFonts w:ascii="Times New Roman" w:hAnsi="Times New Roman" w:cs="Times New Roman"/>
                <w:color w:val="000000"/>
                <w:lang w:bidi="en-US"/>
              </w:rPr>
            </w:pPr>
            <w:r w:rsidRPr="0039040E">
              <w:rPr>
                <w:rFonts w:ascii="Times New Roman" w:hAnsi="Times New Roman" w:cs="Times New Roman"/>
                <w:color w:val="000000"/>
                <w:sz w:val="20"/>
                <w:lang w:bidi="en-US"/>
              </w:rPr>
              <w:t>Referitor la angajați</w:t>
            </w:r>
          </w:p>
        </w:tc>
        <w:tc>
          <w:tcPr>
            <w:tcW w:w="2537" w:type="dxa"/>
            <w:tcBorders>
              <w:top w:val="single" w:sz="4" w:space="0" w:color="000000"/>
              <w:left w:val="single" w:sz="4" w:space="0" w:color="000000"/>
              <w:bottom w:val="single" w:sz="4" w:space="0" w:color="000000"/>
              <w:right w:val="single" w:sz="4" w:space="0" w:color="000000"/>
            </w:tcBorders>
            <w:vAlign w:val="bottom"/>
          </w:tcPr>
          <w:p w14:paraId="08228A9D" w14:textId="77777777" w:rsidR="0039040E" w:rsidRPr="0039040E" w:rsidRDefault="0039040E" w:rsidP="0039040E">
            <w:pPr>
              <w:widowControl w:val="0"/>
              <w:rPr>
                <w:rFonts w:ascii="Times New Roman" w:hAnsi="Times New Roman" w:cs="Times New Roman"/>
                <w:color w:val="000000"/>
                <w:lang w:bidi="en-US"/>
              </w:rPr>
            </w:pPr>
            <w:r w:rsidRPr="0039040E">
              <w:rPr>
                <w:rFonts w:ascii="Times New Roman" w:hAnsi="Times New Roman" w:cs="Times New Roman"/>
                <w:color w:val="000000"/>
                <w:sz w:val="20"/>
                <w:lang w:bidi="en-US"/>
              </w:rPr>
              <w:t>Implementarea unui sistem de management prin obiective</w:t>
            </w:r>
          </w:p>
        </w:tc>
        <w:tc>
          <w:tcPr>
            <w:tcW w:w="752" w:type="dxa"/>
            <w:tcBorders>
              <w:top w:val="single" w:sz="4" w:space="0" w:color="000000"/>
              <w:left w:val="single" w:sz="4" w:space="0" w:color="000000"/>
              <w:bottom w:val="single" w:sz="4" w:space="0" w:color="000000"/>
              <w:right w:val="single" w:sz="4" w:space="0" w:color="000000"/>
            </w:tcBorders>
            <w:vAlign w:val="center"/>
          </w:tcPr>
          <w:p w14:paraId="302C5864" w14:textId="77777777" w:rsidR="0039040E" w:rsidRPr="0039040E" w:rsidRDefault="0039040E" w:rsidP="0039040E">
            <w:pPr>
              <w:widowControl w:val="0"/>
              <w:rPr>
                <w:rFonts w:ascii="Times New Roman" w:hAnsi="Times New Roman" w:cs="Times New Roman"/>
                <w:color w:val="000000"/>
                <w:lang w:bidi="en-US"/>
              </w:rPr>
            </w:pPr>
            <w:r w:rsidRPr="0039040E">
              <w:rPr>
                <w:rFonts w:ascii="Times New Roman" w:hAnsi="Times New Roman" w:cs="Times New Roman"/>
                <w:color w:val="000000"/>
                <w:sz w:val="20"/>
                <w:lang w:bidi="en-US"/>
              </w:rPr>
              <w:t>%</w:t>
            </w:r>
          </w:p>
        </w:tc>
        <w:tc>
          <w:tcPr>
            <w:tcW w:w="5106" w:type="dxa"/>
            <w:tcBorders>
              <w:top w:val="single" w:sz="4" w:space="0" w:color="000000"/>
              <w:left w:val="single" w:sz="4" w:space="0" w:color="000000"/>
              <w:bottom w:val="single" w:sz="4" w:space="0" w:color="000000"/>
              <w:right w:val="single" w:sz="4" w:space="0" w:color="000000"/>
            </w:tcBorders>
            <w:vAlign w:val="bottom"/>
          </w:tcPr>
          <w:p w14:paraId="3047C660" w14:textId="77777777" w:rsidR="0039040E" w:rsidRPr="0039040E" w:rsidRDefault="0039040E" w:rsidP="0039040E">
            <w:pPr>
              <w:widowControl w:val="0"/>
              <w:rPr>
                <w:rFonts w:ascii="Times New Roman" w:hAnsi="Times New Roman" w:cs="Times New Roman"/>
                <w:color w:val="000000"/>
                <w:lang w:bidi="en-US"/>
              </w:rPr>
            </w:pPr>
            <w:r w:rsidRPr="0039040E">
              <w:rPr>
                <w:rFonts w:ascii="Times New Roman" w:hAnsi="Times New Roman" w:cs="Times New Roman"/>
                <w:i/>
                <w:color w:val="000000"/>
                <w:lang w:bidi="en-US"/>
              </w:rPr>
              <w:t>Gradul de implementarea a sistemului de management prin obiective</w:t>
            </w:r>
          </w:p>
        </w:tc>
      </w:tr>
      <w:tr w:rsidR="0039040E" w:rsidRPr="0039040E" w14:paraId="60DB85F8" w14:textId="77777777" w:rsidTr="006848D8">
        <w:trPr>
          <w:trHeight w:val="880"/>
        </w:trPr>
        <w:tc>
          <w:tcPr>
            <w:tcW w:w="530" w:type="dxa"/>
            <w:tcBorders>
              <w:top w:val="single" w:sz="4" w:space="0" w:color="000000"/>
              <w:left w:val="single" w:sz="4" w:space="0" w:color="000000"/>
              <w:bottom w:val="single" w:sz="4" w:space="0" w:color="000000"/>
              <w:right w:val="single" w:sz="4" w:space="0" w:color="000000"/>
            </w:tcBorders>
            <w:vAlign w:val="center"/>
          </w:tcPr>
          <w:p w14:paraId="1DE52702" w14:textId="77777777" w:rsidR="0039040E" w:rsidRPr="0039040E" w:rsidRDefault="0039040E" w:rsidP="0039040E">
            <w:pPr>
              <w:widowControl w:val="0"/>
              <w:jc w:val="right"/>
              <w:rPr>
                <w:rFonts w:ascii="Times New Roman" w:hAnsi="Times New Roman" w:cs="Times New Roman"/>
                <w:color w:val="000000"/>
                <w:lang w:bidi="en-US"/>
              </w:rPr>
            </w:pPr>
            <w:r w:rsidRPr="0039040E">
              <w:rPr>
                <w:rFonts w:ascii="Times New Roman" w:hAnsi="Times New Roman" w:cs="Times New Roman"/>
                <w:color w:val="000000"/>
                <w:sz w:val="20"/>
                <w:lang w:bidi="en-US"/>
              </w:rPr>
              <w:t>4</w:t>
            </w:r>
          </w:p>
        </w:tc>
        <w:tc>
          <w:tcPr>
            <w:tcW w:w="1256" w:type="dxa"/>
            <w:tcBorders>
              <w:top w:val="single" w:sz="4" w:space="0" w:color="000000"/>
              <w:left w:val="single" w:sz="4" w:space="0" w:color="000000"/>
              <w:bottom w:val="single" w:sz="4" w:space="0" w:color="000000"/>
              <w:right w:val="single" w:sz="4" w:space="0" w:color="000000"/>
            </w:tcBorders>
            <w:vAlign w:val="bottom"/>
          </w:tcPr>
          <w:p w14:paraId="7B164559" w14:textId="77777777" w:rsidR="0039040E" w:rsidRPr="0039040E" w:rsidRDefault="0039040E" w:rsidP="0039040E">
            <w:pPr>
              <w:widowControl w:val="0"/>
              <w:rPr>
                <w:rFonts w:ascii="Times New Roman" w:hAnsi="Times New Roman" w:cs="Times New Roman"/>
                <w:color w:val="000000"/>
                <w:lang w:bidi="en-US"/>
              </w:rPr>
            </w:pPr>
            <w:r w:rsidRPr="0039040E">
              <w:rPr>
                <w:rFonts w:ascii="Times New Roman" w:hAnsi="Times New Roman" w:cs="Times New Roman"/>
                <w:color w:val="000000"/>
                <w:sz w:val="20"/>
                <w:lang w:bidi="en-US"/>
              </w:rPr>
              <w:t>Referitor la angajați</w:t>
            </w:r>
          </w:p>
        </w:tc>
        <w:tc>
          <w:tcPr>
            <w:tcW w:w="2537" w:type="dxa"/>
            <w:tcBorders>
              <w:top w:val="single" w:sz="4" w:space="0" w:color="000000"/>
              <w:left w:val="single" w:sz="4" w:space="0" w:color="000000"/>
              <w:bottom w:val="single" w:sz="4" w:space="0" w:color="000000"/>
              <w:right w:val="single" w:sz="4" w:space="0" w:color="000000"/>
            </w:tcBorders>
            <w:vAlign w:val="bottom"/>
          </w:tcPr>
          <w:p w14:paraId="206F6E6E" w14:textId="35B684A2" w:rsidR="0039040E" w:rsidRPr="0039040E" w:rsidRDefault="0039040E" w:rsidP="0039040E">
            <w:pPr>
              <w:widowControl w:val="0"/>
              <w:rPr>
                <w:rFonts w:ascii="Times New Roman" w:hAnsi="Times New Roman" w:cs="Times New Roman"/>
                <w:color w:val="000000"/>
                <w:lang w:bidi="en-US"/>
              </w:rPr>
            </w:pPr>
            <w:r w:rsidRPr="0039040E">
              <w:rPr>
                <w:rFonts w:ascii="Times New Roman" w:hAnsi="Times New Roman" w:cs="Times New Roman"/>
                <w:color w:val="000000"/>
                <w:sz w:val="20"/>
                <w:lang w:bidi="en-US"/>
              </w:rPr>
              <w:t xml:space="preserve">Instituirea unui sistem de siguranța al </w:t>
            </w:r>
            <w:r w:rsidR="00B66E34" w:rsidRPr="0039040E">
              <w:rPr>
                <w:rFonts w:ascii="Times New Roman" w:hAnsi="Times New Roman" w:cs="Times New Roman"/>
                <w:color w:val="000000"/>
                <w:sz w:val="20"/>
                <w:lang w:bidi="en-US"/>
              </w:rPr>
              <w:t>angajaților</w:t>
            </w:r>
          </w:p>
        </w:tc>
        <w:tc>
          <w:tcPr>
            <w:tcW w:w="752" w:type="dxa"/>
            <w:tcBorders>
              <w:top w:val="single" w:sz="4" w:space="0" w:color="000000"/>
              <w:left w:val="single" w:sz="4" w:space="0" w:color="000000"/>
              <w:bottom w:val="single" w:sz="4" w:space="0" w:color="000000"/>
              <w:right w:val="single" w:sz="4" w:space="0" w:color="000000"/>
            </w:tcBorders>
            <w:vAlign w:val="center"/>
          </w:tcPr>
          <w:p w14:paraId="6DEC389E" w14:textId="61D7FF76" w:rsidR="0039040E" w:rsidRPr="0039040E" w:rsidRDefault="00B66E34" w:rsidP="0039040E">
            <w:pPr>
              <w:widowControl w:val="0"/>
              <w:rPr>
                <w:rFonts w:ascii="Times New Roman" w:hAnsi="Times New Roman" w:cs="Times New Roman"/>
                <w:color w:val="000000"/>
                <w:lang w:bidi="en-US"/>
              </w:rPr>
            </w:pPr>
            <w:r w:rsidRPr="0039040E">
              <w:rPr>
                <w:rFonts w:ascii="Times New Roman" w:hAnsi="Times New Roman" w:cs="Times New Roman"/>
                <w:color w:val="000000"/>
                <w:sz w:val="20"/>
                <w:lang w:bidi="en-US"/>
              </w:rPr>
              <w:t>număr</w:t>
            </w:r>
          </w:p>
        </w:tc>
        <w:tc>
          <w:tcPr>
            <w:tcW w:w="5106" w:type="dxa"/>
            <w:tcBorders>
              <w:top w:val="single" w:sz="4" w:space="0" w:color="000000"/>
              <w:left w:val="single" w:sz="4" w:space="0" w:color="000000"/>
              <w:bottom w:val="single" w:sz="4" w:space="0" w:color="000000"/>
              <w:right w:val="single" w:sz="4" w:space="0" w:color="000000"/>
            </w:tcBorders>
            <w:vAlign w:val="bottom"/>
          </w:tcPr>
          <w:p w14:paraId="1A44EA41" w14:textId="77777777" w:rsidR="0039040E" w:rsidRPr="0039040E" w:rsidRDefault="0039040E" w:rsidP="0039040E">
            <w:pPr>
              <w:widowControl w:val="0"/>
              <w:rPr>
                <w:rFonts w:ascii="Times New Roman" w:hAnsi="Times New Roman" w:cs="Times New Roman"/>
                <w:color w:val="000000"/>
                <w:lang w:bidi="en-US"/>
              </w:rPr>
            </w:pPr>
            <w:r w:rsidRPr="0039040E">
              <w:rPr>
                <w:rFonts w:ascii="Times New Roman" w:hAnsi="Times New Roman" w:cs="Times New Roman"/>
                <w:i/>
                <w:color w:val="000000"/>
                <w:lang w:bidi="en-US"/>
              </w:rPr>
              <w:t>Numărul de instruiri în materie de siguranță</w:t>
            </w:r>
          </w:p>
        </w:tc>
      </w:tr>
      <w:tr w:rsidR="0039040E" w:rsidRPr="0039040E" w14:paraId="36241C6A" w14:textId="77777777" w:rsidTr="006848D8">
        <w:trPr>
          <w:trHeight w:val="880"/>
        </w:trPr>
        <w:tc>
          <w:tcPr>
            <w:tcW w:w="530" w:type="dxa"/>
            <w:tcBorders>
              <w:top w:val="single" w:sz="4" w:space="0" w:color="000000"/>
              <w:left w:val="single" w:sz="4" w:space="0" w:color="000000"/>
              <w:bottom w:val="single" w:sz="4" w:space="0" w:color="000000"/>
              <w:right w:val="single" w:sz="4" w:space="0" w:color="000000"/>
            </w:tcBorders>
            <w:vAlign w:val="center"/>
          </w:tcPr>
          <w:p w14:paraId="60AF6A6F" w14:textId="77777777" w:rsidR="0039040E" w:rsidRPr="0039040E" w:rsidRDefault="0039040E" w:rsidP="0039040E">
            <w:pPr>
              <w:widowControl w:val="0"/>
              <w:jc w:val="right"/>
              <w:rPr>
                <w:rFonts w:ascii="Times New Roman" w:hAnsi="Times New Roman" w:cs="Times New Roman"/>
                <w:color w:val="000000"/>
                <w:lang w:bidi="en-US"/>
              </w:rPr>
            </w:pPr>
            <w:r w:rsidRPr="0039040E">
              <w:rPr>
                <w:rFonts w:ascii="Times New Roman" w:hAnsi="Times New Roman" w:cs="Times New Roman"/>
                <w:color w:val="000000"/>
                <w:sz w:val="20"/>
                <w:lang w:bidi="en-US"/>
              </w:rPr>
              <w:t>5</w:t>
            </w:r>
          </w:p>
        </w:tc>
        <w:tc>
          <w:tcPr>
            <w:tcW w:w="1256" w:type="dxa"/>
            <w:tcBorders>
              <w:top w:val="single" w:sz="4" w:space="0" w:color="000000"/>
              <w:left w:val="single" w:sz="4" w:space="0" w:color="000000"/>
              <w:bottom w:val="single" w:sz="4" w:space="0" w:color="000000"/>
              <w:right w:val="single" w:sz="4" w:space="0" w:color="000000"/>
            </w:tcBorders>
            <w:vAlign w:val="bottom"/>
          </w:tcPr>
          <w:p w14:paraId="44932161" w14:textId="77777777" w:rsidR="0039040E" w:rsidRPr="0039040E" w:rsidRDefault="0039040E" w:rsidP="0039040E">
            <w:pPr>
              <w:widowControl w:val="0"/>
              <w:rPr>
                <w:rFonts w:ascii="Times New Roman" w:hAnsi="Times New Roman" w:cs="Times New Roman"/>
                <w:color w:val="000000"/>
                <w:lang w:bidi="en-US"/>
              </w:rPr>
            </w:pPr>
            <w:r w:rsidRPr="0039040E">
              <w:rPr>
                <w:rFonts w:ascii="Times New Roman" w:hAnsi="Times New Roman" w:cs="Times New Roman"/>
                <w:color w:val="000000"/>
                <w:sz w:val="20"/>
                <w:lang w:bidi="en-US"/>
              </w:rPr>
              <w:t>Etica și Integritate</w:t>
            </w:r>
          </w:p>
        </w:tc>
        <w:tc>
          <w:tcPr>
            <w:tcW w:w="2537" w:type="dxa"/>
            <w:tcBorders>
              <w:top w:val="single" w:sz="4" w:space="0" w:color="000000"/>
              <w:left w:val="single" w:sz="4" w:space="0" w:color="000000"/>
              <w:bottom w:val="single" w:sz="4" w:space="0" w:color="000000"/>
              <w:right w:val="single" w:sz="4" w:space="0" w:color="000000"/>
            </w:tcBorders>
            <w:vAlign w:val="bottom"/>
          </w:tcPr>
          <w:p w14:paraId="5B746625" w14:textId="77777777" w:rsidR="0039040E" w:rsidRPr="0039040E" w:rsidRDefault="0039040E" w:rsidP="0039040E">
            <w:pPr>
              <w:widowControl w:val="0"/>
              <w:rPr>
                <w:rFonts w:ascii="Times New Roman" w:hAnsi="Times New Roman" w:cs="Times New Roman"/>
                <w:color w:val="000000"/>
                <w:lang w:bidi="en-US"/>
              </w:rPr>
            </w:pPr>
            <w:r w:rsidRPr="0039040E">
              <w:rPr>
                <w:rFonts w:ascii="Times New Roman" w:hAnsi="Times New Roman" w:cs="Times New Roman"/>
                <w:color w:val="000000"/>
                <w:sz w:val="20"/>
                <w:lang w:bidi="en-US"/>
              </w:rPr>
              <w:t>Actualizarea Codului de Etica</w:t>
            </w:r>
          </w:p>
        </w:tc>
        <w:tc>
          <w:tcPr>
            <w:tcW w:w="752" w:type="dxa"/>
            <w:tcBorders>
              <w:top w:val="single" w:sz="4" w:space="0" w:color="000000"/>
              <w:left w:val="single" w:sz="4" w:space="0" w:color="000000"/>
              <w:bottom w:val="single" w:sz="4" w:space="0" w:color="000000"/>
              <w:right w:val="single" w:sz="4" w:space="0" w:color="000000"/>
            </w:tcBorders>
            <w:vAlign w:val="center"/>
          </w:tcPr>
          <w:p w14:paraId="1B7F8677" w14:textId="77777777" w:rsidR="0039040E" w:rsidRPr="0039040E" w:rsidRDefault="0039040E" w:rsidP="0039040E">
            <w:pPr>
              <w:widowControl w:val="0"/>
              <w:rPr>
                <w:rFonts w:ascii="Times New Roman" w:hAnsi="Times New Roman" w:cs="Times New Roman"/>
                <w:color w:val="000000"/>
                <w:lang w:bidi="en-US"/>
              </w:rPr>
            </w:pPr>
            <w:r w:rsidRPr="0039040E">
              <w:rPr>
                <w:rFonts w:ascii="Times New Roman" w:hAnsi="Times New Roman" w:cs="Times New Roman"/>
                <w:color w:val="000000"/>
                <w:sz w:val="20"/>
                <w:lang w:bidi="en-US"/>
              </w:rPr>
              <w:t>Anual</w:t>
            </w:r>
          </w:p>
        </w:tc>
        <w:tc>
          <w:tcPr>
            <w:tcW w:w="5106" w:type="dxa"/>
            <w:tcBorders>
              <w:top w:val="single" w:sz="4" w:space="0" w:color="000000"/>
              <w:left w:val="single" w:sz="4" w:space="0" w:color="000000"/>
              <w:bottom w:val="single" w:sz="4" w:space="0" w:color="000000"/>
              <w:right w:val="single" w:sz="4" w:space="0" w:color="000000"/>
            </w:tcBorders>
            <w:vAlign w:val="bottom"/>
          </w:tcPr>
          <w:p w14:paraId="065641B9" w14:textId="77777777" w:rsidR="0039040E" w:rsidRPr="0039040E" w:rsidRDefault="0039040E" w:rsidP="0039040E">
            <w:pPr>
              <w:widowControl w:val="0"/>
              <w:rPr>
                <w:rFonts w:ascii="Times New Roman" w:hAnsi="Times New Roman" w:cs="Times New Roman"/>
                <w:color w:val="000000"/>
                <w:lang w:bidi="en-US"/>
              </w:rPr>
            </w:pPr>
            <w:r w:rsidRPr="0039040E">
              <w:rPr>
                <w:rFonts w:ascii="Times New Roman" w:hAnsi="Times New Roman" w:cs="Times New Roman"/>
                <w:i/>
                <w:color w:val="000000"/>
                <w:lang w:bidi="en-US"/>
              </w:rPr>
              <w:t>Pana la data de 31 mai</w:t>
            </w:r>
          </w:p>
        </w:tc>
      </w:tr>
      <w:tr w:rsidR="0039040E" w:rsidRPr="0039040E" w14:paraId="6B67B0D1" w14:textId="77777777" w:rsidTr="006848D8">
        <w:trPr>
          <w:trHeight w:val="880"/>
        </w:trPr>
        <w:tc>
          <w:tcPr>
            <w:tcW w:w="530" w:type="dxa"/>
            <w:tcBorders>
              <w:top w:val="single" w:sz="4" w:space="0" w:color="000000"/>
              <w:left w:val="single" w:sz="4" w:space="0" w:color="000000"/>
              <w:bottom w:val="single" w:sz="4" w:space="0" w:color="000000"/>
              <w:right w:val="single" w:sz="4" w:space="0" w:color="000000"/>
            </w:tcBorders>
            <w:vAlign w:val="center"/>
          </w:tcPr>
          <w:p w14:paraId="2262EFEB" w14:textId="77777777" w:rsidR="0039040E" w:rsidRPr="0039040E" w:rsidRDefault="0039040E" w:rsidP="0039040E">
            <w:pPr>
              <w:widowControl w:val="0"/>
              <w:jc w:val="right"/>
              <w:rPr>
                <w:rFonts w:ascii="Times New Roman" w:hAnsi="Times New Roman" w:cs="Times New Roman"/>
                <w:color w:val="000000"/>
                <w:lang w:bidi="en-US"/>
              </w:rPr>
            </w:pPr>
            <w:r w:rsidRPr="0039040E">
              <w:rPr>
                <w:rFonts w:ascii="Times New Roman" w:hAnsi="Times New Roman" w:cs="Times New Roman"/>
                <w:color w:val="000000"/>
                <w:sz w:val="20"/>
                <w:lang w:bidi="en-US"/>
              </w:rPr>
              <w:t>6</w:t>
            </w:r>
          </w:p>
        </w:tc>
        <w:tc>
          <w:tcPr>
            <w:tcW w:w="1256" w:type="dxa"/>
            <w:tcBorders>
              <w:top w:val="single" w:sz="4" w:space="0" w:color="000000"/>
              <w:left w:val="single" w:sz="4" w:space="0" w:color="000000"/>
              <w:bottom w:val="single" w:sz="4" w:space="0" w:color="000000"/>
              <w:right w:val="single" w:sz="4" w:space="0" w:color="000000"/>
            </w:tcBorders>
            <w:vAlign w:val="bottom"/>
          </w:tcPr>
          <w:p w14:paraId="489AC2F1" w14:textId="77777777" w:rsidR="0039040E" w:rsidRPr="0039040E" w:rsidRDefault="0039040E" w:rsidP="0039040E">
            <w:pPr>
              <w:widowControl w:val="0"/>
              <w:rPr>
                <w:rFonts w:ascii="Times New Roman" w:hAnsi="Times New Roman" w:cs="Times New Roman"/>
                <w:color w:val="000000"/>
                <w:lang w:bidi="en-US"/>
              </w:rPr>
            </w:pPr>
            <w:r w:rsidRPr="0039040E">
              <w:rPr>
                <w:rFonts w:ascii="Times New Roman" w:hAnsi="Times New Roman" w:cs="Times New Roman"/>
                <w:color w:val="000000"/>
                <w:sz w:val="20"/>
                <w:lang w:bidi="en-US"/>
              </w:rPr>
              <w:t>Etica și Integritate</w:t>
            </w:r>
          </w:p>
        </w:tc>
        <w:tc>
          <w:tcPr>
            <w:tcW w:w="2537" w:type="dxa"/>
            <w:tcBorders>
              <w:top w:val="single" w:sz="4" w:space="0" w:color="000000"/>
              <w:left w:val="single" w:sz="4" w:space="0" w:color="000000"/>
              <w:bottom w:val="single" w:sz="4" w:space="0" w:color="000000"/>
              <w:right w:val="single" w:sz="4" w:space="0" w:color="000000"/>
            </w:tcBorders>
            <w:vAlign w:val="bottom"/>
          </w:tcPr>
          <w:p w14:paraId="743576B5" w14:textId="77777777" w:rsidR="0039040E" w:rsidRPr="0039040E" w:rsidRDefault="0039040E" w:rsidP="0039040E">
            <w:pPr>
              <w:widowControl w:val="0"/>
              <w:rPr>
                <w:rFonts w:ascii="Times New Roman" w:hAnsi="Times New Roman" w:cs="Times New Roman"/>
                <w:color w:val="000000"/>
                <w:lang w:bidi="en-US"/>
              </w:rPr>
            </w:pPr>
            <w:r w:rsidRPr="0039040E">
              <w:rPr>
                <w:rFonts w:ascii="Times New Roman" w:hAnsi="Times New Roman" w:cs="Times New Roman"/>
                <w:color w:val="000000"/>
                <w:sz w:val="20"/>
                <w:lang w:bidi="en-US"/>
              </w:rPr>
              <w:t>Implementarea Planului de Integritate</w:t>
            </w:r>
          </w:p>
        </w:tc>
        <w:tc>
          <w:tcPr>
            <w:tcW w:w="752" w:type="dxa"/>
            <w:tcBorders>
              <w:top w:val="single" w:sz="4" w:space="0" w:color="000000"/>
              <w:left w:val="single" w:sz="4" w:space="0" w:color="000000"/>
              <w:bottom w:val="single" w:sz="4" w:space="0" w:color="000000"/>
              <w:right w:val="single" w:sz="4" w:space="0" w:color="000000"/>
            </w:tcBorders>
            <w:vAlign w:val="center"/>
          </w:tcPr>
          <w:p w14:paraId="4217F1D1" w14:textId="77777777" w:rsidR="0039040E" w:rsidRPr="0039040E" w:rsidRDefault="0039040E" w:rsidP="0039040E">
            <w:pPr>
              <w:widowControl w:val="0"/>
              <w:rPr>
                <w:rFonts w:ascii="Times New Roman" w:hAnsi="Times New Roman" w:cs="Times New Roman"/>
                <w:color w:val="000000"/>
                <w:lang w:bidi="en-US"/>
              </w:rPr>
            </w:pPr>
            <w:r w:rsidRPr="0039040E">
              <w:rPr>
                <w:rFonts w:ascii="Times New Roman" w:hAnsi="Times New Roman" w:cs="Times New Roman"/>
                <w:color w:val="000000"/>
                <w:sz w:val="20"/>
                <w:lang w:bidi="en-US"/>
              </w:rPr>
              <w:t>%</w:t>
            </w:r>
          </w:p>
        </w:tc>
        <w:tc>
          <w:tcPr>
            <w:tcW w:w="5106" w:type="dxa"/>
            <w:tcBorders>
              <w:top w:val="single" w:sz="4" w:space="0" w:color="000000"/>
              <w:left w:val="single" w:sz="4" w:space="0" w:color="000000"/>
              <w:bottom w:val="single" w:sz="4" w:space="0" w:color="000000"/>
              <w:right w:val="single" w:sz="4" w:space="0" w:color="000000"/>
            </w:tcBorders>
            <w:vAlign w:val="bottom"/>
          </w:tcPr>
          <w:p w14:paraId="2BA4C6B4" w14:textId="77777777" w:rsidR="0039040E" w:rsidRPr="0039040E" w:rsidRDefault="0039040E" w:rsidP="0039040E">
            <w:pPr>
              <w:widowControl w:val="0"/>
              <w:rPr>
                <w:rFonts w:ascii="Times New Roman" w:hAnsi="Times New Roman" w:cs="Times New Roman"/>
                <w:color w:val="000000"/>
                <w:lang w:bidi="en-US"/>
              </w:rPr>
            </w:pPr>
            <w:r w:rsidRPr="0039040E">
              <w:rPr>
                <w:rFonts w:ascii="Times New Roman" w:hAnsi="Times New Roman" w:cs="Times New Roman"/>
                <w:i/>
                <w:color w:val="000000"/>
                <w:lang w:bidi="en-US"/>
              </w:rPr>
              <w:t>Gradul de realizare a masurilor din Planul de Integritate</w:t>
            </w:r>
          </w:p>
        </w:tc>
      </w:tr>
      <w:tr w:rsidR="0039040E" w:rsidRPr="0039040E" w14:paraId="509190FE" w14:textId="77777777" w:rsidTr="006848D8">
        <w:trPr>
          <w:trHeight w:val="580"/>
        </w:trPr>
        <w:tc>
          <w:tcPr>
            <w:tcW w:w="530" w:type="dxa"/>
            <w:tcBorders>
              <w:top w:val="single" w:sz="4" w:space="0" w:color="000000"/>
              <w:left w:val="single" w:sz="4" w:space="0" w:color="000000"/>
              <w:bottom w:val="single" w:sz="4" w:space="0" w:color="000000"/>
              <w:right w:val="single" w:sz="4" w:space="0" w:color="000000"/>
            </w:tcBorders>
            <w:vAlign w:val="center"/>
          </w:tcPr>
          <w:p w14:paraId="03F7426F" w14:textId="77777777" w:rsidR="0039040E" w:rsidRPr="0039040E" w:rsidRDefault="0039040E" w:rsidP="0039040E">
            <w:pPr>
              <w:widowControl w:val="0"/>
              <w:jc w:val="right"/>
              <w:rPr>
                <w:rFonts w:ascii="Times New Roman" w:hAnsi="Times New Roman" w:cs="Times New Roman"/>
                <w:color w:val="000000"/>
                <w:lang w:bidi="en-US"/>
              </w:rPr>
            </w:pPr>
            <w:r w:rsidRPr="0039040E">
              <w:rPr>
                <w:rFonts w:ascii="Times New Roman" w:hAnsi="Times New Roman" w:cs="Times New Roman"/>
                <w:color w:val="000000"/>
                <w:sz w:val="20"/>
                <w:lang w:bidi="en-US"/>
              </w:rPr>
              <w:t>7</w:t>
            </w:r>
          </w:p>
        </w:tc>
        <w:tc>
          <w:tcPr>
            <w:tcW w:w="1256" w:type="dxa"/>
            <w:tcBorders>
              <w:top w:val="single" w:sz="4" w:space="0" w:color="000000"/>
              <w:left w:val="single" w:sz="4" w:space="0" w:color="000000"/>
              <w:bottom w:val="single" w:sz="4" w:space="0" w:color="000000"/>
              <w:right w:val="single" w:sz="4" w:space="0" w:color="000000"/>
            </w:tcBorders>
            <w:vAlign w:val="bottom"/>
          </w:tcPr>
          <w:p w14:paraId="3FBC3D38" w14:textId="77777777" w:rsidR="0039040E" w:rsidRPr="0039040E" w:rsidRDefault="0039040E" w:rsidP="0039040E">
            <w:pPr>
              <w:widowControl w:val="0"/>
              <w:rPr>
                <w:rFonts w:ascii="Times New Roman" w:hAnsi="Times New Roman" w:cs="Times New Roman"/>
                <w:color w:val="000000"/>
                <w:lang w:bidi="en-US"/>
              </w:rPr>
            </w:pPr>
            <w:r w:rsidRPr="0039040E">
              <w:rPr>
                <w:rFonts w:ascii="Times New Roman" w:hAnsi="Times New Roman" w:cs="Times New Roman"/>
                <w:color w:val="000000"/>
                <w:sz w:val="20"/>
                <w:lang w:bidi="en-US"/>
              </w:rPr>
              <w:t>Guvernanță corporativă</w:t>
            </w:r>
          </w:p>
        </w:tc>
        <w:tc>
          <w:tcPr>
            <w:tcW w:w="2537" w:type="dxa"/>
            <w:tcBorders>
              <w:top w:val="single" w:sz="4" w:space="0" w:color="000000"/>
              <w:left w:val="single" w:sz="4" w:space="0" w:color="000000"/>
              <w:bottom w:val="single" w:sz="4" w:space="0" w:color="000000"/>
              <w:right w:val="single" w:sz="4" w:space="0" w:color="000000"/>
            </w:tcBorders>
            <w:vAlign w:val="bottom"/>
          </w:tcPr>
          <w:p w14:paraId="33855D38" w14:textId="77777777" w:rsidR="0039040E" w:rsidRPr="0039040E" w:rsidRDefault="0039040E" w:rsidP="0039040E">
            <w:pPr>
              <w:widowControl w:val="0"/>
              <w:rPr>
                <w:rFonts w:ascii="Times New Roman" w:hAnsi="Times New Roman" w:cs="Times New Roman"/>
                <w:color w:val="000000"/>
                <w:lang w:bidi="en-US"/>
              </w:rPr>
            </w:pPr>
            <w:r w:rsidRPr="0039040E">
              <w:rPr>
                <w:rFonts w:ascii="Times New Roman" w:hAnsi="Times New Roman" w:cs="Times New Roman"/>
                <w:color w:val="000000"/>
                <w:sz w:val="20"/>
                <w:lang w:bidi="en-US"/>
              </w:rPr>
              <w:t xml:space="preserve">Numărul de reuniuni ale </w:t>
            </w:r>
          </w:p>
          <w:p w14:paraId="1E55F8F3" w14:textId="77777777" w:rsidR="0039040E" w:rsidRPr="0039040E" w:rsidRDefault="0039040E" w:rsidP="0039040E">
            <w:pPr>
              <w:widowControl w:val="0"/>
              <w:rPr>
                <w:rFonts w:ascii="Times New Roman" w:hAnsi="Times New Roman" w:cs="Times New Roman"/>
                <w:color w:val="000000"/>
                <w:lang w:bidi="en-US"/>
              </w:rPr>
            </w:pPr>
            <w:r w:rsidRPr="0039040E">
              <w:rPr>
                <w:rFonts w:ascii="Times New Roman" w:hAnsi="Times New Roman" w:cs="Times New Roman"/>
                <w:color w:val="000000"/>
                <w:sz w:val="20"/>
                <w:lang w:bidi="en-US"/>
              </w:rPr>
              <w:t>Consiliului de Administrație</w:t>
            </w:r>
          </w:p>
        </w:tc>
        <w:tc>
          <w:tcPr>
            <w:tcW w:w="752" w:type="dxa"/>
            <w:tcBorders>
              <w:top w:val="single" w:sz="4" w:space="0" w:color="000000"/>
              <w:left w:val="single" w:sz="4" w:space="0" w:color="000000"/>
              <w:bottom w:val="single" w:sz="4" w:space="0" w:color="000000"/>
              <w:right w:val="single" w:sz="4" w:space="0" w:color="000000"/>
            </w:tcBorders>
            <w:vAlign w:val="center"/>
          </w:tcPr>
          <w:p w14:paraId="633C4051" w14:textId="77777777" w:rsidR="0039040E" w:rsidRPr="0039040E" w:rsidRDefault="0039040E" w:rsidP="0039040E">
            <w:pPr>
              <w:widowControl w:val="0"/>
              <w:rPr>
                <w:rFonts w:ascii="Times New Roman" w:hAnsi="Times New Roman" w:cs="Times New Roman"/>
                <w:color w:val="000000"/>
                <w:lang w:bidi="en-US"/>
              </w:rPr>
            </w:pPr>
            <w:r w:rsidRPr="0039040E">
              <w:rPr>
                <w:rFonts w:ascii="Times New Roman" w:hAnsi="Times New Roman" w:cs="Times New Roman"/>
                <w:color w:val="000000"/>
                <w:sz w:val="20"/>
                <w:lang w:bidi="en-US"/>
              </w:rPr>
              <w:t>număr</w:t>
            </w:r>
          </w:p>
        </w:tc>
        <w:tc>
          <w:tcPr>
            <w:tcW w:w="5106" w:type="dxa"/>
            <w:tcBorders>
              <w:top w:val="single" w:sz="4" w:space="0" w:color="000000"/>
              <w:left w:val="single" w:sz="4" w:space="0" w:color="000000"/>
              <w:bottom w:val="single" w:sz="4" w:space="0" w:color="000000"/>
              <w:right w:val="single" w:sz="4" w:space="0" w:color="000000"/>
            </w:tcBorders>
          </w:tcPr>
          <w:p w14:paraId="197C4C8E" w14:textId="77777777" w:rsidR="0039040E" w:rsidRPr="0039040E" w:rsidRDefault="0039040E" w:rsidP="0039040E">
            <w:pPr>
              <w:widowControl w:val="0"/>
              <w:rPr>
                <w:rFonts w:ascii="Times New Roman" w:hAnsi="Times New Roman" w:cs="Times New Roman"/>
                <w:color w:val="000000"/>
                <w:lang w:bidi="en-US"/>
              </w:rPr>
            </w:pPr>
            <w:r w:rsidRPr="0039040E">
              <w:rPr>
                <w:rFonts w:ascii="Times New Roman" w:hAnsi="Times New Roman" w:cs="Times New Roman"/>
                <w:i/>
                <w:color w:val="000000"/>
                <w:lang w:bidi="en-US"/>
              </w:rPr>
              <w:t>Numărul ședințelor consiliului de administrație susținute dea lungul anului-12</w:t>
            </w:r>
          </w:p>
        </w:tc>
      </w:tr>
      <w:tr w:rsidR="0039040E" w:rsidRPr="0039040E" w14:paraId="54FF46E7" w14:textId="77777777" w:rsidTr="006848D8">
        <w:trPr>
          <w:trHeight w:val="1812"/>
        </w:trPr>
        <w:tc>
          <w:tcPr>
            <w:tcW w:w="530" w:type="dxa"/>
            <w:tcBorders>
              <w:top w:val="single" w:sz="4" w:space="0" w:color="000000"/>
              <w:left w:val="single" w:sz="4" w:space="0" w:color="000000"/>
              <w:bottom w:val="single" w:sz="4" w:space="0" w:color="000000"/>
              <w:right w:val="single" w:sz="4" w:space="0" w:color="000000"/>
            </w:tcBorders>
            <w:vAlign w:val="center"/>
          </w:tcPr>
          <w:p w14:paraId="7B743CF5" w14:textId="77777777" w:rsidR="0039040E" w:rsidRPr="0039040E" w:rsidRDefault="0039040E" w:rsidP="0039040E">
            <w:pPr>
              <w:widowControl w:val="0"/>
              <w:jc w:val="right"/>
              <w:rPr>
                <w:rFonts w:ascii="Times New Roman" w:hAnsi="Times New Roman" w:cs="Times New Roman"/>
                <w:color w:val="000000"/>
                <w:lang w:bidi="en-US"/>
              </w:rPr>
            </w:pPr>
            <w:r w:rsidRPr="0039040E">
              <w:rPr>
                <w:rFonts w:ascii="Times New Roman" w:hAnsi="Times New Roman" w:cs="Times New Roman"/>
                <w:color w:val="000000"/>
                <w:sz w:val="20"/>
                <w:lang w:bidi="en-US"/>
              </w:rPr>
              <w:t>8</w:t>
            </w:r>
          </w:p>
        </w:tc>
        <w:tc>
          <w:tcPr>
            <w:tcW w:w="1256" w:type="dxa"/>
            <w:tcBorders>
              <w:top w:val="single" w:sz="4" w:space="0" w:color="000000"/>
              <w:left w:val="single" w:sz="4" w:space="0" w:color="000000"/>
              <w:bottom w:val="single" w:sz="4" w:space="0" w:color="000000"/>
              <w:right w:val="single" w:sz="4" w:space="0" w:color="000000"/>
            </w:tcBorders>
            <w:vAlign w:val="center"/>
          </w:tcPr>
          <w:p w14:paraId="3553774B" w14:textId="77777777" w:rsidR="0039040E" w:rsidRPr="0039040E" w:rsidRDefault="0039040E" w:rsidP="0039040E">
            <w:pPr>
              <w:widowControl w:val="0"/>
              <w:rPr>
                <w:rFonts w:ascii="Times New Roman" w:hAnsi="Times New Roman" w:cs="Times New Roman"/>
                <w:color w:val="000000"/>
                <w:lang w:bidi="en-US"/>
              </w:rPr>
            </w:pPr>
            <w:r w:rsidRPr="0039040E">
              <w:rPr>
                <w:rFonts w:ascii="Times New Roman" w:hAnsi="Times New Roman" w:cs="Times New Roman"/>
                <w:color w:val="000000"/>
                <w:sz w:val="20"/>
                <w:lang w:bidi="en-US"/>
              </w:rPr>
              <w:t>Guvernanță corporativă</w:t>
            </w:r>
          </w:p>
        </w:tc>
        <w:tc>
          <w:tcPr>
            <w:tcW w:w="2537" w:type="dxa"/>
            <w:tcBorders>
              <w:top w:val="single" w:sz="4" w:space="0" w:color="000000"/>
              <w:left w:val="single" w:sz="4" w:space="0" w:color="000000"/>
              <w:bottom w:val="single" w:sz="4" w:space="0" w:color="000000"/>
              <w:right w:val="single" w:sz="4" w:space="0" w:color="000000"/>
            </w:tcBorders>
            <w:vAlign w:val="bottom"/>
          </w:tcPr>
          <w:p w14:paraId="5E144E7D" w14:textId="77777777" w:rsidR="0039040E" w:rsidRPr="0039040E" w:rsidRDefault="0039040E" w:rsidP="0039040E">
            <w:pPr>
              <w:widowControl w:val="0"/>
              <w:rPr>
                <w:rFonts w:ascii="Times New Roman" w:hAnsi="Times New Roman" w:cs="Times New Roman"/>
                <w:color w:val="000000"/>
                <w:lang w:bidi="en-US"/>
              </w:rPr>
            </w:pPr>
            <w:r w:rsidRPr="0039040E">
              <w:rPr>
                <w:rFonts w:ascii="Times New Roman" w:hAnsi="Times New Roman" w:cs="Times New Roman"/>
                <w:color w:val="000000"/>
                <w:sz w:val="20"/>
                <w:lang w:bidi="en-US"/>
              </w:rPr>
              <w:t>Rata de participare la reuniunile consiliului de administrație (Rp)</w:t>
            </w:r>
          </w:p>
        </w:tc>
        <w:tc>
          <w:tcPr>
            <w:tcW w:w="752" w:type="dxa"/>
            <w:tcBorders>
              <w:top w:val="single" w:sz="4" w:space="0" w:color="000000"/>
              <w:left w:val="single" w:sz="4" w:space="0" w:color="000000"/>
              <w:bottom w:val="single" w:sz="4" w:space="0" w:color="000000"/>
              <w:right w:val="single" w:sz="4" w:space="0" w:color="000000"/>
            </w:tcBorders>
            <w:vAlign w:val="center"/>
          </w:tcPr>
          <w:p w14:paraId="4C13EDDF" w14:textId="77777777" w:rsidR="0039040E" w:rsidRPr="0039040E" w:rsidRDefault="0039040E" w:rsidP="0039040E">
            <w:pPr>
              <w:widowControl w:val="0"/>
              <w:ind w:left="161"/>
              <w:jc w:val="center"/>
              <w:rPr>
                <w:rFonts w:ascii="Times New Roman" w:hAnsi="Times New Roman" w:cs="Times New Roman"/>
                <w:color w:val="000000"/>
                <w:lang w:bidi="en-US"/>
              </w:rPr>
            </w:pPr>
            <w:r w:rsidRPr="0039040E">
              <w:rPr>
                <w:rFonts w:ascii="Times New Roman" w:hAnsi="Times New Roman" w:cs="Times New Roman"/>
                <w:color w:val="000000"/>
                <w:sz w:val="20"/>
                <w:lang w:bidi="en-US"/>
              </w:rPr>
              <w:t>%</w:t>
            </w:r>
          </w:p>
        </w:tc>
        <w:tc>
          <w:tcPr>
            <w:tcW w:w="5106" w:type="dxa"/>
            <w:tcBorders>
              <w:top w:val="single" w:sz="4" w:space="0" w:color="000000"/>
              <w:left w:val="single" w:sz="4" w:space="0" w:color="000000"/>
              <w:bottom w:val="single" w:sz="4" w:space="0" w:color="000000"/>
              <w:right w:val="single" w:sz="4" w:space="0" w:color="000000"/>
            </w:tcBorders>
            <w:vAlign w:val="center"/>
          </w:tcPr>
          <w:p w14:paraId="33996366" w14:textId="77777777" w:rsidR="0039040E" w:rsidRPr="0039040E" w:rsidRDefault="0039040E" w:rsidP="0039040E">
            <w:pPr>
              <w:widowControl w:val="0"/>
              <w:spacing w:after="145"/>
              <w:ind w:left="132"/>
              <w:rPr>
                <w:rFonts w:ascii="Times New Roman" w:hAnsi="Times New Roman" w:cs="Times New Roman"/>
                <w:color w:val="000000"/>
                <w:lang w:bidi="en-US"/>
              </w:rPr>
            </w:pPr>
            <w:r w:rsidRPr="0039040E">
              <w:rPr>
                <w:rFonts w:ascii="Times New Roman" w:hAnsi="Times New Roman" w:cs="Times New Roman"/>
                <w:i/>
                <w:color w:val="000000"/>
                <w:sz w:val="14"/>
                <w:lang w:bidi="en-US"/>
              </w:rPr>
              <w:t>Nt</w:t>
            </w:r>
          </w:p>
          <w:p w14:paraId="1E86FC4D" w14:textId="2AA933D2" w:rsidR="0039040E" w:rsidRPr="0039040E" w:rsidRDefault="0039040E" w:rsidP="0039040E">
            <w:pPr>
              <w:widowControl w:val="0"/>
              <w:rPr>
                <w:rFonts w:ascii="Times New Roman" w:hAnsi="Times New Roman" w:cs="Times New Roman"/>
                <w:color w:val="000000"/>
                <w:lang w:bidi="en-US"/>
              </w:rPr>
            </w:pPr>
            <w:r w:rsidRPr="0039040E">
              <w:rPr>
                <w:rFonts w:ascii="Times New Roman" w:hAnsi="Times New Roman" w:cs="Times New Roman"/>
                <w:color w:val="000000"/>
                <w:lang w:bidi="en-US"/>
              </w:rPr>
              <w:t xml:space="preserve"> </w:t>
            </w:r>
            <w:r w:rsidRPr="0039040E">
              <w:rPr>
                <w:rFonts w:ascii="Calibri" w:eastAsia="Calibri" w:hAnsi="Calibri" w:cs="Calibri"/>
                <w:color w:val="000000"/>
                <w:sz w:val="35"/>
                <w:lang w:bidi="en-US"/>
              </w:rPr>
              <w:t xml:space="preserve">∑ </w:t>
            </w:r>
            <w:r w:rsidR="00B66E34" w:rsidRPr="0039040E">
              <w:rPr>
                <w:rFonts w:ascii="Times New Roman" w:hAnsi="Times New Roman" w:cs="Times New Roman"/>
                <w:i/>
                <w:color w:val="000000"/>
                <w:lang w:bidi="en-US"/>
              </w:rPr>
              <w:t>numărul</w:t>
            </w:r>
            <w:r w:rsidR="00B66E34">
              <w:rPr>
                <w:rFonts w:ascii="Times New Roman" w:hAnsi="Times New Roman" w:cs="Times New Roman"/>
                <w:i/>
                <w:color w:val="000000"/>
                <w:lang w:bidi="en-US"/>
              </w:rPr>
              <w:t xml:space="preserve"> </w:t>
            </w:r>
            <w:r w:rsidR="00B66E34" w:rsidRPr="0039040E">
              <w:rPr>
                <w:rFonts w:ascii="Times New Roman" w:hAnsi="Times New Roman" w:cs="Times New Roman"/>
                <w:i/>
                <w:color w:val="000000"/>
                <w:lang w:bidi="en-US"/>
              </w:rPr>
              <w:t>participanților</w:t>
            </w:r>
            <w:r w:rsidR="00B66E34">
              <w:rPr>
                <w:rFonts w:ascii="Times New Roman" w:hAnsi="Times New Roman" w:cs="Times New Roman"/>
                <w:i/>
                <w:color w:val="000000"/>
                <w:lang w:bidi="en-US"/>
              </w:rPr>
              <w:t xml:space="preserve"> </w:t>
            </w:r>
            <w:r w:rsidRPr="0039040E">
              <w:rPr>
                <w:rFonts w:ascii="Times New Roman" w:hAnsi="Times New Roman" w:cs="Times New Roman"/>
                <w:i/>
                <w:color w:val="000000"/>
                <w:lang w:bidi="en-US"/>
              </w:rPr>
              <w:t>la</w:t>
            </w:r>
            <w:r w:rsidR="00B66E34">
              <w:rPr>
                <w:rFonts w:ascii="Times New Roman" w:hAnsi="Times New Roman" w:cs="Times New Roman"/>
                <w:i/>
                <w:color w:val="000000"/>
                <w:lang w:bidi="en-US"/>
              </w:rPr>
              <w:t xml:space="preserve"> </w:t>
            </w:r>
            <w:r w:rsidR="00B66E34" w:rsidRPr="0039040E">
              <w:rPr>
                <w:rFonts w:ascii="Times New Roman" w:hAnsi="Times New Roman" w:cs="Times New Roman"/>
                <w:i/>
                <w:color w:val="000000"/>
                <w:lang w:bidi="en-US"/>
              </w:rPr>
              <w:t>ședințe</w:t>
            </w:r>
          </w:p>
          <w:p w14:paraId="3B89CAF3" w14:textId="77777777" w:rsidR="0039040E" w:rsidRPr="0039040E" w:rsidRDefault="0039040E" w:rsidP="0039040E">
            <w:pPr>
              <w:widowControl w:val="0"/>
              <w:spacing w:after="64"/>
              <w:ind w:left="72"/>
              <w:rPr>
                <w:rFonts w:ascii="Times New Roman" w:hAnsi="Times New Roman" w:cs="Times New Roman"/>
                <w:color w:val="000000"/>
                <w:lang w:bidi="en-US"/>
              </w:rPr>
            </w:pPr>
            <w:r w:rsidRPr="0039040E">
              <w:rPr>
                <w:rFonts w:ascii="Times New Roman" w:hAnsi="Times New Roman" w:cs="Times New Roman"/>
                <w:i/>
                <w:color w:val="000000"/>
                <w:sz w:val="14"/>
                <w:lang w:bidi="en-US"/>
              </w:rPr>
              <w:t>i</w:t>
            </w:r>
            <w:r w:rsidRPr="0039040E">
              <w:rPr>
                <w:rFonts w:ascii="Calibri" w:eastAsia="Calibri" w:hAnsi="Calibri" w:cs="Calibri"/>
                <w:color w:val="000000"/>
                <w:sz w:val="14"/>
                <w:lang w:bidi="en-US"/>
              </w:rPr>
              <w:t>=</w:t>
            </w:r>
            <w:r w:rsidRPr="0039040E">
              <w:rPr>
                <w:rFonts w:ascii="Times New Roman" w:hAnsi="Times New Roman" w:cs="Times New Roman"/>
                <w:color w:val="000000"/>
                <w:sz w:val="14"/>
                <w:lang w:bidi="en-US"/>
              </w:rPr>
              <w:t>1</w:t>
            </w:r>
          </w:p>
          <w:p w14:paraId="303B8FDD" w14:textId="77777777" w:rsidR="0039040E" w:rsidRPr="0039040E" w:rsidRDefault="0039040E" w:rsidP="0039040E">
            <w:pPr>
              <w:widowControl w:val="0"/>
              <w:rPr>
                <w:rFonts w:ascii="Times New Roman" w:hAnsi="Times New Roman" w:cs="Times New Roman"/>
                <w:color w:val="000000"/>
                <w:lang w:bidi="en-US"/>
              </w:rPr>
            </w:pPr>
            <w:r w:rsidRPr="0039040E">
              <w:rPr>
                <w:rFonts w:ascii="Times New Roman" w:hAnsi="Times New Roman" w:cs="Times New Roman"/>
                <w:color w:val="000000"/>
                <w:lang w:bidi="en-US"/>
              </w:rPr>
              <w:t xml:space="preserve">Rp = </w:t>
            </w:r>
          </w:p>
          <w:p w14:paraId="780AE4FA" w14:textId="2801E7E6" w:rsidR="0039040E" w:rsidRPr="0039040E" w:rsidRDefault="0039040E" w:rsidP="0039040E">
            <w:pPr>
              <w:widowControl w:val="0"/>
              <w:rPr>
                <w:rFonts w:ascii="Times New Roman" w:hAnsi="Times New Roman" w:cs="Times New Roman"/>
                <w:color w:val="000000"/>
                <w:lang w:bidi="en-US"/>
              </w:rPr>
            </w:pPr>
            <w:r w:rsidRPr="0039040E">
              <w:rPr>
                <w:rFonts w:ascii="Times New Roman" w:hAnsi="Times New Roman" w:cs="Times New Roman"/>
                <w:strike/>
                <w:color w:val="000000"/>
                <w:lang w:bidi="en-US"/>
              </w:rPr>
              <w:t>------------------------------------------------------</w:t>
            </w:r>
            <w:r w:rsidR="00B66E34" w:rsidRPr="0039040E">
              <w:rPr>
                <w:rFonts w:ascii="Times New Roman" w:hAnsi="Times New Roman" w:cs="Times New Roman"/>
                <w:i/>
                <w:color w:val="000000"/>
                <w:lang w:bidi="en-US"/>
              </w:rPr>
              <w:t>Număr</w:t>
            </w:r>
            <w:r w:rsidRPr="0039040E">
              <w:rPr>
                <w:rFonts w:ascii="Times New Roman" w:hAnsi="Times New Roman" w:cs="Times New Roman"/>
                <w:i/>
                <w:color w:val="000000"/>
                <w:lang w:bidi="en-US"/>
              </w:rPr>
              <w:t xml:space="preserve"> total </w:t>
            </w:r>
            <w:r w:rsidR="00B66E34" w:rsidRPr="0039040E">
              <w:rPr>
                <w:rFonts w:ascii="Times New Roman" w:hAnsi="Times New Roman" w:cs="Times New Roman"/>
                <w:i/>
                <w:color w:val="000000"/>
                <w:lang w:bidi="en-US"/>
              </w:rPr>
              <w:t>membri</w:t>
            </w:r>
            <w:r w:rsidRPr="0039040E">
              <w:rPr>
                <w:rFonts w:ascii="Times New Roman" w:hAnsi="Times New Roman" w:cs="Times New Roman"/>
                <w:i/>
                <w:color w:val="000000"/>
                <w:lang w:bidi="en-US"/>
              </w:rPr>
              <w:t xml:space="preserve"> • </w:t>
            </w:r>
            <w:r w:rsidR="00B66E34" w:rsidRPr="0039040E">
              <w:rPr>
                <w:rFonts w:ascii="Times New Roman" w:hAnsi="Times New Roman" w:cs="Times New Roman"/>
                <w:i/>
                <w:color w:val="000000"/>
                <w:lang w:bidi="en-US"/>
              </w:rPr>
              <w:t>Număr</w:t>
            </w:r>
            <w:r w:rsidRPr="0039040E">
              <w:rPr>
                <w:rFonts w:ascii="Times New Roman" w:hAnsi="Times New Roman" w:cs="Times New Roman"/>
                <w:i/>
                <w:color w:val="000000"/>
                <w:lang w:bidi="en-US"/>
              </w:rPr>
              <w:t xml:space="preserve"> </w:t>
            </w:r>
            <w:r w:rsidR="00B66E34" w:rsidRPr="0039040E">
              <w:rPr>
                <w:rFonts w:ascii="Times New Roman" w:hAnsi="Times New Roman" w:cs="Times New Roman"/>
                <w:i/>
                <w:color w:val="000000"/>
                <w:lang w:bidi="en-US"/>
              </w:rPr>
              <w:t>ședințe</w:t>
            </w:r>
          </w:p>
        </w:tc>
      </w:tr>
    </w:tbl>
    <w:p w14:paraId="604FDDF6" w14:textId="77777777" w:rsidR="0039040E" w:rsidRPr="0039040E" w:rsidRDefault="0039040E" w:rsidP="0039040E">
      <w:pPr>
        <w:keepNext/>
        <w:keepLines/>
        <w:spacing w:after="13" w:line="249" w:lineRule="auto"/>
        <w:outlineLvl w:val="0"/>
        <w:rPr>
          <w:rFonts w:ascii="Times New Roman" w:eastAsia="Times New Roman" w:hAnsi="Times New Roman" w:cs="Times New Roman"/>
          <w:b/>
          <w:color w:val="000000"/>
          <w:kern w:val="2"/>
          <w:sz w:val="24"/>
          <w:szCs w:val="24"/>
          <w:lang w:eastAsia="ro-RO"/>
        </w:rPr>
      </w:pPr>
    </w:p>
    <w:p w14:paraId="73032298" w14:textId="77777777" w:rsidR="0039040E" w:rsidRPr="0039040E" w:rsidRDefault="0039040E" w:rsidP="0039040E">
      <w:pPr>
        <w:keepNext/>
        <w:keepLines/>
        <w:spacing w:after="13" w:line="249" w:lineRule="auto"/>
        <w:ind w:firstLine="568"/>
        <w:outlineLvl w:val="0"/>
        <w:rPr>
          <w:rFonts w:ascii="Times New Roman" w:eastAsia="Times New Roman" w:hAnsi="Times New Roman" w:cs="Times New Roman"/>
          <w:b/>
          <w:color w:val="000000"/>
          <w:kern w:val="2"/>
          <w:sz w:val="24"/>
          <w:szCs w:val="24"/>
          <w:lang w:eastAsia="ro-RO"/>
        </w:rPr>
      </w:pPr>
    </w:p>
    <w:p w14:paraId="5A532790" w14:textId="77777777" w:rsidR="0039040E" w:rsidRPr="0039040E" w:rsidRDefault="0039040E" w:rsidP="0039040E">
      <w:pPr>
        <w:keepNext/>
        <w:keepLines/>
        <w:spacing w:after="13" w:line="249" w:lineRule="auto"/>
        <w:ind w:firstLine="568"/>
        <w:jc w:val="both"/>
        <w:outlineLvl w:val="0"/>
        <w:rPr>
          <w:rFonts w:ascii="Times New Roman" w:eastAsia="Times New Roman" w:hAnsi="Times New Roman" w:cs="Times New Roman"/>
          <w:b/>
          <w:color w:val="000000"/>
          <w:kern w:val="2"/>
          <w:sz w:val="24"/>
          <w:szCs w:val="24"/>
          <w:lang w:eastAsia="ro-RO"/>
        </w:rPr>
      </w:pPr>
      <w:r w:rsidRPr="0039040E">
        <w:rPr>
          <w:rFonts w:ascii="Times New Roman" w:eastAsia="Times New Roman" w:hAnsi="Times New Roman" w:cs="Times New Roman"/>
          <w:b/>
          <w:color w:val="000000"/>
          <w:kern w:val="2"/>
          <w:sz w:val="24"/>
          <w:szCs w:val="24"/>
          <w:lang w:eastAsia="ro-RO"/>
        </w:rPr>
        <w:t>VI. Mențiunea privind încadrarea întreprinderii publice în unul dintre următoarele categorii comerciale, de monopol sau serviciu public;</w:t>
      </w:r>
    </w:p>
    <w:p w14:paraId="4321B360" w14:textId="77777777" w:rsidR="0039040E" w:rsidRPr="0039040E" w:rsidRDefault="0039040E" w:rsidP="0039040E">
      <w:pPr>
        <w:widowControl w:val="0"/>
        <w:spacing w:after="0" w:line="240" w:lineRule="auto"/>
        <w:ind w:firstLine="720"/>
        <w:jc w:val="both"/>
        <w:rPr>
          <w:rFonts w:ascii="Times New Roman" w:eastAsia="Times New Roman" w:hAnsi="Times New Roman" w:cs="Times New Roman"/>
          <w:color w:val="000000"/>
          <w:sz w:val="24"/>
          <w:szCs w:val="24"/>
          <w:lang w:eastAsia="ro-RO"/>
        </w:rPr>
      </w:pPr>
      <w:r w:rsidRPr="0039040E">
        <w:rPr>
          <w:rFonts w:ascii="Times New Roman" w:eastAsia="Times New Roman" w:hAnsi="Times New Roman" w:cs="Times New Roman"/>
          <w:color w:val="000000"/>
          <w:sz w:val="24"/>
          <w:szCs w:val="24"/>
          <w:lang w:eastAsia="ro-RO"/>
        </w:rPr>
        <w:t xml:space="preserve">Societatea se încadrează în categoria întreprinderilor publice al căror principal obiectiv este prestarea de servicii publice. Potrivit art.3 din O.G. nr.71/2002 privind organizarea și funcționarea serviciilor publice de administrare a domeniului public și privat de interes local, cu modificările şi completările ulterioare: </w:t>
      </w:r>
    </w:p>
    <w:p w14:paraId="7EEB5192" w14:textId="77777777" w:rsidR="0039040E" w:rsidRPr="0039040E" w:rsidRDefault="0039040E" w:rsidP="0039040E">
      <w:pPr>
        <w:widowControl w:val="0"/>
        <w:spacing w:after="0" w:line="240" w:lineRule="auto"/>
        <w:ind w:firstLine="720"/>
        <w:jc w:val="both"/>
        <w:rPr>
          <w:rFonts w:ascii="Times New Roman" w:eastAsia="Times New Roman" w:hAnsi="Times New Roman" w:cs="Times New Roman"/>
          <w:color w:val="000000"/>
          <w:sz w:val="24"/>
          <w:szCs w:val="24"/>
          <w:lang w:eastAsia="ro-RO"/>
        </w:rPr>
      </w:pPr>
      <w:r w:rsidRPr="0039040E">
        <w:rPr>
          <w:rFonts w:ascii="Times New Roman" w:eastAsia="Times New Roman" w:hAnsi="Times New Roman" w:cs="Times New Roman"/>
          <w:color w:val="000000"/>
          <w:sz w:val="24"/>
          <w:szCs w:val="24"/>
          <w:lang w:eastAsia="ro-RO"/>
        </w:rPr>
        <w:t xml:space="preserve">Serviciile de administrare a domeniului public şi privat sunt destinate satisfacerii unor nevoi ale comunităţilor locale, contribuie la ridicarea gradului de civilizaţie şi confort al acestora şi grupează activităţi edilitar-gospodăreşti şi acţiuni de utilitate şi interes public local având ca obiect: </w:t>
      </w:r>
    </w:p>
    <w:p w14:paraId="24A55D3B" w14:textId="77777777" w:rsidR="0039040E" w:rsidRPr="0039040E" w:rsidRDefault="0039040E" w:rsidP="0039040E">
      <w:pPr>
        <w:widowControl w:val="0"/>
        <w:spacing w:after="0" w:line="240" w:lineRule="auto"/>
        <w:jc w:val="both"/>
        <w:rPr>
          <w:rFonts w:ascii="Times New Roman" w:eastAsia="Times New Roman" w:hAnsi="Times New Roman" w:cs="Times New Roman"/>
          <w:color w:val="000000"/>
          <w:sz w:val="24"/>
          <w:szCs w:val="24"/>
          <w:lang w:eastAsia="ro-RO"/>
        </w:rPr>
      </w:pPr>
      <w:r w:rsidRPr="0039040E">
        <w:rPr>
          <w:rFonts w:ascii="Times New Roman" w:eastAsia="Times New Roman" w:hAnsi="Times New Roman" w:cs="Times New Roman"/>
          <w:color w:val="000000"/>
          <w:sz w:val="24"/>
          <w:szCs w:val="24"/>
          <w:lang w:eastAsia="ro-RO"/>
        </w:rPr>
        <w:t>-</w:t>
      </w:r>
      <w:r w:rsidRPr="0039040E">
        <w:rPr>
          <w:rFonts w:ascii="Times New Roman" w:eastAsia="Times New Roman" w:hAnsi="Times New Roman" w:cs="Times New Roman"/>
          <w:color w:val="000000"/>
          <w:sz w:val="24"/>
          <w:szCs w:val="24"/>
          <w:lang w:eastAsia="ro-RO"/>
        </w:rPr>
        <w:tab/>
        <w:t>construirea, modernizarea, întreținerea, administrarea și exploatarea piețelor agroalimentare, a bazarelor, târgurilor și oboarelor;</w:t>
      </w:r>
    </w:p>
    <w:p w14:paraId="76F65867" w14:textId="77777777" w:rsidR="0039040E" w:rsidRPr="0039040E" w:rsidRDefault="0039040E" w:rsidP="0039040E">
      <w:pPr>
        <w:widowControl w:val="0"/>
        <w:spacing w:after="0" w:line="240" w:lineRule="auto"/>
        <w:jc w:val="both"/>
        <w:rPr>
          <w:rFonts w:ascii="Times New Roman" w:eastAsia="Times New Roman" w:hAnsi="Times New Roman" w:cs="Times New Roman"/>
          <w:color w:val="000000"/>
          <w:sz w:val="24"/>
          <w:szCs w:val="24"/>
          <w:lang w:eastAsia="ro-RO"/>
        </w:rPr>
      </w:pPr>
      <w:r w:rsidRPr="0039040E">
        <w:rPr>
          <w:rFonts w:ascii="Times New Roman" w:eastAsia="Times New Roman" w:hAnsi="Times New Roman" w:cs="Times New Roman"/>
          <w:color w:val="000000"/>
          <w:sz w:val="24"/>
          <w:szCs w:val="24"/>
          <w:lang w:eastAsia="ro-RO"/>
        </w:rPr>
        <w:t>Serviciile de administrare a domeniului public și privat se realizează și se gestionează prin intermediul unor operatori, cu respectarea, după caz, a prevederilor art. 11 sau ale art. 12</w:t>
      </w:r>
    </w:p>
    <w:p w14:paraId="63AA5B8E" w14:textId="1CE0B976" w:rsidR="0039040E" w:rsidRPr="0039040E" w:rsidRDefault="0039040E" w:rsidP="0039040E">
      <w:pPr>
        <w:widowControl w:val="0"/>
        <w:spacing w:after="0" w:line="240" w:lineRule="auto"/>
        <w:jc w:val="both"/>
        <w:rPr>
          <w:rFonts w:ascii="Times New Roman" w:eastAsia="Times New Roman" w:hAnsi="Times New Roman" w:cs="Times New Roman"/>
          <w:color w:val="000000"/>
          <w:sz w:val="24"/>
          <w:szCs w:val="24"/>
          <w:lang w:eastAsia="ro-RO"/>
        </w:rPr>
      </w:pPr>
      <w:r w:rsidRPr="0039040E">
        <w:rPr>
          <w:rFonts w:ascii="Times New Roman" w:eastAsia="Times New Roman" w:hAnsi="Times New Roman" w:cs="Times New Roman"/>
          <w:color w:val="000000"/>
          <w:sz w:val="24"/>
          <w:szCs w:val="24"/>
          <w:lang w:eastAsia="ro-RO"/>
        </w:rPr>
        <w:tab/>
        <w:t>Prin urmare activitățile desfășurate de Societatea Pie</w:t>
      </w:r>
      <w:r w:rsidR="00B66E34">
        <w:rPr>
          <w:rFonts w:ascii="Times New Roman" w:eastAsia="Times New Roman" w:hAnsi="Times New Roman" w:cs="Times New Roman"/>
          <w:color w:val="000000"/>
          <w:sz w:val="24"/>
          <w:szCs w:val="24"/>
          <w:lang w:eastAsia="ro-RO"/>
        </w:rPr>
        <w:t>ț</w:t>
      </w:r>
      <w:r w:rsidRPr="0039040E">
        <w:rPr>
          <w:rFonts w:ascii="Times New Roman" w:eastAsia="Times New Roman" w:hAnsi="Times New Roman" w:cs="Times New Roman"/>
          <w:color w:val="000000"/>
          <w:sz w:val="24"/>
          <w:szCs w:val="24"/>
          <w:lang w:eastAsia="ro-RO"/>
        </w:rPr>
        <w:t>e Servicii Comunitare Muscel S</w:t>
      </w:r>
      <w:r w:rsidR="00B66E34">
        <w:rPr>
          <w:rFonts w:ascii="Times New Roman" w:eastAsia="Times New Roman" w:hAnsi="Times New Roman" w:cs="Times New Roman"/>
          <w:color w:val="000000"/>
          <w:sz w:val="24"/>
          <w:szCs w:val="24"/>
          <w:lang w:eastAsia="ro-RO"/>
        </w:rPr>
        <w:t>.</w:t>
      </w:r>
      <w:r w:rsidRPr="0039040E">
        <w:rPr>
          <w:rFonts w:ascii="Times New Roman" w:eastAsia="Times New Roman" w:hAnsi="Times New Roman" w:cs="Times New Roman"/>
          <w:color w:val="000000"/>
          <w:sz w:val="24"/>
          <w:szCs w:val="24"/>
          <w:lang w:eastAsia="ro-RO"/>
        </w:rPr>
        <w:t>R</w:t>
      </w:r>
      <w:r w:rsidR="00B66E34">
        <w:rPr>
          <w:rFonts w:ascii="Times New Roman" w:eastAsia="Times New Roman" w:hAnsi="Times New Roman" w:cs="Times New Roman"/>
          <w:color w:val="000000"/>
          <w:sz w:val="24"/>
          <w:szCs w:val="24"/>
          <w:lang w:eastAsia="ro-RO"/>
        </w:rPr>
        <w:t>.</w:t>
      </w:r>
      <w:r w:rsidRPr="0039040E">
        <w:rPr>
          <w:rFonts w:ascii="Times New Roman" w:eastAsia="Times New Roman" w:hAnsi="Times New Roman" w:cs="Times New Roman"/>
          <w:color w:val="000000"/>
          <w:sz w:val="24"/>
          <w:szCs w:val="24"/>
          <w:lang w:eastAsia="ro-RO"/>
        </w:rPr>
        <w:t>L</w:t>
      </w:r>
      <w:r w:rsidR="00B66E34">
        <w:rPr>
          <w:rFonts w:ascii="Times New Roman" w:eastAsia="Times New Roman" w:hAnsi="Times New Roman" w:cs="Times New Roman"/>
          <w:color w:val="000000"/>
          <w:sz w:val="24"/>
          <w:szCs w:val="24"/>
          <w:lang w:eastAsia="ro-RO"/>
        </w:rPr>
        <w:t>.</w:t>
      </w:r>
      <w:r w:rsidRPr="0039040E">
        <w:rPr>
          <w:rFonts w:ascii="Times New Roman" w:eastAsia="Times New Roman" w:hAnsi="Times New Roman" w:cs="Times New Roman"/>
          <w:color w:val="000000"/>
          <w:sz w:val="24"/>
          <w:szCs w:val="24"/>
          <w:lang w:eastAsia="ro-RO"/>
        </w:rPr>
        <w:t xml:space="preserve"> sunt activități specifice serviciilor de administrare a domeniului public și privat. Activitatea desfăşurată de întreprinderea publică este în conformitate cu legislaţia specifică, cu Contractul de delegare a gestiunii prin concesiune a serviciului public de </w:t>
      </w:r>
      <w:r w:rsidR="00072CDE" w:rsidRPr="0039040E">
        <w:rPr>
          <w:rFonts w:ascii="Times New Roman" w:eastAsia="Times New Roman" w:hAnsi="Times New Roman" w:cs="Times New Roman"/>
          <w:color w:val="000000"/>
          <w:sz w:val="24"/>
          <w:szCs w:val="24"/>
          <w:lang w:eastAsia="ro-RO"/>
        </w:rPr>
        <w:t>întreținere</w:t>
      </w:r>
      <w:r w:rsidRPr="0039040E">
        <w:rPr>
          <w:rFonts w:ascii="Times New Roman" w:eastAsia="Times New Roman" w:hAnsi="Times New Roman" w:cs="Times New Roman"/>
          <w:color w:val="000000"/>
          <w:sz w:val="24"/>
          <w:szCs w:val="24"/>
          <w:lang w:eastAsia="ro-RO"/>
        </w:rPr>
        <w:t xml:space="preserve">, administrare si exploatare a </w:t>
      </w:r>
      <w:r w:rsidR="00072CDE" w:rsidRPr="0039040E">
        <w:rPr>
          <w:rFonts w:ascii="Times New Roman" w:eastAsia="Times New Roman" w:hAnsi="Times New Roman" w:cs="Times New Roman"/>
          <w:color w:val="000000"/>
          <w:sz w:val="24"/>
          <w:szCs w:val="24"/>
          <w:lang w:eastAsia="ro-RO"/>
        </w:rPr>
        <w:t>piețelor</w:t>
      </w:r>
      <w:r w:rsidRPr="0039040E">
        <w:rPr>
          <w:rFonts w:ascii="Times New Roman" w:eastAsia="Times New Roman" w:hAnsi="Times New Roman" w:cs="Times New Roman"/>
          <w:color w:val="000000"/>
          <w:sz w:val="24"/>
          <w:szCs w:val="24"/>
          <w:lang w:eastAsia="ro-RO"/>
        </w:rPr>
        <w:t xml:space="preserve"> agroalimentare si a </w:t>
      </w:r>
      <w:r w:rsidR="00072CDE" w:rsidRPr="0039040E">
        <w:rPr>
          <w:rFonts w:ascii="Times New Roman" w:eastAsia="Times New Roman" w:hAnsi="Times New Roman" w:cs="Times New Roman"/>
          <w:color w:val="000000"/>
          <w:sz w:val="24"/>
          <w:szCs w:val="24"/>
          <w:lang w:eastAsia="ro-RO"/>
        </w:rPr>
        <w:t>târgului</w:t>
      </w:r>
      <w:r w:rsidRPr="0039040E">
        <w:rPr>
          <w:rFonts w:ascii="Times New Roman" w:eastAsia="Times New Roman" w:hAnsi="Times New Roman" w:cs="Times New Roman"/>
          <w:color w:val="000000"/>
          <w:sz w:val="24"/>
          <w:szCs w:val="24"/>
          <w:lang w:eastAsia="ro-RO"/>
        </w:rPr>
        <w:t xml:space="preserve"> din Municipiul Câmpulung nr. 7816/2021.</w:t>
      </w:r>
    </w:p>
    <w:p w14:paraId="19874568" w14:textId="77777777" w:rsidR="0039040E" w:rsidRPr="0039040E" w:rsidRDefault="0039040E" w:rsidP="0039040E">
      <w:pPr>
        <w:widowControl w:val="0"/>
        <w:spacing w:after="13" w:line="249" w:lineRule="auto"/>
        <w:ind w:firstLine="568"/>
        <w:jc w:val="both"/>
        <w:rPr>
          <w:rFonts w:ascii="Times New Roman" w:eastAsia="Times New Roman" w:hAnsi="Times New Roman" w:cs="Times New Roman"/>
          <w:b/>
          <w:color w:val="000000"/>
          <w:sz w:val="24"/>
          <w:szCs w:val="24"/>
          <w:lang w:bidi="en-US"/>
        </w:rPr>
      </w:pPr>
    </w:p>
    <w:p w14:paraId="757E730E" w14:textId="77777777" w:rsidR="0039040E" w:rsidRPr="0039040E" w:rsidRDefault="0039040E" w:rsidP="0039040E">
      <w:pPr>
        <w:widowControl w:val="0"/>
        <w:spacing w:after="13" w:line="249" w:lineRule="auto"/>
        <w:ind w:firstLine="568"/>
        <w:jc w:val="both"/>
        <w:rPr>
          <w:rFonts w:ascii="Times New Roman" w:eastAsia="Times New Roman" w:hAnsi="Times New Roman" w:cs="Times New Roman"/>
          <w:b/>
          <w:color w:val="000000"/>
          <w:sz w:val="24"/>
          <w:szCs w:val="24"/>
          <w:lang w:bidi="en-US"/>
        </w:rPr>
      </w:pPr>
    </w:p>
    <w:p w14:paraId="0F10DCD8" w14:textId="77777777" w:rsidR="0039040E" w:rsidRPr="0039040E" w:rsidRDefault="0039040E" w:rsidP="0039040E">
      <w:pPr>
        <w:widowControl w:val="0"/>
        <w:spacing w:after="13" w:line="249" w:lineRule="auto"/>
        <w:ind w:firstLine="568"/>
        <w:jc w:val="both"/>
        <w:rPr>
          <w:rFonts w:ascii="Times New Roman" w:eastAsia="Times New Roman" w:hAnsi="Times New Roman" w:cs="Times New Roman"/>
          <w:b/>
          <w:color w:val="000000"/>
          <w:sz w:val="24"/>
          <w:szCs w:val="24"/>
          <w:lang w:bidi="en-US"/>
        </w:rPr>
      </w:pPr>
    </w:p>
    <w:p w14:paraId="14F50E95" w14:textId="3429644F" w:rsidR="0039040E" w:rsidRPr="0039040E" w:rsidRDefault="0039040E" w:rsidP="0039040E">
      <w:pPr>
        <w:widowControl w:val="0"/>
        <w:spacing w:after="13" w:line="249" w:lineRule="auto"/>
        <w:ind w:firstLine="568"/>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b/>
          <w:color w:val="000000"/>
          <w:sz w:val="24"/>
          <w:szCs w:val="24"/>
          <w:lang w:bidi="en-US"/>
        </w:rPr>
        <w:t>VII</w:t>
      </w:r>
      <w:r w:rsidRPr="0039040E">
        <w:rPr>
          <w:rFonts w:ascii="Times New Roman" w:eastAsia="Times New Roman" w:hAnsi="Times New Roman" w:cs="Times New Roman"/>
          <w:b/>
          <w:color w:val="FF0000"/>
          <w:sz w:val="24"/>
          <w:szCs w:val="24"/>
          <w:lang w:bidi="en-US"/>
        </w:rPr>
        <w:t>.</w:t>
      </w:r>
      <w:r w:rsidRPr="0039040E">
        <w:rPr>
          <w:rFonts w:ascii="Times New Roman" w:eastAsia="Times New Roman" w:hAnsi="Times New Roman" w:cs="Times New Roman"/>
          <w:b/>
          <w:color w:val="000000"/>
          <w:sz w:val="24"/>
          <w:szCs w:val="24"/>
          <w:lang w:bidi="en-US"/>
        </w:rPr>
        <w:t xml:space="preserve"> Așteptări în </w:t>
      </w:r>
      <w:r w:rsidR="00B66E34" w:rsidRPr="0039040E">
        <w:rPr>
          <w:rFonts w:ascii="Times New Roman" w:eastAsia="Times New Roman" w:hAnsi="Times New Roman" w:cs="Times New Roman"/>
          <w:b/>
          <w:color w:val="000000"/>
          <w:sz w:val="24"/>
          <w:szCs w:val="24"/>
          <w:lang w:bidi="en-US"/>
        </w:rPr>
        <w:t>ceea</w:t>
      </w:r>
      <w:r w:rsidRPr="0039040E">
        <w:rPr>
          <w:rFonts w:ascii="Times New Roman" w:eastAsia="Times New Roman" w:hAnsi="Times New Roman" w:cs="Times New Roman"/>
          <w:b/>
          <w:color w:val="000000"/>
          <w:sz w:val="24"/>
          <w:szCs w:val="24"/>
          <w:lang w:bidi="en-US"/>
        </w:rPr>
        <w:t xml:space="preserve"> ce privește politica de dividende /vărsăminte din profitul net al S.C. Piețe Servicii Comunitare Muscel S.R.L.</w:t>
      </w:r>
    </w:p>
    <w:p w14:paraId="183D21E1" w14:textId="77777777" w:rsidR="0039040E" w:rsidRPr="0039040E" w:rsidRDefault="0039040E" w:rsidP="0039040E">
      <w:pPr>
        <w:widowControl w:val="0"/>
        <w:spacing w:after="0" w:line="240" w:lineRule="auto"/>
        <w:ind w:left="-15" w:right="6" w:firstLine="583"/>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Municipiul Câmpulung, în calitate de unic acționar al societății, se așteaptă să fie menținut un echilibru între investiții și dividende, preferința pentru următoarea perioada ar fi pentru noi investiții față de distribuirea de dividende dar  și  pentru creșterea  nivelului acestor dividente în următoare perioada de mandat, față de vărsămintele  realizate în anii precedenți, prin creșterea eficacității, eficienței, profitabilității societății și îmbunătățirea continua.</w:t>
      </w:r>
    </w:p>
    <w:p w14:paraId="7C496D9B" w14:textId="77777777" w:rsidR="0039040E" w:rsidRPr="0039040E" w:rsidRDefault="0039040E" w:rsidP="0039040E">
      <w:pPr>
        <w:widowControl w:val="0"/>
        <w:spacing w:after="0" w:line="240" w:lineRule="auto"/>
        <w:ind w:left="-15" w:right="6" w:firstLine="583"/>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De asemenea, este necesar să fim informați în timp util de către consiliu cu privire la schimbările survenite în planificarea activității, de natura sa pună în primejdie aceasta țintă iar propunerile anuale de dividende pot devia, cu justificare, de la ținta stabilită pentru următoarea perioada.</w:t>
      </w:r>
    </w:p>
    <w:p w14:paraId="27FECE58" w14:textId="77777777" w:rsidR="0039040E" w:rsidRPr="0039040E" w:rsidRDefault="0039040E" w:rsidP="0039040E">
      <w:pPr>
        <w:widowControl w:val="0"/>
        <w:spacing w:after="0" w:line="240" w:lineRule="auto"/>
        <w:ind w:left="-15" w:right="6" w:firstLine="583"/>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Conform Actului constitutiv, la închiderea exercițiului financiar, Adunarea generală a acționarilor discută, aprobă sau modifică situațiile financiare anuale, pe baza rapoartelor prezentate de consiliul de administrație sau după caz, de auditorul financiar și fixează dividendul.</w:t>
      </w:r>
    </w:p>
    <w:p w14:paraId="753EC355" w14:textId="77777777" w:rsidR="0039040E" w:rsidRPr="0039040E" w:rsidRDefault="0039040E" w:rsidP="0039040E">
      <w:pPr>
        <w:widowControl w:val="0"/>
        <w:spacing w:after="0" w:line="240" w:lineRule="auto"/>
        <w:ind w:left="-15" w:right="6"/>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Conform dispozițiilor Ordonanței Guvernului nr. 64/2001, cu modificările și completările ulterioare, profitul contabil rămas după deducerea impozitului pe profit se repartizează pe următoarele destinații, dacă prin legi speciale nu se prevede altfel:</w:t>
      </w:r>
    </w:p>
    <w:p w14:paraId="03D88B05" w14:textId="77777777" w:rsidR="0039040E" w:rsidRPr="0039040E" w:rsidRDefault="0039040E" w:rsidP="0039040E">
      <w:pPr>
        <w:widowControl w:val="0"/>
        <w:numPr>
          <w:ilvl w:val="0"/>
          <w:numId w:val="11"/>
        </w:numPr>
        <w:spacing w:after="4" w:line="270" w:lineRule="auto"/>
        <w:ind w:right="6" w:firstLine="558"/>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rezerve legale;</w:t>
      </w:r>
    </w:p>
    <w:p w14:paraId="2559EB1A" w14:textId="77777777" w:rsidR="0039040E" w:rsidRPr="0039040E" w:rsidRDefault="0039040E" w:rsidP="0039040E">
      <w:pPr>
        <w:widowControl w:val="0"/>
        <w:numPr>
          <w:ilvl w:val="0"/>
          <w:numId w:val="11"/>
        </w:numPr>
        <w:spacing w:after="4" w:line="270" w:lineRule="auto"/>
        <w:ind w:right="6" w:firstLine="558"/>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alte rezerve reprezentând facilități fiscale prevăzute de lege;</w:t>
      </w:r>
    </w:p>
    <w:p w14:paraId="059D0556" w14:textId="77777777" w:rsidR="0039040E" w:rsidRPr="0039040E" w:rsidRDefault="0039040E" w:rsidP="0039040E">
      <w:pPr>
        <w:widowControl w:val="0"/>
        <w:numPr>
          <w:ilvl w:val="0"/>
          <w:numId w:val="11"/>
        </w:numPr>
        <w:spacing w:after="4" w:line="270" w:lineRule="auto"/>
        <w:ind w:right="6" w:firstLine="558"/>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acoperirea pierderilor contabile din anii precedenți;</w:t>
      </w:r>
    </w:p>
    <w:p w14:paraId="73E27341" w14:textId="5BFBE489" w:rsidR="0039040E" w:rsidRPr="0039040E" w:rsidRDefault="0039040E" w:rsidP="0039040E">
      <w:pPr>
        <w:widowControl w:val="0"/>
        <w:numPr>
          <w:ilvl w:val="0"/>
          <w:numId w:val="11"/>
        </w:numPr>
        <w:spacing w:after="4" w:line="270" w:lineRule="auto"/>
        <w:ind w:right="6" w:firstLine="558"/>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constituirea surselor proprii de finanțare pentru proiectele cofinanțate din împrumuturi</w:t>
      </w:r>
      <w:r w:rsidR="00B66E34">
        <w:rPr>
          <w:rFonts w:ascii="Times New Roman" w:eastAsia="Times New Roman" w:hAnsi="Times New Roman" w:cs="Times New Roman"/>
          <w:color w:val="000000"/>
          <w:sz w:val="24"/>
          <w:szCs w:val="24"/>
          <w:lang w:bidi="en-US"/>
        </w:rPr>
        <w:t xml:space="preserve"> </w:t>
      </w:r>
      <w:r w:rsidRPr="0039040E">
        <w:rPr>
          <w:rFonts w:ascii="Times New Roman" w:eastAsia="Times New Roman" w:hAnsi="Times New Roman" w:cs="Times New Roman"/>
          <w:color w:val="000000"/>
          <w:sz w:val="24"/>
          <w:szCs w:val="24"/>
          <w:lang w:bidi="en-US"/>
        </w:rPr>
        <w:t>externe, precum și pentru constituirea surselor necesare rambursării ratelor de capital, plății dobânzilor, comisioanelor și a altor costuri aferente acestor împrumuturi externe;</w:t>
      </w:r>
    </w:p>
    <w:p w14:paraId="516C7B99" w14:textId="77777777" w:rsidR="0039040E" w:rsidRPr="0039040E" w:rsidRDefault="0039040E" w:rsidP="0039040E">
      <w:pPr>
        <w:widowControl w:val="0"/>
        <w:numPr>
          <w:ilvl w:val="0"/>
          <w:numId w:val="11"/>
        </w:numPr>
        <w:spacing w:after="4" w:line="270" w:lineRule="auto"/>
        <w:ind w:right="6" w:firstLine="558"/>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alte repartizări prevăzute de lege;</w:t>
      </w:r>
    </w:p>
    <w:p w14:paraId="49CE8781" w14:textId="77777777" w:rsidR="0039040E" w:rsidRPr="0039040E" w:rsidRDefault="0039040E" w:rsidP="0039040E">
      <w:pPr>
        <w:widowControl w:val="0"/>
        <w:numPr>
          <w:ilvl w:val="0"/>
          <w:numId w:val="11"/>
        </w:numPr>
        <w:spacing w:after="4" w:line="270" w:lineRule="auto"/>
        <w:ind w:right="6" w:firstLine="558"/>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participarea salariaților la profit;</w:t>
      </w:r>
    </w:p>
    <w:p w14:paraId="1331416C" w14:textId="77777777" w:rsidR="0039040E" w:rsidRPr="0039040E" w:rsidRDefault="0039040E" w:rsidP="0039040E">
      <w:pPr>
        <w:widowControl w:val="0"/>
        <w:numPr>
          <w:ilvl w:val="0"/>
          <w:numId w:val="11"/>
        </w:numPr>
        <w:spacing w:after="4" w:line="270" w:lineRule="auto"/>
        <w:ind w:right="6" w:firstLine="558"/>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minimum 50% vărsăminte la bugetul local ori dividende;</w:t>
      </w:r>
    </w:p>
    <w:p w14:paraId="63A792BD" w14:textId="77777777" w:rsidR="0039040E" w:rsidRPr="0039040E" w:rsidRDefault="0039040E" w:rsidP="0039040E">
      <w:pPr>
        <w:widowControl w:val="0"/>
        <w:numPr>
          <w:ilvl w:val="0"/>
          <w:numId w:val="11"/>
        </w:numPr>
        <w:spacing w:after="4" w:line="270" w:lineRule="auto"/>
        <w:ind w:right="6" w:firstLine="558"/>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profitul nerepartizat se repartizează la alte rezerve și constituie sursă proprie de finanțare.</w:t>
      </w:r>
    </w:p>
    <w:p w14:paraId="2EB559F1" w14:textId="77777777" w:rsidR="0039040E" w:rsidRPr="0039040E" w:rsidRDefault="0039040E" w:rsidP="0039040E">
      <w:pPr>
        <w:keepNext/>
        <w:keepLines/>
        <w:spacing w:after="13" w:line="249" w:lineRule="auto"/>
        <w:ind w:left="10" w:hanging="10"/>
        <w:jc w:val="both"/>
        <w:outlineLvl w:val="0"/>
        <w:rPr>
          <w:rFonts w:ascii="Times New Roman" w:eastAsia="Times New Roman" w:hAnsi="Times New Roman" w:cs="Times New Roman"/>
          <w:b/>
          <w:color w:val="000000"/>
          <w:kern w:val="2"/>
          <w:sz w:val="24"/>
          <w:szCs w:val="24"/>
          <w:lang w:eastAsia="ro-RO"/>
        </w:rPr>
      </w:pPr>
    </w:p>
    <w:p w14:paraId="7E4840FF" w14:textId="77777777" w:rsidR="0039040E" w:rsidRPr="0039040E" w:rsidRDefault="0039040E" w:rsidP="0039040E">
      <w:pPr>
        <w:keepNext/>
        <w:keepLines/>
        <w:spacing w:after="13" w:line="249" w:lineRule="auto"/>
        <w:ind w:left="10" w:hanging="10"/>
        <w:jc w:val="both"/>
        <w:outlineLvl w:val="0"/>
        <w:rPr>
          <w:rFonts w:ascii="Times New Roman" w:eastAsia="Times New Roman" w:hAnsi="Times New Roman" w:cs="Times New Roman"/>
          <w:b/>
          <w:color w:val="000000"/>
          <w:kern w:val="2"/>
          <w:sz w:val="24"/>
          <w:szCs w:val="24"/>
          <w:lang w:eastAsia="ro-RO"/>
        </w:rPr>
      </w:pPr>
      <w:r w:rsidRPr="0039040E">
        <w:rPr>
          <w:rFonts w:ascii="Times New Roman" w:eastAsia="Times New Roman" w:hAnsi="Times New Roman" w:cs="Times New Roman"/>
          <w:b/>
          <w:color w:val="000000"/>
          <w:kern w:val="2"/>
          <w:sz w:val="24"/>
          <w:szCs w:val="24"/>
          <w:lang w:eastAsia="ro-RO"/>
        </w:rPr>
        <w:t xml:space="preserve">         VIII. Așteptări privind politica de investiții aplicabilă societății</w:t>
      </w:r>
    </w:p>
    <w:p w14:paraId="34F27DA9" w14:textId="77777777" w:rsidR="0039040E" w:rsidRPr="0039040E" w:rsidRDefault="0039040E" w:rsidP="0039040E">
      <w:pPr>
        <w:widowControl w:val="0"/>
        <w:spacing w:after="0" w:line="240" w:lineRule="auto"/>
        <w:ind w:left="-15" w:right="6" w:firstLine="583"/>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b/>
          <w:i/>
          <w:color w:val="000000"/>
          <w:sz w:val="24"/>
          <w:szCs w:val="24"/>
          <w:lang w:bidi="en-US"/>
        </w:rPr>
        <w:t>Investițiile</w:t>
      </w:r>
      <w:r w:rsidRPr="0039040E">
        <w:rPr>
          <w:rFonts w:ascii="Times New Roman" w:eastAsia="Times New Roman" w:hAnsi="Times New Roman" w:cs="Times New Roman"/>
          <w:b/>
          <w:color w:val="000000"/>
          <w:sz w:val="24"/>
          <w:szCs w:val="24"/>
          <w:lang w:bidi="en-US"/>
        </w:rPr>
        <w:t xml:space="preserve"> r</w:t>
      </w:r>
      <w:r w:rsidRPr="0039040E">
        <w:rPr>
          <w:rFonts w:ascii="Times New Roman" w:eastAsia="Times New Roman" w:hAnsi="Times New Roman" w:cs="Times New Roman"/>
          <w:color w:val="000000"/>
          <w:sz w:val="24"/>
          <w:szCs w:val="24"/>
          <w:lang w:bidi="en-US"/>
        </w:rPr>
        <w:t xml:space="preserve">eprezintă suportul material al </w:t>
      </w:r>
      <w:r w:rsidRPr="0039040E">
        <w:rPr>
          <w:rFonts w:ascii="Times New Roman" w:eastAsia="Times New Roman" w:hAnsi="Times New Roman" w:cs="Times New Roman"/>
          <w:i/>
          <w:color w:val="000000"/>
          <w:sz w:val="24"/>
          <w:szCs w:val="24"/>
          <w:lang w:bidi="en-US"/>
        </w:rPr>
        <w:t>creșterii economice,</w:t>
      </w:r>
      <w:r w:rsidRPr="0039040E">
        <w:rPr>
          <w:rFonts w:ascii="Times New Roman" w:eastAsia="Times New Roman" w:hAnsi="Times New Roman" w:cs="Times New Roman"/>
          <w:color w:val="000000"/>
          <w:sz w:val="24"/>
          <w:szCs w:val="24"/>
          <w:lang w:bidi="en-US"/>
        </w:rPr>
        <w:t xml:space="preserve"> dimensiunea investițiilor, ritmul lor, eficiența utilizării lor determină ritmul și proporțiile creșterii economice.</w:t>
      </w:r>
    </w:p>
    <w:p w14:paraId="55CB7C28" w14:textId="77777777" w:rsidR="0039040E" w:rsidRPr="0039040E" w:rsidRDefault="0039040E" w:rsidP="0039040E">
      <w:pPr>
        <w:widowControl w:val="0"/>
        <w:spacing w:after="0" w:line="240" w:lineRule="auto"/>
        <w:ind w:left="568" w:right="6"/>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În raport cu modul de folosire a bunurilor de capital, investițiile se împart în:</w:t>
      </w:r>
    </w:p>
    <w:p w14:paraId="7A66FA79" w14:textId="77777777" w:rsidR="0039040E" w:rsidRPr="0039040E" w:rsidRDefault="0039040E" w:rsidP="0039040E">
      <w:pPr>
        <w:widowControl w:val="0"/>
        <w:numPr>
          <w:ilvl w:val="0"/>
          <w:numId w:val="12"/>
        </w:numPr>
        <w:spacing w:after="4" w:line="270" w:lineRule="auto"/>
        <w:ind w:right="6" w:hanging="274"/>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i/>
          <w:color w:val="000000"/>
          <w:sz w:val="24"/>
          <w:szCs w:val="24"/>
          <w:lang w:bidi="en-US"/>
        </w:rPr>
        <w:t>Investiții de înlocuire</w:t>
      </w:r>
      <w:r w:rsidRPr="0039040E">
        <w:rPr>
          <w:rFonts w:ascii="Times New Roman" w:eastAsia="Times New Roman" w:hAnsi="Times New Roman" w:cs="Times New Roman"/>
          <w:color w:val="000000"/>
          <w:sz w:val="24"/>
          <w:szCs w:val="24"/>
          <w:lang w:bidi="en-US"/>
        </w:rPr>
        <w:t xml:space="preserve"> destinate înlocuirii bunurilor de capital fix scoase din funcțiune ca</w:t>
      </w:r>
    </w:p>
    <w:p w14:paraId="5BA3DC08" w14:textId="77777777" w:rsidR="0039040E" w:rsidRPr="0039040E" w:rsidRDefault="0039040E" w:rsidP="0039040E">
      <w:pPr>
        <w:widowControl w:val="0"/>
        <w:spacing w:after="0" w:line="240" w:lineRule="auto"/>
        <w:ind w:left="-15" w:right="6"/>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urmare a uzurii lor fizice. Sursa acestor cheltuieli o constituie amortizarea;</w:t>
      </w:r>
    </w:p>
    <w:p w14:paraId="383D0449" w14:textId="77777777" w:rsidR="0039040E" w:rsidRPr="0039040E" w:rsidRDefault="0039040E" w:rsidP="0039040E">
      <w:pPr>
        <w:widowControl w:val="0"/>
        <w:numPr>
          <w:ilvl w:val="0"/>
          <w:numId w:val="12"/>
        </w:numPr>
        <w:spacing w:after="4" w:line="270" w:lineRule="auto"/>
        <w:ind w:right="6" w:hanging="274"/>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i/>
          <w:color w:val="000000"/>
          <w:sz w:val="24"/>
          <w:szCs w:val="24"/>
          <w:lang w:bidi="en-US"/>
        </w:rPr>
        <w:t>Investiții pentru dezvoltare</w:t>
      </w:r>
      <w:r w:rsidRPr="0039040E">
        <w:rPr>
          <w:rFonts w:ascii="Times New Roman" w:eastAsia="Times New Roman" w:hAnsi="Times New Roman" w:cs="Times New Roman"/>
          <w:color w:val="000000"/>
          <w:sz w:val="24"/>
          <w:szCs w:val="24"/>
          <w:lang w:bidi="en-US"/>
        </w:rPr>
        <w:t xml:space="preserve"> sau </w:t>
      </w:r>
      <w:r w:rsidRPr="0039040E">
        <w:rPr>
          <w:rFonts w:ascii="Times New Roman" w:eastAsia="Times New Roman" w:hAnsi="Times New Roman" w:cs="Times New Roman"/>
          <w:i/>
          <w:color w:val="000000"/>
          <w:sz w:val="24"/>
          <w:szCs w:val="24"/>
          <w:lang w:bidi="en-US"/>
        </w:rPr>
        <w:t>investiții nete,</w:t>
      </w:r>
      <w:r w:rsidRPr="0039040E">
        <w:rPr>
          <w:rFonts w:ascii="Times New Roman" w:eastAsia="Times New Roman" w:hAnsi="Times New Roman" w:cs="Times New Roman"/>
          <w:color w:val="000000"/>
          <w:sz w:val="24"/>
          <w:szCs w:val="24"/>
          <w:lang w:bidi="en-US"/>
        </w:rPr>
        <w:t xml:space="preserve"> destinate sporirii volumului capitalului ethnic real a căror sursă de finanțare o reprezintă venitul.</w:t>
      </w:r>
    </w:p>
    <w:p w14:paraId="17DA3525" w14:textId="77777777" w:rsidR="0039040E" w:rsidRPr="0039040E" w:rsidRDefault="0039040E" w:rsidP="0039040E">
      <w:pPr>
        <w:widowControl w:val="0"/>
        <w:spacing w:after="0" w:line="240" w:lineRule="auto"/>
        <w:ind w:left="-15" w:right="6" w:firstLine="735"/>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b/>
          <w:i/>
          <w:color w:val="000000"/>
          <w:sz w:val="24"/>
          <w:szCs w:val="24"/>
          <w:lang w:bidi="en-US"/>
        </w:rPr>
        <w:t>Programul anual și multianual de investiții</w:t>
      </w:r>
      <w:r w:rsidRPr="0039040E">
        <w:rPr>
          <w:rFonts w:ascii="Times New Roman" w:eastAsia="Times New Roman" w:hAnsi="Times New Roman" w:cs="Times New Roman"/>
          <w:b/>
          <w:color w:val="000000"/>
          <w:sz w:val="24"/>
          <w:szCs w:val="24"/>
          <w:lang w:bidi="en-US"/>
        </w:rPr>
        <w:t xml:space="preserve"> </w:t>
      </w:r>
      <w:r w:rsidRPr="0039040E">
        <w:rPr>
          <w:rFonts w:ascii="Times New Roman" w:eastAsia="Times New Roman" w:hAnsi="Times New Roman" w:cs="Times New Roman"/>
          <w:color w:val="000000"/>
          <w:sz w:val="24"/>
          <w:szCs w:val="24"/>
          <w:lang w:bidi="en-US"/>
        </w:rPr>
        <w:t>va fi înaintat de Consiliul de administrație spre aprobare către autoritatea publică tutelară și Adunarea generală a acționarilor, odată cu proiectul bugetului de venituri și cheltuieli.</w:t>
      </w:r>
    </w:p>
    <w:p w14:paraId="29359101" w14:textId="6A48C570" w:rsidR="0039040E" w:rsidRPr="0039040E" w:rsidRDefault="0039040E" w:rsidP="0039040E">
      <w:pPr>
        <w:widowControl w:val="0"/>
        <w:spacing w:after="7" w:line="267" w:lineRule="auto"/>
        <w:ind w:left="-15" w:firstLine="583"/>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b/>
          <w:i/>
          <w:color w:val="000000"/>
          <w:sz w:val="24"/>
          <w:szCs w:val="24"/>
          <w:lang w:bidi="en-US"/>
        </w:rPr>
        <w:t xml:space="preserve">Politica de investiții trebuie corelată cu obiectivele strategice de mai sus, în vederea </w:t>
      </w:r>
      <w:r w:rsidRPr="0039040E">
        <w:rPr>
          <w:rFonts w:ascii="Times New Roman" w:eastAsia="Times New Roman" w:hAnsi="Times New Roman" w:cs="Times New Roman"/>
          <w:b/>
          <w:i/>
          <w:color w:val="000000"/>
          <w:sz w:val="24"/>
          <w:szCs w:val="24"/>
          <w:lang w:bidi="en-US"/>
        </w:rPr>
        <w:lastRenderedPageBreak/>
        <w:t xml:space="preserve">modernizării și îmbunătățirii serviciului de administrare a </w:t>
      </w:r>
      <w:r w:rsidR="00B66E34" w:rsidRPr="0039040E">
        <w:rPr>
          <w:rFonts w:ascii="Times New Roman" w:eastAsia="Times New Roman" w:hAnsi="Times New Roman" w:cs="Times New Roman"/>
          <w:b/>
          <w:i/>
          <w:color w:val="000000"/>
          <w:sz w:val="24"/>
          <w:szCs w:val="24"/>
          <w:lang w:bidi="en-US"/>
        </w:rPr>
        <w:t>piețelor</w:t>
      </w:r>
      <w:r w:rsidRPr="0039040E">
        <w:rPr>
          <w:rFonts w:ascii="Times New Roman" w:eastAsia="Times New Roman" w:hAnsi="Times New Roman" w:cs="Times New Roman"/>
          <w:b/>
          <w:i/>
          <w:color w:val="000000"/>
          <w:sz w:val="24"/>
          <w:szCs w:val="24"/>
          <w:lang w:bidi="en-US"/>
        </w:rPr>
        <w:t xml:space="preserve"> agroalimentare de pe raza Municipiului Câmpulung și trebuie să vizeze atât investițiile de înlocuire cât și investițiile pentru dezvoltare.</w:t>
      </w:r>
    </w:p>
    <w:p w14:paraId="07088E8F" w14:textId="31F25A22" w:rsidR="0039040E" w:rsidRPr="0039040E" w:rsidRDefault="0039040E" w:rsidP="0039040E">
      <w:pPr>
        <w:keepNext/>
        <w:keepLines/>
        <w:spacing w:after="13" w:line="249" w:lineRule="auto"/>
        <w:ind w:firstLine="568"/>
        <w:jc w:val="both"/>
        <w:outlineLvl w:val="0"/>
        <w:rPr>
          <w:rFonts w:ascii="Times New Roman" w:eastAsia="Times New Roman" w:hAnsi="Times New Roman" w:cs="Times New Roman"/>
          <w:b/>
          <w:color w:val="000000"/>
          <w:kern w:val="2"/>
          <w:sz w:val="24"/>
          <w:szCs w:val="24"/>
          <w:lang w:eastAsia="ro-RO"/>
        </w:rPr>
      </w:pPr>
      <w:r w:rsidRPr="0039040E">
        <w:rPr>
          <w:rFonts w:ascii="Times New Roman" w:eastAsia="Times New Roman" w:hAnsi="Times New Roman" w:cs="Times New Roman"/>
          <w:b/>
          <w:color w:val="000000"/>
          <w:kern w:val="2"/>
          <w:sz w:val="24"/>
          <w:szCs w:val="24"/>
          <w:lang w:eastAsia="ro-RO"/>
        </w:rPr>
        <w:t>IX. Așteptările autorității publice tutelare și ale acționarilor, cu privire la comunicarea cu organele de administrare și conducere</w:t>
      </w:r>
    </w:p>
    <w:p w14:paraId="6E51CA74" w14:textId="77777777" w:rsidR="0039040E" w:rsidRPr="0039040E" w:rsidRDefault="0039040E" w:rsidP="0039040E">
      <w:pPr>
        <w:widowControl w:val="0"/>
        <w:spacing w:after="0" w:line="240" w:lineRule="auto"/>
        <w:ind w:left="-15" w:right="6" w:firstLine="583"/>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 xml:space="preserve">Comunicarea dintre organele de conducere și de administrare ale societății și acționarul societății, se va face conform prevederilor din contractul de delegare a gestiunii, Ordonanța de urgența a Guvernului nr. 109/2011 privind guvernanța corporativă a întreprinderilor publice, cu modificările și completările ulterioare și a Legii nr. 31/1990, republicată, cu modificările și completările ulterioare. </w:t>
      </w:r>
    </w:p>
    <w:p w14:paraId="52D0C16B" w14:textId="77777777" w:rsidR="0039040E" w:rsidRPr="0039040E" w:rsidRDefault="0039040E" w:rsidP="0039040E">
      <w:pPr>
        <w:widowControl w:val="0"/>
        <w:spacing w:after="0" w:line="240" w:lineRule="auto"/>
        <w:ind w:left="-15" w:right="6" w:firstLine="583"/>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i/>
          <w:color w:val="000000"/>
          <w:sz w:val="24"/>
          <w:szCs w:val="24"/>
          <w:lang w:bidi="en-US"/>
        </w:rPr>
        <w:t>Directorul general  va elabora trimestrial și va prezenta consiliului de administrație</w:t>
      </w:r>
      <w:r w:rsidRPr="0039040E">
        <w:rPr>
          <w:rFonts w:ascii="Times New Roman" w:eastAsia="Times New Roman" w:hAnsi="Times New Roman" w:cs="Times New Roman"/>
          <w:color w:val="000000"/>
          <w:sz w:val="24"/>
          <w:szCs w:val="24"/>
          <w:lang w:bidi="en-US"/>
        </w:rPr>
        <w:t xml:space="preserve"> un raport în care vor fi prezentate informații privind execuția mandatului său, schimbările semnificative în situația afacerilor și în aspectele externe care ar putea afecta performanța societății sau perspectivele sale strategice.</w:t>
      </w:r>
    </w:p>
    <w:p w14:paraId="2D991AB0" w14:textId="77777777" w:rsidR="0039040E" w:rsidRPr="0039040E" w:rsidRDefault="0039040E" w:rsidP="0039040E">
      <w:pPr>
        <w:widowControl w:val="0"/>
        <w:spacing w:after="0" w:line="240" w:lineRule="auto"/>
        <w:ind w:left="-15" w:right="6" w:firstLine="583"/>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i/>
          <w:color w:val="000000"/>
          <w:sz w:val="24"/>
          <w:szCs w:val="24"/>
          <w:lang w:bidi="en-US"/>
        </w:rPr>
        <w:t xml:space="preserve">Consiliul de administrație al societății va  prezent semestrial, în cadrul adunării generale a </w:t>
      </w:r>
      <w:r w:rsidRPr="0039040E">
        <w:rPr>
          <w:rFonts w:ascii="Times New Roman" w:eastAsia="Times New Roman" w:hAnsi="Times New Roman" w:cs="Times New Roman"/>
          <w:color w:val="000000"/>
          <w:sz w:val="24"/>
          <w:szCs w:val="24"/>
          <w:lang w:bidi="en-US"/>
        </w:rPr>
        <w:t>acționarilor, un raport asupra activității de administrare, care  va include și informații referitoare la execuția contractelor de mandat ale directorilor, detalii cu privire la activitățile operaționale, la performanțele financiare ale societății și la raportările contabile semestriale ale societății.</w:t>
      </w:r>
    </w:p>
    <w:p w14:paraId="65A18C3B" w14:textId="77777777" w:rsidR="0039040E" w:rsidRPr="0039040E" w:rsidRDefault="0039040E" w:rsidP="0039040E">
      <w:pPr>
        <w:widowControl w:val="0"/>
        <w:spacing w:after="0" w:line="240" w:lineRule="auto"/>
        <w:ind w:left="-15" w:right="6" w:firstLine="583"/>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i/>
          <w:color w:val="000000"/>
          <w:sz w:val="24"/>
          <w:szCs w:val="24"/>
          <w:lang w:bidi="en-US"/>
        </w:rPr>
        <w:t xml:space="preserve">Comitetul de nominalizare și remunerare </w:t>
      </w:r>
      <w:r w:rsidRPr="0039040E">
        <w:rPr>
          <w:rFonts w:ascii="Times New Roman" w:eastAsia="Times New Roman" w:hAnsi="Times New Roman" w:cs="Times New Roman"/>
          <w:color w:val="000000"/>
          <w:sz w:val="24"/>
          <w:szCs w:val="24"/>
          <w:lang w:bidi="en-US"/>
        </w:rPr>
        <w:t>din cadrul consiliului de administrație va elabora un raport anual cu privire la remunerațiile și alte avantaje acordate administratorilor și directorilor  în cursul anului financiar. Raportul este prezentat adunării generale a acționarilor care aprobă situațiile financiare anuale și cuprinde cel puțin informații privind:</w:t>
      </w:r>
    </w:p>
    <w:p w14:paraId="018D996A" w14:textId="77777777" w:rsidR="0039040E" w:rsidRPr="0039040E" w:rsidRDefault="0039040E" w:rsidP="0039040E">
      <w:pPr>
        <w:widowControl w:val="0"/>
        <w:numPr>
          <w:ilvl w:val="0"/>
          <w:numId w:val="13"/>
        </w:numPr>
        <w:spacing w:after="4" w:line="270" w:lineRule="auto"/>
        <w:ind w:right="6" w:hanging="284"/>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structura remunerației, cu explicarea ponderii componentei variabile și componentei fixe;</w:t>
      </w:r>
    </w:p>
    <w:p w14:paraId="30433327" w14:textId="77777777" w:rsidR="0039040E" w:rsidRPr="0039040E" w:rsidRDefault="0039040E" w:rsidP="0039040E">
      <w:pPr>
        <w:widowControl w:val="0"/>
        <w:numPr>
          <w:ilvl w:val="0"/>
          <w:numId w:val="13"/>
        </w:numPr>
        <w:spacing w:after="4" w:line="270" w:lineRule="auto"/>
        <w:ind w:right="6" w:hanging="284"/>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criteriile de performanță ce fundamentează componenta variabilă a remunerației, raportul</w:t>
      </w:r>
    </w:p>
    <w:p w14:paraId="1D0E2920" w14:textId="77777777" w:rsidR="0039040E" w:rsidRPr="0039040E" w:rsidRDefault="0039040E" w:rsidP="0039040E">
      <w:pPr>
        <w:widowControl w:val="0"/>
        <w:spacing w:after="0" w:line="240" w:lineRule="auto"/>
        <w:ind w:left="-15" w:right="6"/>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dintre performanța realizată și remunerație;</w:t>
      </w:r>
    </w:p>
    <w:p w14:paraId="434C7A51" w14:textId="77777777" w:rsidR="0039040E" w:rsidRPr="0039040E" w:rsidRDefault="0039040E" w:rsidP="0039040E">
      <w:pPr>
        <w:widowControl w:val="0"/>
        <w:numPr>
          <w:ilvl w:val="0"/>
          <w:numId w:val="13"/>
        </w:numPr>
        <w:spacing w:after="4" w:line="270" w:lineRule="auto"/>
        <w:ind w:right="6" w:hanging="284"/>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considerentele ce justifică orice schemă de bonusuri anuale sau avantaje nebănești;</w:t>
      </w:r>
    </w:p>
    <w:p w14:paraId="67FD54C5" w14:textId="77777777" w:rsidR="0039040E" w:rsidRPr="0039040E" w:rsidRDefault="0039040E" w:rsidP="0039040E">
      <w:pPr>
        <w:widowControl w:val="0"/>
        <w:numPr>
          <w:ilvl w:val="0"/>
          <w:numId w:val="13"/>
        </w:numPr>
        <w:spacing w:after="4" w:line="270" w:lineRule="auto"/>
        <w:ind w:right="6" w:hanging="284"/>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eventualele scheme de pensii suplimentare sau anticipate;</w:t>
      </w:r>
    </w:p>
    <w:p w14:paraId="7CA9FBE7" w14:textId="77777777" w:rsidR="0039040E" w:rsidRPr="0039040E" w:rsidRDefault="0039040E" w:rsidP="0039040E">
      <w:pPr>
        <w:widowControl w:val="0"/>
        <w:numPr>
          <w:ilvl w:val="0"/>
          <w:numId w:val="13"/>
        </w:numPr>
        <w:spacing w:after="4" w:line="270" w:lineRule="auto"/>
        <w:ind w:right="6" w:hanging="284"/>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informații privind durata contractului, perioada de preaviz negociată, cuantumul daunelor-</w:t>
      </w:r>
    </w:p>
    <w:p w14:paraId="2031D42A" w14:textId="77777777" w:rsidR="0039040E" w:rsidRPr="0039040E" w:rsidRDefault="0039040E" w:rsidP="0039040E">
      <w:pPr>
        <w:widowControl w:val="0"/>
        <w:spacing w:after="0" w:line="240" w:lineRule="auto"/>
        <w:ind w:left="-15" w:right="6"/>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interese pentru revocare fără justă cauză.</w:t>
      </w:r>
    </w:p>
    <w:p w14:paraId="32A523DA" w14:textId="77777777" w:rsidR="0039040E" w:rsidRPr="0039040E" w:rsidRDefault="0039040E" w:rsidP="0039040E">
      <w:pPr>
        <w:widowControl w:val="0"/>
        <w:spacing w:after="0" w:line="240" w:lineRule="auto"/>
        <w:ind w:left="-15" w:right="6" w:firstLine="735"/>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i/>
          <w:color w:val="000000"/>
          <w:sz w:val="24"/>
          <w:szCs w:val="24"/>
          <w:lang w:bidi="en-US"/>
        </w:rPr>
        <w:t>Consiliul de administrație elaborează un raport anual</w:t>
      </w:r>
      <w:r w:rsidRPr="0039040E">
        <w:rPr>
          <w:rFonts w:ascii="Times New Roman" w:eastAsia="Times New Roman" w:hAnsi="Times New Roman" w:cs="Times New Roman"/>
          <w:color w:val="000000"/>
          <w:sz w:val="24"/>
          <w:szCs w:val="24"/>
          <w:lang w:bidi="en-US"/>
        </w:rPr>
        <w:t xml:space="preserve"> privind activitatea întreprinderii publice, nu mai târziu de data de 31 mai a anului următor celui cu privire la care se raportează. Raportul se publică pe pagina de internet a societății.</w:t>
      </w:r>
    </w:p>
    <w:p w14:paraId="045D3ED0" w14:textId="77777777" w:rsidR="0039040E" w:rsidRPr="0039040E" w:rsidRDefault="0039040E" w:rsidP="0039040E">
      <w:pPr>
        <w:widowControl w:val="0"/>
        <w:spacing w:after="0" w:line="240" w:lineRule="auto"/>
        <w:ind w:left="-15" w:right="6" w:firstLine="710"/>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Consiliul de administrație sau directorul general, în cazul în care conducerea executivă este exercitată de directori, are obligația să transmită AMEPIP și, după caz, autorității publice tutelare semestrial și ori de câte ori se solicită, fundamentări, analize, situații, raportări și orice alte informații referitoare la activitatea societății, în formatul și la termenele stabilite prin ordine sau circulare ale beneficiarilor.</w:t>
      </w:r>
    </w:p>
    <w:p w14:paraId="083F5229" w14:textId="77777777" w:rsidR="0039040E" w:rsidRPr="0039040E" w:rsidRDefault="0039040E" w:rsidP="0039040E">
      <w:pPr>
        <w:widowControl w:val="0"/>
        <w:spacing w:after="321" w:line="240" w:lineRule="auto"/>
        <w:ind w:left="-15" w:right="6" w:firstLine="710"/>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Societatea va prezenta autorității tutelare și AMEPIP, nu mai târziu de data de 31 mai a anului următor celui cu privire la care se raportează, un raport care include stadiul îndeplinirii obiectivelor sale în materie de guvernanță și transparență, precum și stadiul îndeplinirii indicatorilor financiari și nefinanciari asumați.</w:t>
      </w:r>
    </w:p>
    <w:p w14:paraId="003FA2E6" w14:textId="77777777" w:rsidR="0039040E" w:rsidRPr="0039040E" w:rsidRDefault="0039040E" w:rsidP="0039040E">
      <w:pPr>
        <w:keepNext/>
        <w:keepLines/>
        <w:spacing w:after="13" w:line="249" w:lineRule="auto"/>
        <w:ind w:firstLine="568"/>
        <w:jc w:val="both"/>
        <w:outlineLvl w:val="0"/>
        <w:rPr>
          <w:rFonts w:ascii="Times New Roman" w:eastAsia="Times New Roman" w:hAnsi="Times New Roman" w:cs="Times New Roman"/>
          <w:b/>
          <w:color w:val="000000"/>
          <w:kern w:val="2"/>
          <w:sz w:val="24"/>
          <w:szCs w:val="24"/>
          <w:lang w:eastAsia="ro-RO"/>
        </w:rPr>
      </w:pPr>
      <w:r w:rsidRPr="0039040E">
        <w:rPr>
          <w:rFonts w:ascii="Times New Roman" w:eastAsia="Times New Roman" w:hAnsi="Times New Roman" w:cs="Times New Roman"/>
          <w:b/>
          <w:color w:val="000000"/>
          <w:kern w:val="2"/>
          <w:sz w:val="24"/>
          <w:szCs w:val="24"/>
          <w:lang w:eastAsia="ro-RO"/>
        </w:rPr>
        <w:lastRenderedPageBreak/>
        <w:t>X. Așteptările autorității publice în domeniul eticii, integrității și guvernanței corporative</w:t>
      </w:r>
    </w:p>
    <w:p w14:paraId="24590748" w14:textId="77777777" w:rsidR="0039040E" w:rsidRPr="0039040E" w:rsidRDefault="0039040E" w:rsidP="0039040E">
      <w:pPr>
        <w:widowControl w:val="0"/>
        <w:spacing w:after="0" w:line="240" w:lineRule="auto"/>
        <w:ind w:left="568" w:right="6"/>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b/>
          <w:color w:val="000000"/>
          <w:sz w:val="24"/>
          <w:szCs w:val="24"/>
          <w:lang w:bidi="en-US"/>
        </w:rPr>
        <w:t>Etica și integritatea</w:t>
      </w:r>
      <w:r w:rsidRPr="0039040E">
        <w:rPr>
          <w:rFonts w:ascii="Times New Roman" w:eastAsia="Times New Roman" w:hAnsi="Times New Roman" w:cs="Times New Roman"/>
          <w:color w:val="000000"/>
          <w:sz w:val="24"/>
          <w:szCs w:val="24"/>
          <w:lang w:bidi="en-US"/>
        </w:rPr>
        <w:t xml:space="preserve"> trebuie sa devină valori centrale ale întreprinderilor publice-societăți. Unul dintre pilonii pe care se bazează politica privind gestionarea participațiilor statului în economie îl reprezintă integritate.</w:t>
      </w:r>
    </w:p>
    <w:p w14:paraId="067911B4" w14:textId="77777777" w:rsidR="0039040E" w:rsidRPr="0039040E" w:rsidRDefault="0039040E" w:rsidP="0039040E">
      <w:pPr>
        <w:widowControl w:val="0"/>
        <w:spacing w:after="0" w:line="240" w:lineRule="auto"/>
        <w:ind w:left="-15" w:right="6" w:firstLine="583"/>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i/>
          <w:color w:val="000000"/>
          <w:sz w:val="24"/>
          <w:szCs w:val="24"/>
          <w:lang w:bidi="en-US"/>
        </w:rPr>
        <w:t xml:space="preserve">În acest sens, societatea, prin grija consiliului de administrație, va elabora și implementa un </w:t>
      </w:r>
      <w:r w:rsidRPr="0039040E">
        <w:rPr>
          <w:rFonts w:ascii="Times New Roman" w:eastAsia="Times New Roman" w:hAnsi="Times New Roman" w:cs="Times New Roman"/>
          <w:b/>
          <w:i/>
          <w:color w:val="000000"/>
          <w:sz w:val="24"/>
          <w:szCs w:val="24"/>
          <w:lang w:bidi="en-US"/>
        </w:rPr>
        <w:t>Cod de etică</w:t>
      </w:r>
      <w:r w:rsidRPr="0039040E">
        <w:rPr>
          <w:rFonts w:ascii="Times New Roman" w:eastAsia="Times New Roman" w:hAnsi="Times New Roman" w:cs="Times New Roman"/>
          <w:b/>
          <w:color w:val="000000"/>
          <w:sz w:val="24"/>
          <w:szCs w:val="24"/>
          <w:lang w:bidi="en-US"/>
        </w:rPr>
        <w:t>.</w:t>
      </w:r>
      <w:r w:rsidRPr="0039040E">
        <w:rPr>
          <w:rFonts w:ascii="Times New Roman" w:eastAsia="Times New Roman" w:hAnsi="Times New Roman" w:cs="Times New Roman"/>
          <w:color w:val="000000"/>
          <w:sz w:val="24"/>
          <w:szCs w:val="24"/>
          <w:lang w:bidi="en-US"/>
        </w:rPr>
        <w:t xml:space="preserve"> Acesta va fi însușit de către toți angajații și de către consiliul de administrare, va fi aplicabil atât angajaților, cât și membrilor din consiliul de administrație  și va fi disponibil pe site-ul societății.</w:t>
      </w:r>
    </w:p>
    <w:p w14:paraId="6DA8DF42" w14:textId="77777777" w:rsidR="0039040E" w:rsidRPr="0039040E" w:rsidRDefault="0039040E" w:rsidP="0039040E">
      <w:pPr>
        <w:widowControl w:val="0"/>
        <w:spacing w:after="7" w:line="267" w:lineRule="auto"/>
        <w:ind w:left="-15" w:firstLine="583"/>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b/>
          <w:i/>
          <w:color w:val="000000"/>
          <w:sz w:val="24"/>
          <w:szCs w:val="24"/>
          <w:lang w:bidi="en-US"/>
        </w:rPr>
        <w:t>Scopul unui cod de etica este sa demonstreze angajamentul societății  fata de cele mai înalte standarde etice și de responsabilitate, sa încurajeze comportamentul etic din partea angajaților și conducerii, precum și sa contribuie la dezvoltarea unei culturi organizaționale bazate pe standarde etice.</w:t>
      </w:r>
    </w:p>
    <w:p w14:paraId="0289E203" w14:textId="77777777" w:rsidR="0039040E" w:rsidRPr="0039040E" w:rsidRDefault="0039040E" w:rsidP="0039040E">
      <w:pPr>
        <w:widowControl w:val="0"/>
        <w:spacing w:after="0" w:line="240" w:lineRule="auto"/>
        <w:ind w:left="-15" w:right="6" w:firstLine="583"/>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Standardele enunțate în codul de etică se vor baza pe respectarea legii și legislației în vigoare, pe conducerea financiară și operaționala a societății în sensul maximizării valorii acesteia.</w:t>
      </w:r>
    </w:p>
    <w:p w14:paraId="7EB04A74" w14:textId="77777777" w:rsidR="0039040E" w:rsidRPr="0039040E" w:rsidRDefault="0039040E" w:rsidP="0039040E">
      <w:pPr>
        <w:widowControl w:val="0"/>
        <w:spacing w:after="0" w:line="240" w:lineRule="auto"/>
        <w:ind w:left="-15" w:right="6" w:firstLine="583"/>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Codul etic al societății va acorda de asemenea importanța reglementarilor privitoare la respectarea drepturilor omului și demnității persoanei, făcând referire la imperativul nondiscriminării la locul de munca pe criterii de rasa, gen, credința, orientare sexuală, etc.</w:t>
      </w:r>
    </w:p>
    <w:p w14:paraId="4C253B47" w14:textId="77777777" w:rsidR="0039040E" w:rsidRPr="0039040E" w:rsidRDefault="0039040E" w:rsidP="0039040E">
      <w:pPr>
        <w:widowControl w:val="0"/>
        <w:spacing w:after="0" w:line="240" w:lineRule="auto"/>
        <w:ind w:left="-15" w:right="6"/>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Contractarea de servicii de către societate, angajarea de persoane, acordarea de sponsorizări și încheierea de parteneriate de orice natura se vor face exclusiv într-o maniera profesională și transparenta, ținând cont de meritele candidaților și de principiul controlului costurilor.</w:t>
      </w:r>
    </w:p>
    <w:p w14:paraId="4B5FFC5E" w14:textId="77777777" w:rsidR="0039040E" w:rsidRPr="0039040E" w:rsidRDefault="0039040E" w:rsidP="0039040E">
      <w:pPr>
        <w:widowControl w:val="0"/>
        <w:spacing w:after="7" w:line="267" w:lineRule="auto"/>
        <w:ind w:left="568"/>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b/>
          <w:i/>
          <w:color w:val="000000"/>
          <w:sz w:val="24"/>
          <w:szCs w:val="24"/>
          <w:lang w:bidi="en-US"/>
        </w:rPr>
        <w:t>Codul de etica va preciza ce constituie conflict de interese pentru societate.</w:t>
      </w:r>
    </w:p>
    <w:p w14:paraId="3C61795E" w14:textId="77777777" w:rsidR="0039040E" w:rsidRPr="0039040E" w:rsidRDefault="0039040E" w:rsidP="0039040E">
      <w:pPr>
        <w:widowControl w:val="0"/>
        <w:spacing w:after="0" w:line="240" w:lineRule="auto"/>
        <w:ind w:left="-15" w:right="6" w:firstLine="583"/>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Tranzacțiile cu părțile afiliate reprezintă un aspect important ce tine de etica întreprinderii publice, conform definiției, o astfel de tranzacție este una în care o parte cu influența asupra tranzacției are un conflict de interese în tranzacția în cauza. Societatea va adopta reglementari interne cu privire la tranzacțiile cu părțile afiliate iar acestea vor fi raportate în raportul anul al societății, iar comitetul de audit al consiliului va evalua anual cât de adecvată la realitățile societății este politica privind tranzacțiile cu părțile afiliate.</w:t>
      </w:r>
    </w:p>
    <w:p w14:paraId="0279CF1D" w14:textId="77777777" w:rsidR="0039040E" w:rsidRPr="0039040E" w:rsidRDefault="0039040E" w:rsidP="0039040E">
      <w:pPr>
        <w:widowControl w:val="0"/>
        <w:spacing w:after="0" w:line="240" w:lineRule="auto"/>
        <w:ind w:left="-15" w:right="6" w:firstLine="735"/>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Codul de etica ca cuprinde inclusiv prevederi cu privire la primirea și oferirea de cadouri, invitații și alte foloase. Bunurile de protocol, a căror primire sau oferire poate fi permisă, vor fi supuse unor reglementari interne cu privire la valoare și raportare.</w:t>
      </w:r>
    </w:p>
    <w:p w14:paraId="160B3559" w14:textId="7549E437" w:rsidR="0039040E" w:rsidRPr="0039040E" w:rsidRDefault="0039040E" w:rsidP="0039040E">
      <w:pPr>
        <w:widowControl w:val="0"/>
        <w:spacing w:after="0" w:line="240" w:lineRule="auto"/>
        <w:ind w:left="-15" w:right="6" w:firstLine="735"/>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b/>
          <w:i/>
          <w:color w:val="000000"/>
          <w:sz w:val="24"/>
          <w:szCs w:val="24"/>
          <w:lang w:bidi="en-US"/>
        </w:rPr>
        <w:t xml:space="preserve">Codul de conduita </w:t>
      </w:r>
      <w:r w:rsidRPr="0039040E">
        <w:rPr>
          <w:rFonts w:ascii="Times New Roman" w:eastAsia="Times New Roman" w:hAnsi="Times New Roman" w:cs="Times New Roman"/>
          <w:color w:val="000000"/>
          <w:sz w:val="24"/>
          <w:szCs w:val="24"/>
          <w:lang w:bidi="en-US"/>
        </w:rPr>
        <w:t>care se aplica angajaților societății, înrudit cu documentul reprezentat de Codul de etica, a cărui elaborare intră în responsabilitatea consiliului de administrație va fi elaborat de departamentul Resurse Umane al societății, iar în el se vor enunța reguli vizavi de folosirea bunurilor societății de către angajați (ex: automobile, calculatoare, telefoane mobile, birotică și papetărie,</w:t>
      </w:r>
      <w:r>
        <w:rPr>
          <w:rFonts w:ascii="Times New Roman" w:eastAsia="Times New Roman" w:hAnsi="Times New Roman" w:cs="Times New Roman"/>
          <w:color w:val="000000"/>
          <w:sz w:val="24"/>
          <w:szCs w:val="24"/>
          <w:lang w:bidi="en-US"/>
        </w:rPr>
        <w:t xml:space="preserve"> </w:t>
      </w:r>
      <w:r w:rsidRPr="0039040E">
        <w:rPr>
          <w:rFonts w:ascii="Times New Roman" w:eastAsia="Times New Roman" w:hAnsi="Times New Roman" w:cs="Times New Roman"/>
          <w:color w:val="000000"/>
          <w:sz w:val="24"/>
          <w:szCs w:val="24"/>
          <w:lang w:bidi="en-US"/>
        </w:rPr>
        <w:t>etc), programul de lucru, de respectare a procedurilor interne, precum și a normelor de sănătate, siguranța la locul de munca și protecția a mediului.</w:t>
      </w:r>
    </w:p>
    <w:p w14:paraId="470A5872" w14:textId="77777777" w:rsidR="0039040E" w:rsidRPr="0039040E" w:rsidRDefault="0039040E" w:rsidP="0039040E">
      <w:pPr>
        <w:widowControl w:val="0"/>
        <w:spacing w:after="0" w:line="240" w:lineRule="auto"/>
        <w:ind w:left="-15" w:right="6" w:firstLine="735"/>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Respectarea legislației în vigoare, precum și a tuturor documentelor de politici cu privire la guvernanță corporativă a întreprinderii publice, coduri, norme, reglementari interne va fi obligatorie pentru angajați, conducere și reprezentanți ai autorității tutelare.</w:t>
      </w:r>
    </w:p>
    <w:p w14:paraId="72EFF855" w14:textId="77777777" w:rsidR="0039040E" w:rsidRPr="0039040E" w:rsidRDefault="0039040E" w:rsidP="0039040E">
      <w:pPr>
        <w:widowControl w:val="0"/>
        <w:spacing w:after="0" w:line="240" w:lineRule="auto"/>
        <w:ind w:left="-15" w:right="6" w:firstLine="735"/>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Protejarea proprietății, drepturilor, intereselor, reputației, responsabilității și informațiilor confidențiale ale întreprinderii publice este obligatorie.</w:t>
      </w:r>
    </w:p>
    <w:p w14:paraId="7B16DCCC" w14:textId="77777777" w:rsidR="0039040E" w:rsidRPr="0039040E" w:rsidRDefault="0039040E" w:rsidP="0039040E">
      <w:pPr>
        <w:widowControl w:val="0"/>
        <w:spacing w:after="7" w:line="267" w:lineRule="auto"/>
        <w:ind w:left="-15" w:firstLine="583"/>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b/>
          <w:i/>
          <w:color w:val="000000"/>
          <w:sz w:val="24"/>
          <w:szCs w:val="24"/>
          <w:lang w:bidi="en-US"/>
        </w:rPr>
        <w:t>Cele cinci principii care stau la baza unui program de înaltă calitate privind etica și conformarea, la nivelul întreprinderii publice, sunt:</w:t>
      </w:r>
    </w:p>
    <w:p w14:paraId="37216B22" w14:textId="77777777" w:rsidR="0039040E" w:rsidRPr="0039040E" w:rsidRDefault="0039040E" w:rsidP="0039040E">
      <w:pPr>
        <w:widowControl w:val="0"/>
        <w:numPr>
          <w:ilvl w:val="0"/>
          <w:numId w:val="14"/>
        </w:numPr>
        <w:spacing w:after="4" w:line="270" w:lineRule="auto"/>
        <w:ind w:right="6" w:hanging="240"/>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lastRenderedPageBreak/>
        <w:t>Etica și conformarea sunt primordiale pentru strategia de afacerii.</w:t>
      </w:r>
    </w:p>
    <w:p w14:paraId="1817B5EB" w14:textId="77777777" w:rsidR="0039040E" w:rsidRPr="0039040E" w:rsidRDefault="0039040E" w:rsidP="0039040E">
      <w:pPr>
        <w:widowControl w:val="0"/>
        <w:numPr>
          <w:ilvl w:val="0"/>
          <w:numId w:val="14"/>
        </w:numPr>
        <w:spacing w:after="4" w:line="270" w:lineRule="auto"/>
        <w:ind w:right="6" w:hanging="240"/>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Riscurile etice și de conformare sunt identificate, gestionate și atenuate.</w:t>
      </w:r>
    </w:p>
    <w:p w14:paraId="60AAC58C" w14:textId="77777777" w:rsidR="0039040E" w:rsidRPr="0039040E" w:rsidRDefault="0039040E" w:rsidP="0039040E">
      <w:pPr>
        <w:widowControl w:val="0"/>
        <w:numPr>
          <w:ilvl w:val="0"/>
          <w:numId w:val="14"/>
        </w:numPr>
        <w:spacing w:after="4" w:line="270" w:lineRule="auto"/>
        <w:ind w:right="6" w:hanging="240"/>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Liderii la toate nivelurile din organizație construiesc și susțin o cultura a integrității.</w:t>
      </w:r>
    </w:p>
    <w:p w14:paraId="12696926" w14:textId="77777777" w:rsidR="0039040E" w:rsidRPr="0039040E" w:rsidRDefault="0039040E" w:rsidP="0039040E">
      <w:pPr>
        <w:widowControl w:val="0"/>
        <w:numPr>
          <w:ilvl w:val="0"/>
          <w:numId w:val="14"/>
        </w:numPr>
        <w:spacing w:after="4" w:line="270" w:lineRule="auto"/>
        <w:ind w:right="6" w:hanging="240"/>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Organizația încurajează, protejează și pune accent pe raportarea suspiciunilor de frauda.</w:t>
      </w:r>
    </w:p>
    <w:p w14:paraId="70F38FBF" w14:textId="77777777" w:rsidR="0039040E" w:rsidRPr="0039040E" w:rsidRDefault="0039040E" w:rsidP="0039040E">
      <w:pPr>
        <w:widowControl w:val="0"/>
        <w:numPr>
          <w:ilvl w:val="0"/>
          <w:numId w:val="14"/>
        </w:numPr>
        <w:spacing w:after="4" w:line="270" w:lineRule="auto"/>
        <w:ind w:right="6" w:hanging="240"/>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 xml:space="preserve">Organizația ia acțiuni și își asumă răspunderea atunci când au loc nereguli. </w:t>
      </w:r>
    </w:p>
    <w:p w14:paraId="4ADE9463" w14:textId="77777777" w:rsidR="0039040E" w:rsidRPr="0039040E" w:rsidRDefault="0039040E" w:rsidP="0039040E">
      <w:pPr>
        <w:widowControl w:val="0"/>
        <w:spacing w:after="7" w:line="267" w:lineRule="auto"/>
        <w:ind w:left="-15" w:firstLine="583"/>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 xml:space="preserve">În cadrul societății va fi desemnat un </w:t>
      </w:r>
      <w:r w:rsidRPr="0039040E">
        <w:rPr>
          <w:rFonts w:ascii="Times New Roman" w:eastAsia="Times New Roman" w:hAnsi="Times New Roman" w:cs="Times New Roman"/>
          <w:b/>
          <w:i/>
          <w:color w:val="000000"/>
          <w:sz w:val="24"/>
          <w:szCs w:val="24"/>
          <w:lang w:bidi="en-US"/>
        </w:rPr>
        <w:t>ofițer de conformitate pentru implementarea planurilor de integritate ca instrumente managerial pentru promovarea integrității organizaționale în cadrul acesteia.</w:t>
      </w:r>
    </w:p>
    <w:p w14:paraId="57EF797F" w14:textId="77777777" w:rsidR="0039040E" w:rsidRPr="0039040E" w:rsidRDefault="0039040E" w:rsidP="0039040E">
      <w:pPr>
        <w:widowControl w:val="0"/>
        <w:spacing w:after="7" w:line="267" w:lineRule="auto"/>
        <w:ind w:left="-15" w:firstLine="583"/>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b/>
          <w:i/>
          <w:color w:val="000000"/>
          <w:sz w:val="24"/>
          <w:szCs w:val="24"/>
          <w:lang w:bidi="en-US"/>
        </w:rPr>
        <w:t>Societatea, prin grija presedintelui consiliului de administratie, trebuie să publice pe pagina de internet pentru accesul publicului, următoarele documente și informații:</w:t>
      </w:r>
    </w:p>
    <w:p w14:paraId="1914EDAF" w14:textId="77777777" w:rsidR="0039040E" w:rsidRPr="0039040E" w:rsidRDefault="0039040E" w:rsidP="0039040E">
      <w:pPr>
        <w:widowControl w:val="0"/>
        <w:numPr>
          <w:ilvl w:val="0"/>
          <w:numId w:val="19"/>
        </w:numPr>
        <w:spacing w:after="4" w:line="270" w:lineRule="auto"/>
        <w:ind w:right="6"/>
        <w:contextualSpacing/>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hotărârile adunărilor generale ale acţionarilor, în termen de 2 zile lucrătoare de la data</w:t>
      </w:r>
    </w:p>
    <w:p w14:paraId="52EEFF4E" w14:textId="77777777" w:rsidR="0039040E" w:rsidRPr="0039040E" w:rsidRDefault="0039040E" w:rsidP="0039040E">
      <w:pPr>
        <w:widowControl w:val="0"/>
        <w:spacing w:after="0" w:line="240" w:lineRule="auto"/>
        <w:ind w:left="-15" w:right="6"/>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adunării;</w:t>
      </w:r>
    </w:p>
    <w:p w14:paraId="35C53E09" w14:textId="77777777" w:rsidR="0039040E" w:rsidRPr="0039040E" w:rsidRDefault="0039040E" w:rsidP="0039040E">
      <w:pPr>
        <w:widowControl w:val="0"/>
        <w:numPr>
          <w:ilvl w:val="0"/>
          <w:numId w:val="19"/>
        </w:numPr>
        <w:spacing w:after="0" w:line="240" w:lineRule="auto"/>
        <w:ind w:right="6"/>
        <w:contextualSpacing/>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situaţiile financiare anuale, în termen de 2 zile lucrătoare de la data aprobării;</w:t>
      </w:r>
    </w:p>
    <w:p w14:paraId="6AE9ABEB" w14:textId="77777777" w:rsidR="0039040E" w:rsidRPr="0039040E" w:rsidRDefault="0039040E" w:rsidP="0039040E">
      <w:pPr>
        <w:widowControl w:val="0"/>
        <w:numPr>
          <w:ilvl w:val="0"/>
          <w:numId w:val="19"/>
        </w:numPr>
        <w:spacing w:after="0" w:line="240" w:lineRule="auto"/>
        <w:ind w:right="6"/>
        <w:contextualSpacing/>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raportările contabile semestriale, în termen de 45 de zile de la încheierea semestrului;</w:t>
      </w:r>
    </w:p>
    <w:p w14:paraId="21754F9B" w14:textId="77777777" w:rsidR="0039040E" w:rsidRPr="0039040E" w:rsidRDefault="0039040E" w:rsidP="0039040E">
      <w:pPr>
        <w:widowControl w:val="0"/>
        <w:numPr>
          <w:ilvl w:val="0"/>
          <w:numId w:val="19"/>
        </w:numPr>
        <w:spacing w:after="0" w:line="240" w:lineRule="auto"/>
        <w:ind w:right="6"/>
        <w:contextualSpacing/>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componenţa consiliului de administraţie, inclusiv: numele şi prenumele fiecărui membru alconsiliului de administraţie, CV-ul fiecărui membru al consiliului de administraţie, data încetării mandatului fiecărui membru al consiliului de administraţie, afilierea politică a fiecărui membru al consiliului de administraţie, statutul fiecărui membru al consiliului de administraţiei, respectiv definitivi sau provizorii, remuneraţia fiecărui membru al consiliului de administraţie, inclusiv eventuale bonusuri sau beneficii;</w:t>
      </w:r>
    </w:p>
    <w:p w14:paraId="2C7BC341" w14:textId="77777777" w:rsidR="0039040E" w:rsidRPr="0039040E" w:rsidRDefault="0039040E" w:rsidP="0039040E">
      <w:pPr>
        <w:widowControl w:val="0"/>
        <w:numPr>
          <w:ilvl w:val="0"/>
          <w:numId w:val="19"/>
        </w:numPr>
        <w:spacing w:after="0" w:line="240" w:lineRule="auto"/>
        <w:ind w:right="6"/>
        <w:contextualSpacing/>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declaraţiile de avere şi de interese ale fiecărui membru al consiliului de administraţie și al directoratului de pe întreaga durată a mandatului;</w:t>
      </w:r>
    </w:p>
    <w:p w14:paraId="22FE5534" w14:textId="77777777" w:rsidR="0039040E" w:rsidRPr="0039040E" w:rsidRDefault="0039040E" w:rsidP="0039040E">
      <w:pPr>
        <w:widowControl w:val="0"/>
        <w:numPr>
          <w:ilvl w:val="0"/>
          <w:numId w:val="19"/>
        </w:numPr>
        <w:spacing w:after="0" w:line="240" w:lineRule="auto"/>
        <w:ind w:right="6"/>
        <w:contextualSpacing/>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raportul anual cu privire la remuneraţiile şi alte avantaje acordate administratorilor şi directorilor, în cursul anului financiar;</w:t>
      </w:r>
    </w:p>
    <w:p w14:paraId="12177566" w14:textId="77777777" w:rsidR="0039040E" w:rsidRPr="0039040E" w:rsidRDefault="0039040E" w:rsidP="0039040E">
      <w:pPr>
        <w:widowControl w:val="0"/>
        <w:numPr>
          <w:ilvl w:val="0"/>
          <w:numId w:val="19"/>
        </w:numPr>
        <w:spacing w:after="0" w:line="240" w:lineRule="auto"/>
        <w:ind w:right="6"/>
        <w:contextualSpacing/>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Codul de etică, în 2 zile lucrătoare de la data adoptării, respectiv la data de 31 mai a fiecărui an, în cazul revizuirii acestuia;</w:t>
      </w:r>
    </w:p>
    <w:p w14:paraId="28FF84CD" w14:textId="77777777" w:rsidR="0039040E" w:rsidRPr="0039040E" w:rsidRDefault="0039040E" w:rsidP="0039040E">
      <w:pPr>
        <w:widowControl w:val="0"/>
        <w:numPr>
          <w:ilvl w:val="0"/>
          <w:numId w:val="19"/>
        </w:numPr>
        <w:spacing w:after="0" w:line="240" w:lineRule="auto"/>
        <w:ind w:right="6"/>
        <w:contextualSpacing/>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procedura prin care s-a făcut selecţia membrilor consiliului de administraţie, precum şi revocările din funcţiile respective în ultimii 3 ani şi motivele revocărilor;</w:t>
      </w:r>
    </w:p>
    <w:p w14:paraId="6D966F88" w14:textId="77777777" w:rsidR="0039040E" w:rsidRPr="0039040E" w:rsidRDefault="0039040E" w:rsidP="0039040E">
      <w:pPr>
        <w:widowControl w:val="0"/>
        <w:numPr>
          <w:ilvl w:val="0"/>
          <w:numId w:val="19"/>
        </w:numPr>
        <w:spacing w:after="0" w:line="240" w:lineRule="auto"/>
        <w:ind w:right="6"/>
        <w:contextualSpacing/>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scrisoarea de aşteptări;</w:t>
      </w:r>
    </w:p>
    <w:p w14:paraId="3F41A40D" w14:textId="77777777" w:rsidR="0039040E" w:rsidRPr="0039040E" w:rsidRDefault="0039040E" w:rsidP="0039040E">
      <w:pPr>
        <w:widowControl w:val="0"/>
        <w:numPr>
          <w:ilvl w:val="0"/>
          <w:numId w:val="19"/>
        </w:numPr>
        <w:spacing w:after="0" w:line="240" w:lineRule="auto"/>
        <w:ind w:right="6"/>
        <w:contextualSpacing/>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contractul de mandat;</w:t>
      </w:r>
    </w:p>
    <w:p w14:paraId="543F5313" w14:textId="77777777" w:rsidR="0039040E" w:rsidRPr="0039040E" w:rsidRDefault="0039040E" w:rsidP="0039040E">
      <w:pPr>
        <w:widowControl w:val="0"/>
        <w:numPr>
          <w:ilvl w:val="0"/>
          <w:numId w:val="19"/>
        </w:numPr>
        <w:spacing w:after="0" w:line="240" w:lineRule="auto"/>
        <w:ind w:right="6"/>
        <w:contextualSpacing/>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bugetul pentru investiţii în fiecare dintre ultimii 3 ani financiari;</w:t>
      </w:r>
    </w:p>
    <w:p w14:paraId="1C62DD44" w14:textId="77777777" w:rsidR="0039040E" w:rsidRPr="0039040E" w:rsidRDefault="0039040E" w:rsidP="0039040E">
      <w:pPr>
        <w:widowControl w:val="0"/>
        <w:numPr>
          <w:ilvl w:val="0"/>
          <w:numId w:val="19"/>
        </w:numPr>
        <w:spacing w:after="0" w:line="240" w:lineRule="auto"/>
        <w:ind w:right="6"/>
        <w:contextualSpacing/>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cheltuielile totale cu personalul în ultimii 3 ani (inclusiv salarii, sporuri, bonusuri,</w:t>
      </w:r>
    </w:p>
    <w:p w14:paraId="17CF399F" w14:textId="77777777" w:rsidR="0039040E" w:rsidRPr="0039040E" w:rsidRDefault="0039040E" w:rsidP="0039040E">
      <w:pPr>
        <w:widowControl w:val="0"/>
        <w:spacing w:after="0" w:line="240" w:lineRule="auto"/>
        <w:ind w:left="-15" w:right="6"/>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traininguri sau formare profesională, decontări şi alte beneficii);</w:t>
      </w:r>
    </w:p>
    <w:p w14:paraId="03E239EB" w14:textId="77777777" w:rsidR="0039040E" w:rsidRPr="0039040E" w:rsidRDefault="0039040E" w:rsidP="0039040E">
      <w:pPr>
        <w:widowControl w:val="0"/>
        <w:spacing w:after="0" w:line="240" w:lineRule="auto"/>
        <w:ind w:left="-15" w:right="6" w:firstLine="15"/>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 xml:space="preserve">     m)datoriile întreprinderii publice către bugetul de stat, către instituţii de creditare şi cătreparteneri comerciali, cu menţiunea pentru fiecare categorie cât la sută este reprezentat de restanţe de plată;</w:t>
      </w:r>
    </w:p>
    <w:p w14:paraId="18D4A5D8" w14:textId="77777777" w:rsidR="0039040E" w:rsidRPr="0039040E" w:rsidRDefault="0039040E" w:rsidP="0039040E">
      <w:pPr>
        <w:widowControl w:val="0"/>
        <w:spacing w:after="0" w:line="240" w:lineRule="auto"/>
        <w:ind w:left="-15" w:right="6" w:firstLine="15"/>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 xml:space="preserve">     n)valoarea subvenţiei operaţionale primite de la bugetul de stat;</w:t>
      </w:r>
    </w:p>
    <w:p w14:paraId="30EB0F29" w14:textId="77777777" w:rsidR="0039040E" w:rsidRPr="0039040E" w:rsidRDefault="0039040E" w:rsidP="0039040E">
      <w:pPr>
        <w:widowControl w:val="0"/>
        <w:spacing w:after="0" w:line="240" w:lineRule="auto"/>
        <w:ind w:left="-15" w:right="6" w:firstLine="15"/>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 xml:space="preserve">     o)serviciile sau bunurile produse de întreprindere în interes public;</w:t>
      </w:r>
    </w:p>
    <w:p w14:paraId="44B15A81" w14:textId="77777777" w:rsidR="0039040E" w:rsidRPr="0039040E" w:rsidRDefault="0039040E" w:rsidP="0039040E">
      <w:pPr>
        <w:widowControl w:val="0"/>
        <w:spacing w:after="0" w:line="240" w:lineRule="auto"/>
        <w:ind w:left="-15" w:right="6" w:firstLine="15"/>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 xml:space="preserve">     p)menţionarea obiectivului de politică publică a întreprinderii;</w:t>
      </w:r>
    </w:p>
    <w:p w14:paraId="62E9F30F" w14:textId="77777777" w:rsidR="0039040E" w:rsidRPr="0039040E" w:rsidRDefault="0039040E" w:rsidP="0039040E">
      <w:pPr>
        <w:widowControl w:val="0"/>
        <w:spacing w:after="0" w:line="240" w:lineRule="auto"/>
        <w:ind w:left="-15" w:right="6" w:firstLine="15"/>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 xml:space="preserve">     r) situaţiile de risc/analiza de risc din domeniul de activitate al întreprinderii;</w:t>
      </w:r>
    </w:p>
    <w:p w14:paraId="441E6B61" w14:textId="77777777" w:rsidR="0039040E" w:rsidRPr="0039040E" w:rsidRDefault="0039040E" w:rsidP="0039040E">
      <w:pPr>
        <w:widowControl w:val="0"/>
        <w:spacing w:after="0" w:line="240" w:lineRule="auto"/>
        <w:ind w:left="-15" w:right="6" w:firstLine="15"/>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 xml:space="preserve">     s) raportul anual agregat pe pagina web a întreprinderii;</w:t>
      </w:r>
    </w:p>
    <w:p w14:paraId="5E0A356A" w14:textId="4BA368F2" w:rsidR="0039040E" w:rsidRPr="0039040E" w:rsidRDefault="00B66E34" w:rsidP="00B66E34">
      <w:pPr>
        <w:widowControl w:val="0"/>
        <w:spacing w:after="4" w:line="270" w:lineRule="auto"/>
        <w:ind w:right="6"/>
        <w:jc w:val="both"/>
        <w:rPr>
          <w:rFonts w:ascii="Times New Roman" w:eastAsia="Times New Roman" w:hAnsi="Times New Roman" w:cs="Times New Roman"/>
          <w:color w:val="000000"/>
          <w:sz w:val="24"/>
          <w:szCs w:val="24"/>
          <w:lang w:bidi="en-US"/>
        </w:rPr>
      </w:pPr>
      <w:r>
        <w:rPr>
          <w:rFonts w:ascii="Times New Roman" w:eastAsia="Times New Roman" w:hAnsi="Times New Roman" w:cs="Times New Roman"/>
          <w:color w:val="000000"/>
          <w:sz w:val="24"/>
          <w:szCs w:val="24"/>
          <w:lang w:bidi="en-US"/>
        </w:rPr>
        <w:t xml:space="preserve">     ș) </w:t>
      </w:r>
      <w:r w:rsidR="0039040E" w:rsidRPr="0039040E">
        <w:rPr>
          <w:rFonts w:ascii="Times New Roman" w:eastAsia="Times New Roman" w:hAnsi="Times New Roman" w:cs="Times New Roman"/>
          <w:color w:val="000000"/>
          <w:sz w:val="24"/>
          <w:szCs w:val="24"/>
          <w:lang w:bidi="en-US"/>
        </w:rPr>
        <w:t>menţionarea obiectivului de politică publică a întreprinderii;</w:t>
      </w:r>
    </w:p>
    <w:p w14:paraId="24BE6BA6" w14:textId="057CCCD3" w:rsidR="00B66E34" w:rsidRDefault="00B66E34" w:rsidP="00B66E34">
      <w:pPr>
        <w:widowControl w:val="0"/>
        <w:spacing w:after="0" w:line="240" w:lineRule="auto"/>
        <w:ind w:right="6"/>
        <w:jc w:val="both"/>
        <w:rPr>
          <w:rFonts w:ascii="Times New Roman" w:eastAsia="Times New Roman" w:hAnsi="Times New Roman" w:cs="Times New Roman"/>
          <w:color w:val="000000"/>
          <w:sz w:val="24"/>
          <w:szCs w:val="24"/>
          <w:lang w:bidi="en-US"/>
        </w:rPr>
      </w:pPr>
      <w:r>
        <w:rPr>
          <w:rFonts w:ascii="Times New Roman" w:eastAsia="Times New Roman" w:hAnsi="Times New Roman" w:cs="Times New Roman"/>
          <w:color w:val="000000"/>
          <w:sz w:val="24"/>
          <w:szCs w:val="24"/>
          <w:lang w:bidi="en-US"/>
        </w:rPr>
        <w:t xml:space="preserve">     t</w:t>
      </w:r>
      <w:r w:rsidR="0039040E" w:rsidRPr="0039040E">
        <w:rPr>
          <w:rFonts w:ascii="Times New Roman" w:eastAsia="Times New Roman" w:hAnsi="Times New Roman" w:cs="Times New Roman"/>
          <w:color w:val="000000"/>
          <w:sz w:val="24"/>
          <w:szCs w:val="24"/>
          <w:lang w:bidi="en-US"/>
        </w:rPr>
        <w:t xml:space="preserve">) planul de integritate al întreprinderii (dezvoltat în concordanţă cu Ghidul de bună practică al OCDE privind controlul intern, etica şi conformitatea) şi mecanismul de raportare de către </w:t>
      </w:r>
      <w:r w:rsidR="0039040E" w:rsidRPr="0039040E">
        <w:rPr>
          <w:rFonts w:ascii="Times New Roman" w:eastAsia="Times New Roman" w:hAnsi="Times New Roman" w:cs="Times New Roman"/>
          <w:color w:val="000000"/>
          <w:sz w:val="24"/>
          <w:szCs w:val="24"/>
          <w:lang w:bidi="en-US"/>
        </w:rPr>
        <w:lastRenderedPageBreak/>
        <w:t>avertizorii în interes public a încălcărilor legii;</w:t>
      </w:r>
    </w:p>
    <w:p w14:paraId="231B4B0F" w14:textId="55F6118A" w:rsidR="0039040E" w:rsidRPr="0039040E" w:rsidRDefault="00B66E34" w:rsidP="00B66E34">
      <w:pPr>
        <w:widowControl w:val="0"/>
        <w:spacing w:after="0" w:line="240" w:lineRule="auto"/>
        <w:ind w:right="6"/>
        <w:jc w:val="both"/>
        <w:rPr>
          <w:rFonts w:ascii="Times New Roman" w:eastAsia="Times New Roman" w:hAnsi="Times New Roman" w:cs="Times New Roman"/>
          <w:color w:val="000000"/>
          <w:sz w:val="24"/>
          <w:szCs w:val="24"/>
          <w:lang w:bidi="en-US"/>
        </w:rPr>
      </w:pPr>
      <w:r>
        <w:rPr>
          <w:rFonts w:ascii="Times New Roman" w:eastAsia="Times New Roman" w:hAnsi="Times New Roman" w:cs="Times New Roman"/>
          <w:color w:val="000000"/>
          <w:sz w:val="24"/>
          <w:szCs w:val="24"/>
          <w:lang w:bidi="en-US"/>
        </w:rPr>
        <w:t xml:space="preserve">  </w:t>
      </w:r>
      <w:r>
        <w:rPr>
          <w:rFonts w:ascii="Times New Roman" w:eastAsia="Times New Roman" w:hAnsi="Times New Roman" w:cs="Times New Roman"/>
          <w:color w:val="000000"/>
          <w:sz w:val="24"/>
          <w:szCs w:val="24"/>
          <w:lang w:bidi="en-US"/>
        </w:rPr>
        <w:tab/>
        <w:t xml:space="preserve">ț) </w:t>
      </w:r>
      <w:r w:rsidR="0039040E" w:rsidRPr="0039040E">
        <w:rPr>
          <w:rFonts w:ascii="Times New Roman" w:eastAsia="Times New Roman" w:hAnsi="Times New Roman" w:cs="Times New Roman"/>
          <w:color w:val="000000"/>
          <w:sz w:val="24"/>
          <w:szCs w:val="24"/>
          <w:lang w:bidi="en-US"/>
        </w:rPr>
        <w:t>raportul de audit extern.</w:t>
      </w:r>
    </w:p>
    <w:p w14:paraId="691B33B9" w14:textId="77777777" w:rsidR="0039040E" w:rsidRPr="0039040E" w:rsidRDefault="0039040E" w:rsidP="0039040E">
      <w:pPr>
        <w:widowControl w:val="0"/>
        <w:numPr>
          <w:ilvl w:val="0"/>
          <w:numId w:val="16"/>
        </w:numPr>
        <w:spacing w:after="4" w:line="270" w:lineRule="auto"/>
        <w:ind w:right="6" w:firstLine="558"/>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Situaţiile financiare anuale şi raportările contabile semestriale, rapoartele consiliului deadministraţie  şi raportul de audit anual sunt păstrate pe pagina de internet a întreprinderii publice pe o perioadă de cel puţin 3 ani, după aprobarea acestora.</w:t>
      </w:r>
    </w:p>
    <w:p w14:paraId="539C1FAA" w14:textId="77777777" w:rsidR="0039040E" w:rsidRPr="0039040E" w:rsidRDefault="0039040E" w:rsidP="0039040E">
      <w:pPr>
        <w:widowControl w:val="0"/>
        <w:numPr>
          <w:ilvl w:val="0"/>
          <w:numId w:val="16"/>
        </w:numPr>
        <w:spacing w:after="347" w:line="270" w:lineRule="auto"/>
        <w:ind w:right="6" w:firstLine="558"/>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Publicarea informaţiilor prevăzute la alin. (1) şi (2) se va realiza într-o secţiune distinctăde pe pagina de internet a respectivei întreprinderi publice.</w:t>
      </w:r>
    </w:p>
    <w:p w14:paraId="2777A655" w14:textId="77777777" w:rsidR="0039040E" w:rsidRPr="0039040E" w:rsidRDefault="0039040E" w:rsidP="0039040E">
      <w:pPr>
        <w:keepNext/>
        <w:keepLines/>
        <w:spacing w:after="13" w:line="249" w:lineRule="auto"/>
        <w:ind w:firstLine="568"/>
        <w:jc w:val="both"/>
        <w:outlineLvl w:val="0"/>
        <w:rPr>
          <w:rFonts w:ascii="Times New Roman" w:eastAsia="Times New Roman" w:hAnsi="Times New Roman" w:cs="Times New Roman"/>
          <w:b/>
          <w:color w:val="000000"/>
          <w:kern w:val="2"/>
          <w:sz w:val="24"/>
          <w:szCs w:val="24"/>
          <w:lang w:eastAsia="ro-RO"/>
        </w:rPr>
      </w:pPr>
      <w:r w:rsidRPr="0039040E">
        <w:rPr>
          <w:rFonts w:ascii="Times New Roman" w:eastAsia="Times New Roman" w:hAnsi="Times New Roman" w:cs="Times New Roman"/>
          <w:color w:val="000000"/>
          <w:kern w:val="2"/>
          <w:sz w:val="24"/>
          <w:szCs w:val="24"/>
          <w:lang w:eastAsia="ro-RO"/>
        </w:rPr>
        <w:t>XI</w:t>
      </w:r>
      <w:r w:rsidRPr="0039040E">
        <w:rPr>
          <w:rFonts w:ascii="Times New Roman" w:eastAsia="Times New Roman" w:hAnsi="Times New Roman" w:cs="Times New Roman"/>
          <w:color w:val="FF0000"/>
          <w:kern w:val="2"/>
          <w:sz w:val="24"/>
          <w:szCs w:val="24"/>
          <w:lang w:eastAsia="ro-RO"/>
        </w:rPr>
        <w:t>.</w:t>
      </w:r>
      <w:r w:rsidRPr="0039040E">
        <w:rPr>
          <w:rFonts w:ascii="Times New Roman" w:eastAsia="Times New Roman" w:hAnsi="Times New Roman" w:cs="Times New Roman"/>
          <w:color w:val="000000"/>
          <w:kern w:val="2"/>
          <w:sz w:val="24"/>
          <w:szCs w:val="24"/>
          <w:lang w:eastAsia="ro-RO"/>
        </w:rPr>
        <w:t xml:space="preserve"> </w:t>
      </w:r>
      <w:r w:rsidRPr="0039040E">
        <w:rPr>
          <w:rFonts w:ascii="Times New Roman" w:eastAsia="Times New Roman" w:hAnsi="Times New Roman" w:cs="Times New Roman"/>
          <w:b/>
          <w:color w:val="000000"/>
          <w:kern w:val="2"/>
          <w:sz w:val="24"/>
          <w:szCs w:val="24"/>
          <w:lang w:eastAsia="ro-RO"/>
        </w:rPr>
        <w:t>Așteptări ale autorității publice tutelare privind cheltuielile de capital, reducerile de cheltuieli și alte aspecte ale afacerii</w:t>
      </w:r>
    </w:p>
    <w:p w14:paraId="3434E219" w14:textId="77777777" w:rsidR="0039040E" w:rsidRPr="0039040E" w:rsidRDefault="0039040E" w:rsidP="0039040E">
      <w:pPr>
        <w:widowControl w:val="0"/>
        <w:spacing w:after="0" w:line="240" w:lineRule="auto"/>
        <w:ind w:left="-15" w:right="6" w:firstLine="735"/>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 xml:space="preserve">Potrivit prevederilor art. 19 din Ordonanța Guvernului nr. 71/2002 </w:t>
      </w:r>
      <w:r w:rsidRPr="0039040E">
        <w:rPr>
          <w:rFonts w:ascii="Times New Roman" w:eastAsia="Times New Roman" w:hAnsi="Times New Roman" w:cs="Times New Roman"/>
          <w:i/>
          <w:color w:val="000000"/>
          <w:sz w:val="24"/>
          <w:szCs w:val="24"/>
          <w:lang w:bidi="en-US"/>
        </w:rPr>
        <w:t>privind organizarea și funcționarea serviciilor publice de administrare a domeniului public și privat de interes local</w:t>
      </w:r>
      <w:r w:rsidRPr="0039040E">
        <w:rPr>
          <w:rFonts w:ascii="Times New Roman" w:eastAsia="Times New Roman" w:hAnsi="Times New Roman" w:cs="Times New Roman"/>
          <w:color w:val="000000"/>
          <w:sz w:val="24"/>
          <w:szCs w:val="24"/>
          <w:lang w:bidi="en-US"/>
        </w:rPr>
        <w:t>, „cheltuielile curente pentru asigurarea funcționării propriu-zise a serviciilor de administrare a domeniului public și privat și efectuării/prestării activităților edilitar-gospodărești specifice acestora, (...) se asigură prin încasarea de la utilizatori, pe baza tarifelor, prețurilor sau taxelor locale legal aprobate, a unor sume reprezentând contravaloarea serviciilor furnizate/prestate sau prin alocații bugetare cu respectarea următoarelor condiții:</w:t>
      </w:r>
    </w:p>
    <w:p w14:paraId="6BD29D0A" w14:textId="77777777" w:rsidR="0039040E" w:rsidRPr="0039040E" w:rsidRDefault="0039040E" w:rsidP="0039040E">
      <w:pPr>
        <w:widowControl w:val="0"/>
        <w:numPr>
          <w:ilvl w:val="0"/>
          <w:numId w:val="17"/>
        </w:numPr>
        <w:spacing w:after="4" w:line="270" w:lineRule="auto"/>
        <w:ind w:right="6" w:firstLine="558"/>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organizarea și desfășurarea pe principii și criterii comerciale și concurențiale a activităților prestate;</w:t>
      </w:r>
    </w:p>
    <w:p w14:paraId="09DF7F2C" w14:textId="77777777" w:rsidR="0039040E" w:rsidRPr="0039040E" w:rsidRDefault="0039040E" w:rsidP="0039040E">
      <w:pPr>
        <w:widowControl w:val="0"/>
        <w:numPr>
          <w:ilvl w:val="0"/>
          <w:numId w:val="17"/>
        </w:numPr>
        <w:spacing w:after="4" w:line="270" w:lineRule="auto"/>
        <w:ind w:right="6" w:firstLine="558"/>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protejarea autonomiei financiare a operatorilor;</w:t>
      </w:r>
    </w:p>
    <w:p w14:paraId="5E1E7C3F" w14:textId="77777777" w:rsidR="0039040E" w:rsidRPr="0039040E" w:rsidRDefault="0039040E" w:rsidP="0039040E">
      <w:pPr>
        <w:widowControl w:val="0"/>
        <w:numPr>
          <w:ilvl w:val="0"/>
          <w:numId w:val="17"/>
        </w:numPr>
        <w:spacing w:after="4" w:line="270" w:lineRule="auto"/>
        <w:ind w:right="6" w:firstLine="558"/>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reflectarea costului efectiv al furnizării/prestării serviciilor în structura și nivelul tarifelor,</w:t>
      </w:r>
    </w:p>
    <w:p w14:paraId="52915EBE" w14:textId="77777777" w:rsidR="0039040E" w:rsidRPr="0039040E" w:rsidRDefault="0039040E" w:rsidP="0039040E">
      <w:pPr>
        <w:widowControl w:val="0"/>
        <w:spacing w:after="0" w:line="240" w:lineRule="auto"/>
        <w:ind w:left="-15" w:right="6"/>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al prețului biletelor sau al taxelor locale practicate;</w:t>
      </w:r>
    </w:p>
    <w:p w14:paraId="2DEC8168" w14:textId="77777777" w:rsidR="0039040E" w:rsidRPr="0039040E" w:rsidRDefault="0039040E" w:rsidP="0039040E">
      <w:pPr>
        <w:widowControl w:val="0"/>
        <w:numPr>
          <w:ilvl w:val="0"/>
          <w:numId w:val="17"/>
        </w:numPr>
        <w:spacing w:after="4" w:line="270" w:lineRule="auto"/>
        <w:ind w:right="6" w:firstLine="558"/>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ajustarea periodică a prețurilor, tarifelor și taxelor locale și reflectarea corespunzătoare în</w:t>
      </w:r>
    </w:p>
    <w:p w14:paraId="652D3936" w14:textId="77777777" w:rsidR="0039040E" w:rsidRPr="0039040E" w:rsidRDefault="0039040E" w:rsidP="0039040E">
      <w:pPr>
        <w:widowControl w:val="0"/>
        <w:spacing w:after="0" w:line="240" w:lineRule="auto"/>
        <w:ind w:left="-15" w:right="6"/>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nivelul acestora a influențelor generate de majorarea în amonte a unor prețuri și tarife;</w:t>
      </w:r>
    </w:p>
    <w:p w14:paraId="12F8C2EF" w14:textId="77777777" w:rsidR="0039040E" w:rsidRPr="0039040E" w:rsidRDefault="0039040E" w:rsidP="0039040E">
      <w:pPr>
        <w:widowControl w:val="0"/>
        <w:numPr>
          <w:ilvl w:val="0"/>
          <w:numId w:val="17"/>
        </w:numPr>
        <w:spacing w:after="4" w:line="270" w:lineRule="auto"/>
        <w:ind w:right="6" w:firstLine="558"/>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recuperarea integrală a cheltuielilor prin tarife, prețul biletelor sau taxe locale;</w:t>
      </w:r>
    </w:p>
    <w:p w14:paraId="78C3CE30" w14:textId="223BFE7E" w:rsidR="0039040E" w:rsidRPr="0039040E" w:rsidRDefault="00B66E34" w:rsidP="00B66E34">
      <w:pPr>
        <w:widowControl w:val="0"/>
        <w:numPr>
          <w:ilvl w:val="0"/>
          <w:numId w:val="17"/>
        </w:numPr>
        <w:spacing w:after="0" w:line="240" w:lineRule="auto"/>
        <w:ind w:left="0" w:right="6" w:firstLine="1134"/>
        <w:jc w:val="both"/>
        <w:rPr>
          <w:rFonts w:ascii="Times New Roman" w:eastAsia="Times New Roman" w:hAnsi="Times New Roman" w:cs="Times New Roman"/>
          <w:color w:val="000000"/>
          <w:sz w:val="24"/>
          <w:szCs w:val="24"/>
          <w:lang w:bidi="en-US"/>
        </w:rPr>
      </w:pPr>
      <w:r>
        <w:rPr>
          <w:rFonts w:ascii="Times New Roman" w:eastAsia="Times New Roman" w:hAnsi="Times New Roman" w:cs="Times New Roman"/>
          <w:color w:val="000000"/>
          <w:sz w:val="24"/>
          <w:szCs w:val="24"/>
          <w:lang w:bidi="en-US"/>
        </w:rPr>
        <w:t xml:space="preserve"> </w:t>
      </w:r>
      <w:r w:rsidR="0039040E" w:rsidRPr="0039040E">
        <w:rPr>
          <w:rFonts w:ascii="Times New Roman" w:eastAsia="Times New Roman" w:hAnsi="Times New Roman" w:cs="Times New Roman"/>
          <w:color w:val="000000"/>
          <w:sz w:val="24"/>
          <w:szCs w:val="24"/>
          <w:lang w:bidi="en-US"/>
        </w:rPr>
        <w:t>acoperirea prin tarife, prețul biletelor și taxele locale cel puțin a sumelor investite și a</w:t>
      </w:r>
      <w:r w:rsidRPr="00B66E34">
        <w:rPr>
          <w:rFonts w:ascii="Times New Roman" w:eastAsia="Times New Roman" w:hAnsi="Times New Roman" w:cs="Times New Roman"/>
          <w:color w:val="000000"/>
          <w:sz w:val="24"/>
          <w:szCs w:val="24"/>
          <w:lang w:bidi="en-US"/>
        </w:rPr>
        <w:t xml:space="preserve"> </w:t>
      </w:r>
      <w:r w:rsidR="0039040E" w:rsidRPr="0039040E">
        <w:rPr>
          <w:rFonts w:ascii="Times New Roman" w:eastAsia="Times New Roman" w:hAnsi="Times New Roman" w:cs="Times New Roman"/>
          <w:color w:val="000000"/>
          <w:sz w:val="24"/>
          <w:szCs w:val="24"/>
          <w:lang w:bidi="en-US"/>
        </w:rPr>
        <w:t>cheltuielilor curente de funcționare și întreținere a serviciilor;</w:t>
      </w:r>
    </w:p>
    <w:p w14:paraId="0AC9F104" w14:textId="04CB528D" w:rsidR="0039040E" w:rsidRPr="0039040E" w:rsidRDefault="0039040E" w:rsidP="00B66E34">
      <w:pPr>
        <w:widowControl w:val="0"/>
        <w:numPr>
          <w:ilvl w:val="0"/>
          <w:numId w:val="17"/>
        </w:numPr>
        <w:spacing w:after="245" w:line="270" w:lineRule="auto"/>
        <w:ind w:left="0" w:right="6" w:firstLine="1126"/>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calcularea, înregistrarea și recuperarea uzurii fizice și morale a mijloacelor fixe specifice</w:t>
      </w:r>
      <w:r w:rsidR="00B66E34">
        <w:rPr>
          <w:rFonts w:ascii="Times New Roman" w:eastAsia="Times New Roman" w:hAnsi="Times New Roman" w:cs="Times New Roman"/>
          <w:color w:val="000000"/>
          <w:sz w:val="24"/>
          <w:szCs w:val="24"/>
          <w:lang w:bidi="en-US"/>
        </w:rPr>
        <w:t xml:space="preserve"> </w:t>
      </w:r>
      <w:r w:rsidRPr="0039040E">
        <w:rPr>
          <w:rFonts w:ascii="Times New Roman" w:eastAsia="Times New Roman" w:hAnsi="Times New Roman" w:cs="Times New Roman"/>
          <w:color w:val="000000"/>
          <w:sz w:val="24"/>
          <w:szCs w:val="24"/>
          <w:lang w:bidi="en-US"/>
        </w:rPr>
        <w:t>infrastructurii edilitar-urbane aferente acestor servicii prin preț, tarif sau taxa în cazul gestiunii directe și prin redevența în cazul gestiunii delegate.”</w:t>
      </w:r>
    </w:p>
    <w:p w14:paraId="46669588" w14:textId="00257D60" w:rsidR="0039040E" w:rsidRPr="0039040E" w:rsidRDefault="00B66E34" w:rsidP="0039040E">
      <w:pPr>
        <w:widowControl w:val="0"/>
        <w:spacing w:after="10" w:line="252" w:lineRule="auto"/>
        <w:ind w:right="-6" w:firstLine="567"/>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Ordonanța</w:t>
      </w:r>
      <w:r w:rsidR="0039040E" w:rsidRPr="0039040E">
        <w:rPr>
          <w:rFonts w:ascii="Times New Roman" w:eastAsia="Times New Roman" w:hAnsi="Times New Roman" w:cs="Times New Roman"/>
          <w:color w:val="000000"/>
          <w:sz w:val="24"/>
          <w:szCs w:val="24"/>
          <w:lang w:bidi="en-US"/>
        </w:rPr>
        <w:t xml:space="preserve"> Guvernului nr. 26/2013 </w:t>
      </w:r>
      <w:r w:rsidR="0039040E" w:rsidRPr="0039040E">
        <w:rPr>
          <w:rFonts w:ascii="Times New Roman" w:eastAsia="Times New Roman" w:hAnsi="Times New Roman" w:cs="Times New Roman"/>
          <w:i/>
          <w:color w:val="000000"/>
          <w:sz w:val="24"/>
          <w:szCs w:val="24"/>
          <w:lang w:bidi="en-US"/>
        </w:rPr>
        <w:t>privind întărirea disciplinei financiare la nivelul unor operatori economici la care statul sau unitățile administrativ-teritoriale sunt acționari unici ori majoritari sau dețin direct ori indirect o participație majoritară</w:t>
      </w:r>
      <w:r w:rsidR="0039040E" w:rsidRPr="0039040E">
        <w:rPr>
          <w:rFonts w:ascii="Times New Roman" w:eastAsia="Times New Roman" w:hAnsi="Times New Roman" w:cs="Times New Roman"/>
          <w:color w:val="000000"/>
          <w:sz w:val="24"/>
          <w:szCs w:val="24"/>
          <w:lang w:bidi="en-US"/>
        </w:rPr>
        <w:t>, cu modificările și completările ulterioare, prevede pentru fundamentarea bugetelor de venituri și cheltuieli ale operatorilor economici, următoarele:</w:t>
      </w:r>
    </w:p>
    <w:p w14:paraId="1065D4BE" w14:textId="08D8FB42" w:rsidR="0039040E" w:rsidRPr="0039040E" w:rsidRDefault="0039040E" w:rsidP="0039040E">
      <w:pPr>
        <w:widowControl w:val="0"/>
        <w:numPr>
          <w:ilvl w:val="0"/>
          <w:numId w:val="18"/>
        </w:numPr>
        <w:spacing w:after="0" w:line="240" w:lineRule="auto"/>
        <w:ind w:left="567" w:right="6"/>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 xml:space="preserve">respectarea politicii Guvernului și respectiv a unităților administrativ-teritoriale privind </w:t>
      </w:r>
      <w:r w:rsidR="00B66E34" w:rsidRPr="0039040E">
        <w:rPr>
          <w:rFonts w:ascii="Times New Roman" w:eastAsia="Times New Roman" w:hAnsi="Times New Roman" w:cs="Times New Roman"/>
          <w:color w:val="000000"/>
          <w:sz w:val="24"/>
          <w:szCs w:val="24"/>
          <w:lang w:bidi="en-US"/>
        </w:rPr>
        <w:t>îmbunătățirea</w:t>
      </w:r>
      <w:r w:rsidRPr="0039040E">
        <w:rPr>
          <w:rFonts w:ascii="Times New Roman" w:eastAsia="Times New Roman" w:hAnsi="Times New Roman" w:cs="Times New Roman"/>
          <w:color w:val="000000"/>
          <w:sz w:val="24"/>
          <w:szCs w:val="24"/>
          <w:lang w:bidi="en-US"/>
        </w:rPr>
        <w:t xml:space="preserve"> performanțelor economico-financiare ale operatorilor economici;</w:t>
      </w:r>
    </w:p>
    <w:p w14:paraId="2D9F48A1" w14:textId="77777777" w:rsidR="0039040E" w:rsidRPr="0039040E" w:rsidRDefault="0039040E" w:rsidP="0039040E">
      <w:pPr>
        <w:widowControl w:val="0"/>
        <w:numPr>
          <w:ilvl w:val="0"/>
          <w:numId w:val="18"/>
        </w:numPr>
        <w:spacing w:after="4" w:line="270" w:lineRule="auto"/>
        <w:ind w:left="567" w:right="6"/>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respectarea obiectivelor de politică salarială stabilită prin legea anuală a bugetului de stat;</w:t>
      </w:r>
    </w:p>
    <w:p w14:paraId="52B20687" w14:textId="072BC63B" w:rsidR="0039040E" w:rsidRPr="0039040E" w:rsidRDefault="0039040E" w:rsidP="0039040E">
      <w:pPr>
        <w:widowControl w:val="0"/>
        <w:numPr>
          <w:ilvl w:val="0"/>
          <w:numId w:val="18"/>
        </w:numPr>
        <w:spacing w:after="4" w:line="270" w:lineRule="auto"/>
        <w:ind w:left="567" w:right="6"/>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lastRenderedPageBreak/>
        <w:t>criteriile de performanță specifice și obiectivele cuantificate privind reducerea plăților și</w:t>
      </w:r>
      <w:r w:rsidR="00B66E34">
        <w:rPr>
          <w:rFonts w:ascii="Times New Roman" w:eastAsia="Times New Roman" w:hAnsi="Times New Roman" w:cs="Times New Roman"/>
          <w:color w:val="000000"/>
          <w:sz w:val="24"/>
          <w:szCs w:val="24"/>
          <w:lang w:bidi="en-US"/>
        </w:rPr>
        <w:t xml:space="preserve"> </w:t>
      </w:r>
      <w:r w:rsidRPr="0039040E">
        <w:rPr>
          <w:rFonts w:ascii="Times New Roman" w:eastAsia="Times New Roman" w:hAnsi="Times New Roman" w:cs="Times New Roman"/>
          <w:color w:val="000000"/>
          <w:sz w:val="24"/>
          <w:szCs w:val="24"/>
          <w:lang w:bidi="en-US"/>
        </w:rPr>
        <w:t>creanțelor restante, reducerea pierderilor, creșterea profitului, a cifrei de afaceri, precum și creșterea productivității muncii, prevăzute în contractele de mandat, stabilite în corelație cu strategia de administrare a Consiliului de administrație și a planului de management al directorilor operatorilor economici;</w:t>
      </w:r>
    </w:p>
    <w:p w14:paraId="37AA0F64" w14:textId="73EDF3A8" w:rsidR="0039040E" w:rsidRPr="0039040E" w:rsidRDefault="0039040E" w:rsidP="0039040E">
      <w:pPr>
        <w:widowControl w:val="0"/>
        <w:numPr>
          <w:ilvl w:val="0"/>
          <w:numId w:val="18"/>
        </w:numPr>
        <w:spacing w:after="0" w:line="240" w:lineRule="auto"/>
        <w:ind w:left="567" w:right="6"/>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 xml:space="preserve">programele de achiziții de bunuri și servicii pentru desfășurarea activității, fundamentate pe baza posibilităților reale de plată a acestora; </w:t>
      </w:r>
    </w:p>
    <w:p w14:paraId="08FA0362" w14:textId="636EAE15" w:rsidR="0039040E" w:rsidRPr="0039040E" w:rsidRDefault="0039040E" w:rsidP="0039040E">
      <w:pPr>
        <w:widowControl w:val="0"/>
        <w:numPr>
          <w:ilvl w:val="0"/>
          <w:numId w:val="18"/>
        </w:numPr>
        <w:spacing w:after="0" w:line="240" w:lineRule="auto"/>
        <w:ind w:left="567" w:right="6"/>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programele de investiții și dotări, fundamentate în limita surselor legale de finanțare a acestora;</w:t>
      </w:r>
    </w:p>
    <w:p w14:paraId="7A60767A" w14:textId="77777777" w:rsidR="0039040E" w:rsidRPr="0039040E" w:rsidRDefault="0039040E" w:rsidP="0039040E">
      <w:pPr>
        <w:widowControl w:val="0"/>
        <w:numPr>
          <w:ilvl w:val="0"/>
          <w:numId w:val="18"/>
        </w:numPr>
        <w:spacing w:after="571" w:line="270" w:lineRule="auto"/>
        <w:ind w:left="567" w:right="6"/>
        <w:jc w:val="both"/>
        <w:rPr>
          <w:rFonts w:ascii="Times New Roman" w:eastAsia="Times New Roman" w:hAnsi="Times New Roman" w:cs="Times New Roman"/>
          <w:color w:val="000000"/>
          <w:sz w:val="24"/>
          <w:szCs w:val="24"/>
          <w:lang w:bidi="en-US"/>
        </w:rPr>
      </w:pPr>
      <w:r w:rsidRPr="0039040E">
        <w:rPr>
          <w:rFonts w:ascii="Times New Roman" w:eastAsia="Times New Roman" w:hAnsi="Times New Roman" w:cs="Times New Roman"/>
          <w:color w:val="000000"/>
          <w:sz w:val="24"/>
          <w:szCs w:val="24"/>
          <w:lang w:bidi="en-US"/>
        </w:rPr>
        <w:t>programele de reducere a plăților/creanțelor restante.</w:t>
      </w:r>
    </w:p>
    <w:p w14:paraId="61AE2925" w14:textId="77777777" w:rsidR="0039040E" w:rsidRPr="0039040E" w:rsidRDefault="0039040E" w:rsidP="0039040E">
      <w:pPr>
        <w:widowControl w:val="0"/>
        <w:spacing w:after="0" w:line="240" w:lineRule="auto"/>
        <w:ind w:firstLine="720"/>
        <w:jc w:val="both"/>
        <w:rPr>
          <w:rFonts w:ascii="Times New Roman" w:eastAsia="Times New Roman" w:hAnsi="Times New Roman" w:cs="Times New Roman"/>
          <w:b/>
          <w:color w:val="000000"/>
          <w:sz w:val="24"/>
          <w:szCs w:val="24"/>
          <w:lang w:eastAsia="ro-RO"/>
        </w:rPr>
      </w:pPr>
    </w:p>
    <w:p w14:paraId="064507D4" w14:textId="77777777" w:rsidR="00A518E7" w:rsidRPr="0039040E" w:rsidRDefault="00A518E7"/>
    <w:p w14:paraId="70B33A7A" w14:textId="09DF4D00" w:rsidR="00D35B5E" w:rsidRPr="00D35B5E" w:rsidRDefault="00D35B5E" w:rsidP="00D35B5E">
      <w:pPr>
        <w:spacing w:after="0" w:line="276" w:lineRule="auto"/>
        <w:ind w:firstLine="708"/>
        <w:jc w:val="both"/>
        <w:rPr>
          <w:rFonts w:ascii="Times New Roman" w:eastAsia="Times New Roman" w:hAnsi="Times New Roman" w:cs="Times New Roman"/>
          <w:sz w:val="26"/>
          <w:szCs w:val="26"/>
        </w:rPr>
      </w:pPr>
      <w:r w:rsidRPr="00D35B5E">
        <w:rPr>
          <w:rFonts w:ascii="Times New Roman" w:eastAsia="Times New Roman" w:hAnsi="Times New Roman" w:cs="Times New Roman"/>
          <w:sz w:val="26"/>
          <w:szCs w:val="26"/>
        </w:rPr>
        <w:t>P R I M A R                                                    Consilier resurse umane</w:t>
      </w:r>
    </w:p>
    <w:p w14:paraId="12F2B23B" w14:textId="3CAD00EE" w:rsidR="00D35B5E" w:rsidRPr="00D35B5E" w:rsidRDefault="00D35B5E" w:rsidP="00D35B5E">
      <w:pPr>
        <w:spacing w:after="0" w:line="276" w:lineRule="auto"/>
        <w:rPr>
          <w:rFonts w:ascii="Times New Roman" w:eastAsia="Times New Roman" w:hAnsi="Times New Roman" w:cs="Times New Roman"/>
          <w:sz w:val="26"/>
          <w:szCs w:val="26"/>
        </w:rPr>
      </w:pPr>
      <w:r w:rsidRPr="00D35B5E">
        <w:rPr>
          <w:rFonts w:ascii="Times New Roman" w:eastAsia="Times New Roman" w:hAnsi="Times New Roman" w:cs="Times New Roman"/>
          <w:sz w:val="26"/>
          <w:szCs w:val="26"/>
        </w:rPr>
        <w:t>Elena-Valerica LASCONI                                           Adrian-Ionuț ȚUȚEA</w:t>
      </w:r>
    </w:p>
    <w:p w14:paraId="26D752A8" w14:textId="03AC2ACC" w:rsidR="00D35B5E" w:rsidRPr="00D35B5E" w:rsidRDefault="00D35B5E" w:rsidP="00D35B5E">
      <w:pPr>
        <w:spacing w:after="0" w:line="276" w:lineRule="auto"/>
        <w:rPr>
          <w:rFonts w:ascii="Times New Roman" w:eastAsia="Times New Roman" w:hAnsi="Times New Roman" w:cs="Times New Roman"/>
          <w:sz w:val="26"/>
          <w:szCs w:val="26"/>
        </w:rPr>
      </w:pPr>
    </w:p>
    <w:p w14:paraId="2D8AC615" w14:textId="77777777" w:rsidR="00D35B5E" w:rsidRPr="00D35B5E" w:rsidRDefault="00D35B5E" w:rsidP="00D35B5E">
      <w:pPr>
        <w:spacing w:after="0" w:line="276" w:lineRule="auto"/>
        <w:ind w:firstLine="708"/>
        <w:jc w:val="both"/>
        <w:rPr>
          <w:rFonts w:ascii="Times New Roman" w:eastAsia="Times New Roman" w:hAnsi="Times New Roman" w:cs="Times New Roman"/>
          <w:sz w:val="26"/>
          <w:szCs w:val="26"/>
        </w:rPr>
      </w:pPr>
    </w:p>
    <w:p w14:paraId="3FDDDF4F" w14:textId="77777777" w:rsidR="00D35B5E" w:rsidRPr="00D35B5E" w:rsidRDefault="00D35B5E" w:rsidP="00D35B5E">
      <w:pPr>
        <w:spacing w:after="0" w:line="276" w:lineRule="auto"/>
        <w:rPr>
          <w:rFonts w:ascii="Times New Roman" w:eastAsia="Times New Roman" w:hAnsi="Times New Roman" w:cs="Times New Roman"/>
          <w:sz w:val="26"/>
          <w:szCs w:val="26"/>
        </w:rPr>
      </w:pPr>
    </w:p>
    <w:p w14:paraId="4659D743" w14:textId="77777777" w:rsidR="009D5827" w:rsidRPr="0039040E" w:rsidRDefault="009D5827"/>
    <w:sectPr w:rsidR="009D5827" w:rsidRPr="0039040E" w:rsidSect="00887528">
      <w:headerReference w:type="default" r:id="rId7"/>
      <w:pgSz w:w="12240" w:h="15840"/>
      <w:pgMar w:top="1440" w:right="1440" w:bottom="1440" w:left="1440" w:header="22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0A7F4" w14:textId="77777777" w:rsidR="00B14DD2" w:rsidRDefault="00B14DD2" w:rsidP="009D5827">
      <w:pPr>
        <w:spacing w:after="0" w:line="240" w:lineRule="auto"/>
      </w:pPr>
      <w:r>
        <w:separator/>
      </w:r>
    </w:p>
  </w:endnote>
  <w:endnote w:type="continuationSeparator" w:id="0">
    <w:p w14:paraId="0029A011" w14:textId="77777777" w:rsidR="00B14DD2" w:rsidRDefault="00B14DD2" w:rsidP="009D5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FE835" w14:textId="77777777" w:rsidR="00B14DD2" w:rsidRDefault="00B14DD2" w:rsidP="009D5827">
      <w:pPr>
        <w:spacing w:after="0" w:line="240" w:lineRule="auto"/>
      </w:pPr>
      <w:r>
        <w:separator/>
      </w:r>
    </w:p>
  </w:footnote>
  <w:footnote w:type="continuationSeparator" w:id="0">
    <w:p w14:paraId="520DDC32" w14:textId="77777777" w:rsidR="00B14DD2" w:rsidRDefault="00B14DD2" w:rsidP="009D5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DA4B1" w14:textId="1AB1E19D" w:rsidR="009D5827" w:rsidRDefault="009D5827">
    <w:pPr>
      <w:pStyle w:val="Header"/>
    </w:pPr>
    <w:r>
      <w:rPr>
        <w:noProof/>
      </w:rPr>
      <w:drawing>
        <wp:inline distT="0" distB="0" distL="0" distR="0" wp14:anchorId="3528FE41" wp14:editId="50C7D852">
          <wp:extent cx="5943600" cy="986155"/>
          <wp:effectExtent l="0" t="0" r="0" b="4445"/>
          <wp:docPr id="18751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136" name="Picture 1875136"/>
                  <pic:cNvPicPr/>
                </pic:nvPicPr>
                <pic:blipFill>
                  <a:blip r:embed="rId1">
                    <a:extLst>
                      <a:ext uri="{28A0092B-C50C-407E-A947-70E740481C1C}">
                        <a14:useLocalDpi xmlns:a14="http://schemas.microsoft.com/office/drawing/2010/main" val="0"/>
                      </a:ext>
                    </a:extLst>
                  </a:blip>
                  <a:stretch>
                    <a:fillRect/>
                  </a:stretch>
                </pic:blipFill>
                <pic:spPr>
                  <a:xfrm>
                    <a:off x="0" y="0"/>
                    <a:ext cx="5943600" cy="9861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668F"/>
    <w:multiLevelType w:val="hybridMultilevel"/>
    <w:tmpl w:val="75FCE7E4"/>
    <w:lvl w:ilvl="0" w:tplc="C9CAF876">
      <w:start w:val="1"/>
      <w:numFmt w:val="lowerLetter"/>
      <w:lvlText w:val="%1)"/>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FC239E">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E0C390">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846B4C">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62AAB8">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1ABC74">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42B944">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7C3404">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904B7C">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0A67F8A"/>
    <w:multiLevelType w:val="hybridMultilevel"/>
    <w:tmpl w:val="50D0B3D0"/>
    <w:lvl w:ilvl="0" w:tplc="E5523B74">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A8E0DE">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48AFAE">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EEE322">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606FA8">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144E96">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E2C5EC">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62488E">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BCFCFC">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055B57"/>
    <w:multiLevelType w:val="hybridMultilevel"/>
    <w:tmpl w:val="387C65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1D5651"/>
    <w:multiLevelType w:val="hybridMultilevel"/>
    <w:tmpl w:val="3774D8C8"/>
    <w:lvl w:ilvl="0" w:tplc="F078F12C">
      <w:start w:val="1"/>
      <w:numFmt w:val="bullet"/>
      <w:lvlText w:val="-"/>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A98E0AE">
      <w:start w:val="1"/>
      <w:numFmt w:val="bullet"/>
      <w:lvlText w:val="o"/>
      <w:lvlJc w:val="left"/>
      <w:pPr>
        <w:ind w:left="16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BA04DF0">
      <w:start w:val="1"/>
      <w:numFmt w:val="bullet"/>
      <w:lvlText w:val="▪"/>
      <w:lvlJc w:val="left"/>
      <w:pPr>
        <w:ind w:left="23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2AC8D68">
      <w:start w:val="1"/>
      <w:numFmt w:val="bullet"/>
      <w:lvlText w:val="•"/>
      <w:lvlJc w:val="left"/>
      <w:pPr>
        <w:ind w:left="30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F86E8CC">
      <w:start w:val="1"/>
      <w:numFmt w:val="bullet"/>
      <w:lvlText w:val="o"/>
      <w:lvlJc w:val="left"/>
      <w:pPr>
        <w:ind w:left="38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08A90A4">
      <w:start w:val="1"/>
      <w:numFmt w:val="bullet"/>
      <w:lvlText w:val="▪"/>
      <w:lvlJc w:val="left"/>
      <w:pPr>
        <w:ind w:left="45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374631A">
      <w:start w:val="1"/>
      <w:numFmt w:val="bullet"/>
      <w:lvlText w:val="•"/>
      <w:lvlJc w:val="left"/>
      <w:pPr>
        <w:ind w:left="52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1800E30">
      <w:start w:val="1"/>
      <w:numFmt w:val="bullet"/>
      <w:lvlText w:val="o"/>
      <w:lvlJc w:val="left"/>
      <w:pPr>
        <w:ind w:left="59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816DB90">
      <w:start w:val="1"/>
      <w:numFmt w:val="bullet"/>
      <w:lvlText w:val="▪"/>
      <w:lvlJc w:val="left"/>
      <w:pPr>
        <w:ind w:left="66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0D15B8E"/>
    <w:multiLevelType w:val="hybridMultilevel"/>
    <w:tmpl w:val="5EA0A2AE"/>
    <w:lvl w:ilvl="0" w:tplc="722A4B2A">
      <w:start w:val="1"/>
      <w:numFmt w:val="lowerLetter"/>
      <w:lvlText w:val="%1)"/>
      <w:lvlJc w:val="left"/>
      <w:pPr>
        <w:ind w:left="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4CDA20">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B626F2">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DC466E">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B2CCD2">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3011AA">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9AFA9C">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985484">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4C9DCA">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0E13D77"/>
    <w:multiLevelType w:val="hybridMultilevel"/>
    <w:tmpl w:val="9648E1CC"/>
    <w:lvl w:ilvl="0" w:tplc="DD00DD94">
      <w:start w:val="1"/>
      <w:numFmt w:val="bullet"/>
      <w:lvlText w:val="-"/>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7E6F61E">
      <w:start w:val="1"/>
      <w:numFmt w:val="bullet"/>
      <w:lvlText w:val="o"/>
      <w:lvlJc w:val="left"/>
      <w:pPr>
        <w:ind w:left="16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43C8E7A">
      <w:start w:val="1"/>
      <w:numFmt w:val="bullet"/>
      <w:lvlText w:val="▪"/>
      <w:lvlJc w:val="left"/>
      <w:pPr>
        <w:ind w:left="23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C58E1CE">
      <w:start w:val="1"/>
      <w:numFmt w:val="bullet"/>
      <w:lvlText w:val="•"/>
      <w:lvlJc w:val="left"/>
      <w:pPr>
        <w:ind w:left="30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14E27E6">
      <w:start w:val="1"/>
      <w:numFmt w:val="bullet"/>
      <w:lvlText w:val="o"/>
      <w:lvlJc w:val="left"/>
      <w:pPr>
        <w:ind w:left="38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3B81944">
      <w:start w:val="1"/>
      <w:numFmt w:val="bullet"/>
      <w:lvlText w:val="▪"/>
      <w:lvlJc w:val="left"/>
      <w:pPr>
        <w:ind w:left="45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FEA9C84">
      <w:start w:val="1"/>
      <w:numFmt w:val="bullet"/>
      <w:lvlText w:val="•"/>
      <w:lvlJc w:val="left"/>
      <w:pPr>
        <w:ind w:left="52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26EA5D8">
      <w:start w:val="1"/>
      <w:numFmt w:val="bullet"/>
      <w:lvlText w:val="o"/>
      <w:lvlJc w:val="left"/>
      <w:pPr>
        <w:ind w:left="59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09E1DB0">
      <w:start w:val="1"/>
      <w:numFmt w:val="bullet"/>
      <w:lvlText w:val="▪"/>
      <w:lvlJc w:val="left"/>
      <w:pPr>
        <w:ind w:left="66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2D947E8"/>
    <w:multiLevelType w:val="hybridMultilevel"/>
    <w:tmpl w:val="252A2800"/>
    <w:lvl w:ilvl="0" w:tplc="1098161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AE4206">
      <w:start w:val="1"/>
      <w:numFmt w:val="bullet"/>
      <w:lvlText w:val="o"/>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80324C">
      <w:start w:val="1"/>
      <w:numFmt w:val="bullet"/>
      <w:lvlText w:val="▪"/>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0A3BC4">
      <w:start w:val="1"/>
      <w:numFmt w:val="bullet"/>
      <w:lvlText w:val="•"/>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EADCFE">
      <w:start w:val="1"/>
      <w:numFmt w:val="bullet"/>
      <w:lvlText w:val="o"/>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FC4E04">
      <w:start w:val="1"/>
      <w:numFmt w:val="bullet"/>
      <w:lvlText w:val="▪"/>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969E64">
      <w:start w:val="1"/>
      <w:numFmt w:val="bullet"/>
      <w:lvlText w:val="•"/>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187B6A">
      <w:start w:val="1"/>
      <w:numFmt w:val="bullet"/>
      <w:lvlText w:val="o"/>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BE100A">
      <w:start w:val="1"/>
      <w:numFmt w:val="bullet"/>
      <w:lvlText w:val="▪"/>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7B41C82"/>
    <w:multiLevelType w:val="hybridMultilevel"/>
    <w:tmpl w:val="E19EFD6C"/>
    <w:lvl w:ilvl="0" w:tplc="C868CA78">
      <w:start w:val="1"/>
      <w:numFmt w:val="lowerLetter"/>
      <w:lvlText w:val="%1)"/>
      <w:lvlJc w:val="left"/>
      <w:pPr>
        <w:ind w:left="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10E348">
      <w:start w:val="1"/>
      <w:numFmt w:val="lowerLetter"/>
      <w:lvlText w:val="%2"/>
      <w:lvlJc w:val="left"/>
      <w:pPr>
        <w:ind w:left="2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6E1AD8">
      <w:start w:val="1"/>
      <w:numFmt w:val="lowerRoman"/>
      <w:lvlText w:val="%3"/>
      <w:lvlJc w:val="left"/>
      <w:pPr>
        <w:ind w:left="2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265012">
      <w:start w:val="1"/>
      <w:numFmt w:val="decimal"/>
      <w:lvlText w:val="%4"/>
      <w:lvlJc w:val="left"/>
      <w:pPr>
        <w:ind w:left="3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144566">
      <w:start w:val="1"/>
      <w:numFmt w:val="lowerLetter"/>
      <w:lvlText w:val="%5"/>
      <w:lvlJc w:val="left"/>
      <w:pPr>
        <w:ind w:left="4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5E1BA8">
      <w:start w:val="1"/>
      <w:numFmt w:val="lowerRoman"/>
      <w:lvlText w:val="%6"/>
      <w:lvlJc w:val="left"/>
      <w:pPr>
        <w:ind w:left="4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920E3A">
      <w:start w:val="1"/>
      <w:numFmt w:val="decimal"/>
      <w:lvlText w:val="%7"/>
      <w:lvlJc w:val="left"/>
      <w:pPr>
        <w:ind w:left="5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442A7A">
      <w:start w:val="1"/>
      <w:numFmt w:val="lowerLetter"/>
      <w:lvlText w:val="%8"/>
      <w:lvlJc w:val="left"/>
      <w:pPr>
        <w:ind w:left="6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B2E286">
      <w:start w:val="1"/>
      <w:numFmt w:val="lowerRoman"/>
      <w:lvlText w:val="%9"/>
      <w:lvlJc w:val="left"/>
      <w:pPr>
        <w:ind w:left="7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305226E"/>
    <w:multiLevelType w:val="hybridMultilevel"/>
    <w:tmpl w:val="0F966628"/>
    <w:lvl w:ilvl="0" w:tplc="A16E8EF8">
      <w:start w:val="1"/>
      <w:numFmt w:val="bullet"/>
      <w:lvlText w:val="-"/>
      <w:lvlJc w:val="left"/>
      <w:pPr>
        <w:ind w:left="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D4FB10">
      <w:start w:val="1"/>
      <w:numFmt w:val="bullet"/>
      <w:lvlText w:val="o"/>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5EC154">
      <w:start w:val="1"/>
      <w:numFmt w:val="bullet"/>
      <w:lvlText w:val="▪"/>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34E458">
      <w:start w:val="1"/>
      <w:numFmt w:val="bullet"/>
      <w:lvlText w:val="•"/>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7EF048">
      <w:start w:val="1"/>
      <w:numFmt w:val="bullet"/>
      <w:lvlText w:val="o"/>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B2A4FC">
      <w:start w:val="1"/>
      <w:numFmt w:val="bullet"/>
      <w:lvlText w:val="▪"/>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64D076">
      <w:start w:val="1"/>
      <w:numFmt w:val="bullet"/>
      <w:lvlText w:val="•"/>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CAF940">
      <w:start w:val="1"/>
      <w:numFmt w:val="bullet"/>
      <w:lvlText w:val="o"/>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F0DA4C">
      <w:start w:val="1"/>
      <w:numFmt w:val="bullet"/>
      <w:lvlText w:val="▪"/>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A037B8F"/>
    <w:multiLevelType w:val="hybridMultilevel"/>
    <w:tmpl w:val="F5567484"/>
    <w:lvl w:ilvl="0" w:tplc="53C29A50">
      <w:start w:val="1"/>
      <w:numFmt w:val="lowerLetter"/>
      <w:lvlText w:val="%1)"/>
      <w:lvlJc w:val="left"/>
      <w:pPr>
        <w:ind w:left="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DA75F8">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2CF7CE">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02FCE0">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2EF2A0">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28B86E">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585D38">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D4615C">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EC4D1E">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A7423BA"/>
    <w:multiLevelType w:val="hybridMultilevel"/>
    <w:tmpl w:val="996A00FC"/>
    <w:lvl w:ilvl="0" w:tplc="24AA0302">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F3031E4">
      <w:start w:val="1"/>
      <w:numFmt w:val="bullet"/>
      <w:lvlText w:val="o"/>
      <w:lvlJc w:val="left"/>
      <w:pPr>
        <w:ind w:left="169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252A594">
      <w:start w:val="1"/>
      <w:numFmt w:val="bullet"/>
      <w:lvlText w:val="▪"/>
      <w:lvlJc w:val="left"/>
      <w:pPr>
        <w:ind w:left="24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40E2B5A">
      <w:start w:val="1"/>
      <w:numFmt w:val="bullet"/>
      <w:lvlText w:val="•"/>
      <w:lvlJc w:val="left"/>
      <w:pPr>
        <w:ind w:left="31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8E211E2">
      <w:start w:val="1"/>
      <w:numFmt w:val="bullet"/>
      <w:lvlText w:val="o"/>
      <w:lvlJc w:val="left"/>
      <w:pPr>
        <w:ind w:left="38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1925232">
      <w:start w:val="1"/>
      <w:numFmt w:val="bullet"/>
      <w:lvlText w:val="▪"/>
      <w:lvlJc w:val="left"/>
      <w:pPr>
        <w:ind w:left="45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6467AC0">
      <w:start w:val="1"/>
      <w:numFmt w:val="bullet"/>
      <w:lvlText w:val="•"/>
      <w:lvlJc w:val="left"/>
      <w:pPr>
        <w:ind w:left="529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2A4F456">
      <w:start w:val="1"/>
      <w:numFmt w:val="bullet"/>
      <w:lvlText w:val="o"/>
      <w:lvlJc w:val="left"/>
      <w:pPr>
        <w:ind w:left="60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C2835E4">
      <w:start w:val="1"/>
      <w:numFmt w:val="bullet"/>
      <w:lvlText w:val="▪"/>
      <w:lvlJc w:val="left"/>
      <w:pPr>
        <w:ind w:left="67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21D6C5A"/>
    <w:multiLevelType w:val="hybridMultilevel"/>
    <w:tmpl w:val="1ECE4C7A"/>
    <w:lvl w:ilvl="0" w:tplc="5432664C">
      <w:start w:val="1"/>
      <w:numFmt w:val="bullet"/>
      <w:lvlText w:val="•"/>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1E21E3C">
      <w:start w:val="1"/>
      <w:numFmt w:val="bullet"/>
      <w:lvlText w:val="o"/>
      <w:lvlJc w:val="left"/>
      <w:pPr>
        <w:ind w:left="16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C6A9BC8">
      <w:start w:val="1"/>
      <w:numFmt w:val="bullet"/>
      <w:lvlText w:val="▪"/>
      <w:lvlJc w:val="left"/>
      <w:pPr>
        <w:ind w:left="23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49A4DB6">
      <w:start w:val="1"/>
      <w:numFmt w:val="bullet"/>
      <w:lvlText w:val="•"/>
      <w:lvlJc w:val="left"/>
      <w:pPr>
        <w:ind w:left="30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7F6E882">
      <w:start w:val="1"/>
      <w:numFmt w:val="bullet"/>
      <w:lvlText w:val="o"/>
      <w:lvlJc w:val="left"/>
      <w:pPr>
        <w:ind w:left="38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57232F4">
      <w:start w:val="1"/>
      <w:numFmt w:val="bullet"/>
      <w:lvlText w:val="▪"/>
      <w:lvlJc w:val="left"/>
      <w:pPr>
        <w:ind w:left="45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44EFA26">
      <w:start w:val="1"/>
      <w:numFmt w:val="bullet"/>
      <w:lvlText w:val="•"/>
      <w:lvlJc w:val="left"/>
      <w:pPr>
        <w:ind w:left="52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D70E324">
      <w:start w:val="1"/>
      <w:numFmt w:val="bullet"/>
      <w:lvlText w:val="o"/>
      <w:lvlJc w:val="left"/>
      <w:pPr>
        <w:ind w:left="59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8DA2418">
      <w:start w:val="1"/>
      <w:numFmt w:val="bullet"/>
      <w:lvlText w:val="▪"/>
      <w:lvlJc w:val="left"/>
      <w:pPr>
        <w:ind w:left="66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A177E25"/>
    <w:multiLevelType w:val="hybridMultilevel"/>
    <w:tmpl w:val="3FB67964"/>
    <w:lvl w:ilvl="0" w:tplc="63C632DE">
      <w:start w:val="1"/>
      <w:numFmt w:val="bullet"/>
      <w:lvlText w:val="-"/>
      <w:lvlJc w:val="left"/>
      <w:pPr>
        <w:ind w:left="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0234EC">
      <w:start w:val="1"/>
      <w:numFmt w:val="bullet"/>
      <w:lvlText w:val="o"/>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CEE48A">
      <w:start w:val="1"/>
      <w:numFmt w:val="bullet"/>
      <w:lvlText w:val="▪"/>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AA46FE">
      <w:start w:val="1"/>
      <w:numFmt w:val="bullet"/>
      <w:lvlText w:val="•"/>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ACC444">
      <w:start w:val="1"/>
      <w:numFmt w:val="bullet"/>
      <w:lvlText w:val="o"/>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0A67C6">
      <w:start w:val="1"/>
      <w:numFmt w:val="bullet"/>
      <w:lvlText w:val="▪"/>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16E850">
      <w:start w:val="1"/>
      <w:numFmt w:val="bullet"/>
      <w:lvlText w:val="•"/>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906EBE">
      <w:start w:val="1"/>
      <w:numFmt w:val="bullet"/>
      <w:lvlText w:val="o"/>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58617C">
      <w:start w:val="1"/>
      <w:numFmt w:val="bullet"/>
      <w:lvlText w:val="▪"/>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E5F3DEF"/>
    <w:multiLevelType w:val="hybridMultilevel"/>
    <w:tmpl w:val="5F407EF4"/>
    <w:lvl w:ilvl="0" w:tplc="D5826206">
      <w:start w:val="1"/>
      <w:numFmt w:val="lowerLetter"/>
      <w:lvlText w:val="%1)"/>
      <w:lvlJc w:val="left"/>
      <w:pPr>
        <w:ind w:left="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1E48D4">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88364C">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10F2FC">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0EC2BC">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84436E">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84F584">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22D470">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2CFE3E">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4EB59F2"/>
    <w:multiLevelType w:val="hybridMultilevel"/>
    <w:tmpl w:val="E18C60F0"/>
    <w:lvl w:ilvl="0" w:tplc="39F6E602">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09A3BF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4525C7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A220C3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D26122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DD4CDD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99E2EE2">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5FE4C20">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7F42574">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56F31C4"/>
    <w:multiLevelType w:val="hybridMultilevel"/>
    <w:tmpl w:val="C9D6D58A"/>
    <w:lvl w:ilvl="0" w:tplc="D19244A6">
      <w:start w:val="1"/>
      <w:numFmt w:val="lowerLetter"/>
      <w:lvlText w:val="%1)"/>
      <w:lvlJc w:val="left"/>
      <w:pPr>
        <w:ind w:left="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E054A6">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4480D2">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E0E16A">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48A8B4">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0E7832">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CAD87C">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ACDB32">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1E425E">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9C02CD3"/>
    <w:multiLevelType w:val="hybridMultilevel"/>
    <w:tmpl w:val="A22639D2"/>
    <w:lvl w:ilvl="0" w:tplc="A5D45AAC">
      <w:start w:val="1"/>
      <w:numFmt w:val="bullet"/>
      <w:lvlText w:val="-"/>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C30749A">
      <w:start w:val="1"/>
      <w:numFmt w:val="bullet"/>
      <w:lvlText w:val="o"/>
      <w:lvlJc w:val="left"/>
      <w:pPr>
        <w:ind w:left="16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2F01086">
      <w:start w:val="1"/>
      <w:numFmt w:val="bullet"/>
      <w:lvlText w:val="▪"/>
      <w:lvlJc w:val="left"/>
      <w:pPr>
        <w:ind w:left="23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1083E72">
      <w:start w:val="1"/>
      <w:numFmt w:val="bullet"/>
      <w:lvlText w:val="•"/>
      <w:lvlJc w:val="left"/>
      <w:pPr>
        <w:ind w:left="30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11844EE">
      <w:start w:val="1"/>
      <w:numFmt w:val="bullet"/>
      <w:lvlText w:val="o"/>
      <w:lvlJc w:val="left"/>
      <w:pPr>
        <w:ind w:left="38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36ABFE4">
      <w:start w:val="1"/>
      <w:numFmt w:val="bullet"/>
      <w:lvlText w:val="▪"/>
      <w:lvlJc w:val="left"/>
      <w:pPr>
        <w:ind w:left="45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1D66DF8">
      <w:start w:val="1"/>
      <w:numFmt w:val="bullet"/>
      <w:lvlText w:val="•"/>
      <w:lvlJc w:val="left"/>
      <w:pPr>
        <w:ind w:left="52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702D952">
      <w:start w:val="1"/>
      <w:numFmt w:val="bullet"/>
      <w:lvlText w:val="o"/>
      <w:lvlJc w:val="left"/>
      <w:pPr>
        <w:ind w:left="59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994A21A">
      <w:start w:val="1"/>
      <w:numFmt w:val="bullet"/>
      <w:lvlText w:val="▪"/>
      <w:lvlJc w:val="left"/>
      <w:pPr>
        <w:ind w:left="66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C792646"/>
    <w:multiLevelType w:val="hybridMultilevel"/>
    <w:tmpl w:val="09CAE9A0"/>
    <w:lvl w:ilvl="0" w:tplc="28AEE5F4">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31E7DB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7886A7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A2CD50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E3E9FC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33ECBB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AF24DD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D80071A">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ED0DFB6">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C120EF0"/>
    <w:multiLevelType w:val="hybridMultilevel"/>
    <w:tmpl w:val="9EF25752"/>
    <w:lvl w:ilvl="0" w:tplc="43B4DE58">
      <w:start w:val="1"/>
      <w:numFmt w:val="decimal"/>
      <w:lvlText w:val="%1."/>
      <w:lvlJc w:val="left"/>
      <w:pPr>
        <w:ind w:left="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CE2D6A">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FAAA32">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DC4DD8">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804BCC">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1657AC">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DE9F46">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D08224">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CE6B6C">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696933685">
    <w:abstractNumId w:val="6"/>
  </w:num>
  <w:num w:numId="2" w16cid:durableId="298876439">
    <w:abstractNumId w:val="11"/>
  </w:num>
  <w:num w:numId="3" w16cid:durableId="2057509801">
    <w:abstractNumId w:val="14"/>
  </w:num>
  <w:num w:numId="4" w16cid:durableId="338314118">
    <w:abstractNumId w:val="10"/>
  </w:num>
  <w:num w:numId="5" w16cid:durableId="1001548455">
    <w:abstractNumId w:val="17"/>
  </w:num>
  <w:num w:numId="6" w16cid:durableId="1918510184">
    <w:abstractNumId w:val="5"/>
  </w:num>
  <w:num w:numId="7" w16cid:durableId="643854707">
    <w:abstractNumId w:val="16"/>
  </w:num>
  <w:num w:numId="8" w16cid:durableId="2017535764">
    <w:abstractNumId w:val="3"/>
  </w:num>
  <w:num w:numId="9" w16cid:durableId="686710457">
    <w:abstractNumId w:val="8"/>
  </w:num>
  <w:num w:numId="10" w16cid:durableId="85662800">
    <w:abstractNumId w:val="12"/>
  </w:num>
  <w:num w:numId="11" w16cid:durableId="1951039069">
    <w:abstractNumId w:val="13"/>
  </w:num>
  <w:num w:numId="12" w16cid:durableId="1795522423">
    <w:abstractNumId w:val="4"/>
  </w:num>
  <w:num w:numId="13" w16cid:durableId="1073744865">
    <w:abstractNumId w:val="0"/>
  </w:num>
  <w:num w:numId="14" w16cid:durableId="2066566840">
    <w:abstractNumId w:val="18"/>
  </w:num>
  <w:num w:numId="15" w16cid:durableId="1290474015">
    <w:abstractNumId w:val="7"/>
  </w:num>
  <w:num w:numId="16" w16cid:durableId="63113935">
    <w:abstractNumId w:val="1"/>
  </w:num>
  <w:num w:numId="17" w16cid:durableId="1357539016">
    <w:abstractNumId w:val="15"/>
  </w:num>
  <w:num w:numId="18" w16cid:durableId="269432200">
    <w:abstractNumId w:val="9"/>
  </w:num>
  <w:num w:numId="19" w16cid:durableId="19359001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827"/>
    <w:rsid w:val="000505EE"/>
    <w:rsid w:val="00053017"/>
    <w:rsid w:val="00072CDE"/>
    <w:rsid w:val="0017082C"/>
    <w:rsid w:val="002F0557"/>
    <w:rsid w:val="0039040E"/>
    <w:rsid w:val="008475E1"/>
    <w:rsid w:val="00887528"/>
    <w:rsid w:val="009D5827"/>
    <w:rsid w:val="00A518E7"/>
    <w:rsid w:val="00B14DD2"/>
    <w:rsid w:val="00B66E34"/>
    <w:rsid w:val="00BB468F"/>
    <w:rsid w:val="00C74E76"/>
    <w:rsid w:val="00D35B5E"/>
    <w:rsid w:val="00EF1D7A"/>
    <w:rsid w:val="00FE10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CCE70"/>
  <w15:chartTrackingRefBased/>
  <w15:docId w15:val="{AE07AD00-C62C-412B-934E-47ADDEADF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8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5827"/>
  </w:style>
  <w:style w:type="paragraph" w:styleId="Footer">
    <w:name w:val="footer"/>
    <w:basedOn w:val="Normal"/>
    <w:link w:val="FooterChar"/>
    <w:uiPriority w:val="99"/>
    <w:unhideWhenUsed/>
    <w:rsid w:val="009D58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5827"/>
  </w:style>
  <w:style w:type="table" w:customStyle="1" w:styleId="TableGrid">
    <w:name w:val="TableGrid"/>
    <w:rsid w:val="0039040E"/>
    <w:pPr>
      <w:spacing w:after="0" w:line="240" w:lineRule="auto"/>
    </w:pPr>
    <w:rPr>
      <w:rFonts w:eastAsia="Times New Roman"/>
      <w:kern w:val="2"/>
      <w:sz w:val="24"/>
      <w:szCs w:val="24"/>
      <w:lang w:eastAsia="ro-R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8613</Words>
  <Characters>49956</Characters>
  <Application>Microsoft Office Word</Application>
  <DocSecurity>0</DocSecurity>
  <Lines>416</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Radu Gabriel</dc:creator>
  <cp:keywords/>
  <dc:description/>
  <cp:lastModifiedBy>Radu Gabriel</cp:lastModifiedBy>
  <cp:revision>2</cp:revision>
  <dcterms:created xsi:type="dcterms:W3CDTF">2026-03-25T16:45:00Z</dcterms:created>
  <dcterms:modified xsi:type="dcterms:W3CDTF">2026-03-25T16:45:00Z</dcterms:modified>
</cp:coreProperties>
</file>