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tabs>
          <w:tab w:val="left" w:pos="7548"/>
        </w:tabs>
        <w:jc w:val="right"/>
        <w:rPr>
          <w:rFonts w:ascii="Arial" w:hAnsi="Arial" w:cs="Arial"/>
          <w:b/>
          <w:sz w:val="24"/>
          <w:szCs w:val="24"/>
          <w:lang w:val="es-ES"/>
        </w:rPr>
      </w:pPr>
      <w:bookmarkStart w:id="0" w:name="_GoBack"/>
      <w:bookmarkEnd w:id="0"/>
      <w:r>
        <w:rPr>
          <w:rFonts w:ascii="Arial" w:hAnsi="Arial" w:cs="Arial"/>
          <w:b/>
          <w:sz w:val="24"/>
          <w:szCs w:val="24"/>
          <w:lang w:val="es-ES"/>
        </w:rPr>
        <w:t>ANEXA nr. 4</w:t>
      </w:r>
    </w:p>
    <w:p>
      <w:pPr>
        <w:tabs>
          <w:tab w:val="left" w:pos="7548"/>
        </w:tabs>
        <w:rPr>
          <w:b/>
          <w:color w:val="FF0000"/>
          <w:sz w:val="24"/>
          <w:szCs w:val="24"/>
          <w:lang w:val="es-ES"/>
        </w:rPr>
      </w:pPr>
      <w:r>
        <w:rPr>
          <w:b/>
          <w:sz w:val="24"/>
          <w:szCs w:val="24"/>
          <w:lang w:val="es-ES"/>
        </w:rPr>
        <w:t xml:space="preserve"> </w:t>
      </w:r>
    </w:p>
    <w:p>
      <w:pPr>
        <w:rPr>
          <w:b/>
          <w:sz w:val="24"/>
          <w:szCs w:val="24"/>
          <w:lang w:val="es-ES"/>
        </w:rPr>
      </w:pPr>
    </w:p>
    <w:p>
      <w:pPr>
        <w:rPr>
          <w:b/>
          <w:sz w:val="24"/>
          <w:szCs w:val="24"/>
          <w:lang w:val="es-ES"/>
        </w:rPr>
      </w:pPr>
    </w:p>
    <w:p>
      <w:pPr>
        <w:spacing w:line="360" w:lineRule="auto"/>
        <w:jc w:val="center"/>
        <w:rPr>
          <w:b/>
          <w:sz w:val="24"/>
          <w:szCs w:val="24"/>
          <w:u w:val="single"/>
          <w:lang w:val="pt-BR"/>
        </w:rPr>
      </w:pPr>
      <w:r>
        <w:rPr>
          <w:b/>
          <w:sz w:val="24"/>
          <w:szCs w:val="24"/>
          <w:u w:val="single"/>
          <w:lang w:val="pt-BR"/>
        </w:rPr>
        <w:t xml:space="preserve">STRATEGIE DE CONTRACTARE </w:t>
      </w:r>
    </w:p>
    <w:p>
      <w:pPr>
        <w:spacing w:line="360" w:lineRule="auto"/>
        <w:jc w:val="center"/>
        <w:rPr>
          <w:b/>
          <w:sz w:val="24"/>
          <w:szCs w:val="24"/>
          <w:u w:val="single"/>
          <w:lang w:val="ro-RO"/>
        </w:rPr>
      </w:pPr>
      <w:r>
        <w:rPr>
          <w:b/>
          <w:sz w:val="24"/>
          <w:szCs w:val="24"/>
          <w:u w:val="single"/>
          <w:lang w:val="pt-BR"/>
        </w:rPr>
        <w:t xml:space="preserve">PRIVIND ACHIZIŢIA PUBLICĂ </w:t>
      </w:r>
      <w:r>
        <w:rPr>
          <w:b/>
          <w:sz w:val="24"/>
          <w:szCs w:val="24"/>
          <w:u w:val="single"/>
          <w:lang w:val="ro-RO"/>
        </w:rPr>
        <w:t xml:space="preserve">A CONTRACTULUI </w:t>
      </w:r>
    </w:p>
    <w:p>
      <w:pPr>
        <w:spacing w:line="360" w:lineRule="auto"/>
        <w:jc w:val="center"/>
        <w:rPr>
          <w:b/>
          <w:sz w:val="24"/>
          <w:szCs w:val="24"/>
          <w:u w:val="single"/>
          <w:lang w:val="ro-RO"/>
        </w:rPr>
      </w:pPr>
      <w:r>
        <w:rPr>
          <w:b/>
          <w:sz w:val="24"/>
          <w:szCs w:val="24"/>
          <w:u w:val="single"/>
          <w:lang w:val="ro-RO"/>
        </w:rPr>
        <w:t>„PROIECTARE-EXECUŢIE-OPERARE STAŢIE DE TRATARE MECANO-BIOLOGICĂ CU DIGESTIE ANAEROBĂ ȘI RECUPERARE DE ENERGIE ȘI STAȚIE DE TRANSFER GALAŢI”</w:t>
      </w:r>
    </w:p>
    <w:p>
      <w:pPr>
        <w:spacing w:line="360" w:lineRule="auto"/>
        <w:jc w:val="center"/>
        <w:rPr>
          <w:b/>
          <w:sz w:val="24"/>
          <w:szCs w:val="24"/>
          <w:u w:val="single"/>
          <w:lang w:val="pt-BR"/>
        </w:rPr>
      </w:pPr>
    </w:p>
    <w:p>
      <w:pPr>
        <w:spacing w:line="360" w:lineRule="auto"/>
        <w:jc w:val="center"/>
        <w:rPr>
          <w:b/>
          <w:sz w:val="24"/>
          <w:szCs w:val="24"/>
          <w:lang w:val="pt-BR"/>
        </w:rPr>
      </w:pPr>
    </w:p>
    <w:p>
      <w:pPr>
        <w:spacing w:line="276" w:lineRule="auto"/>
        <w:jc w:val="both"/>
        <w:rPr>
          <w:b/>
          <w:sz w:val="24"/>
          <w:szCs w:val="24"/>
        </w:rPr>
      </w:pPr>
      <w:r>
        <w:rPr>
          <w:b/>
          <w:sz w:val="24"/>
          <w:szCs w:val="24"/>
        </w:rPr>
        <w:t>Strategia de contractare întocmită în  conformitate cu art. 9 alin (2) din HG 395/2016:</w:t>
      </w:r>
    </w:p>
    <w:p>
      <w:pPr>
        <w:numPr>
          <w:ilvl w:val="0"/>
          <w:numId w:val="1"/>
        </w:numPr>
        <w:ind w:left="720"/>
        <w:jc w:val="both"/>
        <w:rPr>
          <w:sz w:val="24"/>
          <w:szCs w:val="24"/>
        </w:rPr>
      </w:pPr>
      <w:r>
        <w:rPr>
          <w:b/>
          <w:sz w:val="24"/>
          <w:szCs w:val="24"/>
          <w:lang w:val="ro-RO"/>
        </w:rPr>
        <w:t>U.A.T. JUDEŢUL GALAŢI CONSILIUL JUDEŢEAN GALAŢI</w:t>
      </w:r>
      <w:r>
        <w:rPr>
          <w:sz w:val="24"/>
          <w:szCs w:val="24"/>
          <w:lang w:val="ro-RO"/>
        </w:rPr>
        <w:t>, cu sediul în localitatea Galaţi, str. Eroilor nr.7, judeţul Galaţi, telefon: 0236/302506, fax: 0236/468060, cod fiscal 3127476;</w:t>
      </w:r>
    </w:p>
    <w:p>
      <w:pPr>
        <w:pStyle w:val="ListParagraph"/>
        <w:spacing w:line="276" w:lineRule="auto"/>
        <w:ind w:left="786"/>
        <w:jc w:val="both"/>
        <w:rPr>
          <w:sz w:val="24"/>
          <w:szCs w:val="24"/>
        </w:rPr>
      </w:pPr>
      <w:r>
        <w:rPr>
          <w:sz w:val="24"/>
          <w:szCs w:val="24"/>
        </w:rPr>
        <w:t>Consiliul Judeţean Galaţi dispune de personal propriu pentru derularea procedurii de achiziţie publică, prin Serviciul Licitaţii, Monitorizare Servicii de Utilitate Publică și UIP. Serviciul este compus din 11 persoane, dintre care 4 au calitatea de Experți în achiziții publice.</w:t>
      </w:r>
    </w:p>
    <w:p>
      <w:pPr>
        <w:pStyle w:val="ListParagraph"/>
        <w:numPr>
          <w:ilvl w:val="0"/>
          <w:numId w:val="1"/>
        </w:numPr>
        <w:spacing w:line="276" w:lineRule="auto"/>
        <w:ind w:left="709" w:hanging="283"/>
        <w:jc w:val="both"/>
        <w:rPr>
          <w:sz w:val="24"/>
          <w:szCs w:val="24"/>
          <w:lang w:val="it-IT"/>
        </w:rPr>
      </w:pPr>
      <w:r>
        <w:rPr>
          <w:sz w:val="24"/>
          <w:szCs w:val="24"/>
          <w:lang w:val="it-IT"/>
        </w:rPr>
        <w:t>Procedura de atribuire aleasă:</w:t>
      </w:r>
    </w:p>
    <w:p>
      <w:pPr>
        <w:spacing w:line="276" w:lineRule="auto"/>
        <w:ind w:left="360"/>
        <w:jc w:val="both"/>
        <w:rPr>
          <w:sz w:val="24"/>
          <w:szCs w:val="24"/>
          <w:u w:val="single"/>
          <w:lang w:val="ro-RO"/>
        </w:rPr>
      </w:pPr>
      <w:r>
        <w:rPr>
          <w:sz w:val="24"/>
          <w:szCs w:val="24"/>
          <w:lang w:val="it-IT"/>
        </w:rPr>
        <w:t xml:space="preserve">      Categoria de produse/servicii/lucrări: </w:t>
      </w:r>
      <w:r>
        <w:rPr>
          <w:b/>
          <w:sz w:val="24"/>
          <w:szCs w:val="24"/>
          <w:lang w:val="it-IT"/>
        </w:rPr>
        <w:t>servicii</w:t>
      </w:r>
    </w:p>
    <w:p>
      <w:pPr>
        <w:tabs>
          <w:tab w:val="left" w:pos="9639"/>
        </w:tabs>
        <w:spacing w:line="276" w:lineRule="auto"/>
        <w:ind w:left="720"/>
        <w:jc w:val="both"/>
        <w:rPr>
          <w:sz w:val="24"/>
          <w:szCs w:val="24"/>
          <w:lang w:val="ro-RO"/>
        </w:rPr>
      </w:pPr>
      <w:r>
        <w:rPr>
          <w:sz w:val="24"/>
          <w:szCs w:val="24"/>
          <w:lang w:val="ro-RO"/>
        </w:rPr>
        <w:t>Codul de clasificare CPV</w:t>
      </w:r>
      <w:r>
        <w:rPr>
          <w:sz w:val="24"/>
          <w:szCs w:val="24"/>
          <w:lang w:val="it-IT"/>
        </w:rPr>
        <w:t xml:space="preserve">: </w:t>
      </w:r>
      <w:r>
        <w:rPr>
          <w:sz w:val="24"/>
          <w:szCs w:val="24"/>
          <w:lang w:val="ro-RO"/>
        </w:rPr>
        <w:t>90513000-6 Servicii de tratare și eliminare de deşeuri menajere şi deşeuri nepericuloase, 71322000-1 Servicii de proiectare tehnică pentru construcţia de lucrări publice, 45222100-0 Lucrări de construcţii de uzine de tratare a deşeurilor, 45232470-7 Staţie de transfer de deşeuri</w:t>
      </w:r>
    </w:p>
    <w:p>
      <w:pPr>
        <w:tabs>
          <w:tab w:val="left" w:pos="9639"/>
        </w:tabs>
        <w:spacing w:line="276" w:lineRule="auto"/>
        <w:ind w:left="720"/>
        <w:jc w:val="both"/>
        <w:rPr>
          <w:color w:val="FF0000"/>
          <w:sz w:val="24"/>
          <w:szCs w:val="24"/>
          <w:lang w:val="it-IT"/>
        </w:rPr>
      </w:pPr>
      <w:r>
        <w:rPr>
          <w:sz w:val="24"/>
          <w:szCs w:val="24"/>
          <w:lang w:val="ro-RO"/>
        </w:rPr>
        <w:t>Procedura de achiziţie conform legii :</w:t>
      </w:r>
      <w:r>
        <w:rPr>
          <w:b/>
          <w:sz w:val="24"/>
          <w:szCs w:val="24"/>
          <w:lang w:val="ro-RO"/>
        </w:rPr>
        <w:t>“licitaţie deschisă”</w:t>
      </w:r>
    </w:p>
    <w:p>
      <w:pPr>
        <w:tabs>
          <w:tab w:val="left" w:pos="9497"/>
          <w:tab w:val="left" w:pos="10065"/>
        </w:tabs>
        <w:spacing w:line="276" w:lineRule="auto"/>
        <w:ind w:left="720" w:right="-1"/>
        <w:jc w:val="both"/>
        <w:rPr>
          <w:sz w:val="24"/>
          <w:szCs w:val="24"/>
          <w:lang w:val="ro-RO"/>
        </w:rPr>
      </w:pPr>
      <w:r>
        <w:rPr>
          <w:sz w:val="24"/>
          <w:szCs w:val="24"/>
          <w:lang w:val="ro-RO"/>
        </w:rPr>
        <w:t>Justificarea achiziţiei: în conformitate cu Memoriul de necesitate şi oportunitate nr.  6250/ 12.05.2025 întocmit de Direcţia Programe</w:t>
      </w:r>
    </w:p>
    <w:p>
      <w:pPr>
        <w:tabs>
          <w:tab w:val="left" w:pos="9497"/>
          <w:tab w:val="left" w:pos="10065"/>
        </w:tabs>
        <w:spacing w:line="276" w:lineRule="auto"/>
        <w:ind w:left="720" w:right="-1"/>
        <w:jc w:val="both"/>
        <w:rPr>
          <w:b/>
          <w:sz w:val="24"/>
          <w:szCs w:val="24"/>
          <w:lang w:val="ro-RO"/>
        </w:rPr>
      </w:pPr>
      <w:r>
        <w:rPr>
          <w:b/>
          <w:sz w:val="24"/>
          <w:szCs w:val="24"/>
          <w:lang w:val="ro-RO"/>
        </w:rPr>
        <w:t>Determinarea şi justificarea valorii estimate</w:t>
      </w:r>
    </w:p>
    <w:p>
      <w:pPr>
        <w:tabs>
          <w:tab w:val="left" w:pos="9497"/>
          <w:tab w:val="left" w:pos="10065"/>
        </w:tabs>
        <w:spacing w:line="276" w:lineRule="auto"/>
        <w:ind w:right="-1"/>
        <w:jc w:val="both"/>
        <w:rPr>
          <w:sz w:val="24"/>
          <w:szCs w:val="24"/>
          <w:lang w:val="ro-RO"/>
        </w:rPr>
      </w:pPr>
    </w:p>
    <w:p>
      <w:pPr>
        <w:tabs>
          <w:tab w:val="left" w:pos="9497"/>
          <w:tab w:val="left" w:pos="10065"/>
        </w:tabs>
        <w:spacing w:line="276" w:lineRule="auto"/>
        <w:ind w:right="-1"/>
        <w:jc w:val="both"/>
        <w:rPr>
          <w:sz w:val="24"/>
          <w:szCs w:val="24"/>
          <w:lang w:val="ro-RO"/>
        </w:rPr>
      </w:pPr>
      <w:r>
        <w:rPr>
          <w:sz w:val="24"/>
          <w:szCs w:val="24"/>
          <w:lang w:val="ro-RO"/>
        </w:rPr>
        <w:t>În cadrul valorii estimate a achiziției nu sunt prevăzute sume provizionate / rezerve de implementare, în sensul clauzei 49 din HG nr. 1/2018.</w:t>
      </w:r>
    </w:p>
    <w:p>
      <w:pPr>
        <w:tabs>
          <w:tab w:val="left" w:pos="9497"/>
          <w:tab w:val="left" w:pos="10065"/>
        </w:tabs>
        <w:spacing w:line="276" w:lineRule="auto"/>
        <w:ind w:right="-1"/>
        <w:jc w:val="both"/>
        <w:rPr>
          <w:sz w:val="24"/>
          <w:szCs w:val="24"/>
          <w:lang w:val="ro-RO"/>
        </w:rPr>
        <w:sectPr>
          <w:headerReference w:type="default" r:id="rId8"/>
          <w:type w:val="continuous"/>
          <w:pgSz w:w="11900" w:h="16840"/>
          <w:pgMar w:top="709" w:right="700" w:bottom="851" w:left="1280" w:header="340" w:footer="818" w:gutter="0"/>
          <w:pgNumType w:start="399"/>
          <w:cols w:space="720"/>
          <w:docGrid w:linePitch="272"/>
        </w:sectPr>
      </w:pPr>
    </w:p>
    <w:p>
      <w:pPr>
        <w:tabs>
          <w:tab w:val="left" w:pos="9497"/>
          <w:tab w:val="left" w:pos="10065"/>
        </w:tabs>
        <w:spacing w:before="120" w:after="120" w:line="300" w:lineRule="auto"/>
        <w:ind w:right="-1"/>
        <w:jc w:val="both"/>
        <w:rPr>
          <w:sz w:val="24"/>
          <w:szCs w:val="24"/>
          <w:lang w:val="ro-RO"/>
        </w:rPr>
      </w:pPr>
      <w:r>
        <w:rPr>
          <w:sz w:val="24"/>
          <w:szCs w:val="24"/>
          <w:lang w:val="ro-RO"/>
        </w:rPr>
        <w:lastRenderedPageBreak/>
        <w:t xml:space="preserve">Astfel, </w:t>
      </w:r>
      <w:r>
        <w:rPr>
          <w:b/>
          <w:bCs/>
          <w:sz w:val="24"/>
          <w:szCs w:val="24"/>
          <w:lang w:val="ro-RO"/>
        </w:rPr>
        <w:t>valoarea totală pentru proiectare și execuție</w:t>
      </w:r>
      <w:r>
        <w:rPr>
          <w:sz w:val="24"/>
          <w:szCs w:val="24"/>
          <w:lang w:val="ro-RO"/>
        </w:rPr>
        <w:t xml:space="preserve">, fără TVA, în prețuri anul 2025 este de </w:t>
      </w:r>
      <w:r>
        <w:rPr>
          <w:b/>
          <w:bCs/>
          <w:sz w:val="24"/>
          <w:szCs w:val="24"/>
          <w:lang w:val="ro-RO"/>
        </w:rPr>
        <w:t xml:space="preserve">305.438.804,82 </w:t>
      </w:r>
      <w:r>
        <w:rPr>
          <w:sz w:val="24"/>
          <w:szCs w:val="24"/>
          <w:lang w:val="ro-RO"/>
        </w:rPr>
        <w:t xml:space="preserve">lei, din care </w:t>
      </w:r>
      <w:r>
        <w:rPr>
          <w:b/>
          <w:sz w:val="24"/>
          <w:szCs w:val="24"/>
          <w:lang w:val="ro-RO"/>
        </w:rPr>
        <w:t>12.860.634,51</w:t>
      </w:r>
      <w:r>
        <w:rPr>
          <w:sz w:val="24"/>
          <w:szCs w:val="24"/>
          <w:lang w:val="ro-RO"/>
        </w:rPr>
        <w:t xml:space="preserve"> lei pentru proiectare și </w:t>
      </w:r>
      <w:r>
        <w:rPr>
          <w:b/>
          <w:bCs/>
          <w:sz w:val="24"/>
          <w:szCs w:val="24"/>
          <w:lang w:val="ro-RO"/>
        </w:rPr>
        <w:t>292.578.170,31</w:t>
      </w:r>
      <w:r>
        <w:rPr>
          <w:sz w:val="24"/>
          <w:szCs w:val="24"/>
          <w:lang w:val="ro-RO"/>
        </w:rPr>
        <w:t xml:space="preserve"> lei pentru execuție, după cum este detaliat în continuare:</w:t>
      </w:r>
    </w:p>
    <w:p>
      <w:pPr>
        <w:pStyle w:val="Caption"/>
        <w:spacing w:before="120" w:after="120" w:line="300" w:lineRule="auto"/>
        <w:rPr>
          <w:sz w:val="24"/>
          <w:szCs w:val="24"/>
        </w:rPr>
      </w:pPr>
      <w:r>
        <w:rPr>
          <w:rFonts w:ascii="Times New Roman" w:hAnsi="Times New Roman" w:cs="Times New Roman"/>
          <w:color w:val="auto"/>
          <w:sz w:val="22"/>
          <w:szCs w:val="22"/>
        </w:rPr>
        <w:t>Tabel</w:t>
      </w:r>
      <w:r>
        <w:rPr>
          <w:rFonts w:ascii="Times New Roman" w:hAnsi="Times New Roman" w:cs="Times New Roman"/>
          <w:color w:val="auto"/>
          <w:sz w:val="24"/>
          <w:szCs w:val="24"/>
        </w:rPr>
        <w:t xml:space="preserve">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Costurile de investiție pentru obiectele de investiție ”Staţie de tratare mecano-biologică cu digestie anaerobă și recuperare de energie și Stație de transfer Galaţi”(anii 2025 și 2029)</w:t>
      </w:r>
    </w:p>
    <w:tbl>
      <w:tblPr>
        <w:tblStyle w:val="ListTable3"/>
        <w:tblW w:w="0" w:type="auto"/>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ook w:val="04A0" w:firstRow="1" w:lastRow="0" w:firstColumn="1" w:lastColumn="0" w:noHBand="0" w:noVBand="1"/>
      </w:tblPr>
      <w:tblGrid>
        <w:gridCol w:w="623"/>
        <w:gridCol w:w="6276"/>
        <w:gridCol w:w="1490"/>
        <w:gridCol w:w="1521"/>
      </w:tblGrid>
      <w:tr>
        <w:trPr>
          <w:cnfStyle w:val="100000000000" w:firstRow="1" w:lastRow="0" w:firstColumn="0" w:lastColumn="0" w:oddVBand="0" w:evenVBand="0" w:oddHBand="0" w:evenHBand="0" w:firstRowFirstColumn="0" w:firstRowLastColumn="0" w:lastRowFirstColumn="0" w:lastRowLastColumn="0"/>
          <w:trHeight w:val="735"/>
          <w:tblHeader/>
        </w:trPr>
        <w:tc>
          <w:tcPr>
            <w:cnfStyle w:val="001000000100" w:firstRow="0" w:lastRow="0" w:firstColumn="1" w:lastColumn="0" w:oddVBand="0" w:evenVBand="0" w:oddHBand="0" w:evenHBand="0" w:firstRowFirstColumn="1" w:firstRowLastColumn="0" w:lastRowFirstColumn="0" w:lastRowLastColumn="0"/>
            <w:tcW w:w="0" w:type="auto"/>
            <w:vMerge w:val="restart"/>
            <w:shd w:val="clear" w:color="auto" w:fill="984806" w:themeFill="accent6" w:themeFillShade="80"/>
            <w:vAlign w:val="center"/>
            <w:hideMark/>
          </w:tcPr>
          <w:p>
            <w:pPr>
              <w:jc w:val="center"/>
            </w:pPr>
            <w:r>
              <w:t>Nr. Crt.</w:t>
            </w:r>
          </w:p>
        </w:tc>
        <w:tc>
          <w:tcPr>
            <w:tcW w:w="0" w:type="auto"/>
            <w:vMerge w:val="restart"/>
            <w:shd w:val="clear" w:color="auto" w:fill="984806" w:themeFill="accent6" w:themeFillShade="80"/>
            <w:vAlign w:val="center"/>
            <w:hideMark/>
          </w:tcPr>
          <w:p>
            <w:pPr>
              <w:jc w:val="center"/>
              <w:cnfStyle w:val="100000000000" w:firstRow="1" w:lastRow="0" w:firstColumn="0" w:lastColumn="0" w:oddVBand="0" w:evenVBand="0" w:oddHBand="0" w:evenHBand="0" w:firstRowFirstColumn="0" w:firstRowLastColumn="0" w:lastRowFirstColumn="0" w:lastRowLastColumn="0"/>
              <w:rPr>
                <w:lang w:val="pt-BR"/>
              </w:rPr>
            </w:pPr>
            <w:r>
              <w:rPr>
                <w:lang w:val="pt-BR"/>
              </w:rPr>
              <w:t>Denumirea capitolelor și subcapitolelor de cheltuieli</w:t>
            </w:r>
          </w:p>
        </w:tc>
        <w:tc>
          <w:tcPr>
            <w:tcW w:w="0" w:type="auto"/>
            <w:shd w:val="clear" w:color="auto" w:fill="984806" w:themeFill="accent6" w:themeFillShade="80"/>
            <w:vAlign w:val="center"/>
            <w:hideMark/>
          </w:tcPr>
          <w:p>
            <w:pPr>
              <w:jc w:val="center"/>
              <w:cnfStyle w:val="100000000000" w:firstRow="1" w:lastRow="0" w:firstColumn="0" w:lastColumn="0" w:oddVBand="0" w:evenVBand="0" w:oddHBand="0" w:evenHBand="0" w:firstRowFirstColumn="0" w:firstRowLastColumn="0" w:lastRowFirstColumn="0" w:lastRowLastColumn="0"/>
              <w:rPr>
                <w:b w:val="0"/>
                <w:bCs w:val="0"/>
                <w:lang w:val="pt-BR"/>
              </w:rPr>
            </w:pPr>
            <w:r>
              <w:rPr>
                <w:lang w:val="pt-BR"/>
              </w:rPr>
              <w:t xml:space="preserve">Valoare ajustată fara TVA </w:t>
            </w:r>
          </w:p>
          <w:p>
            <w:pPr>
              <w:jc w:val="center"/>
              <w:cnfStyle w:val="100000000000" w:firstRow="1" w:lastRow="0" w:firstColumn="0" w:lastColumn="0" w:oddVBand="0" w:evenVBand="0" w:oddHBand="0" w:evenHBand="0" w:firstRowFirstColumn="0" w:firstRowLastColumn="0" w:lastRowFirstColumn="0" w:lastRowLastColumn="0"/>
              <w:rPr>
                <w:lang w:val="pt-BR"/>
              </w:rPr>
            </w:pPr>
            <w:r>
              <w:rPr>
                <w:lang w:val="pt-BR"/>
              </w:rPr>
              <w:t>ANUL 2025</w:t>
            </w:r>
          </w:p>
        </w:tc>
        <w:tc>
          <w:tcPr>
            <w:tcW w:w="0" w:type="auto"/>
            <w:shd w:val="clear" w:color="auto" w:fill="984806" w:themeFill="accent6" w:themeFillShade="80"/>
            <w:vAlign w:val="center"/>
            <w:hideMark/>
          </w:tcPr>
          <w:p>
            <w:pPr>
              <w:jc w:val="center"/>
              <w:cnfStyle w:val="100000000000" w:firstRow="1" w:lastRow="0" w:firstColumn="0" w:lastColumn="0" w:oddVBand="0" w:evenVBand="0" w:oddHBand="0" w:evenHBand="0" w:firstRowFirstColumn="0" w:firstRowLastColumn="0" w:lastRowFirstColumn="0" w:lastRowLastColumn="0"/>
              <w:rPr>
                <w:lang w:val="pt-BR"/>
              </w:rPr>
            </w:pPr>
            <w:r>
              <w:rPr>
                <w:lang w:val="pt-BR"/>
              </w:rPr>
              <w:t>Valoare ajustată fără TVA decembrie 2029</w:t>
            </w:r>
          </w:p>
        </w:tc>
      </w:tr>
      <w:tr>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none" w:sz="0" w:space="0" w:color="auto"/>
              <w:right w:val="none" w:sz="0" w:space="0" w:color="auto"/>
            </w:tcBorders>
            <w:shd w:val="clear" w:color="auto" w:fill="984806" w:themeFill="accent6" w:themeFillShade="80"/>
            <w:hideMark/>
          </w:tcPr>
          <w:p>
            <w:pPr>
              <w:rPr>
                <w:lang w:val="pt-BR"/>
              </w:rPr>
            </w:pPr>
          </w:p>
        </w:tc>
        <w:tc>
          <w:tcPr>
            <w:tcW w:w="0" w:type="auto"/>
            <w:vMerge/>
            <w:shd w:val="clear" w:color="auto" w:fill="984806" w:themeFill="accent6" w:themeFillShade="80"/>
            <w:hideMark/>
          </w:tcPr>
          <w:p>
            <w:pPr>
              <w:cnfStyle w:val="100000000000" w:firstRow="1" w:lastRow="0" w:firstColumn="0" w:lastColumn="0" w:oddVBand="0" w:evenVBand="0" w:oddHBand="0" w:evenHBand="0" w:firstRowFirstColumn="0" w:firstRowLastColumn="0" w:lastRowFirstColumn="0" w:lastRowLastColumn="0"/>
              <w:rPr>
                <w:lang w:val="pt-BR"/>
              </w:rPr>
            </w:pPr>
          </w:p>
        </w:tc>
        <w:tc>
          <w:tcPr>
            <w:tcW w:w="0" w:type="auto"/>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pPr>
            <w:r>
              <w:t>RON</w:t>
            </w:r>
          </w:p>
        </w:tc>
        <w:tc>
          <w:tcPr>
            <w:tcW w:w="0" w:type="auto"/>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pPr>
            <w:r>
              <w:t xml:space="preserve">RON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1</w:t>
            </w:r>
          </w:p>
        </w:tc>
        <w:tc>
          <w:tcPr>
            <w:tcW w:w="0" w:type="auto"/>
            <w:tcBorders>
              <w:top w:val="none" w:sz="0" w:space="0" w:color="auto"/>
              <w:bottom w:val="none" w:sz="0" w:space="0" w:color="auto"/>
            </w:tcBorders>
            <w:hideMark/>
          </w:tcPr>
          <w:p>
            <w:pPr>
              <w:jc w:val="center"/>
              <w:cnfStyle w:val="000000100000" w:firstRow="0" w:lastRow="0" w:firstColumn="0" w:lastColumn="0" w:oddVBand="0" w:evenVBand="0" w:oddHBand="1" w:evenHBand="0" w:firstRowFirstColumn="0" w:firstRowLastColumn="0" w:lastRowFirstColumn="0" w:lastRowLastColumn="0"/>
              <w:rPr>
                <w:b/>
                <w:bCs/>
              </w:rPr>
            </w:pPr>
            <w:r>
              <w:rPr>
                <w:b/>
                <w:bCs/>
              </w:rPr>
              <w:t>2</w:t>
            </w:r>
          </w:p>
        </w:tc>
        <w:tc>
          <w:tcPr>
            <w:tcW w:w="0" w:type="auto"/>
            <w:tcBorders>
              <w:top w:val="none" w:sz="0" w:space="0" w:color="auto"/>
              <w:bottom w:val="none" w:sz="0" w:space="0" w:color="auto"/>
            </w:tcBorders>
            <w:hideMark/>
          </w:tcPr>
          <w:p>
            <w:pPr>
              <w:jc w:val="center"/>
              <w:cnfStyle w:val="000000100000" w:firstRow="0" w:lastRow="0" w:firstColumn="0" w:lastColumn="0" w:oddVBand="0" w:evenVBand="0" w:oddHBand="1" w:evenHBand="0" w:firstRowFirstColumn="0" w:firstRowLastColumn="0" w:lastRowFirstColumn="0" w:lastRowLastColumn="0"/>
              <w:rPr>
                <w:b/>
                <w:bCs/>
              </w:rPr>
            </w:pPr>
            <w:r>
              <w:rPr>
                <w:b/>
                <w:bCs/>
              </w:rPr>
              <w:t>4</w:t>
            </w:r>
          </w:p>
        </w:tc>
        <w:tc>
          <w:tcPr>
            <w:tcW w:w="0" w:type="auto"/>
            <w:tcBorders>
              <w:top w:val="none" w:sz="0" w:space="0" w:color="auto"/>
              <w:bottom w:val="none" w:sz="0" w:space="0" w:color="auto"/>
            </w:tcBorders>
            <w:hideMark/>
          </w:tcPr>
          <w:p>
            <w:pPr>
              <w:jc w:val="center"/>
              <w:cnfStyle w:val="000000100000" w:firstRow="0" w:lastRow="0" w:firstColumn="0" w:lastColumn="0" w:oddVBand="0" w:evenVBand="0" w:oddHBand="1" w:evenHBand="0" w:firstRowFirstColumn="0" w:firstRowLastColumn="0" w:lastRowFirstColumn="0" w:lastRowLastColumn="0"/>
              <w:rPr>
                <w:b/>
                <w:bCs/>
              </w:rPr>
            </w:pPr>
            <w:r>
              <w:rPr>
                <w:b/>
                <w:bCs/>
              </w:rPr>
              <w:t>5</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gridSpan w:val="4"/>
            <w:tcBorders>
              <w:right w:val="none" w:sz="0" w:space="0" w:color="auto"/>
            </w:tcBorders>
            <w:noWrap/>
            <w:hideMark/>
          </w:tcPr>
          <w:p>
            <w:pPr>
              <w:rPr>
                <w:lang w:val="pt-BR"/>
              </w:rPr>
            </w:pPr>
            <w:r>
              <w:rPr>
                <w:lang w:val="pt-BR"/>
              </w:rPr>
              <w:t>CAPITOLUL I - CHELTUIELI PENTRU OBTINEREA și AMENAJAREA TERENULUI</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1.1</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Obtinerea terenului</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1.2</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Amenajarea terenului</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1.3</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lang w:val="pt-BR"/>
              </w:rPr>
            </w:pPr>
            <w:r>
              <w:rPr>
                <w:b/>
                <w:bCs/>
                <w:lang w:val="pt-BR"/>
              </w:rPr>
              <w:t>Amenajari pentru protectia mediului și aducerea terenului la starea initiala</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134.777,35</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152.170,32</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rPr>
                <w:i/>
                <w:iCs/>
              </w:rPr>
            </w:pPr>
            <w:r>
              <w:rPr>
                <w:i/>
                <w:iCs/>
              </w:rPr>
              <w:t>1.3.1</w:t>
            </w: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STAȚIE DE TRANSFER GALAȚI </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2.858,25</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3.227,10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rPr>
                <w:i/>
                <w:iCs/>
              </w:rPr>
            </w:pPr>
            <w:r>
              <w:rPr>
                <w:i/>
                <w:iCs/>
              </w:rPr>
              <w:t>1.3.2</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STATIE DE TRATARE MECANO-BIOLOGICA CU DIGESTOR GALATI</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131.919,10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148.943,22</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1.4</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Cheltuieli pentru relocarea/protectia utilitatilor</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bottom w:val="none" w:sz="0" w:space="0" w:color="auto"/>
              <w:right w:val="none" w:sz="0" w:space="0" w:color="auto"/>
            </w:tcBorders>
            <w:hideMark/>
          </w:tcPr>
          <w:p>
            <w:pPr>
              <w:jc w:val="right"/>
            </w:pPr>
            <w:r>
              <w:t>TOTAL CAP. 1</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134.777,35</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152.170,32</w:t>
            </w:r>
          </w:p>
        </w:tc>
      </w:tr>
      <w:tr>
        <w:trPr>
          <w:trHeight w:val="405"/>
        </w:trPr>
        <w:tc>
          <w:tcPr>
            <w:cnfStyle w:val="001000000000" w:firstRow="0" w:lastRow="0" w:firstColumn="1" w:lastColumn="0" w:oddVBand="0" w:evenVBand="0" w:oddHBand="0" w:evenHBand="0" w:firstRowFirstColumn="0" w:firstRowLastColumn="0" w:lastRowFirstColumn="0" w:lastRowLastColumn="0"/>
            <w:tcW w:w="0" w:type="auto"/>
            <w:gridSpan w:val="4"/>
            <w:tcBorders>
              <w:right w:val="none" w:sz="0" w:space="0" w:color="auto"/>
            </w:tcBorders>
            <w:hideMark/>
          </w:tcPr>
          <w:p>
            <w:pPr>
              <w:rPr>
                <w:lang w:val="pt-BR"/>
              </w:rPr>
            </w:pPr>
            <w:r>
              <w:rPr>
                <w:lang w:val="pt-BR"/>
              </w:rPr>
              <w:t>CAPITOLUL 2 - CHELTUIELI PENTRU ASIGURAREA UTILITATILOR NECESARE OBIECTIVULUI DE INVESTITII</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2</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lang w:val="pt-BR"/>
              </w:rPr>
            </w:pPr>
            <w:r>
              <w:rPr>
                <w:lang w:val="pt-BR"/>
              </w:rPr>
              <w:t xml:space="preserve">Cheltuieli pentru asigurarea utilitatilor necesare obiectivului de investiții </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732.810,61</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827.379,57</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rPr>
                <w:i/>
                <w:iCs/>
              </w:rPr>
            </w:pPr>
            <w:r>
              <w:rPr>
                <w:i/>
                <w:iCs/>
              </w:rPr>
              <w:t>2.1.1</w:t>
            </w: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0,00</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rPr>
                <w:i/>
                <w:iCs/>
              </w:rPr>
            </w:pPr>
            <w:r>
              <w:rPr>
                <w:i/>
                <w:iCs/>
              </w:rPr>
              <w:t>2.1.2</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732.810,61</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827.379,57</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hideMark/>
          </w:tcPr>
          <w:p>
            <w:pPr>
              <w:jc w:val="right"/>
            </w:pPr>
            <w:r>
              <w:t>TOTAL CAP. 2</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732.810,61</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827.379,57</w:t>
            </w:r>
          </w:p>
        </w:tc>
      </w:tr>
      <w:tr>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gridSpan w:val="4"/>
            <w:tcBorders>
              <w:top w:val="none" w:sz="0" w:space="0" w:color="auto"/>
              <w:bottom w:val="none" w:sz="0" w:space="0" w:color="auto"/>
              <w:right w:val="none" w:sz="0" w:space="0" w:color="auto"/>
            </w:tcBorders>
            <w:hideMark/>
          </w:tcPr>
          <w:p>
            <w:pPr>
              <w:rPr>
                <w:lang w:val="pt-BR"/>
              </w:rPr>
            </w:pPr>
            <w:r>
              <w:rPr>
                <w:lang w:val="pt-BR"/>
              </w:rPr>
              <w:t>CAPITOLUL 3 - CHELTUIELI PENTRU PROIECTARE și ASISTENTA TEHNICA</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3.1</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Studii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1.551.572,67</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1.751.802,60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right w:val="none" w:sz="0" w:space="0" w:color="auto"/>
            </w:tcBorders>
            <w:hideMark/>
          </w:tcPr>
          <w:p>
            <w:pPr>
              <w:jc w:val="center"/>
            </w:pPr>
            <w:r>
              <w:t> </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3.1.1. Studii de teren</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1.386.673,80</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1.565.623,58</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0,00</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noWrap/>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1.386.673,80</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1.565.623,58</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3.1.2. Raport privind impactul asupra mediului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164.898,88</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186.179,02</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noWrap/>
            <w:hideMark/>
          </w:tcPr>
          <w:p>
            <w:pPr>
              <w:cnfStyle w:val="000000100000" w:firstRow="0" w:lastRow="0" w:firstColumn="0" w:lastColumn="0" w:oddVBand="0" w:evenVBand="0" w:oddHBand="1" w:evenHBand="0" w:firstRowFirstColumn="0" w:firstRowLastColumn="0" w:lastRowFirstColumn="0" w:lastRowLastColumn="0"/>
              <w:rPr>
                <w:i/>
                <w:iCs/>
              </w:rPr>
            </w:pPr>
            <w:r>
              <w:rPr>
                <w:i/>
                <w:iCs/>
              </w:rPr>
              <w:t xml:space="preserve">STAȚIE DE TRANSFER GALAȚI </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0,00</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0,00</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i/>
                <w:iCs/>
                <w:lang w:val="pt-BR"/>
              </w:rPr>
            </w:pPr>
            <w:r>
              <w:rPr>
                <w:i/>
                <w:iCs/>
                <w:lang w:val="pt-BR"/>
              </w:rPr>
              <w:t>STATIE DE TRATARE MECANO-BIOLOGICA CU DIGESTOR GALATI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164.898,88</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186.179,02</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pPr>
            <w:r>
              <w:t>3.1.3. Alte studii specifice</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0,00</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0,00</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3.2</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Documentatii-suport și cheltuieli pentru obtinerea de avize, acorduri și autorizatii</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3.3</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Expertizare tehnica</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r>
      <w:tr>
        <w:trPr>
          <w:trHeight w:val="28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3.4</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Certificarea performantei și auditul energetic al cladirilor</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3.5</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Proiectare</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9.872.990,49</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11.147.096,58</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none" w:sz="0" w:space="0" w:color="auto"/>
            </w:tcBorders>
            <w:hideMark/>
          </w:tcPr>
          <w:p>
            <w:pPr>
              <w:jc w:val="center"/>
            </w:pPr>
            <w:r>
              <w:t> </w:t>
            </w:r>
          </w:p>
        </w:tc>
        <w:tc>
          <w:tcPr>
            <w:tcW w:w="0" w:type="auto"/>
            <w:hideMark/>
          </w:tcPr>
          <w:p>
            <w:pPr>
              <w:cnfStyle w:val="000000000000" w:firstRow="0" w:lastRow="0" w:firstColumn="0" w:lastColumn="0" w:oddVBand="0" w:evenVBand="0" w:oddHBand="0" w:evenHBand="0" w:firstRowFirstColumn="0" w:firstRowLastColumn="0" w:lastRowFirstColumn="0" w:lastRowLastColumn="0"/>
            </w:pPr>
            <w:r>
              <w:t>3.5.1 Tema de proiectare</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pPr>
            <w:r>
              <w:t>3.5.2 Studiu de prefezabilitate</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lang w:val="pt-BR"/>
              </w:rPr>
            </w:pPr>
            <w:r>
              <w:rPr>
                <w:lang w:val="pt-BR"/>
              </w:rPr>
              <w:t>3.5.3 Studiu de fezabilitate/documentatie de avizare a lucrarilor de interventii și deviz general</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3.5.4 Documentatii tehnice necesare in vederea obtinerii avizelor/acordurilor/autorizatiilor</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718.035,67</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810.697,93</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3.5.4.1 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41.583,83</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46.950,21</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3.5.4.2 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676.451,84</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763.747,72</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3.5.5 Verificarea tehnica de calitate a proiectului tehnic și a detaliilor de executie</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179.508,92</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202.674,48</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rPr>
            </w:pPr>
            <w:r>
              <w:rPr>
                <w:i/>
                <w:iCs/>
              </w:rPr>
              <w:t xml:space="preserve">3.5.5.1 STAȚIE DE TRANSFER GALAȚI </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10.395,96</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11.737,55</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lang w:val="pt-BR"/>
              </w:rPr>
            </w:pPr>
            <w:r>
              <w:rPr>
                <w:i/>
                <w:iCs/>
                <w:lang w:val="pt-BR"/>
              </w:rPr>
              <w:t>3.5.5.2 STATIE DE TRATARE MECANO-BIOLOGICA CU DIGESTOR GALATI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169.112,96</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190.936,93</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lang w:val="pt-BR"/>
              </w:rPr>
            </w:pPr>
            <w:r>
              <w:rPr>
                <w:b/>
                <w:bCs/>
                <w:lang w:val="pt-BR"/>
              </w:rPr>
              <w:t>3.5.6 Proiect tehnic și detaliile de executie</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8.975.445,90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10.133.724,16</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3.5.6.1 STAȚIE DE TRANSFER GALAȚI </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519.797,91</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586.877,65</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3.5.6.2 STATIE DE TRATARE MECANO-BIOLOGICA CU DIGESTOR GALATI</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8.455.648,00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9.546.846,51</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3.6</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Organizarea procedurilor de achizitii</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3.7</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Consultanta</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none" w:sz="0" w:space="0" w:color="auto"/>
            </w:tcBorders>
            <w:hideMark/>
          </w:tcPr>
          <w:p>
            <w:pPr>
              <w:jc w:val="center"/>
            </w:pPr>
            <w:r>
              <w:t> </w:t>
            </w:r>
          </w:p>
        </w:tc>
        <w:tc>
          <w:tcPr>
            <w:tcW w:w="0" w:type="auto"/>
            <w:hideMark/>
          </w:tcPr>
          <w:p>
            <w:pPr>
              <w:cnfStyle w:val="000000000000" w:firstRow="0" w:lastRow="0" w:firstColumn="0" w:lastColumn="0" w:oddVBand="0" w:evenVBand="0" w:oddHBand="0" w:evenHBand="0" w:firstRowFirstColumn="0" w:firstRowLastColumn="0" w:lastRowFirstColumn="0" w:lastRowLastColumn="0"/>
              <w:rPr>
                <w:lang w:val="pt-BR"/>
              </w:rPr>
            </w:pPr>
            <w:r>
              <w:rPr>
                <w:lang w:val="pt-BR"/>
              </w:rPr>
              <w:t xml:space="preserve">3.7.1 Managementul de proiect pentru obiectivul de investitii </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pPr>
            <w:r>
              <w:t>3.7.2 Auditul financiar</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3.8</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Asistenta tehnica</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1.436.071,34</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1.621.395,87</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right w:val="none" w:sz="0" w:space="0" w:color="auto"/>
            </w:tcBorders>
            <w:hideMark/>
          </w:tcPr>
          <w:p>
            <w:pPr>
              <w:jc w:val="center"/>
            </w:pPr>
            <w:r>
              <w:t> </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lang w:val="pt-BR"/>
              </w:rPr>
            </w:pPr>
            <w:r>
              <w:rPr>
                <w:b/>
                <w:bCs/>
                <w:lang w:val="pt-BR"/>
              </w:rPr>
              <w:t>3.8.1 Asistenta tehnica din partea proiectantului</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1.436.071,34</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1.621.395,87</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3.8.1.1 pe perioada de executie a lucrarilor</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718.035,67</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810.697,93</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rPr>
            </w:pPr>
            <w:r>
              <w:rPr>
                <w:i/>
                <w:iCs/>
              </w:rPr>
              <w:t xml:space="preserve">3.8.1.1.1 STAȚIE DE TRANSFER GALAȚI </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41.583,83</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46.950,21</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lang w:val="pt-BR"/>
              </w:rPr>
            </w:pPr>
            <w:r>
              <w:rPr>
                <w:i/>
                <w:iCs/>
                <w:lang w:val="pt-BR"/>
              </w:rPr>
              <w:t>3.8.1.1.2 STATIE DE TRATARE MECANO-BIOLOGICA CU DIGESTOR GALATI</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676.451,84</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763.747,72</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3.8.1.2 pentru participarea proiectantului la fazele incluse in programul de control al lucrarilor de excutie, avizat de catre Inspectoratul de Stat in Constructii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718.035,67</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810.697,93</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3.8.1.2.1 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41.583,83</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46.950,21</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3.8.1.2.2 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676.451,84</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763.747,72</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3.8.2 Dirigentie de santier</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bottom w:val="none" w:sz="0" w:space="0" w:color="auto"/>
              <w:right w:val="none" w:sz="0" w:space="0" w:color="auto"/>
            </w:tcBorders>
            <w:hideMark/>
          </w:tcPr>
          <w:p>
            <w:pPr>
              <w:jc w:val="right"/>
            </w:pPr>
            <w:r>
              <w:t>TOTAL CAP. 3</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12.860.634,51</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14.520.295,05</w:t>
            </w:r>
          </w:p>
        </w:tc>
      </w:tr>
      <w:tr>
        <w:trPr>
          <w:trHeight w:val="360"/>
        </w:trPr>
        <w:tc>
          <w:tcPr>
            <w:cnfStyle w:val="001000000000" w:firstRow="0" w:lastRow="0" w:firstColumn="1" w:lastColumn="0" w:oddVBand="0" w:evenVBand="0" w:oddHBand="0" w:evenHBand="0" w:firstRowFirstColumn="0" w:firstRowLastColumn="0" w:lastRowFirstColumn="0" w:lastRowLastColumn="0"/>
            <w:tcW w:w="0" w:type="auto"/>
            <w:gridSpan w:val="4"/>
            <w:tcBorders>
              <w:right w:val="none" w:sz="0" w:space="0" w:color="auto"/>
            </w:tcBorders>
            <w:hideMark/>
          </w:tcPr>
          <w:p>
            <w:pPr>
              <w:rPr>
                <w:lang w:val="pt-BR"/>
              </w:rPr>
            </w:pPr>
            <w:r>
              <w:rPr>
                <w:lang w:val="pt-BR"/>
              </w:rPr>
              <w:t>CAPITOLUL 4 - CHELTUIELI PENTRU INVESTITIA DE BAZA</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jc w:val="center"/>
            </w:pPr>
            <w:r>
              <w:t>4,1</w:t>
            </w:r>
          </w:p>
        </w:tc>
        <w:tc>
          <w:tcPr>
            <w:tcW w:w="0" w:type="auto"/>
            <w:tcBorders>
              <w:top w:val="none" w:sz="0" w:space="0" w:color="auto"/>
              <w:bottom w:val="none" w:sz="0" w:space="0" w:color="auto"/>
            </w:tcBorders>
            <w:noWrap/>
            <w:hideMark/>
          </w:tcPr>
          <w:p>
            <w:pPr>
              <w:cnfStyle w:val="000000100000" w:firstRow="0" w:lastRow="0" w:firstColumn="0" w:lastColumn="0" w:oddVBand="0" w:evenVBand="0" w:oddHBand="1" w:evenHBand="0" w:firstRowFirstColumn="0" w:firstRowLastColumn="0" w:lastRowFirstColumn="0" w:lastRowLastColumn="0"/>
              <w:rPr>
                <w:b/>
                <w:bCs/>
              </w:rPr>
            </w:pPr>
            <w:r>
              <w:rPr>
                <w:b/>
                <w:bCs/>
              </w:rPr>
              <w:t>Constructii și instalatii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73.168.798,01</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82.611.206,66</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pPr>
              <w:jc w:val="center"/>
              <w:rPr>
                <w:i/>
                <w:iCs/>
              </w:rPr>
            </w:pPr>
            <w:r>
              <w:rPr>
                <w:i/>
                <w:iCs/>
              </w:rPr>
              <w:t>4.1.2</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3.835.108,16</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4.330.027,57</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jc w:val="center"/>
              <w:rPr>
                <w:i/>
                <w:iCs/>
              </w:rPr>
            </w:pPr>
            <w:r>
              <w:rPr>
                <w:i/>
                <w:iCs/>
              </w:rPr>
              <w:t>4.1.3</w:t>
            </w:r>
          </w:p>
        </w:tc>
        <w:tc>
          <w:tcPr>
            <w:tcW w:w="0" w:type="auto"/>
            <w:tcBorders>
              <w:top w:val="none" w:sz="0" w:space="0" w:color="auto"/>
              <w:bottom w:val="none" w:sz="0" w:space="0" w:color="auto"/>
            </w:tcBorders>
            <w:noWrap/>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69.333.689,85</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78.281.179,09</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pPr>
              <w:jc w:val="center"/>
            </w:pPr>
            <w:r>
              <w:t>4,2</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Montaj utilaje, echipamente tehnologice și functionale</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1.517.871,85</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1.713.752,70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jc w:val="center"/>
              <w:rPr>
                <w:i/>
                <w:iCs/>
              </w:rPr>
            </w:pPr>
            <w:r>
              <w:rPr>
                <w:i/>
                <w:iCs/>
              </w:rPr>
              <w:t>4.2.1</w:t>
            </w:r>
          </w:p>
        </w:tc>
        <w:tc>
          <w:tcPr>
            <w:tcW w:w="0" w:type="auto"/>
            <w:tcBorders>
              <w:top w:val="none" w:sz="0" w:space="0" w:color="auto"/>
              <w:bottom w:val="none" w:sz="0" w:space="0" w:color="auto"/>
            </w:tcBorders>
            <w:noWrap/>
            <w:hideMark/>
          </w:tcPr>
          <w:p>
            <w:pPr>
              <w:cnfStyle w:val="000000100000" w:firstRow="0" w:lastRow="0" w:firstColumn="0" w:lastColumn="0" w:oddVBand="0" w:evenVBand="0" w:oddHBand="1" w:evenHBand="0" w:firstRowFirstColumn="0" w:firstRowLastColumn="0" w:lastRowFirstColumn="0" w:lastRowLastColumn="0"/>
              <w:rPr>
                <w:i/>
                <w:iCs/>
              </w:rPr>
            </w:pPr>
            <w:r>
              <w:rPr>
                <w:i/>
                <w:iCs/>
              </w:rPr>
              <w:t xml:space="preserve">STAȚIE DE TRANSFER GALAȚI </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249.180,53</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281.337,19</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pPr>
              <w:jc w:val="center"/>
              <w:rPr>
                <w:i/>
                <w:iCs/>
              </w:rPr>
            </w:pPr>
            <w:r>
              <w:rPr>
                <w:i/>
                <w:iCs/>
              </w:rPr>
              <w:t>4.2.2</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i/>
                <w:iCs/>
                <w:lang w:val="pt-BR"/>
              </w:rPr>
            </w:pPr>
            <w:r>
              <w:rPr>
                <w:i/>
                <w:iCs/>
                <w:lang w:val="pt-BR"/>
              </w:rPr>
              <w:t>STATIE DE TRATARE MECANO-BIOLOGICA CU DIGESTOR GALATI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1.268.691,32</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1.432.415,51</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jc w:val="center"/>
            </w:pPr>
            <w:r>
              <w:t>4,3</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lang w:val="pt-BR"/>
              </w:rPr>
            </w:pPr>
            <w:r>
              <w:rPr>
                <w:b/>
                <w:bCs/>
                <w:lang w:val="pt-BR"/>
              </w:rPr>
              <w:t>Utilaje, echipamente tehnologice și functionale care necesita montaj</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202.022.841,74</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228.093.821,19</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pPr>
              <w:jc w:val="center"/>
              <w:rPr>
                <w:i/>
                <w:iCs/>
              </w:rPr>
            </w:pPr>
            <w:r>
              <w:rPr>
                <w:i/>
                <w:iCs/>
              </w:rPr>
              <w:t>4.3.1</w:t>
            </w: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2.491.805,26</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2.813.371,89</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jc w:val="center"/>
              <w:rPr>
                <w:i/>
                <w:iCs/>
              </w:rPr>
            </w:pPr>
            <w:r>
              <w:rPr>
                <w:i/>
                <w:iCs/>
              </w:rPr>
              <w:t>4.3.2</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199.531.036,48</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225.280.449,30</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4,4</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Utilaje, echipamente tehnologice și functionale care nu necesita montaj și echipamente de transport</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12.072.430,04</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13.630.373,06</w:t>
            </w:r>
          </w:p>
        </w:tc>
      </w:tr>
      <w:tr>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lastRenderedPageBreak/>
              <w:t>4.4.1</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rPr>
            </w:pPr>
            <w:r>
              <w:rPr>
                <w:i/>
                <w:iCs/>
              </w:rPr>
              <w:t xml:space="preserve">STAȚIE DE TRANSFER GALAȚI </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5.848.413,52</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6.603.149,31</w:t>
            </w:r>
          </w:p>
        </w:tc>
      </w:tr>
      <w:tr>
        <w:trPr>
          <w:trHeight w:val="32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4.4.2</w:t>
            </w: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lang w:val="pt-BR"/>
              </w:rPr>
            </w:pPr>
            <w:r>
              <w:rPr>
                <w:i/>
                <w:iCs/>
                <w:lang w:val="pt-BR"/>
              </w:rPr>
              <w:t>STATIE DE TRATARE MECANO-BIOLOGICA CU DIGESTOR GALATI</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6.224.016,52</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7.027.223,75</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4,5</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Dotări</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29.315,36</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33.098,49</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rPr>
                <w:i/>
                <w:iCs/>
              </w:rPr>
            </w:pPr>
            <w:r>
              <w:rPr>
                <w:i/>
                <w:iCs/>
              </w:rPr>
              <w:t>4.5.1</w:t>
            </w: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STAȚIE DE TRANSFER GALAȚI </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14.657,68</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16.549,25</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rPr>
                <w:i/>
                <w:iCs/>
              </w:rPr>
            </w:pPr>
            <w:r>
              <w:rPr>
                <w:i/>
                <w:iCs/>
              </w:rPr>
              <w:t>4.5.2</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STATIE DE TRATARE MECANO-BIOLOGICA CU DIGESTOR GALATI</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14.657,68</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16.549,25</w:t>
            </w:r>
          </w:p>
        </w:tc>
      </w:tr>
      <w:tr>
        <w:trPr>
          <w:trHeight w:val="28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4,60</w:t>
            </w:r>
          </w:p>
        </w:tc>
        <w:tc>
          <w:tcPr>
            <w:tcW w:w="0" w:type="auto"/>
            <w:hideMark/>
          </w:tcPr>
          <w:p>
            <w:pPr>
              <w:cnfStyle w:val="000000000000" w:firstRow="0" w:lastRow="0" w:firstColumn="0" w:lastColumn="0" w:oddVBand="0" w:evenVBand="0" w:oddHBand="0" w:evenHBand="0" w:firstRowFirstColumn="0" w:firstRowLastColumn="0" w:lastRowFirstColumn="0" w:lastRowLastColumn="0"/>
            </w:pPr>
            <w:r>
              <w:t>Active necorporale</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r>
      <w:tr>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bottom w:val="none" w:sz="0" w:space="0" w:color="auto"/>
              <w:right w:val="none" w:sz="0" w:space="0" w:color="auto"/>
            </w:tcBorders>
            <w:hideMark/>
          </w:tcPr>
          <w:p>
            <w:pPr>
              <w:jc w:val="right"/>
            </w:pPr>
            <w:r>
              <w:t>TOTAL CAP. 4</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288.811.256,99</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326.082.252,11</w:t>
            </w:r>
          </w:p>
        </w:tc>
      </w:tr>
      <w:tr>
        <w:trPr>
          <w:trHeight w:val="420"/>
        </w:trPr>
        <w:tc>
          <w:tcPr>
            <w:cnfStyle w:val="001000000000" w:firstRow="0" w:lastRow="0" w:firstColumn="1" w:lastColumn="0" w:oddVBand="0" w:evenVBand="0" w:oddHBand="0" w:evenHBand="0" w:firstRowFirstColumn="0" w:firstRowLastColumn="0" w:lastRowFirstColumn="0" w:lastRowLastColumn="0"/>
            <w:tcW w:w="0" w:type="auto"/>
            <w:gridSpan w:val="4"/>
            <w:tcBorders>
              <w:right w:val="none" w:sz="0" w:space="0" w:color="auto"/>
            </w:tcBorders>
            <w:hideMark/>
          </w:tcPr>
          <w:p>
            <w:r>
              <w:t>CAPITOLUL 5 - ALTE CHELTUIELI</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right w:val="none" w:sz="0" w:space="0" w:color="auto"/>
            </w:tcBorders>
            <w:hideMark/>
          </w:tcPr>
          <w:p>
            <w:pPr>
              <w:jc w:val="center"/>
            </w:pPr>
            <w:r>
              <w:t>5.1</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Organizare de santier</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1.717.550,06</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1.939.199,32</w:t>
            </w:r>
          </w:p>
        </w:tc>
      </w:tr>
      <w:tr>
        <w:trPr>
          <w:trHeight w:val="330"/>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lang w:val="pt-BR"/>
              </w:rPr>
            </w:pPr>
            <w:r>
              <w:rPr>
                <w:lang w:val="pt-BR"/>
              </w:rPr>
              <w:t>5.1.1 Lucrari de constructii și instalatii aferente organizarii de santier</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pPr>
            <w:r>
              <w:t>1.561.409,15</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pPr>
            <w:r>
              <w:t>1.762.908,47</w:t>
            </w:r>
          </w:p>
        </w:tc>
      </w:tr>
      <w:tr>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rPr>
            </w:pPr>
            <w:r>
              <w:rPr>
                <w:i/>
                <w:iCs/>
              </w:rPr>
              <w:t xml:space="preserve">5.1.1.1 STAȚIE DE TRANSFER GALAȚI </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95.641,35</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107.983,83</w:t>
            </w:r>
          </w:p>
        </w:tc>
      </w:tr>
      <w:tr>
        <w:trPr>
          <w:trHeight w:val="330"/>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lang w:val="pt-BR"/>
              </w:rPr>
            </w:pPr>
            <w:r>
              <w:rPr>
                <w:i/>
                <w:iCs/>
                <w:lang w:val="pt-BR"/>
              </w:rPr>
              <w:t>5.1.1.2 STATIE DE TRATARE MECANO-BIOLOGICA CU DIGESTOR GALATI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1.465.767,80</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1.654.924,64</w:t>
            </w:r>
          </w:p>
        </w:tc>
      </w:tr>
      <w:tr>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pPr>
            <w:r>
              <w:t>5.1.2 Cheltuieli conexe organizarii santierului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156.140,91</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176.290,85</w:t>
            </w:r>
          </w:p>
        </w:tc>
      </w:tr>
      <w:tr>
        <w:trPr>
          <w:trHeight w:val="330"/>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5.1.2.1 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9.564,13</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10.798,38</w:t>
            </w:r>
          </w:p>
        </w:tc>
      </w:tr>
      <w:tr>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right w:val="none" w:sz="0" w:space="0" w:color="auto"/>
            </w:tcBorders>
            <w:hideMark/>
          </w:tcP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5.1.2.2 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146.576,78</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165.492,46</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5.2</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lang w:val="pt-BR"/>
              </w:rPr>
            </w:pPr>
            <w:r>
              <w:rPr>
                <w:b/>
                <w:bCs/>
                <w:lang w:val="pt-BR"/>
              </w:rPr>
              <w:t>Comisioane, cote, taxe, costul creditului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right"/>
            </w:pPr>
            <w:r>
              <w:t> </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lang w:val="pt-BR"/>
              </w:rPr>
            </w:pPr>
            <w:r>
              <w:rPr>
                <w:lang w:val="pt-BR"/>
              </w:rPr>
              <w:t>5.2.1 Comisioane și dobanzi aferente creditului bancii finantatoare</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0,00</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pPr>
            <w:r>
              <w:t>0,00</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right"/>
            </w:pPr>
            <w:r>
              <w:t> </w:t>
            </w:r>
          </w:p>
        </w:tc>
        <w:tc>
          <w:tcPr>
            <w:tcW w:w="0" w:type="auto"/>
            <w:hideMark/>
          </w:tcPr>
          <w:p>
            <w:pPr>
              <w:cnfStyle w:val="000000000000" w:firstRow="0" w:lastRow="0" w:firstColumn="0" w:lastColumn="0" w:oddVBand="0" w:evenVBand="0" w:oddHBand="0" w:evenHBand="0" w:firstRowFirstColumn="0" w:firstRowLastColumn="0" w:lastRowFirstColumn="0" w:lastRowLastColumn="0"/>
              <w:rPr>
                <w:lang w:val="pt-BR"/>
              </w:rPr>
            </w:pPr>
            <w:r>
              <w:rPr>
                <w:lang w:val="pt-BR"/>
              </w:rPr>
              <w:t>5.2.2 Cota aferenta ISC pentru controlul calitatii lucrarilor de constructii</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r>
      <w:tr>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right"/>
            </w:pPr>
            <w:r>
              <w:t> </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lang w:val="pt-BR"/>
              </w:rPr>
            </w:pPr>
            <w:r>
              <w:rPr>
                <w:lang w:val="pt-BR"/>
              </w:rPr>
              <w:t>5.2.3 Cota aferenta ISC pentru controlul statului in amenajarea teritoriului, urbanism și pentru autorizarea lucrarilor</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right"/>
            </w:pPr>
            <w:r>
              <w:t> </w:t>
            </w:r>
          </w:p>
        </w:tc>
        <w:tc>
          <w:tcPr>
            <w:tcW w:w="0" w:type="auto"/>
            <w:hideMark/>
          </w:tcPr>
          <w:p>
            <w:pPr>
              <w:cnfStyle w:val="000000000000" w:firstRow="0" w:lastRow="0" w:firstColumn="0" w:lastColumn="0" w:oddVBand="0" w:evenVBand="0" w:oddHBand="0" w:evenHBand="0" w:firstRowFirstColumn="0" w:firstRowLastColumn="0" w:lastRowFirstColumn="0" w:lastRowLastColumn="0"/>
              <w:rPr>
                <w:lang w:val="pt-BR"/>
              </w:rPr>
            </w:pPr>
            <w:r>
              <w:rPr>
                <w:lang w:val="pt-BR"/>
              </w:rPr>
              <w:t>5.2.4 Cota aferenta Casei Sociale a Constructorilor - CSC</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pPr>
            <w:r>
              <w:t>0,00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right"/>
            </w:pPr>
            <w:r>
              <w:t> </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lang w:val="pt-BR"/>
              </w:rPr>
            </w:pPr>
            <w:r>
              <w:rPr>
                <w:lang w:val="pt-BR"/>
              </w:rPr>
              <w:t>5.2.5 Taxe pentru acorduri, avize conforme și autorizatia de construire/desfiintare</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pPr>
            <w:r>
              <w:t>0,00</w:t>
            </w:r>
          </w:p>
        </w:tc>
      </w:tr>
      <w:tr>
        <w:trPr>
          <w:trHeight w:val="34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5.3</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Cheltuieli diverse și neprevazute</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0,00</w:t>
            </w:r>
          </w:p>
        </w:tc>
      </w:tr>
      <w:tr>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5.4</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lang w:val="pt-BR"/>
              </w:rPr>
            </w:pPr>
            <w:r>
              <w:rPr>
                <w:b/>
                <w:bCs/>
                <w:lang w:val="pt-BR"/>
              </w:rPr>
              <w:t>Cheltuieli pentru informare și publicitate</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0,00</w:t>
            </w:r>
          </w:p>
        </w:tc>
      </w:tr>
      <w:tr>
        <w:trPr>
          <w:trHeight w:val="330"/>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hideMark/>
          </w:tcPr>
          <w:p>
            <w:pPr>
              <w:jc w:val="right"/>
            </w:pPr>
            <w:r>
              <w:t>TOTAL CAP. 5</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1.717.550,06</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1.939.199,32</w:t>
            </w:r>
          </w:p>
        </w:tc>
      </w:tr>
      <w:tr>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gridSpan w:val="4"/>
            <w:tcBorders>
              <w:top w:val="none" w:sz="0" w:space="0" w:color="auto"/>
              <w:bottom w:val="none" w:sz="0" w:space="0" w:color="auto"/>
              <w:right w:val="none" w:sz="0" w:space="0" w:color="auto"/>
            </w:tcBorders>
            <w:hideMark/>
          </w:tcPr>
          <w:p>
            <w:pPr>
              <w:jc w:val="center"/>
              <w:rPr>
                <w:lang w:val="pt-BR"/>
              </w:rPr>
            </w:pPr>
            <w:r>
              <w:rPr>
                <w:lang w:val="pt-BR"/>
              </w:rPr>
              <w:t>CAPITOLUL 6 - CHELTUIELI PENTRU PROBE TEHNOLOGICE și TESTE</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pPr>
            <w:r>
              <w:t>6.1</w:t>
            </w:r>
          </w:p>
        </w:tc>
        <w:tc>
          <w:tcPr>
            <w:tcW w:w="0" w:type="auto"/>
            <w:hideMark/>
          </w:tcPr>
          <w:p>
            <w:pPr>
              <w:cnfStyle w:val="000000000000" w:firstRow="0" w:lastRow="0" w:firstColumn="0" w:lastColumn="0" w:oddVBand="0" w:evenVBand="0" w:oddHBand="0" w:evenHBand="0" w:firstRowFirstColumn="0" w:firstRowLastColumn="0" w:lastRowFirstColumn="0" w:lastRowLastColumn="0"/>
              <w:rPr>
                <w:b/>
                <w:bCs/>
              </w:rPr>
            </w:pPr>
            <w:r>
              <w:rPr>
                <w:b/>
                <w:bCs/>
              </w:rPr>
              <w:t>Pregatirea personalului de exploatare</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384.764,05</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434.417,72</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rPr>
                <w:i/>
                <w:iCs/>
              </w:rPr>
            </w:pPr>
            <w:r>
              <w:rPr>
                <w:i/>
                <w:iCs/>
              </w:rPr>
              <w:t>6.1.1</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rPr>
            </w:pPr>
            <w:r>
              <w:rPr>
                <w:i/>
                <w:iCs/>
              </w:rPr>
              <w:t xml:space="preserve">STAȚIE DE TRANSFER GALAȚI </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64.127,34</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72.402,95</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rPr>
                <w:i/>
                <w:iCs/>
              </w:rPr>
            </w:pPr>
            <w:r>
              <w:rPr>
                <w:i/>
                <w:iCs/>
              </w:rPr>
              <w:t>6.1.2</w:t>
            </w: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lang w:val="pt-BR"/>
              </w:rPr>
            </w:pPr>
            <w:r>
              <w:rPr>
                <w:i/>
                <w:iCs/>
                <w:lang w:val="pt-BR"/>
              </w:rPr>
              <w:t>STATIE DE TRATARE MECANO-BIOLOGICA CU DIGESTOR GALATI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320.636,71</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362.014,76</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pPr>
            <w:r>
              <w:t>6.2</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b/>
                <w:bCs/>
              </w:rPr>
            </w:pPr>
            <w:r>
              <w:rPr>
                <w:b/>
                <w:bCs/>
              </w:rPr>
              <w:t>Probe tehnologice și teste</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797.011,24</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899.865,27</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jc w:val="center"/>
              <w:rPr>
                <w:i/>
                <w:iCs/>
              </w:rPr>
            </w:pPr>
            <w:r>
              <w:rPr>
                <w:i/>
                <w:iCs/>
              </w:rPr>
              <w:t>6.2.1</w:t>
            </w:r>
          </w:p>
        </w:tc>
        <w:tc>
          <w:tcPr>
            <w:tcW w:w="0" w:type="auto"/>
            <w:hideMark/>
          </w:tcPr>
          <w:p>
            <w:pPr>
              <w:cnfStyle w:val="000000000000" w:firstRow="0" w:lastRow="0" w:firstColumn="0" w:lastColumn="0" w:oddVBand="0" w:evenVBand="0" w:oddHBand="0" w:evenHBand="0" w:firstRowFirstColumn="0" w:firstRowLastColumn="0" w:lastRowFirstColumn="0" w:lastRowLastColumn="0"/>
              <w:rPr>
                <w:i/>
                <w:iCs/>
              </w:rPr>
            </w:pPr>
            <w:r>
              <w:rPr>
                <w:i/>
                <w:iCs/>
              </w:rPr>
              <w:t xml:space="preserve">STAȚIE DE TRANSFER GALAȚI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45.805,24</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i/>
                <w:iCs/>
              </w:rPr>
            </w:pPr>
            <w:r>
              <w:rPr>
                <w:i/>
                <w:iCs/>
              </w:rPr>
              <w:t>51.716,39</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jc w:val="center"/>
              <w:rPr>
                <w:i/>
                <w:iCs/>
              </w:rPr>
            </w:pPr>
            <w:r>
              <w:rPr>
                <w:i/>
                <w:iCs/>
              </w:rPr>
              <w:t>6.2.2</w:t>
            </w:r>
          </w:p>
        </w:tc>
        <w:tc>
          <w:tcPr>
            <w:tcW w:w="0" w:type="auto"/>
            <w:tcBorders>
              <w:top w:val="none" w:sz="0" w:space="0" w:color="auto"/>
              <w:bottom w:val="none" w:sz="0" w:space="0" w:color="auto"/>
            </w:tcBorders>
            <w:hideMark/>
          </w:tcPr>
          <w:p>
            <w:pPr>
              <w:cnfStyle w:val="000000100000" w:firstRow="0" w:lastRow="0" w:firstColumn="0" w:lastColumn="0" w:oddVBand="0" w:evenVBand="0" w:oddHBand="1" w:evenHBand="0" w:firstRowFirstColumn="0" w:firstRowLastColumn="0" w:lastRowFirstColumn="0" w:lastRowLastColumn="0"/>
              <w:rPr>
                <w:i/>
                <w:iCs/>
                <w:lang w:val="pt-BR"/>
              </w:rPr>
            </w:pPr>
            <w:r>
              <w:rPr>
                <w:i/>
                <w:iCs/>
                <w:lang w:val="pt-BR"/>
              </w:rPr>
              <w:t>STATIE DE TRATARE MECANO-BIOLOGICA CU DIGESTOR GALATI</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751.206,00</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rPr>
            </w:pPr>
            <w:r>
              <w:rPr>
                <w:i/>
                <w:iCs/>
              </w:rPr>
              <w:t>848.148,88</w:t>
            </w:r>
          </w:p>
        </w:tc>
      </w:tr>
      <w:tr>
        <w:trPr>
          <w:trHeight w:val="330"/>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hideMark/>
          </w:tcPr>
          <w:p>
            <w:pPr>
              <w:jc w:val="right"/>
            </w:pPr>
            <w:r>
              <w:t>TOTAL CAP. 6</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1.181.775,29</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1.334.282,99</w:t>
            </w:r>
          </w:p>
        </w:tc>
      </w:tr>
      <w:tr>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bottom w:val="none" w:sz="0" w:space="0" w:color="auto"/>
              <w:right w:val="none" w:sz="0" w:space="0" w:color="auto"/>
            </w:tcBorders>
            <w:hideMark/>
          </w:tcPr>
          <w:p>
            <w:pPr>
              <w:jc w:val="center"/>
            </w:pPr>
            <w:r>
              <w:t>TOTAL GENERAL</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305.438.804,82</w:t>
            </w:r>
          </w:p>
        </w:tc>
        <w:tc>
          <w:tcPr>
            <w:tcW w:w="0" w:type="auto"/>
            <w:tcBorders>
              <w:top w:val="none" w:sz="0" w:space="0" w:color="auto"/>
              <w:bottom w:val="none" w:sz="0" w:space="0" w:color="auto"/>
            </w:tcBorders>
            <w:hideMark/>
          </w:tcPr>
          <w:p>
            <w:pPr>
              <w:jc w:val="right"/>
              <w:cnfStyle w:val="000000100000" w:firstRow="0" w:lastRow="0" w:firstColumn="0" w:lastColumn="0" w:oddVBand="0" w:evenVBand="0" w:oddHBand="1" w:evenHBand="0" w:firstRowFirstColumn="0" w:firstRowLastColumn="0" w:lastRowFirstColumn="0" w:lastRowLastColumn="0"/>
              <w:rPr>
                <w:b/>
                <w:bCs/>
              </w:rPr>
            </w:pPr>
            <w:r>
              <w:rPr>
                <w:b/>
                <w:bCs/>
              </w:rPr>
              <w:t>344.855.579,36</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noWrap/>
            <w:hideMark/>
          </w:tcPr>
          <w:p>
            <w:pPr>
              <w:jc w:val="center"/>
            </w:pPr>
            <w:r>
              <w:t>DIN CARE C+M</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77.115.666,97</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rPr>
            </w:pPr>
            <w:r>
              <w:rPr>
                <w:b/>
                <w:bCs/>
              </w:rPr>
              <w:t>87.067.417,73</w:t>
            </w:r>
          </w:p>
        </w:tc>
      </w:tr>
    </w:tbl>
    <w:p>
      <w:pPr>
        <w:tabs>
          <w:tab w:val="left" w:pos="9497"/>
          <w:tab w:val="left" w:pos="10065"/>
        </w:tabs>
        <w:spacing w:line="276" w:lineRule="auto"/>
        <w:ind w:right="-1"/>
        <w:jc w:val="both"/>
        <w:rPr>
          <w:sz w:val="24"/>
          <w:szCs w:val="24"/>
          <w:lang w:val="ro-RO"/>
        </w:rPr>
      </w:pPr>
    </w:p>
    <w:p>
      <w:pPr>
        <w:tabs>
          <w:tab w:val="left" w:pos="9497"/>
          <w:tab w:val="left" w:pos="10065"/>
        </w:tabs>
        <w:spacing w:line="276" w:lineRule="auto"/>
        <w:ind w:right="-1"/>
        <w:jc w:val="both"/>
        <w:rPr>
          <w:sz w:val="24"/>
          <w:szCs w:val="24"/>
          <w:lang w:val="ro-RO"/>
        </w:rPr>
      </w:pPr>
    </w:p>
    <w:p>
      <w:pPr>
        <w:tabs>
          <w:tab w:val="left" w:pos="9497"/>
          <w:tab w:val="left" w:pos="10065"/>
        </w:tabs>
        <w:spacing w:line="276" w:lineRule="auto"/>
        <w:ind w:right="-1"/>
        <w:jc w:val="both"/>
        <w:rPr>
          <w:sz w:val="24"/>
          <w:szCs w:val="24"/>
          <w:lang w:val="ro-RO"/>
        </w:rPr>
      </w:pPr>
    </w:p>
    <w:p>
      <w:pPr>
        <w:rPr>
          <w:sz w:val="24"/>
          <w:szCs w:val="24"/>
          <w:lang w:val="ro-RO"/>
        </w:rPr>
      </w:pPr>
      <w:r>
        <w:rPr>
          <w:sz w:val="24"/>
          <w:szCs w:val="24"/>
          <w:lang w:val="ro-RO"/>
        </w:rPr>
        <w:br w:type="page"/>
      </w:r>
      <w:r>
        <w:rPr>
          <w:sz w:val="24"/>
          <w:szCs w:val="24"/>
          <w:lang w:val="ro-RO"/>
        </w:rPr>
        <w:lastRenderedPageBreak/>
        <w:t>În contextul reluării repetate a procedurii de achiziție și al creșterii semnificative a indicilor de preț în construcții, s-a impus recalcularea ajustărilor de preț pentru contractul de proiectare și execuție a obiectului de investiție ”Staţie de tratare mecano-biologică cu digestie anaerobă și recuperare de energie și Stație de transfer Galaţi”.</w:t>
      </w:r>
    </w:p>
    <w:p>
      <w:pPr>
        <w:tabs>
          <w:tab w:val="left" w:pos="9497"/>
          <w:tab w:val="left" w:pos="10065"/>
        </w:tabs>
        <w:spacing w:before="120" w:after="120" w:line="300" w:lineRule="auto"/>
        <w:jc w:val="both"/>
        <w:rPr>
          <w:sz w:val="24"/>
          <w:szCs w:val="24"/>
          <w:lang w:val="ro-RO"/>
        </w:rPr>
      </w:pPr>
      <w:r>
        <w:rPr>
          <w:sz w:val="24"/>
          <w:szCs w:val="24"/>
          <w:lang w:val="ro-RO"/>
        </w:rPr>
        <w:t>Valoarea celor două obiective incluse în contractul CL 04, respectiv Stația de transfer și Instalația de tratare mecano-biologică din Galați, a fost estimată inițial, în studiul de fezabilitate, la 167,5 milioane lei fără TVA, echivalentul a aproximativ 36 milioane euro. Din această sumă au fost excluse costurile aferente racordurilor la apă și canalizare, acestea fiind realizate împreună cu investițiile pentru drumul de acces, din cadrul contractului CL 03. Prin eliminarea acestor componente, a rezultat o valoare de 166,7 milioane lei fără TVA, exprimată în prețuri constante la data de referință martie 2018.</w:t>
      </w:r>
    </w:p>
    <w:p>
      <w:pPr>
        <w:tabs>
          <w:tab w:val="left" w:pos="9497"/>
          <w:tab w:val="left" w:pos="10065"/>
        </w:tabs>
        <w:spacing w:before="120" w:after="120" w:line="300" w:lineRule="auto"/>
        <w:jc w:val="both"/>
        <w:rPr>
          <w:sz w:val="24"/>
          <w:szCs w:val="24"/>
          <w:lang w:val="ro-RO"/>
        </w:rPr>
      </w:pPr>
      <w:r>
        <w:rPr>
          <w:sz w:val="24"/>
          <w:szCs w:val="24"/>
          <w:lang w:val="ro-RO"/>
        </w:rPr>
        <w:t>De la întocmirea Devizului general, în anul 2018, au intervenit mai mulți factori cu impact asupra costurilor: modificări legislative care au determinat creșteri ale cheltuielilor cu forța de muncă; crize precum pandemia SARS-CoV-2, conflictul din Ucraina și criza energetică, care au generat majorări semnificative ale prețurilor în construcții, deprecierea leului față de euro, precum și majorarea cotei de TVA de la 19% la 21%, aplicabilă din august 2025. În aceste condiții, s-a constatat că ajustările calculate inițial în cadrul proiectului nu mai acopereau evoluția reală a prețurilor.</w:t>
      </w:r>
    </w:p>
    <w:p>
      <w:pPr>
        <w:tabs>
          <w:tab w:val="left" w:pos="9497"/>
          <w:tab w:val="left" w:pos="10065"/>
        </w:tabs>
        <w:spacing w:before="120" w:after="120" w:line="300" w:lineRule="auto"/>
        <w:jc w:val="both"/>
        <w:rPr>
          <w:sz w:val="24"/>
          <w:szCs w:val="24"/>
          <w:lang w:val="ro-RO"/>
        </w:rPr>
      </w:pPr>
      <w:r>
        <w:rPr>
          <w:sz w:val="24"/>
          <w:szCs w:val="24"/>
          <w:lang w:val="ro-RO"/>
        </w:rPr>
        <w:t>Prin urmare, a fost necesară actualizarea valorii estimate a contractului CL 04, prin raportare la prețuri constante. Valoarea a fost determinată utilizând indicele costului în construcții, calculat ca medie anuală pentru fiecare an din perioada cuprinsă între anul estimării inițiale, 2018, și anul de bază al analizei revizuite, 2025.</w:t>
      </w:r>
    </w:p>
    <w:p>
      <w:pPr>
        <w:tabs>
          <w:tab w:val="left" w:pos="9497"/>
          <w:tab w:val="left" w:pos="10065"/>
        </w:tabs>
        <w:spacing w:before="120" w:after="120" w:line="300" w:lineRule="auto"/>
        <w:jc w:val="both"/>
        <w:rPr>
          <w:sz w:val="24"/>
          <w:szCs w:val="24"/>
          <w:lang w:val="ro-RO"/>
        </w:rPr>
      </w:pPr>
      <w:r>
        <w:rPr>
          <w:sz w:val="24"/>
          <w:szCs w:val="24"/>
          <w:lang w:val="ro-RO"/>
        </w:rPr>
        <w:t>Pentru calculul ajustărilor au fost utilizați indicatorii macroeconomici oficiali publicați de Comisia Națională de Strategie și Prognoză în documentul „Proiecția principalilor indicatori macroeconomici 2025–2028 – ediția de primăvară 2025”. Valoarea estimată, actualizată pentru analiza din 2025, a fost indexată cu indicatorul aferent anului 2026, considerat anul lansării procedurii. Pentru perioada 2027–2029, indexarea a fost corelată cu graficul de implementare. Perioada de implementare considerată, incluzând proiectarea și execuția, este ianuarie 2027 – decembrie 2029. În lipsa unor proiecții statistice pentru anul 2029, s-a presupus menținerea ratei de creștere aferente anului 2028.</w:t>
      </w:r>
    </w:p>
    <w:p>
      <w:pPr>
        <w:tabs>
          <w:tab w:val="left" w:pos="9497"/>
          <w:tab w:val="left" w:pos="10065"/>
        </w:tabs>
        <w:spacing w:before="120" w:after="120" w:line="300" w:lineRule="auto"/>
        <w:jc w:val="both"/>
        <w:rPr>
          <w:sz w:val="24"/>
          <w:szCs w:val="24"/>
          <w:lang w:val="ro-RO"/>
        </w:rPr>
      </w:pPr>
      <w:r>
        <w:rPr>
          <w:sz w:val="24"/>
          <w:szCs w:val="24"/>
          <w:lang w:val="ro-RO"/>
        </w:rPr>
        <w:t>Analiza actualizată a arătat că ajustarea realizată în 2023 nu a reflectat integral evoluțiile ulterioare ale indicilor din construcții. Recalcularea efectuată în prezenta evaluare surprinde mai fidel tendințele din perioada 2018–2025 și aliniază valoarea estimată la cele mai recente proiecții macroeconomice și la calendarul de implementare.</w:t>
      </w:r>
    </w:p>
    <w:p>
      <w:pPr>
        <w:tabs>
          <w:tab w:val="left" w:pos="9497"/>
          <w:tab w:val="left" w:pos="10065"/>
        </w:tabs>
        <w:spacing w:before="120" w:after="120" w:line="300" w:lineRule="auto"/>
        <w:jc w:val="both"/>
        <w:rPr>
          <w:sz w:val="24"/>
          <w:szCs w:val="24"/>
          <w:lang w:val="ro-RO"/>
        </w:rPr>
      </w:pPr>
      <w:r>
        <w:rPr>
          <w:sz w:val="24"/>
          <w:szCs w:val="24"/>
          <w:lang w:val="ro-RO"/>
        </w:rPr>
        <w:t>Valoarea estimată a procedurii a înregistrat astfel o creștere semnificativă, determinată de evoluția indicilor din construcții în contextul pandemiei SARS-CoV-2, al tensiunilor geopolitice din regiunea Mării Negre și al actualizărilor rezultate din reevaluările succesive ale pieței.</w:t>
      </w:r>
    </w:p>
    <w:p>
      <w:pPr>
        <w:tabs>
          <w:tab w:val="left" w:pos="9497"/>
          <w:tab w:val="left" w:pos="10065"/>
        </w:tabs>
        <w:spacing w:before="120" w:after="120" w:line="276" w:lineRule="auto"/>
        <w:jc w:val="both"/>
        <w:rPr>
          <w:sz w:val="24"/>
          <w:szCs w:val="24"/>
          <w:lang w:val="ro-RO"/>
        </w:rPr>
      </w:pPr>
      <w:r>
        <w:rPr>
          <w:b/>
          <w:bCs/>
          <w:sz w:val="24"/>
          <w:szCs w:val="24"/>
          <w:lang w:val="ro-RO"/>
        </w:rPr>
        <w:t>Pentru etapa de operare</w:t>
      </w:r>
      <w:r>
        <w:rPr>
          <w:sz w:val="24"/>
          <w:szCs w:val="24"/>
          <w:lang w:val="ro-RO"/>
        </w:rPr>
        <w:t>, s-a avut în vedere proiecția costurilor de operare și mentenanță pentru operarea celor două obiecte de investiție - Staţia de tratare mecano-biologică cu digestie anaerobă și recuperare de energie și Stația de transfer Galaţi - prevăzută în Analiza cost-beneficiu realizată pentru proiectul ”Sistemul de Management Integrat al Deșeurilor în județul Galați”. Analiza cost-beneficiu a fost revizuită în decembrie 2025, ca urmare a actualizării costurilor de investiție.</w:t>
      </w:r>
    </w:p>
    <w:p>
      <w:pPr>
        <w:spacing w:before="120" w:after="120" w:line="300" w:lineRule="auto"/>
        <w:jc w:val="both"/>
        <w:rPr>
          <w:sz w:val="24"/>
          <w:szCs w:val="24"/>
          <w:lang w:val="ro-RO" w:eastAsia="fr-FR"/>
        </w:rPr>
      </w:pPr>
      <w:r>
        <w:rPr>
          <w:sz w:val="24"/>
          <w:szCs w:val="24"/>
          <w:lang w:val="ro-RO"/>
        </w:rPr>
        <w:lastRenderedPageBreak/>
        <w:t xml:space="preserve">Trebuie precizat că OPEX-urile din analiza cost-beneficiu urmăresc principiile metodologice avute în vedere la fundamentarea </w:t>
      </w:r>
      <w:r>
        <w:rPr>
          <w:i/>
          <w:iCs/>
          <w:sz w:val="24"/>
          <w:szCs w:val="24"/>
          <w:lang w:val="ro-RO" w:eastAsia="fr-FR"/>
        </w:rPr>
        <w:t>tarifelor activităților de salubrizare</w:t>
      </w:r>
      <w:r>
        <w:rPr>
          <w:sz w:val="24"/>
          <w:szCs w:val="24"/>
          <w:lang w:val="ro-RO" w:eastAsia="fr-FR"/>
        </w:rPr>
        <w:t>, în conformitate cu prevederile din Ordinul ANSRC nr. 640/2022, cu modificările și completările ulterioare.</w:t>
      </w:r>
    </w:p>
    <w:p>
      <w:pPr>
        <w:spacing w:before="120" w:after="120" w:line="300" w:lineRule="auto"/>
        <w:jc w:val="both"/>
        <w:rPr>
          <w:sz w:val="24"/>
          <w:szCs w:val="24"/>
          <w:lang w:val="pt-BR" w:eastAsia="fr-FR"/>
        </w:rPr>
      </w:pPr>
      <w:r>
        <w:rPr>
          <w:sz w:val="24"/>
          <w:szCs w:val="24"/>
          <w:lang w:val="pt-BR" w:eastAsia="fr-FR"/>
        </w:rPr>
        <w:t>Principiile metodologice avute în vedere la fundamentarea valorii costurilor de operare și întreținere</w:t>
      </w:r>
      <w:r>
        <w:rPr>
          <w:sz w:val="24"/>
          <w:szCs w:val="24"/>
          <w:lang w:val="pt-BR"/>
        </w:rPr>
        <w:t xml:space="preserve"> </w:t>
      </w:r>
      <w:r>
        <w:rPr>
          <w:sz w:val="24"/>
          <w:szCs w:val="24"/>
          <w:lang w:val="pt-BR" w:eastAsia="fr-FR"/>
        </w:rPr>
        <w:t>sunt:</w:t>
      </w:r>
    </w:p>
    <w:p>
      <w:pPr>
        <w:pStyle w:val="ListParagraph"/>
        <w:numPr>
          <w:ilvl w:val="0"/>
          <w:numId w:val="27"/>
        </w:numPr>
        <w:spacing w:before="120" w:after="120" w:line="300" w:lineRule="auto"/>
        <w:jc w:val="both"/>
        <w:rPr>
          <w:sz w:val="24"/>
          <w:szCs w:val="24"/>
          <w:lang w:val="ro-RO"/>
        </w:rPr>
      </w:pPr>
      <w:r>
        <w:rPr>
          <w:sz w:val="24"/>
          <w:szCs w:val="24"/>
          <w:lang w:val="ro-RO"/>
        </w:rPr>
        <w:t>cheltuielile totale au avut în vedere cheltuielile de exploatare cu o structură asemănătoare celei prevăzute în anexele la Ordinul ANRSC nr. 640/2022, cheltuielile financiare și o cotă de profit rezonabilă;</w:t>
      </w:r>
    </w:p>
    <w:p>
      <w:pPr>
        <w:pStyle w:val="ListParagraph"/>
        <w:numPr>
          <w:ilvl w:val="0"/>
          <w:numId w:val="27"/>
        </w:numPr>
        <w:spacing w:before="120" w:after="120" w:line="300" w:lineRule="auto"/>
        <w:jc w:val="both"/>
        <w:rPr>
          <w:sz w:val="24"/>
          <w:szCs w:val="24"/>
          <w:lang w:val="ro-RO"/>
        </w:rPr>
      </w:pPr>
      <w:r>
        <w:rPr>
          <w:sz w:val="24"/>
          <w:szCs w:val="24"/>
          <w:lang w:val="ro-RO"/>
        </w:rPr>
        <w:t>cheltuielile de exploatare au avut în vedere doar cheltuielile de operare aferente activităților la care fac referire, fără a include în structura lor:</w:t>
      </w:r>
    </w:p>
    <w:p>
      <w:pPr>
        <w:pStyle w:val="ListParagraph"/>
        <w:numPr>
          <w:ilvl w:val="1"/>
          <w:numId w:val="27"/>
        </w:numPr>
        <w:spacing w:before="120" w:after="120" w:line="300" w:lineRule="auto"/>
        <w:jc w:val="both"/>
        <w:rPr>
          <w:sz w:val="24"/>
          <w:szCs w:val="24"/>
          <w:lang w:val="ro-RO"/>
        </w:rPr>
      </w:pPr>
      <w:r>
        <w:rPr>
          <w:sz w:val="24"/>
          <w:szCs w:val="24"/>
          <w:lang w:val="ro-RO"/>
        </w:rPr>
        <w:t>alte cheltuieli de pe fluxul deșeurilor municipale (de exemplu, cheltuieli cu depozitarea reziduurilor);</w:t>
      </w:r>
    </w:p>
    <w:p>
      <w:pPr>
        <w:pStyle w:val="ListParagraph"/>
        <w:numPr>
          <w:ilvl w:val="1"/>
          <w:numId w:val="27"/>
        </w:numPr>
        <w:spacing w:before="120" w:after="120" w:line="300" w:lineRule="auto"/>
        <w:jc w:val="both"/>
        <w:rPr>
          <w:sz w:val="24"/>
          <w:szCs w:val="24"/>
          <w:lang w:val="ro-RO"/>
        </w:rPr>
      </w:pPr>
      <w:r>
        <w:rPr>
          <w:sz w:val="24"/>
          <w:szCs w:val="24"/>
          <w:lang w:val="ro-RO"/>
        </w:rPr>
        <w:t>cheltuieli cu contribuția pentru economia circulară;</w:t>
      </w:r>
    </w:p>
    <w:p>
      <w:pPr>
        <w:pStyle w:val="ListParagraph"/>
        <w:numPr>
          <w:ilvl w:val="1"/>
          <w:numId w:val="27"/>
        </w:numPr>
        <w:spacing w:before="120" w:after="120" w:line="300" w:lineRule="auto"/>
        <w:jc w:val="both"/>
        <w:rPr>
          <w:sz w:val="24"/>
          <w:szCs w:val="24"/>
          <w:lang w:val="ro-RO" w:eastAsia="de-DE"/>
        </w:rPr>
      </w:pPr>
      <w:r>
        <w:rPr>
          <w:sz w:val="24"/>
          <w:szCs w:val="24"/>
          <w:lang w:val="ro-RO"/>
        </w:rPr>
        <w:t>veniturile estimate din valorificarea deșeurilor reciclabile/vânzarea de compost și din sumele încasate de la organizațiile care implementează răspunderea extinsă a producătorilor.</w:t>
      </w:r>
    </w:p>
    <w:p>
      <w:pPr>
        <w:pStyle w:val="ListParagraph"/>
        <w:numPr>
          <w:ilvl w:val="0"/>
          <w:numId w:val="27"/>
        </w:numPr>
        <w:spacing w:before="120" w:after="120" w:line="300" w:lineRule="auto"/>
        <w:jc w:val="both"/>
        <w:rPr>
          <w:sz w:val="24"/>
          <w:szCs w:val="24"/>
          <w:lang w:val="ro-RO"/>
        </w:rPr>
      </w:pPr>
      <w:r>
        <w:rPr>
          <w:sz w:val="24"/>
          <w:szCs w:val="24"/>
          <w:lang w:val="ro-RO"/>
        </w:rPr>
        <w:t>în structura pe elemente de cheltuieli nu au fost incluse provizioane, amenzi, penalități, despăgubiri și sponsorizări;</w:t>
      </w:r>
    </w:p>
    <w:p>
      <w:pPr>
        <w:pStyle w:val="ListParagraph"/>
        <w:numPr>
          <w:ilvl w:val="0"/>
          <w:numId w:val="27"/>
        </w:numPr>
        <w:spacing w:before="120" w:after="120" w:line="300" w:lineRule="auto"/>
        <w:jc w:val="both"/>
        <w:rPr>
          <w:sz w:val="24"/>
          <w:szCs w:val="24"/>
          <w:lang w:val="ro-RO"/>
        </w:rPr>
      </w:pPr>
      <w:r>
        <w:rPr>
          <w:sz w:val="24"/>
          <w:szCs w:val="24"/>
          <w:lang w:val="ro-RO"/>
        </w:rPr>
        <w:t>cheltuielile au fost împărțite în două categorii: costuri fixe și costuri variabile;</w:t>
      </w:r>
    </w:p>
    <w:p>
      <w:pPr>
        <w:pStyle w:val="ListParagraph"/>
        <w:numPr>
          <w:ilvl w:val="0"/>
          <w:numId w:val="27"/>
        </w:numPr>
        <w:spacing w:before="120" w:after="120" w:line="300" w:lineRule="auto"/>
        <w:jc w:val="both"/>
        <w:rPr>
          <w:sz w:val="24"/>
          <w:szCs w:val="24"/>
          <w:lang w:val="ro-RO"/>
        </w:rPr>
      </w:pPr>
      <w:r>
        <w:rPr>
          <w:sz w:val="24"/>
          <w:szCs w:val="24"/>
          <w:lang w:val="ro-RO"/>
        </w:rPr>
        <w:t>costurile variabile au fost estimate în euro/tonă pe baza experienței elaboratorului Studiului de fezabilitate, având în vedere consumurile de combustibili, energie electrică și alte materiale consumabile ale instalațiilor și echipamentelor prevăzute în operarea obiectivului de investiție ”Stație de transfer și stație de tratare mecano-biologică cu digestor Galați”;</w:t>
      </w:r>
    </w:p>
    <w:p>
      <w:pPr>
        <w:pStyle w:val="ListParagraph"/>
        <w:numPr>
          <w:ilvl w:val="0"/>
          <w:numId w:val="27"/>
        </w:numPr>
        <w:spacing w:before="120" w:after="120" w:line="300" w:lineRule="auto"/>
        <w:jc w:val="both"/>
        <w:rPr>
          <w:sz w:val="24"/>
          <w:szCs w:val="24"/>
          <w:lang w:val="ro-RO"/>
        </w:rPr>
      </w:pPr>
      <w:r>
        <w:rPr>
          <w:sz w:val="24"/>
          <w:szCs w:val="24"/>
          <w:lang w:val="ro-RO"/>
        </w:rPr>
        <w:t>costurile fixe au fost estimate pe baza ipotezelor prevăzute în Studiul de fezabilitate cu privire la mentenanța și întreținerea construcțiilor, echipamentelor fixe și mobile, a amortizării investițiilor puse în seama operatorului și a altor costuri fixe specifice operării obiectivului de investiție ”Stație de transfer și stație de tratare mecano-biologică cu digestor Galați”;</w:t>
      </w:r>
    </w:p>
    <w:p>
      <w:pPr>
        <w:spacing w:before="120" w:after="120"/>
        <w:jc w:val="both"/>
        <w:rPr>
          <w:sz w:val="24"/>
          <w:szCs w:val="24"/>
          <w:lang w:val="ro-RO"/>
        </w:rPr>
      </w:pPr>
    </w:p>
    <w:p>
      <w:pPr>
        <w:spacing w:before="120" w:after="120"/>
        <w:jc w:val="both"/>
        <w:rPr>
          <w:sz w:val="24"/>
          <w:szCs w:val="24"/>
          <w:lang w:val="ro-RO"/>
        </w:rPr>
      </w:pPr>
      <w:r>
        <w:rPr>
          <w:sz w:val="24"/>
          <w:szCs w:val="24"/>
          <w:lang w:val="ro-RO"/>
        </w:rPr>
        <w:t>Calculul redevenței anuale, detaliat pe fiecare activitate componentă a serviciului de salubrizare care va face obiectul delegării, se regăsește în tabelele următoare.</w:t>
      </w: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Tabel</w:t>
      </w:r>
      <w:r>
        <w:rPr>
          <w:rFonts w:ascii="Times New Roman" w:hAnsi="Times New Roman" w:cs="Times New Roman"/>
          <w:color w:val="auto"/>
          <w:sz w:val="24"/>
          <w:szCs w:val="24"/>
        </w:rPr>
        <w:t xml:space="preserve">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2</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Calculul redevenței pentru activitatea de tratare anaerobă a biodeșeurilor colectate separat în instalații de digestie anaerobă</w:t>
      </w:r>
    </w:p>
    <w:tbl>
      <w:tblPr>
        <w:tblStyle w:val="ListTable3"/>
        <w:tblW w:w="0" w:type="auto"/>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ook w:val="04A0" w:firstRow="1" w:lastRow="0" w:firstColumn="1" w:lastColumn="0" w:noHBand="0" w:noVBand="1"/>
      </w:tblPr>
      <w:tblGrid>
        <w:gridCol w:w="3205"/>
        <w:gridCol w:w="1477"/>
        <w:gridCol w:w="1838"/>
        <w:gridCol w:w="2394"/>
      </w:tblGrid>
      <w:tr>
        <w:trPr>
          <w:cnfStyle w:val="100000000000" w:firstRow="1" w:lastRow="0" w:firstColumn="0" w:lastColumn="0" w:oddVBand="0" w:evenVBand="0" w:oddHBand="0" w:evenHBand="0" w:firstRowFirstColumn="0" w:firstRowLastColumn="0" w:lastRowFirstColumn="0" w:lastRowLastColumn="0"/>
          <w:trHeight w:val="78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984806" w:themeFill="accent6" w:themeFillShade="80"/>
            <w:hideMark/>
          </w:tcPr>
          <w:p>
            <w:pPr>
              <w:jc w:val="center"/>
              <w:rPr>
                <w:lang w:eastAsia="ro-RO"/>
              </w:rPr>
            </w:pPr>
            <w:r>
              <w:rPr>
                <w:lang w:eastAsia="ro-RO"/>
              </w:rPr>
              <w:t>Obiect investiție</w:t>
            </w:r>
          </w:p>
        </w:tc>
        <w:tc>
          <w:tcPr>
            <w:tcW w:w="0" w:type="auto"/>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 xml:space="preserve">Valoare 2025 </w:t>
            </w:r>
          </w:p>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(lei, fără TVA)</w:t>
            </w:r>
          </w:p>
        </w:tc>
        <w:tc>
          <w:tcPr>
            <w:tcW w:w="0" w:type="auto"/>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Durata de utilizare</w:t>
            </w:r>
          </w:p>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 xml:space="preserve"> (ani)</w:t>
            </w:r>
          </w:p>
        </w:tc>
        <w:tc>
          <w:tcPr>
            <w:tcW w:w="0" w:type="auto"/>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Redevența anuală (lei/an)</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rPr>
                <w:b w:val="0"/>
                <w:bCs w:val="0"/>
                <w:lang w:eastAsia="ro-RO"/>
              </w:rPr>
            </w:pPr>
            <w:r>
              <w:rPr>
                <w:lang w:eastAsia="ro-RO"/>
              </w:rPr>
              <w:t xml:space="preserve">Construcții </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37.790.163</w:t>
            </w:r>
          </w:p>
        </w:tc>
        <w:tc>
          <w:tcPr>
            <w:tcW w:w="0" w:type="auto"/>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30</w:t>
            </w:r>
          </w:p>
        </w:tc>
        <w:tc>
          <w:tcPr>
            <w:tcW w:w="0" w:type="auto"/>
            <w:tcBorders>
              <w:top w:val="none" w:sz="0" w:space="0" w:color="auto"/>
              <w:bottom w:val="none" w:sz="0" w:space="0" w:color="auto"/>
            </w:tcBorders>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1.259.672</w:t>
            </w:r>
          </w:p>
        </w:tc>
      </w:tr>
      <w:tr>
        <w:trPr>
          <w:trHeight w:val="26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rPr>
                <w:b w:val="0"/>
                <w:bCs w:val="0"/>
                <w:lang w:val="pt-BR" w:eastAsia="ro-RO"/>
              </w:rPr>
            </w:pPr>
            <w:r>
              <w:rPr>
                <w:lang w:val="pt-BR" w:eastAsia="ro-RO"/>
              </w:rPr>
              <w:t>Instalații și echipamente cu montaj</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323232"/>
              </w:rPr>
              <w:t>109.445.414</w:t>
            </w:r>
          </w:p>
        </w:tc>
        <w:tc>
          <w:tcPr>
            <w:tcW w:w="0" w:type="auto"/>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t>15</w:t>
            </w:r>
          </w:p>
        </w:tc>
        <w:tc>
          <w:tcPr>
            <w:tcW w:w="0" w:type="auto"/>
            <w:vAlign w:val="center"/>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323232"/>
              </w:rPr>
              <w:t>7.296.361</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rPr>
                <w:b w:val="0"/>
                <w:bCs w:val="0"/>
                <w:lang w:eastAsia="ro-RO"/>
              </w:rPr>
            </w:pPr>
            <w:r>
              <w:rPr>
                <w:lang w:eastAsia="ro-RO"/>
              </w:rPr>
              <w:t>Echipamente mobile</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3.400.375</w:t>
            </w:r>
          </w:p>
        </w:tc>
        <w:tc>
          <w:tcPr>
            <w:tcW w:w="0" w:type="auto"/>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10</w:t>
            </w:r>
          </w:p>
        </w:tc>
        <w:tc>
          <w:tcPr>
            <w:tcW w:w="0" w:type="auto"/>
            <w:tcBorders>
              <w:top w:val="none" w:sz="0" w:space="0" w:color="auto"/>
              <w:bottom w:val="none" w:sz="0" w:space="0" w:color="auto"/>
            </w:tcBorders>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340.037</w:t>
            </w:r>
          </w:p>
        </w:tc>
      </w:tr>
      <w:tr>
        <w:trPr>
          <w:trHeight w:val="27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pPr>
              <w:rPr>
                <w:b w:val="0"/>
                <w:bCs w:val="0"/>
                <w:lang w:eastAsia="ro-RO"/>
              </w:rPr>
            </w:pPr>
            <w:r>
              <w:rPr>
                <w:lang w:eastAsia="ro-RO"/>
              </w:rPr>
              <w:t xml:space="preserve">TOTAL INVESTITII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323232"/>
              </w:rPr>
              <w:t>150.635.951</w:t>
            </w:r>
          </w:p>
        </w:tc>
        <w:tc>
          <w:tcPr>
            <w:tcW w:w="0" w:type="auto"/>
            <w:noWrap/>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rPr>
              <w:t> </w:t>
            </w:r>
          </w:p>
        </w:tc>
        <w:tc>
          <w:tcPr>
            <w:tcW w:w="0" w:type="auto"/>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323232"/>
              </w:rPr>
              <w:t>8.896.070</w:t>
            </w:r>
          </w:p>
        </w:tc>
      </w:tr>
    </w:tbl>
    <w:p/>
    <w:p>
      <w:pPr>
        <w:pStyle w:val="Caption"/>
        <w:spacing w:before="120" w:after="120" w:line="300" w:lineRule="auto"/>
        <w:jc w:val="both"/>
        <w:rPr>
          <w:rFonts w:ascii="Times New Roman" w:hAnsi="Times New Roman" w:cs="Times New Roman"/>
          <w:color w:val="auto"/>
          <w:sz w:val="22"/>
          <w:szCs w:val="22"/>
        </w:rPr>
      </w:pP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Calculul redevenței pentru activitatea de tratare mecanobiologică a deșeurilor reziduale în instalațiile de tratare mecanobiologice sau, după caz, în instalațiile integrate de tratare</w:t>
      </w:r>
    </w:p>
    <w:tbl>
      <w:tblPr>
        <w:tblStyle w:val="ListTable3"/>
        <w:tblW w:w="0" w:type="auto"/>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4A0" w:firstRow="1" w:lastRow="0" w:firstColumn="1" w:lastColumn="0" w:noHBand="0" w:noVBand="1"/>
      </w:tblPr>
      <w:tblGrid>
        <w:gridCol w:w="3256"/>
        <w:gridCol w:w="1559"/>
        <w:gridCol w:w="1843"/>
        <w:gridCol w:w="2195"/>
      </w:tblGrid>
      <w:tr>
        <w:trPr>
          <w:cnfStyle w:val="100000000000" w:firstRow="1" w:lastRow="0" w:firstColumn="0" w:lastColumn="0" w:oddVBand="0" w:evenVBand="0" w:oddHBand="0" w:evenHBand="0" w:firstRowFirstColumn="0" w:firstRowLastColumn="0" w:lastRowFirstColumn="0" w:lastRowLastColumn="0"/>
          <w:trHeight w:val="780"/>
        </w:trPr>
        <w:tc>
          <w:tcPr>
            <w:cnfStyle w:val="001000000100" w:firstRow="0" w:lastRow="0" w:firstColumn="1" w:lastColumn="0" w:oddVBand="0" w:evenVBand="0" w:oddHBand="0" w:evenHBand="0" w:firstRowFirstColumn="1" w:firstRowLastColumn="0" w:lastRowFirstColumn="0" w:lastRowLastColumn="0"/>
            <w:tcW w:w="3256" w:type="dxa"/>
            <w:tcBorders>
              <w:bottom w:val="none" w:sz="0" w:space="0" w:color="auto"/>
              <w:right w:val="none" w:sz="0" w:space="0" w:color="auto"/>
            </w:tcBorders>
            <w:shd w:val="clear" w:color="auto" w:fill="984806" w:themeFill="accent6" w:themeFillShade="80"/>
            <w:hideMark/>
          </w:tcPr>
          <w:p>
            <w:pPr>
              <w:jc w:val="center"/>
              <w:rPr>
                <w:lang w:eastAsia="ro-RO"/>
              </w:rPr>
            </w:pPr>
            <w:r>
              <w:rPr>
                <w:lang w:eastAsia="ro-RO"/>
              </w:rPr>
              <w:t>Obiect investiție</w:t>
            </w:r>
          </w:p>
        </w:tc>
        <w:tc>
          <w:tcPr>
            <w:tcW w:w="1559" w:type="dxa"/>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 xml:space="preserve">Valoare 2025 </w:t>
            </w:r>
          </w:p>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(lei, fără TVA)</w:t>
            </w:r>
          </w:p>
        </w:tc>
        <w:tc>
          <w:tcPr>
            <w:tcW w:w="1843" w:type="dxa"/>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Durata de utilizare</w:t>
            </w:r>
          </w:p>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 xml:space="preserve"> (ani)</w:t>
            </w:r>
          </w:p>
        </w:tc>
        <w:tc>
          <w:tcPr>
            <w:tcW w:w="2195"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 xml:space="preserve">Redevența anuală </w:t>
            </w:r>
          </w:p>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(lei/an)</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right w:val="none" w:sz="0" w:space="0" w:color="auto"/>
            </w:tcBorders>
            <w:hideMark/>
          </w:tcPr>
          <w:p>
            <w:pPr>
              <w:rPr>
                <w:b w:val="0"/>
                <w:bCs w:val="0"/>
                <w:lang w:eastAsia="ro-RO"/>
              </w:rPr>
            </w:pPr>
            <w:r>
              <w:rPr>
                <w:lang w:eastAsia="ro-RO"/>
              </w:rPr>
              <w:t xml:space="preserve">Construcții </w:t>
            </w:r>
          </w:p>
        </w:tc>
        <w:tc>
          <w:tcPr>
            <w:tcW w:w="1559" w:type="dxa"/>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31.543.527</w:t>
            </w:r>
          </w:p>
        </w:tc>
        <w:tc>
          <w:tcPr>
            <w:tcW w:w="1843"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30</w:t>
            </w:r>
          </w:p>
        </w:tc>
        <w:tc>
          <w:tcPr>
            <w:tcW w:w="2195" w:type="dxa"/>
            <w:tcBorders>
              <w:top w:val="none" w:sz="0" w:space="0" w:color="auto"/>
              <w:bottom w:val="none" w:sz="0" w:space="0" w:color="auto"/>
            </w:tcBorders>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1.051.451</w:t>
            </w:r>
          </w:p>
        </w:tc>
      </w:tr>
      <w:tr>
        <w:trPr>
          <w:trHeight w:val="26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hideMark/>
          </w:tcPr>
          <w:p>
            <w:pPr>
              <w:rPr>
                <w:b w:val="0"/>
                <w:bCs w:val="0"/>
                <w:lang w:val="pt-BR" w:eastAsia="ro-RO"/>
              </w:rPr>
            </w:pPr>
            <w:r>
              <w:rPr>
                <w:lang w:val="pt-BR" w:eastAsia="ro-RO"/>
              </w:rPr>
              <w:t>Instalații și echipamente cu montaj</w:t>
            </w:r>
          </w:p>
        </w:tc>
        <w:tc>
          <w:tcPr>
            <w:tcW w:w="1559" w:type="dxa"/>
            <w:noWrap/>
            <w:vAlign w:val="center"/>
            <w:hideMark/>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323232"/>
              </w:rPr>
              <w:t>91.354.314</w:t>
            </w:r>
          </w:p>
        </w:tc>
        <w:tc>
          <w:tcPr>
            <w:tcW w:w="1843"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t>15</w:t>
            </w:r>
          </w:p>
        </w:tc>
        <w:tc>
          <w:tcPr>
            <w:tcW w:w="2195" w:type="dxa"/>
            <w:vAlign w:val="center"/>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323232"/>
              </w:rPr>
              <w:t>6.090.288</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right w:val="none" w:sz="0" w:space="0" w:color="auto"/>
            </w:tcBorders>
            <w:hideMark/>
          </w:tcPr>
          <w:p>
            <w:pPr>
              <w:rPr>
                <w:b w:val="0"/>
                <w:bCs w:val="0"/>
                <w:lang w:eastAsia="ro-RO"/>
              </w:rPr>
            </w:pPr>
            <w:r>
              <w:rPr>
                <w:lang w:eastAsia="ro-RO"/>
              </w:rPr>
              <w:t>Echipamente mobile</w:t>
            </w:r>
          </w:p>
        </w:tc>
        <w:tc>
          <w:tcPr>
            <w:tcW w:w="1559" w:type="dxa"/>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2.838.300</w:t>
            </w:r>
          </w:p>
        </w:tc>
        <w:tc>
          <w:tcPr>
            <w:tcW w:w="1843"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10</w:t>
            </w:r>
          </w:p>
        </w:tc>
        <w:tc>
          <w:tcPr>
            <w:tcW w:w="2195" w:type="dxa"/>
            <w:tcBorders>
              <w:top w:val="none" w:sz="0" w:space="0" w:color="auto"/>
              <w:bottom w:val="none" w:sz="0" w:space="0" w:color="auto"/>
            </w:tcBorders>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323232"/>
              </w:rPr>
              <w:t>283.830</w:t>
            </w:r>
          </w:p>
        </w:tc>
      </w:tr>
      <w:tr>
        <w:trPr>
          <w:trHeight w:val="275"/>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noWrap/>
            <w:hideMark/>
          </w:tcPr>
          <w:p>
            <w:pPr>
              <w:rPr>
                <w:b w:val="0"/>
                <w:bCs w:val="0"/>
                <w:lang w:eastAsia="ro-RO"/>
              </w:rPr>
            </w:pPr>
            <w:r>
              <w:rPr>
                <w:lang w:eastAsia="ro-RO"/>
              </w:rPr>
              <w:t xml:space="preserve">TOTAL INVESTITII </w:t>
            </w:r>
          </w:p>
        </w:tc>
        <w:tc>
          <w:tcPr>
            <w:tcW w:w="1559" w:type="dxa"/>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323232"/>
              </w:rPr>
              <w:t>125.736.141</w:t>
            </w:r>
          </w:p>
        </w:tc>
        <w:tc>
          <w:tcPr>
            <w:tcW w:w="1843" w:type="dxa"/>
            <w:noWrap/>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rPr>
              <w:t> </w:t>
            </w:r>
          </w:p>
        </w:tc>
        <w:tc>
          <w:tcPr>
            <w:tcW w:w="2195" w:type="dxa"/>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323232"/>
              </w:rPr>
              <w:t>7.425.568</w:t>
            </w:r>
          </w:p>
        </w:tc>
      </w:tr>
    </w:tbl>
    <w:p>
      <w:pPr>
        <w:spacing w:before="120" w:after="120"/>
        <w:jc w:val="both"/>
        <w:rPr>
          <w:i/>
          <w:iCs/>
        </w:rPr>
      </w:pPr>
      <w:r>
        <w:rPr>
          <w:i/>
          <w:iCs/>
        </w:rPr>
        <w:t>Sursa: Calcule Consultant pe baza Analizei cost beneficiu pentru proiectul „Sistem integrat de management al deșeurilor în județul Galați” – revizie martie 2026</w:t>
      </w:r>
    </w:p>
    <w:p>
      <w:pPr>
        <w:spacing w:before="120" w:after="120"/>
        <w:jc w:val="both"/>
      </w:pP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4</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Calculul redevenței pentru activitatea de transfer al deșeurilor municipale în stații de transfer</w:t>
      </w:r>
    </w:p>
    <w:tbl>
      <w:tblPr>
        <w:tblStyle w:val="ListTable3"/>
        <w:tblW w:w="0" w:type="auto"/>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4A0" w:firstRow="1" w:lastRow="0" w:firstColumn="1" w:lastColumn="0" w:noHBand="0" w:noVBand="1"/>
      </w:tblPr>
      <w:tblGrid>
        <w:gridCol w:w="3539"/>
        <w:gridCol w:w="1418"/>
        <w:gridCol w:w="2126"/>
        <w:gridCol w:w="2006"/>
      </w:tblGrid>
      <w:tr>
        <w:trPr>
          <w:cnfStyle w:val="100000000000" w:firstRow="1" w:lastRow="0" w:firstColumn="0" w:lastColumn="0" w:oddVBand="0" w:evenVBand="0" w:oddHBand="0" w:evenHBand="0" w:firstRowFirstColumn="0" w:firstRowLastColumn="0" w:lastRowFirstColumn="0" w:lastRowLastColumn="0"/>
          <w:trHeight w:val="780"/>
        </w:trPr>
        <w:tc>
          <w:tcPr>
            <w:cnfStyle w:val="001000000100" w:firstRow="0" w:lastRow="0" w:firstColumn="1" w:lastColumn="0" w:oddVBand="0" w:evenVBand="0" w:oddHBand="0" w:evenHBand="0" w:firstRowFirstColumn="1" w:firstRowLastColumn="0" w:lastRowFirstColumn="0" w:lastRowLastColumn="0"/>
            <w:tcW w:w="3539" w:type="dxa"/>
            <w:shd w:val="clear" w:color="auto" w:fill="984806" w:themeFill="accent6" w:themeFillShade="80"/>
            <w:hideMark/>
          </w:tcPr>
          <w:p>
            <w:pPr>
              <w:jc w:val="center"/>
              <w:rPr>
                <w:lang w:eastAsia="ro-RO"/>
              </w:rPr>
            </w:pPr>
            <w:r>
              <w:rPr>
                <w:lang w:eastAsia="ro-RO"/>
              </w:rPr>
              <w:t>Obiect investiție</w:t>
            </w:r>
          </w:p>
        </w:tc>
        <w:tc>
          <w:tcPr>
            <w:tcW w:w="1418" w:type="dxa"/>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 xml:space="preserve">Valoare 2025 </w:t>
            </w:r>
          </w:p>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(lei, fără TVA)</w:t>
            </w:r>
          </w:p>
        </w:tc>
        <w:tc>
          <w:tcPr>
            <w:tcW w:w="2126" w:type="dxa"/>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Durata de utilizare</w:t>
            </w:r>
          </w:p>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 xml:space="preserve"> (ani)</w:t>
            </w:r>
          </w:p>
        </w:tc>
        <w:tc>
          <w:tcPr>
            <w:tcW w:w="2006"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 xml:space="preserve">Redevența anuală </w:t>
            </w:r>
          </w:p>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(lei/an)</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089" w:type="dxa"/>
            <w:gridSpan w:val="4"/>
          </w:tcPr>
          <w:p>
            <w:pPr>
              <w:rPr>
                <w:lang w:val="pt-BR"/>
              </w:rPr>
            </w:pPr>
            <w:r>
              <w:rPr>
                <w:lang w:val="pt-BR"/>
              </w:rPr>
              <w:t>Transferul deşeurilor de hârtie, metal, plastic şi sticlă</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tcPr>
          <w:p>
            <w:pPr>
              <w:rPr>
                <w:b w:val="0"/>
                <w:bCs w:val="0"/>
                <w:lang w:eastAsia="ro-RO"/>
              </w:rPr>
            </w:pPr>
            <w:r>
              <w:rPr>
                <w:lang w:eastAsia="ro-RO"/>
              </w:rPr>
              <w:t xml:space="preserve">Construcții </w:t>
            </w:r>
          </w:p>
        </w:tc>
        <w:tc>
          <w:tcPr>
            <w:tcW w:w="1418" w:type="dxa"/>
            <w:noWrap/>
            <w:vAlign w:val="center"/>
          </w:tcPr>
          <w:p>
            <w:pPr>
              <w:jc w:val="right"/>
              <w:cnfStyle w:val="000000000000" w:firstRow="0" w:lastRow="0" w:firstColumn="0" w:lastColumn="0" w:oddVBand="0" w:evenVBand="0" w:oddHBand="0" w:evenHBand="0" w:firstRowFirstColumn="0" w:firstRowLastColumn="0" w:lastRowFirstColumn="0" w:lastRowLastColumn="0"/>
            </w:pPr>
            <w:r>
              <w:rPr>
                <w:color w:val="323232"/>
              </w:rPr>
              <w:t>545.261</w:t>
            </w:r>
          </w:p>
        </w:tc>
        <w:tc>
          <w:tcPr>
            <w:tcW w:w="2126"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t>30</w:t>
            </w:r>
          </w:p>
        </w:tc>
        <w:tc>
          <w:tcPr>
            <w:tcW w:w="2006"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323232"/>
              </w:rPr>
              <w:t>18.175</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Pr>
          <w:p>
            <w:pPr>
              <w:rPr>
                <w:b w:val="0"/>
                <w:bCs w:val="0"/>
                <w:lang w:val="pt-BR" w:eastAsia="ro-RO"/>
              </w:rPr>
            </w:pPr>
            <w:r>
              <w:rPr>
                <w:lang w:val="pt-BR" w:eastAsia="ro-RO"/>
              </w:rPr>
              <w:t>Instalații și echipamente cu montaj</w:t>
            </w:r>
          </w:p>
        </w:tc>
        <w:tc>
          <w:tcPr>
            <w:tcW w:w="1418" w:type="dxa"/>
            <w:noWrap/>
            <w:vAlign w:val="center"/>
          </w:tcPr>
          <w:p>
            <w:pPr>
              <w:jc w:val="right"/>
              <w:cnfStyle w:val="000000100000" w:firstRow="0" w:lastRow="0" w:firstColumn="0" w:lastColumn="0" w:oddVBand="0" w:evenVBand="0" w:oddHBand="1" w:evenHBand="0" w:firstRowFirstColumn="0" w:firstRowLastColumn="0" w:lastRowFirstColumn="0" w:lastRowLastColumn="0"/>
            </w:pPr>
            <w:r>
              <w:rPr>
                <w:color w:val="323232"/>
              </w:rPr>
              <w:t>389.703</w:t>
            </w:r>
          </w:p>
        </w:tc>
        <w:tc>
          <w:tcPr>
            <w:tcW w:w="2126" w:type="dxa"/>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15</w:t>
            </w:r>
          </w:p>
        </w:tc>
        <w:tc>
          <w:tcPr>
            <w:tcW w:w="2006"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323232"/>
              </w:rPr>
              <w:t>25.980</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tcPr>
          <w:p>
            <w:pPr>
              <w:rPr>
                <w:b w:val="0"/>
                <w:bCs w:val="0"/>
                <w:lang w:eastAsia="ro-RO"/>
              </w:rPr>
            </w:pPr>
            <w:r>
              <w:rPr>
                <w:lang w:eastAsia="ro-RO"/>
              </w:rPr>
              <w:t>Echipamente mobile</w:t>
            </w:r>
          </w:p>
        </w:tc>
        <w:tc>
          <w:tcPr>
            <w:tcW w:w="1418" w:type="dxa"/>
            <w:noWrap/>
            <w:vAlign w:val="center"/>
          </w:tcPr>
          <w:p>
            <w:pPr>
              <w:jc w:val="right"/>
              <w:cnfStyle w:val="000000000000" w:firstRow="0" w:lastRow="0" w:firstColumn="0" w:lastColumn="0" w:oddVBand="0" w:evenVBand="0" w:oddHBand="0" w:evenHBand="0" w:firstRowFirstColumn="0" w:firstRowLastColumn="0" w:lastRowFirstColumn="0" w:lastRowLastColumn="0"/>
            </w:pPr>
            <w:r>
              <w:rPr>
                <w:color w:val="323232"/>
              </w:rPr>
              <w:t>833.589</w:t>
            </w:r>
          </w:p>
        </w:tc>
        <w:tc>
          <w:tcPr>
            <w:tcW w:w="2126"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t>10</w:t>
            </w:r>
          </w:p>
        </w:tc>
        <w:tc>
          <w:tcPr>
            <w:tcW w:w="2006"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323232"/>
              </w:rPr>
              <w:t>83.359</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Pr>
          <w:p>
            <w:pPr>
              <w:jc w:val="right"/>
              <w:rPr>
                <w:lang w:eastAsia="ro-RO"/>
              </w:rPr>
            </w:pPr>
            <w:r>
              <w:rPr>
                <w:lang w:eastAsia="ro-RO"/>
              </w:rPr>
              <w:t>SUBTOTAL</w:t>
            </w:r>
          </w:p>
        </w:tc>
        <w:tc>
          <w:tcPr>
            <w:tcW w:w="1418" w:type="dxa"/>
            <w:noWrap/>
            <w:vAlign w:val="center"/>
          </w:tcPr>
          <w:p>
            <w:pPr>
              <w:jc w:val="right"/>
              <w:cnfStyle w:val="000000100000" w:firstRow="0" w:lastRow="0" w:firstColumn="0" w:lastColumn="0" w:oddVBand="0" w:evenVBand="0" w:oddHBand="1" w:evenHBand="0" w:firstRowFirstColumn="0" w:firstRowLastColumn="0" w:lastRowFirstColumn="0" w:lastRowLastColumn="0"/>
              <w:rPr>
                <w:b/>
                <w:bCs/>
              </w:rPr>
            </w:pPr>
            <w:r>
              <w:rPr>
                <w:b/>
                <w:bCs/>
                <w:color w:val="323232"/>
              </w:rPr>
              <w:t>1.768.554</w:t>
            </w:r>
          </w:p>
        </w:tc>
        <w:tc>
          <w:tcPr>
            <w:tcW w:w="2126" w:type="dxa"/>
            <w:noWrap/>
            <w:vAlign w:val="center"/>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rPr>
              <w:t> </w:t>
            </w:r>
          </w:p>
        </w:tc>
        <w:tc>
          <w:tcPr>
            <w:tcW w:w="2006" w:type="dxa"/>
            <w:vAlign w:val="center"/>
          </w:tcPr>
          <w:p>
            <w:pPr>
              <w:jc w:val="right"/>
              <w:cnfStyle w:val="000000100000" w:firstRow="0" w:lastRow="0" w:firstColumn="0" w:lastColumn="0" w:oddVBand="0" w:evenVBand="0" w:oddHBand="1" w:evenHBand="0" w:firstRowFirstColumn="0" w:firstRowLastColumn="0" w:lastRowFirstColumn="0" w:lastRowLastColumn="0"/>
              <w:rPr>
                <w:b/>
                <w:bCs/>
              </w:rPr>
            </w:pPr>
            <w:r>
              <w:rPr>
                <w:b/>
                <w:bCs/>
                <w:color w:val="323232"/>
              </w:rPr>
              <w:t>127.515</w:t>
            </w:r>
          </w:p>
        </w:tc>
      </w:tr>
      <w:tr>
        <w:trPr>
          <w:trHeight w:val="260"/>
        </w:trPr>
        <w:tc>
          <w:tcPr>
            <w:cnfStyle w:val="001000000000" w:firstRow="0" w:lastRow="0" w:firstColumn="1" w:lastColumn="0" w:oddVBand="0" w:evenVBand="0" w:oddHBand="0" w:evenHBand="0" w:firstRowFirstColumn="0" w:firstRowLastColumn="0" w:lastRowFirstColumn="0" w:lastRowLastColumn="0"/>
            <w:tcW w:w="9089" w:type="dxa"/>
            <w:gridSpan w:val="4"/>
          </w:tcPr>
          <w:p>
            <w:pPr>
              <w:rPr>
                <w:lang w:val="pt-BR"/>
              </w:rPr>
            </w:pPr>
            <w:r>
              <w:rPr>
                <w:lang w:val="pt-BR"/>
              </w:rPr>
              <w:t>Transferul deșeurilor reziduale, inclusiv a reziduurilor menajere şi similare</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Pr>
          <w:p>
            <w:pPr>
              <w:rPr>
                <w:b w:val="0"/>
                <w:bCs w:val="0"/>
                <w:lang w:eastAsia="ro-RO"/>
              </w:rPr>
            </w:pPr>
            <w:r>
              <w:rPr>
                <w:lang w:eastAsia="ro-RO"/>
              </w:rPr>
              <w:t xml:space="preserve">Construcții </w:t>
            </w:r>
          </w:p>
        </w:tc>
        <w:tc>
          <w:tcPr>
            <w:tcW w:w="1418" w:type="dxa"/>
            <w:noWrap/>
            <w:vAlign w:val="center"/>
          </w:tcPr>
          <w:p>
            <w:pPr>
              <w:jc w:val="right"/>
              <w:cnfStyle w:val="000000100000" w:firstRow="0" w:lastRow="0" w:firstColumn="0" w:lastColumn="0" w:oddVBand="0" w:evenVBand="0" w:oddHBand="1" w:evenHBand="0" w:firstRowFirstColumn="0" w:firstRowLastColumn="0" w:lastRowFirstColumn="0" w:lastRowLastColumn="0"/>
            </w:pPr>
            <w:r>
              <w:rPr>
                <w:color w:val="323232"/>
              </w:rPr>
              <w:t>3.289.847</w:t>
            </w:r>
          </w:p>
        </w:tc>
        <w:tc>
          <w:tcPr>
            <w:tcW w:w="2126" w:type="dxa"/>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t>30</w:t>
            </w:r>
          </w:p>
        </w:tc>
        <w:tc>
          <w:tcPr>
            <w:tcW w:w="2006"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323232"/>
              </w:rPr>
              <w:t>109.662</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tcPr>
          <w:p>
            <w:pPr>
              <w:rPr>
                <w:b w:val="0"/>
                <w:bCs w:val="0"/>
                <w:lang w:val="pt-BR" w:eastAsia="ro-RO"/>
              </w:rPr>
            </w:pPr>
            <w:r>
              <w:rPr>
                <w:lang w:val="pt-BR" w:eastAsia="ro-RO"/>
              </w:rPr>
              <w:t>Instalații și echipamente cu montaj</w:t>
            </w:r>
          </w:p>
        </w:tc>
        <w:tc>
          <w:tcPr>
            <w:tcW w:w="1418" w:type="dxa"/>
            <w:noWrap/>
            <w:vAlign w:val="center"/>
          </w:tcPr>
          <w:p>
            <w:pPr>
              <w:jc w:val="right"/>
              <w:cnfStyle w:val="000000000000" w:firstRow="0" w:lastRow="0" w:firstColumn="0" w:lastColumn="0" w:oddVBand="0" w:evenVBand="0" w:oddHBand="0" w:evenHBand="0" w:firstRowFirstColumn="0" w:firstRowLastColumn="0" w:lastRowFirstColumn="0" w:lastRowLastColumn="0"/>
            </w:pPr>
            <w:r>
              <w:rPr>
                <w:color w:val="323232"/>
              </w:rPr>
              <w:t>2.351.283</w:t>
            </w:r>
          </w:p>
        </w:tc>
        <w:tc>
          <w:tcPr>
            <w:tcW w:w="2126"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rPr>
                <w:color w:val="000000"/>
              </w:rPr>
              <w:t>15</w:t>
            </w:r>
          </w:p>
        </w:tc>
        <w:tc>
          <w:tcPr>
            <w:tcW w:w="2006"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323232"/>
              </w:rPr>
              <w:t>156.752</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Pr>
          <w:p>
            <w:pPr>
              <w:rPr>
                <w:b w:val="0"/>
                <w:bCs w:val="0"/>
                <w:lang w:eastAsia="ro-RO"/>
              </w:rPr>
            </w:pPr>
            <w:r>
              <w:rPr>
                <w:lang w:eastAsia="ro-RO"/>
              </w:rPr>
              <w:t>Echipamente mobile</w:t>
            </w:r>
          </w:p>
        </w:tc>
        <w:tc>
          <w:tcPr>
            <w:tcW w:w="1418" w:type="dxa"/>
            <w:noWrap/>
            <w:vAlign w:val="center"/>
          </w:tcPr>
          <w:p>
            <w:pPr>
              <w:jc w:val="right"/>
              <w:cnfStyle w:val="000000100000" w:firstRow="0" w:lastRow="0" w:firstColumn="0" w:lastColumn="0" w:oddVBand="0" w:evenVBand="0" w:oddHBand="1" w:evenHBand="0" w:firstRowFirstColumn="0" w:firstRowLastColumn="0" w:lastRowFirstColumn="0" w:lastRowLastColumn="0"/>
            </w:pPr>
            <w:r>
              <w:rPr>
                <w:color w:val="323232"/>
              </w:rPr>
              <w:t>5.029.482</w:t>
            </w:r>
          </w:p>
        </w:tc>
        <w:tc>
          <w:tcPr>
            <w:tcW w:w="2126" w:type="dxa"/>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t>10</w:t>
            </w:r>
          </w:p>
        </w:tc>
        <w:tc>
          <w:tcPr>
            <w:tcW w:w="2006"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323232"/>
              </w:rPr>
              <w:t>502.948</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tcPr>
          <w:p>
            <w:pPr>
              <w:jc w:val="right"/>
              <w:rPr>
                <w:b w:val="0"/>
                <w:bCs w:val="0"/>
                <w:lang w:eastAsia="ro-RO"/>
              </w:rPr>
            </w:pPr>
            <w:r>
              <w:rPr>
                <w:lang w:eastAsia="ro-RO"/>
              </w:rPr>
              <w:t>SUBTOTAL</w:t>
            </w:r>
          </w:p>
        </w:tc>
        <w:tc>
          <w:tcPr>
            <w:tcW w:w="1418" w:type="dxa"/>
            <w:noWrap/>
            <w:vAlign w:val="center"/>
          </w:tcPr>
          <w:p>
            <w:pPr>
              <w:jc w:val="right"/>
              <w:cnfStyle w:val="000000000000" w:firstRow="0" w:lastRow="0" w:firstColumn="0" w:lastColumn="0" w:oddVBand="0" w:evenVBand="0" w:oddHBand="0" w:evenHBand="0" w:firstRowFirstColumn="0" w:firstRowLastColumn="0" w:lastRowFirstColumn="0" w:lastRowLastColumn="0"/>
            </w:pPr>
            <w:r>
              <w:rPr>
                <w:b/>
                <w:bCs/>
                <w:color w:val="323232"/>
              </w:rPr>
              <w:t>10.670.612</w:t>
            </w:r>
          </w:p>
        </w:tc>
        <w:tc>
          <w:tcPr>
            <w:tcW w:w="2126"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t> </w:t>
            </w:r>
          </w:p>
        </w:tc>
        <w:tc>
          <w:tcPr>
            <w:tcW w:w="2006" w:type="dxa"/>
            <w:vAlign w:val="center"/>
          </w:tcPr>
          <w:p>
            <w:pPr>
              <w:jc w:val="right"/>
              <w:cnfStyle w:val="000000000000" w:firstRow="0" w:lastRow="0" w:firstColumn="0" w:lastColumn="0" w:oddVBand="0" w:evenVBand="0" w:oddHBand="0" w:evenHBand="0" w:firstRowFirstColumn="0" w:firstRowLastColumn="0" w:lastRowFirstColumn="0" w:lastRowLastColumn="0"/>
            </w:pPr>
            <w:r>
              <w:rPr>
                <w:b/>
                <w:bCs/>
                <w:color w:val="323232"/>
              </w:rPr>
              <w:t>769.362</w:t>
            </w:r>
          </w:p>
        </w:tc>
      </w:tr>
      <w:tr>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39" w:type="dxa"/>
            <w:noWrap/>
            <w:hideMark/>
          </w:tcPr>
          <w:p>
            <w:pPr>
              <w:jc w:val="center"/>
              <w:rPr>
                <w:b w:val="0"/>
                <w:bCs w:val="0"/>
                <w:lang w:eastAsia="ro-RO"/>
              </w:rPr>
            </w:pPr>
            <w:r>
              <w:rPr>
                <w:lang w:eastAsia="ro-RO"/>
              </w:rPr>
              <w:t>TOTAL INVESTITII</w:t>
            </w:r>
          </w:p>
        </w:tc>
        <w:tc>
          <w:tcPr>
            <w:tcW w:w="1418" w:type="dxa"/>
            <w:noWrap/>
            <w:vAlign w:val="center"/>
            <w:hideMark/>
          </w:tcPr>
          <w:p>
            <w:pPr>
              <w:jc w:val="right"/>
              <w:cnfStyle w:val="000000100000" w:firstRow="0" w:lastRow="0" w:firstColumn="0" w:lastColumn="0" w:oddVBand="0" w:evenVBand="0" w:oddHBand="1" w:evenHBand="0" w:firstRowFirstColumn="0" w:firstRowLastColumn="0" w:lastRowFirstColumn="0" w:lastRowLastColumn="0"/>
              <w:rPr>
                <w:b/>
                <w:bCs/>
                <w:lang w:eastAsia="ro-RO"/>
              </w:rPr>
            </w:pPr>
            <w:r>
              <w:rPr>
                <w:b/>
                <w:bCs/>
              </w:rPr>
              <w:t>12.439.165</w:t>
            </w:r>
          </w:p>
        </w:tc>
        <w:tc>
          <w:tcPr>
            <w:tcW w:w="2126" w:type="dxa"/>
            <w:noWrap/>
            <w:vAlign w:val="center"/>
          </w:tcPr>
          <w:p>
            <w:pPr>
              <w:jc w:val="right"/>
              <w:cnfStyle w:val="000000100000" w:firstRow="0" w:lastRow="0" w:firstColumn="0" w:lastColumn="0" w:oddVBand="0" w:evenVBand="0" w:oddHBand="1" w:evenHBand="0" w:firstRowFirstColumn="0" w:firstRowLastColumn="0" w:lastRowFirstColumn="0" w:lastRowLastColumn="0"/>
              <w:rPr>
                <w:b/>
                <w:bCs/>
                <w:lang w:eastAsia="ro-RO"/>
              </w:rPr>
            </w:pPr>
          </w:p>
        </w:tc>
        <w:tc>
          <w:tcPr>
            <w:tcW w:w="2006" w:type="dxa"/>
            <w:vAlign w:val="center"/>
          </w:tcPr>
          <w:p>
            <w:pPr>
              <w:jc w:val="right"/>
              <w:cnfStyle w:val="000000100000" w:firstRow="0" w:lastRow="0" w:firstColumn="0" w:lastColumn="0" w:oddVBand="0" w:evenVBand="0" w:oddHBand="1" w:evenHBand="0" w:firstRowFirstColumn="0" w:firstRowLastColumn="0" w:lastRowFirstColumn="0" w:lastRowLastColumn="0"/>
              <w:rPr>
                <w:b/>
                <w:bCs/>
                <w:lang w:eastAsia="ro-RO"/>
              </w:rPr>
            </w:pPr>
            <w:r>
              <w:rPr>
                <w:b/>
                <w:bCs/>
              </w:rPr>
              <w:t>896.876</w:t>
            </w:r>
          </w:p>
        </w:tc>
      </w:tr>
    </w:tbl>
    <w:p>
      <w:pPr>
        <w:spacing w:before="120" w:after="120"/>
        <w:jc w:val="both"/>
        <w:rPr>
          <w:i/>
          <w:iCs/>
        </w:rPr>
      </w:pPr>
      <w:r>
        <w:rPr>
          <w:i/>
          <w:iCs/>
        </w:rPr>
        <w:t>Sursa: Calcule Consultant pe baza Analizei cost beneficiu pentru proiectul „Sistem integrat de management al deșeurilor în județul Galați” – revizie martie 2026</w:t>
      </w:r>
    </w:p>
    <w:p>
      <w:pPr>
        <w:spacing w:before="120" w:after="120"/>
        <w:jc w:val="both"/>
      </w:pPr>
    </w:p>
    <w:p>
      <w:pPr>
        <w:spacing w:before="120" w:after="120" w:line="300" w:lineRule="auto"/>
        <w:jc w:val="both"/>
        <w:rPr>
          <w:sz w:val="24"/>
          <w:szCs w:val="24"/>
        </w:rPr>
      </w:pPr>
      <w:r>
        <w:rPr>
          <w:sz w:val="24"/>
          <w:szCs w:val="24"/>
        </w:rPr>
        <w:t>În analiza cost-beneficiu revizuită pentru proiectul „Sistem integrat de management al deșeurilor în județul Galați”, ritmul de creștere a taxelor de salubrizare pentru utilizatorii casnici este diferențiat pe etape și corelat cu dinamica costurilor și cu constrângerile de suportabilitate, ceea ce conferă traiectoriei tarifare un caracter predictibil și prudent. În perioada 2030–2039, taxele de salubrizare pentru utilizatorii casnici au fost prevăzute să crească cu un ritm anual inferior nivelului taxelor de salubrizare care ar asigura recuperarea integrală a investiției, ceea ce indică o abordare conservatoare imediat după intrarea în operare a proiectului. Această opțiune este justificată de necesitatea acomodării impactului inițial al proiectului asupra utilizatorilor casnici, în contextul majorării tarifelor asociate începerii operării sistemului.</w:t>
      </w:r>
    </w:p>
    <w:p>
      <w:pPr>
        <w:spacing w:before="120" w:after="120" w:line="300" w:lineRule="auto"/>
        <w:jc w:val="both"/>
        <w:rPr>
          <w:sz w:val="24"/>
          <w:szCs w:val="24"/>
        </w:rPr>
      </w:pPr>
      <w:r>
        <w:rPr>
          <w:sz w:val="24"/>
          <w:szCs w:val="24"/>
        </w:rPr>
        <w:t>Aplicarea etapizată a ritmurilor de creștere permite distribuirea în timp a efortului financiar al utilizatorilor casnici și contribuie la menținerea taxelor sub nivelul cheltuielii maxime suportabile pe întreaga perioadă de prognoză, atât în mediul urban, cât și în mediul rural. În acest mod, strategia tarifară asigură simultan sustenabilitatea financiară a serviciului și acceptabilitatea socială a taxelor de salubrizare.</w:t>
      </w:r>
    </w:p>
    <w:p>
      <w:pPr>
        <w:spacing w:before="120" w:after="120" w:line="300" w:lineRule="auto"/>
        <w:jc w:val="both"/>
        <w:rPr>
          <w:sz w:val="24"/>
          <w:szCs w:val="24"/>
        </w:rPr>
      </w:pPr>
      <w:r>
        <w:rPr>
          <w:sz w:val="24"/>
          <w:szCs w:val="24"/>
        </w:rPr>
        <w:lastRenderedPageBreak/>
        <w:t>Având în vedere că ipotezele utilizate la fundamentarea proiecției strategiei tarifare pentru județul Galați, în corelare cu cadrul legal aplicabil în sectorul gestionării deșeurilor, impun acoperirea integrală a costurilor de operare și întreținere a infrastructurii, ajustarea taxelor de salubrizare pentru utilizatorii casnici, în concordanță cu principiile tarifare menționate anterior, a vizat exclusiv modificarea valorii redevenței incluse în aceste taxe.</w:t>
      </w:r>
    </w:p>
    <w:p>
      <w:pPr>
        <w:spacing w:before="120" w:after="120" w:line="300" w:lineRule="auto"/>
        <w:jc w:val="both"/>
        <w:rPr>
          <w:sz w:val="24"/>
          <w:szCs w:val="24"/>
        </w:rPr>
      </w:pPr>
      <w:r>
        <w:rPr>
          <w:sz w:val="24"/>
          <w:szCs w:val="24"/>
        </w:rPr>
        <w:t>În consecință, evoluția ponderii redevenței incluse în tarifele aferente activităților serviciului de salubrizare, pentru perioada 2030–2039, determinată ca raport procentual între redevența cuprinsă în veniturile sistemului de gestionare a deșeurilor și redevența corespunzătoare recuperării integrale a costurilor de investiție, este prezentată în tabelul următor:</w:t>
      </w: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5</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Evoluție pondere redevență inclusă în tarifele pentru activitățile serviciului de salubrizare</w:t>
      </w:r>
    </w:p>
    <w:tbl>
      <w:tblPr>
        <w:tblStyle w:val="ListTable3"/>
        <w:tblW w:w="0" w:type="auto"/>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4A0" w:firstRow="1" w:lastRow="0" w:firstColumn="1" w:lastColumn="0" w:noHBand="0" w:noVBand="1"/>
      </w:tblPr>
      <w:tblGrid>
        <w:gridCol w:w="1180"/>
        <w:gridCol w:w="873"/>
        <w:gridCol w:w="873"/>
        <w:gridCol w:w="873"/>
        <w:gridCol w:w="873"/>
        <w:gridCol w:w="873"/>
        <w:gridCol w:w="873"/>
        <w:gridCol w:w="873"/>
        <w:gridCol w:w="873"/>
        <w:gridCol w:w="873"/>
        <w:gridCol w:w="873"/>
      </w:tblGrid>
      <w:tr>
        <w:trPr>
          <w:cnfStyle w:val="100000000000" w:firstRow="1" w:lastRow="0" w:firstColumn="0" w:lastColumn="0" w:oddVBand="0" w:evenVBand="0" w:oddHBand="0" w:evenHBand="0" w:firstRowFirstColumn="0" w:firstRowLastColumn="0" w:lastRowFirstColumn="0" w:lastRowLastColumn="0"/>
          <w:trHeight w:val="172"/>
        </w:trPr>
        <w:tc>
          <w:tcPr>
            <w:cnfStyle w:val="001000000100" w:firstRow="0" w:lastRow="0" w:firstColumn="1" w:lastColumn="0" w:oddVBand="0" w:evenVBand="0" w:oddHBand="0" w:evenHBand="0" w:firstRowFirstColumn="1" w:firstRowLastColumn="0" w:lastRowFirstColumn="0" w:lastRowLastColumn="0"/>
            <w:tcW w:w="1180" w:type="dxa"/>
            <w:tcBorders>
              <w:bottom w:val="none" w:sz="0" w:space="0" w:color="auto"/>
              <w:right w:val="none" w:sz="0" w:space="0" w:color="auto"/>
            </w:tcBorders>
            <w:shd w:val="clear" w:color="auto" w:fill="984806" w:themeFill="accent6" w:themeFillShade="80"/>
            <w:hideMark/>
          </w:tcPr>
          <w:p>
            <w:pPr>
              <w:jc w:val="center"/>
              <w:rPr>
                <w:lang w:eastAsia="ro-RO"/>
              </w:rPr>
            </w:pPr>
            <w:r>
              <w:rPr>
                <w:lang w:eastAsia="ro-RO"/>
              </w:rPr>
              <w:t>Redevența</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2030</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2031</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b w:val="0"/>
                <w:bCs w:val="0"/>
                <w:lang w:eastAsia="ro-RO"/>
              </w:rPr>
            </w:pPr>
            <w:r>
              <w:rPr>
                <w:lang w:eastAsia="ro-RO"/>
              </w:rPr>
              <w:t>2032</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2033</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2034</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2035</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2036</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2037</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2038</w:t>
            </w:r>
          </w:p>
        </w:tc>
        <w:tc>
          <w:tcPr>
            <w:tcW w:w="873" w:type="dxa"/>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eastAsia="ro-RO"/>
              </w:rPr>
            </w:pPr>
            <w:r>
              <w:rPr>
                <w:lang w:eastAsia="ro-RO"/>
              </w:rPr>
              <w:t>2039</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80" w:type="dxa"/>
            <w:tcBorders>
              <w:top w:val="none" w:sz="0" w:space="0" w:color="auto"/>
              <w:bottom w:val="none" w:sz="0" w:space="0" w:color="auto"/>
              <w:right w:val="none" w:sz="0" w:space="0" w:color="auto"/>
            </w:tcBorders>
            <w:hideMark/>
          </w:tcPr>
          <w:p>
            <w:pPr>
              <w:rPr>
                <w:b w:val="0"/>
                <w:bCs w:val="0"/>
                <w:lang w:val="pt-BR" w:eastAsia="ro-RO"/>
              </w:rPr>
            </w:pPr>
            <w:r>
              <w:rPr>
                <w:lang w:val="pt-BR" w:eastAsia="ro-RO"/>
              </w:rPr>
              <w:t>Pondere redevență inclusă în tarifele pentru activitățile serviciului de salubrizare (%)</w:t>
            </w:r>
          </w:p>
        </w:tc>
        <w:tc>
          <w:tcPr>
            <w:tcW w:w="873"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lang w:eastAsia="ro-RO"/>
              </w:rPr>
            </w:pPr>
            <w:r>
              <w:rPr>
                <w:color w:val="000000"/>
                <w:sz w:val="18"/>
                <w:szCs w:val="18"/>
              </w:rPr>
              <w:t>36%</w:t>
            </w:r>
          </w:p>
        </w:tc>
        <w:tc>
          <w:tcPr>
            <w:tcW w:w="873"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lang w:eastAsia="ro-RO"/>
              </w:rPr>
            </w:pPr>
            <w:r>
              <w:rPr>
                <w:color w:val="000000"/>
                <w:sz w:val="18"/>
                <w:szCs w:val="18"/>
              </w:rPr>
              <w:t>41%</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lang w:eastAsia="ro-RO"/>
              </w:rPr>
            </w:pPr>
            <w:r>
              <w:rPr>
                <w:color w:val="000000"/>
                <w:sz w:val="18"/>
                <w:szCs w:val="18"/>
              </w:rPr>
              <w:t>47%</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53%</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57%</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62%</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65%</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68%</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71%</w:t>
            </w:r>
          </w:p>
        </w:tc>
        <w:tc>
          <w:tcPr>
            <w:tcW w:w="873"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75%</w:t>
            </w:r>
          </w:p>
        </w:tc>
      </w:tr>
    </w:tbl>
    <w:p>
      <w:pPr>
        <w:spacing w:before="120" w:after="120"/>
        <w:jc w:val="both"/>
        <w:rPr>
          <w:i/>
          <w:iCs/>
        </w:rPr>
      </w:pPr>
      <w:r>
        <w:rPr>
          <w:i/>
          <w:iCs/>
        </w:rPr>
        <w:t>Sursa: Calcule Consultant pe baza Analizei cost beneficiu pentru proiectul „Sistem integrat de management al deșeurilor în județul Galați” – revizie martie 2026</w:t>
      </w:r>
    </w:p>
    <w:p>
      <w:pPr>
        <w:spacing w:before="120" w:after="120" w:line="300" w:lineRule="auto"/>
        <w:jc w:val="both"/>
        <w:rPr>
          <w:sz w:val="24"/>
          <w:szCs w:val="24"/>
        </w:rPr>
      </w:pPr>
      <w:r>
        <w:rPr>
          <w:sz w:val="24"/>
          <w:szCs w:val="24"/>
        </w:rPr>
        <w:t>Astfel, valoarea redevenței care trebuie inclusă în tarifele pe care viitorul operator le va oferta pentru operarea obiectivului de investiție ”Stație de transfer și stație de tratare mecano-biologică cu digestor Galați” este prevăzută în tabelul următor:</w:t>
      </w: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6</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Valoarea redevenței inclusă în tarifele de operare în perioada 2030-2039 (1)</w:t>
      </w:r>
    </w:p>
    <w:tbl>
      <w:tblPr>
        <w:tblStyle w:val="ListTable3"/>
        <w:tblW w:w="8784"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4A0" w:firstRow="1" w:lastRow="0" w:firstColumn="1" w:lastColumn="0" w:noHBand="0" w:noVBand="1"/>
      </w:tblPr>
      <w:tblGrid>
        <w:gridCol w:w="2941"/>
        <w:gridCol w:w="1080"/>
        <w:gridCol w:w="1080"/>
        <w:gridCol w:w="1131"/>
        <w:gridCol w:w="1134"/>
        <w:gridCol w:w="1418"/>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100" w:firstRow="0" w:lastRow="0" w:firstColumn="1" w:lastColumn="0" w:oddVBand="0" w:evenVBand="0" w:oddHBand="0" w:evenHBand="0" w:firstRowFirstColumn="1" w:firstRowLastColumn="0" w:lastRowFirstColumn="0" w:lastRowLastColumn="0"/>
            <w:tcW w:w="2941" w:type="dxa"/>
            <w:vMerge w:val="restart"/>
            <w:tcBorders>
              <w:bottom w:val="none" w:sz="0" w:space="0" w:color="auto"/>
              <w:right w:val="none" w:sz="0" w:space="0" w:color="auto"/>
            </w:tcBorders>
            <w:shd w:val="clear" w:color="auto" w:fill="984806" w:themeFill="accent6" w:themeFillShade="80"/>
            <w:hideMark/>
          </w:tcPr>
          <w:p>
            <w:pPr>
              <w:jc w:val="center"/>
              <w:rPr>
                <w:lang w:val="pt-BR" w:eastAsia="ro-RO"/>
              </w:rPr>
            </w:pPr>
            <w:r>
              <w:rPr>
                <w:lang w:val="pt-BR" w:eastAsia="ro-RO"/>
              </w:rPr>
              <w:t>Tarifele pentru activitățile serviciului de operare</w:t>
            </w:r>
          </w:p>
        </w:tc>
        <w:tc>
          <w:tcPr>
            <w:tcW w:w="5843" w:type="dxa"/>
            <w:gridSpan w:val="5"/>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val="pt-BR" w:eastAsia="ro-RO"/>
              </w:rPr>
            </w:pPr>
            <w:r>
              <w:rPr>
                <w:lang w:val="pt-BR" w:eastAsia="ro-RO"/>
              </w:rPr>
              <w:t>Valoarea redevenței inclusă în tarifele pentru activitățile serviciului de salubrizare</w:t>
            </w:r>
          </w:p>
          <w:p>
            <w:pPr>
              <w:jc w:val="center"/>
              <w:cnfStyle w:val="100000000000" w:firstRow="1" w:lastRow="0" w:firstColumn="0" w:lastColumn="0" w:oddVBand="0" w:evenVBand="0" w:oddHBand="0" w:evenHBand="0" w:firstRowFirstColumn="0" w:firstRowLastColumn="0" w:lastRowFirstColumn="0" w:lastRowLastColumn="0"/>
              <w:rPr>
                <w:b w:val="0"/>
                <w:bCs w:val="0"/>
                <w:lang w:val="pt-BR" w:eastAsia="ro-RO"/>
              </w:rPr>
            </w:pPr>
            <w:r>
              <w:rPr>
                <w:lang w:val="pt-BR" w:eastAsia="ro-RO"/>
              </w:rPr>
              <w:t xml:space="preserve"> (lei/an, fără TVA)</w:t>
            </w:r>
          </w:p>
        </w:tc>
      </w:tr>
      <w:tr>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941" w:type="dxa"/>
            <w:vMerge/>
          </w:tcPr>
          <w:p>
            <w:pPr>
              <w:jc w:val="center"/>
              <w:rPr>
                <w:b w:val="0"/>
                <w:bCs w:val="0"/>
                <w:color w:val="FFFFFF" w:themeColor="background1"/>
                <w:lang w:val="pt-BR" w:eastAsia="ro-RO"/>
              </w:rPr>
            </w:pPr>
          </w:p>
        </w:tc>
        <w:tc>
          <w:tcPr>
            <w:tcW w:w="1080"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2030</w:t>
            </w:r>
          </w:p>
        </w:tc>
        <w:tc>
          <w:tcPr>
            <w:tcW w:w="1080"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2031</w:t>
            </w:r>
          </w:p>
        </w:tc>
        <w:tc>
          <w:tcPr>
            <w:tcW w:w="1131"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2032</w:t>
            </w:r>
          </w:p>
        </w:tc>
        <w:tc>
          <w:tcPr>
            <w:tcW w:w="1134"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2033</w:t>
            </w:r>
          </w:p>
        </w:tc>
        <w:tc>
          <w:tcPr>
            <w:tcW w:w="1418"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2034</w:t>
            </w:r>
          </w:p>
        </w:tc>
      </w:tr>
      <w:tr>
        <w:trPr>
          <w:trHeight w:val="260"/>
        </w:trPr>
        <w:tc>
          <w:tcPr>
            <w:cnfStyle w:val="001000000000" w:firstRow="0" w:lastRow="0" w:firstColumn="1" w:lastColumn="0" w:oddVBand="0" w:evenVBand="0" w:oddHBand="0" w:evenHBand="0" w:firstRowFirstColumn="0" w:firstRowLastColumn="0" w:lastRowFirstColumn="0" w:lastRowLastColumn="0"/>
            <w:tcW w:w="2941" w:type="dxa"/>
            <w:hideMark/>
          </w:tcPr>
          <w:p>
            <w:pPr>
              <w:rPr>
                <w:b w:val="0"/>
                <w:bCs w:val="0"/>
                <w:lang w:val="pt-BR" w:eastAsia="ro-RO"/>
              </w:rPr>
            </w:pPr>
            <w:r>
              <w:rPr>
                <w:noProof/>
                <w:lang w:val="pt-BR"/>
              </w:rPr>
              <w:t>Tarif pentru transferul deşeurilor de hârtie, metal, plastic şi sticlă</w:t>
            </w:r>
          </w:p>
        </w:tc>
        <w:tc>
          <w:tcPr>
            <w:tcW w:w="1080" w:type="dxa"/>
            <w:noWrap/>
            <w:vAlign w:val="center"/>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000000"/>
              </w:rPr>
              <w:t>46.360</w:t>
            </w:r>
          </w:p>
        </w:tc>
        <w:tc>
          <w:tcPr>
            <w:tcW w:w="1080"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rPr>
                <w:color w:val="000000"/>
              </w:rPr>
              <w:t>52.433</w:t>
            </w:r>
          </w:p>
        </w:tc>
        <w:tc>
          <w:tcPr>
            <w:tcW w:w="1131" w:type="dxa"/>
            <w:vAlign w:val="center"/>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000000"/>
              </w:rPr>
              <w:t>60.273</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68.139</w:t>
            </w:r>
          </w:p>
        </w:tc>
        <w:tc>
          <w:tcPr>
            <w:tcW w:w="1418"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72.197</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941" w:type="dxa"/>
            <w:hideMark/>
          </w:tcPr>
          <w:p>
            <w:pPr>
              <w:rPr>
                <w:b w:val="0"/>
                <w:bCs w:val="0"/>
                <w:lang w:val="pt-BR" w:eastAsia="ro-RO"/>
              </w:rPr>
            </w:pPr>
            <w:r>
              <w:rPr>
                <w:noProof/>
                <w:lang w:val="pt-BR"/>
              </w:rPr>
              <w:t>Tarif pentru transferul deşeurilor reziduale</w:t>
            </w:r>
          </w:p>
        </w:tc>
        <w:tc>
          <w:tcPr>
            <w:tcW w:w="1080" w:type="dxa"/>
            <w:noWrap/>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000000"/>
              </w:rPr>
              <w:t>279.716</w:t>
            </w:r>
          </w:p>
        </w:tc>
        <w:tc>
          <w:tcPr>
            <w:tcW w:w="1080" w:type="dxa"/>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316.357</w:t>
            </w:r>
          </w:p>
        </w:tc>
        <w:tc>
          <w:tcPr>
            <w:tcW w:w="1131" w:type="dxa"/>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000000"/>
              </w:rPr>
              <w:t>363.660</w:t>
            </w:r>
          </w:p>
        </w:tc>
        <w:tc>
          <w:tcPr>
            <w:tcW w:w="1134"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411.115</w:t>
            </w:r>
          </w:p>
        </w:tc>
        <w:tc>
          <w:tcPr>
            <w:tcW w:w="1418"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435.600</w:t>
            </w:r>
          </w:p>
        </w:tc>
      </w:tr>
      <w:tr>
        <w:trPr>
          <w:trHeight w:val="272"/>
        </w:trPr>
        <w:tc>
          <w:tcPr>
            <w:cnfStyle w:val="001000000000" w:firstRow="0" w:lastRow="0" w:firstColumn="1" w:lastColumn="0" w:oddVBand="0" w:evenVBand="0" w:oddHBand="0" w:evenHBand="0" w:firstRowFirstColumn="0" w:firstRowLastColumn="0" w:lastRowFirstColumn="0" w:lastRowLastColumn="0"/>
            <w:tcW w:w="2941" w:type="dxa"/>
          </w:tcPr>
          <w:p>
            <w:pPr>
              <w:rPr>
                <w:b w:val="0"/>
                <w:bCs w:val="0"/>
                <w:noProof/>
              </w:rPr>
            </w:pPr>
            <w:r>
              <w:rPr>
                <w:noProof/>
              </w:rPr>
              <w:t>Tariful de digestie anaerobă</w:t>
            </w:r>
          </w:p>
        </w:tc>
        <w:tc>
          <w:tcPr>
            <w:tcW w:w="1080" w:type="dxa"/>
            <w:noWrap/>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3.234.329</w:t>
            </w:r>
          </w:p>
        </w:tc>
        <w:tc>
          <w:tcPr>
            <w:tcW w:w="1080"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rPr>
                <w:color w:val="000000"/>
              </w:rPr>
              <w:t>3.658.010</w:t>
            </w:r>
          </w:p>
        </w:tc>
        <w:tc>
          <w:tcPr>
            <w:tcW w:w="1131"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4.204.967</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4.753.695</w:t>
            </w:r>
          </w:p>
        </w:tc>
        <w:tc>
          <w:tcPr>
            <w:tcW w:w="1418"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5.036.806</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941" w:type="dxa"/>
          </w:tcPr>
          <w:p>
            <w:pPr>
              <w:rPr>
                <w:b w:val="0"/>
                <w:bCs w:val="0"/>
                <w:noProof/>
                <w:lang w:val="pt-BR"/>
              </w:rPr>
            </w:pPr>
            <w:r>
              <w:rPr>
                <w:noProof/>
                <w:lang w:val="pt-BR"/>
              </w:rPr>
              <w:t>Tariful de tratare mecano-biologică</w:t>
            </w:r>
          </w:p>
        </w:tc>
        <w:tc>
          <w:tcPr>
            <w:tcW w:w="1080" w:type="dxa"/>
            <w:noWrap/>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2.699.701</w:t>
            </w:r>
          </w:p>
        </w:tc>
        <w:tc>
          <w:tcPr>
            <w:tcW w:w="1080" w:type="dxa"/>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3.053.348</w:t>
            </w:r>
          </w:p>
        </w:tc>
        <w:tc>
          <w:tcPr>
            <w:tcW w:w="1131"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3.509.895</w:t>
            </w:r>
          </w:p>
        </w:tc>
        <w:tc>
          <w:tcPr>
            <w:tcW w:w="1134"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3.967.919</w:t>
            </w:r>
          </w:p>
        </w:tc>
        <w:tc>
          <w:tcPr>
            <w:tcW w:w="1418"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4.204.232</w:t>
            </w:r>
          </w:p>
        </w:tc>
      </w:tr>
      <w:tr>
        <w:trPr>
          <w:trHeight w:val="275"/>
        </w:trPr>
        <w:tc>
          <w:tcPr>
            <w:cnfStyle w:val="001000000000" w:firstRow="0" w:lastRow="0" w:firstColumn="1" w:lastColumn="0" w:oddVBand="0" w:evenVBand="0" w:oddHBand="0" w:evenHBand="0" w:firstRowFirstColumn="0" w:firstRowLastColumn="0" w:lastRowFirstColumn="0" w:lastRowLastColumn="0"/>
            <w:tcW w:w="2941" w:type="dxa"/>
            <w:noWrap/>
            <w:hideMark/>
          </w:tcPr>
          <w:p>
            <w:pPr>
              <w:jc w:val="center"/>
              <w:rPr>
                <w:lang w:eastAsia="ro-RO"/>
              </w:rPr>
            </w:pPr>
            <w:r>
              <w:rPr>
                <w:lang w:eastAsia="ro-RO"/>
              </w:rPr>
              <w:t xml:space="preserve">TOTAL </w:t>
            </w:r>
          </w:p>
        </w:tc>
        <w:tc>
          <w:tcPr>
            <w:tcW w:w="1080" w:type="dxa"/>
            <w:noWrap/>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6.260.105</w:t>
            </w:r>
          </w:p>
        </w:tc>
        <w:tc>
          <w:tcPr>
            <w:tcW w:w="1080" w:type="dxa"/>
            <w:noWrap/>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7.080.148</w:t>
            </w:r>
          </w:p>
        </w:tc>
        <w:tc>
          <w:tcPr>
            <w:tcW w:w="1131" w:type="dxa"/>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8.138.795</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9.200.868</w:t>
            </w:r>
          </w:p>
        </w:tc>
        <w:tc>
          <w:tcPr>
            <w:tcW w:w="1418" w:type="dxa"/>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9.748.835</w:t>
            </w:r>
          </w:p>
        </w:tc>
      </w:tr>
    </w:tbl>
    <w:p>
      <w:pPr>
        <w:spacing w:before="120" w:after="120"/>
        <w:jc w:val="both"/>
      </w:pP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7</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Valoarea redevenței inclusă în tarifele de operare în perioada 2030-2039 (2)</w:t>
      </w:r>
    </w:p>
    <w:tbl>
      <w:tblPr>
        <w:tblStyle w:val="ListTable3"/>
        <w:tblW w:w="8784"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4A0" w:firstRow="1" w:lastRow="0" w:firstColumn="1" w:lastColumn="0" w:noHBand="0" w:noVBand="1"/>
      </w:tblPr>
      <w:tblGrid>
        <w:gridCol w:w="2830"/>
        <w:gridCol w:w="1134"/>
        <w:gridCol w:w="1134"/>
        <w:gridCol w:w="1134"/>
        <w:gridCol w:w="1134"/>
        <w:gridCol w:w="1418"/>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100" w:firstRow="0" w:lastRow="0" w:firstColumn="1" w:lastColumn="0" w:oddVBand="0" w:evenVBand="0" w:oddHBand="0" w:evenHBand="0" w:firstRowFirstColumn="1" w:firstRowLastColumn="0" w:lastRowFirstColumn="0" w:lastRowLastColumn="0"/>
            <w:tcW w:w="2830" w:type="dxa"/>
            <w:vMerge w:val="restart"/>
            <w:tcBorders>
              <w:bottom w:val="none" w:sz="0" w:space="0" w:color="auto"/>
              <w:right w:val="none" w:sz="0" w:space="0" w:color="auto"/>
            </w:tcBorders>
            <w:shd w:val="clear" w:color="auto" w:fill="984806" w:themeFill="accent6" w:themeFillShade="80"/>
            <w:hideMark/>
          </w:tcPr>
          <w:p>
            <w:pPr>
              <w:jc w:val="center"/>
              <w:rPr>
                <w:lang w:val="pt-BR" w:eastAsia="ro-RO"/>
              </w:rPr>
            </w:pPr>
            <w:r>
              <w:rPr>
                <w:lang w:val="pt-BR" w:eastAsia="ro-RO"/>
              </w:rPr>
              <w:t>Tarifele pentru activitățile serviciului de operare</w:t>
            </w:r>
          </w:p>
        </w:tc>
        <w:tc>
          <w:tcPr>
            <w:tcW w:w="5954" w:type="dxa"/>
            <w:gridSpan w:val="5"/>
            <w:shd w:val="clear" w:color="auto" w:fill="984806" w:themeFill="accent6" w:themeFillShade="80"/>
          </w:tcPr>
          <w:p>
            <w:pPr>
              <w:jc w:val="center"/>
              <w:cnfStyle w:val="100000000000" w:firstRow="1" w:lastRow="0" w:firstColumn="0" w:lastColumn="0" w:oddVBand="0" w:evenVBand="0" w:oddHBand="0" w:evenHBand="0" w:firstRowFirstColumn="0" w:firstRowLastColumn="0" w:lastRowFirstColumn="0" w:lastRowLastColumn="0"/>
              <w:rPr>
                <w:lang w:val="pt-BR" w:eastAsia="ro-RO"/>
              </w:rPr>
            </w:pPr>
            <w:r>
              <w:rPr>
                <w:lang w:val="pt-BR" w:eastAsia="ro-RO"/>
              </w:rPr>
              <w:t>Valoarea redevenței inclusă în tarifele pentru activitățile serviciului de salubrizare</w:t>
            </w:r>
          </w:p>
          <w:p>
            <w:pPr>
              <w:jc w:val="center"/>
              <w:cnfStyle w:val="100000000000" w:firstRow="1" w:lastRow="0" w:firstColumn="0" w:lastColumn="0" w:oddVBand="0" w:evenVBand="0" w:oddHBand="0" w:evenHBand="0" w:firstRowFirstColumn="0" w:firstRowLastColumn="0" w:lastRowFirstColumn="0" w:lastRowLastColumn="0"/>
              <w:rPr>
                <w:b w:val="0"/>
                <w:bCs w:val="0"/>
                <w:lang w:val="pt-BR" w:eastAsia="ro-RO"/>
              </w:rPr>
            </w:pPr>
            <w:r>
              <w:rPr>
                <w:lang w:val="pt-BR" w:eastAsia="ro-RO"/>
              </w:rPr>
              <w:t xml:space="preserve"> (lei/an, fără TVA)</w:t>
            </w:r>
          </w:p>
        </w:tc>
      </w:tr>
      <w:tr>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30" w:type="dxa"/>
            <w:vMerge/>
          </w:tcPr>
          <w:p>
            <w:pPr>
              <w:jc w:val="center"/>
              <w:rPr>
                <w:b w:val="0"/>
                <w:bCs w:val="0"/>
                <w:lang w:val="pt-BR" w:eastAsia="ro-RO"/>
              </w:rPr>
            </w:pPr>
          </w:p>
        </w:tc>
        <w:tc>
          <w:tcPr>
            <w:tcW w:w="1134"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2035</w:t>
            </w:r>
          </w:p>
        </w:tc>
        <w:tc>
          <w:tcPr>
            <w:tcW w:w="1134"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2036</w:t>
            </w:r>
          </w:p>
        </w:tc>
        <w:tc>
          <w:tcPr>
            <w:tcW w:w="1134"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2037</w:t>
            </w:r>
          </w:p>
        </w:tc>
        <w:tc>
          <w:tcPr>
            <w:tcW w:w="1134"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2038</w:t>
            </w:r>
          </w:p>
        </w:tc>
        <w:tc>
          <w:tcPr>
            <w:tcW w:w="1418" w:type="dxa"/>
          </w:tcPr>
          <w:p>
            <w:pPr>
              <w:jc w:val="center"/>
              <w:cnfStyle w:val="000000100000" w:firstRow="0" w:lastRow="0" w:firstColumn="0" w:lastColumn="0" w:oddVBand="0" w:evenVBand="0" w:oddHBand="1" w:evenHBand="0" w:firstRowFirstColumn="0" w:firstRowLastColumn="0" w:lastRowFirstColumn="0" w:lastRowLastColumn="0"/>
              <w:rPr>
                <w:b/>
                <w:bCs/>
                <w:lang w:eastAsia="ro-RO"/>
              </w:rPr>
            </w:pPr>
            <w:r>
              <w:rPr>
                <w:b/>
                <w:bCs/>
                <w:lang w:eastAsia="ro-RO"/>
              </w:rPr>
              <w:t>2039</w:t>
            </w:r>
          </w:p>
        </w:tc>
      </w:tr>
      <w:tr>
        <w:trPr>
          <w:trHeight w:val="260"/>
        </w:trPr>
        <w:tc>
          <w:tcPr>
            <w:cnfStyle w:val="001000000000" w:firstRow="0" w:lastRow="0" w:firstColumn="1" w:lastColumn="0" w:oddVBand="0" w:evenVBand="0" w:oddHBand="0" w:evenHBand="0" w:firstRowFirstColumn="0" w:firstRowLastColumn="0" w:lastRowFirstColumn="0" w:lastRowLastColumn="0"/>
            <w:tcW w:w="2830" w:type="dxa"/>
            <w:hideMark/>
          </w:tcPr>
          <w:p>
            <w:pPr>
              <w:rPr>
                <w:b w:val="0"/>
                <w:bCs w:val="0"/>
                <w:lang w:val="pt-BR" w:eastAsia="ro-RO"/>
              </w:rPr>
            </w:pPr>
            <w:r>
              <w:rPr>
                <w:noProof/>
                <w:lang w:val="pt-BR"/>
              </w:rPr>
              <w:lastRenderedPageBreak/>
              <w:t>Tarif pentru transferul deşeurilor de hârtie, metal, plastic şi sticlă</w:t>
            </w:r>
          </w:p>
        </w:tc>
        <w:tc>
          <w:tcPr>
            <w:tcW w:w="1134" w:type="dxa"/>
            <w:noWrap/>
            <w:vAlign w:val="center"/>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000000"/>
              </w:rPr>
              <w:t>78.452</w:t>
            </w:r>
          </w:p>
        </w:tc>
        <w:tc>
          <w:tcPr>
            <w:tcW w:w="1134"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rPr>
                <w:color w:val="000000"/>
              </w:rPr>
              <w:t>82.539</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rPr>
                <w:lang w:eastAsia="ro-RO"/>
              </w:rPr>
            </w:pPr>
            <w:r>
              <w:rPr>
                <w:color w:val="000000"/>
              </w:rPr>
              <w:t>86.696</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90.926</w:t>
            </w:r>
          </w:p>
        </w:tc>
        <w:tc>
          <w:tcPr>
            <w:tcW w:w="1418"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95.232</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30" w:type="dxa"/>
            <w:hideMark/>
          </w:tcPr>
          <w:p>
            <w:pPr>
              <w:rPr>
                <w:b w:val="0"/>
                <w:bCs w:val="0"/>
                <w:lang w:val="pt-BR" w:eastAsia="ro-RO"/>
              </w:rPr>
            </w:pPr>
            <w:r>
              <w:rPr>
                <w:noProof/>
                <w:lang w:val="pt-BR"/>
              </w:rPr>
              <w:t>Tarif pentru transferul deşeurilor reziduale</w:t>
            </w:r>
          </w:p>
        </w:tc>
        <w:tc>
          <w:tcPr>
            <w:tcW w:w="1134" w:type="dxa"/>
            <w:noWrap/>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000000"/>
              </w:rPr>
              <w:t>473.344</w:t>
            </w:r>
          </w:p>
        </w:tc>
        <w:tc>
          <w:tcPr>
            <w:tcW w:w="1134" w:type="dxa"/>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497.999</w:t>
            </w:r>
          </w:p>
        </w:tc>
        <w:tc>
          <w:tcPr>
            <w:tcW w:w="1134" w:type="dxa"/>
            <w:vAlign w:val="center"/>
          </w:tcPr>
          <w:p>
            <w:pPr>
              <w:jc w:val="right"/>
              <w:cnfStyle w:val="000000100000" w:firstRow="0" w:lastRow="0" w:firstColumn="0" w:lastColumn="0" w:oddVBand="0" w:evenVBand="0" w:oddHBand="1" w:evenHBand="0" w:firstRowFirstColumn="0" w:firstRowLastColumn="0" w:lastRowFirstColumn="0" w:lastRowLastColumn="0"/>
              <w:rPr>
                <w:lang w:eastAsia="ro-RO"/>
              </w:rPr>
            </w:pPr>
            <w:r>
              <w:rPr>
                <w:color w:val="000000"/>
              </w:rPr>
              <w:t>523.080</w:t>
            </w:r>
          </w:p>
        </w:tc>
        <w:tc>
          <w:tcPr>
            <w:tcW w:w="1134"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548.604</w:t>
            </w:r>
          </w:p>
        </w:tc>
        <w:tc>
          <w:tcPr>
            <w:tcW w:w="1418"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574.585</w:t>
            </w:r>
          </w:p>
        </w:tc>
      </w:tr>
      <w:tr>
        <w:trPr>
          <w:trHeight w:val="272"/>
        </w:trPr>
        <w:tc>
          <w:tcPr>
            <w:cnfStyle w:val="001000000000" w:firstRow="0" w:lastRow="0" w:firstColumn="1" w:lastColumn="0" w:oddVBand="0" w:evenVBand="0" w:oddHBand="0" w:evenHBand="0" w:firstRowFirstColumn="0" w:firstRowLastColumn="0" w:lastRowFirstColumn="0" w:lastRowLastColumn="0"/>
            <w:tcW w:w="2830" w:type="dxa"/>
          </w:tcPr>
          <w:p>
            <w:pPr>
              <w:rPr>
                <w:b w:val="0"/>
                <w:bCs w:val="0"/>
                <w:noProof/>
              </w:rPr>
            </w:pPr>
            <w:r>
              <w:rPr>
                <w:noProof/>
              </w:rPr>
              <w:t>Tariful de digestie anaerobă</w:t>
            </w:r>
          </w:p>
        </w:tc>
        <w:tc>
          <w:tcPr>
            <w:tcW w:w="1134" w:type="dxa"/>
            <w:noWrap/>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5.473.244</w:t>
            </w:r>
          </w:p>
        </w:tc>
        <w:tc>
          <w:tcPr>
            <w:tcW w:w="1134" w:type="dxa"/>
            <w:noWrap/>
            <w:vAlign w:val="center"/>
          </w:tcPr>
          <w:p>
            <w:pPr>
              <w:jc w:val="center"/>
              <w:cnfStyle w:val="000000000000" w:firstRow="0" w:lastRow="0" w:firstColumn="0" w:lastColumn="0" w:oddVBand="0" w:evenVBand="0" w:oddHBand="0" w:evenHBand="0" w:firstRowFirstColumn="0" w:firstRowLastColumn="0" w:lastRowFirstColumn="0" w:lastRowLastColumn="0"/>
              <w:rPr>
                <w:lang w:eastAsia="ro-RO"/>
              </w:rPr>
            </w:pPr>
            <w:r>
              <w:rPr>
                <w:color w:val="000000"/>
              </w:rPr>
              <w:t>5.758.323</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6.048.336</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6.343.462</w:t>
            </w:r>
          </w:p>
        </w:tc>
        <w:tc>
          <w:tcPr>
            <w:tcW w:w="1418" w:type="dxa"/>
            <w:vAlign w:val="center"/>
          </w:tcPr>
          <w:p>
            <w:pPr>
              <w:jc w:val="right"/>
              <w:cnfStyle w:val="000000000000" w:firstRow="0" w:lastRow="0" w:firstColumn="0" w:lastColumn="0" w:oddVBand="0" w:evenVBand="0" w:oddHBand="0" w:evenHBand="0" w:firstRowFirstColumn="0" w:firstRowLastColumn="0" w:lastRowFirstColumn="0" w:lastRowLastColumn="0"/>
            </w:pPr>
            <w:r>
              <w:rPr>
                <w:color w:val="000000"/>
              </w:rPr>
              <w:t>6.643.884</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pPr>
              <w:rPr>
                <w:b w:val="0"/>
                <w:bCs w:val="0"/>
                <w:noProof/>
                <w:lang w:val="pt-BR"/>
              </w:rPr>
            </w:pPr>
            <w:r>
              <w:rPr>
                <w:noProof/>
                <w:lang w:val="pt-BR"/>
              </w:rPr>
              <w:t>Tariful de tratare mecano-biologică</w:t>
            </w:r>
          </w:p>
        </w:tc>
        <w:tc>
          <w:tcPr>
            <w:tcW w:w="1134" w:type="dxa"/>
            <w:noWrap/>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4.568.528</w:t>
            </w:r>
          </w:p>
        </w:tc>
        <w:tc>
          <w:tcPr>
            <w:tcW w:w="1134" w:type="dxa"/>
            <w:noWrap/>
            <w:vAlign w:val="center"/>
          </w:tcPr>
          <w:p>
            <w:pPr>
              <w:jc w:val="center"/>
              <w:cnfStyle w:val="000000100000" w:firstRow="0" w:lastRow="0" w:firstColumn="0" w:lastColumn="0" w:oddVBand="0" w:evenVBand="0" w:oddHBand="1" w:evenHBand="0" w:firstRowFirstColumn="0" w:firstRowLastColumn="0" w:lastRowFirstColumn="0" w:lastRowLastColumn="0"/>
              <w:rPr>
                <w:lang w:eastAsia="ro-RO"/>
              </w:rPr>
            </w:pPr>
            <w:r>
              <w:rPr>
                <w:color w:val="000000"/>
              </w:rPr>
              <w:t>4.806.484</w:t>
            </w:r>
          </w:p>
        </w:tc>
        <w:tc>
          <w:tcPr>
            <w:tcW w:w="1134"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5.048.558</w:t>
            </w:r>
          </w:p>
        </w:tc>
        <w:tc>
          <w:tcPr>
            <w:tcW w:w="1134"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5.294.901</w:t>
            </w:r>
          </w:p>
        </w:tc>
        <w:tc>
          <w:tcPr>
            <w:tcW w:w="1418" w:type="dxa"/>
            <w:vAlign w:val="center"/>
          </w:tcPr>
          <w:p>
            <w:pPr>
              <w:jc w:val="right"/>
              <w:cnfStyle w:val="000000100000" w:firstRow="0" w:lastRow="0" w:firstColumn="0" w:lastColumn="0" w:oddVBand="0" w:evenVBand="0" w:oddHBand="1" w:evenHBand="0" w:firstRowFirstColumn="0" w:firstRowLastColumn="0" w:lastRowFirstColumn="0" w:lastRowLastColumn="0"/>
            </w:pPr>
            <w:r>
              <w:rPr>
                <w:color w:val="000000"/>
              </w:rPr>
              <w:t>5.545.664</w:t>
            </w:r>
          </w:p>
        </w:tc>
      </w:tr>
      <w:tr>
        <w:trPr>
          <w:trHeight w:val="275"/>
        </w:trPr>
        <w:tc>
          <w:tcPr>
            <w:cnfStyle w:val="001000000000" w:firstRow="0" w:lastRow="0" w:firstColumn="1" w:lastColumn="0" w:oddVBand="0" w:evenVBand="0" w:oddHBand="0" w:evenHBand="0" w:firstRowFirstColumn="0" w:firstRowLastColumn="0" w:lastRowFirstColumn="0" w:lastRowLastColumn="0"/>
            <w:tcW w:w="2830" w:type="dxa"/>
            <w:noWrap/>
            <w:hideMark/>
          </w:tcPr>
          <w:p>
            <w:pPr>
              <w:jc w:val="center"/>
              <w:rPr>
                <w:lang w:eastAsia="ro-RO"/>
              </w:rPr>
            </w:pPr>
            <w:r>
              <w:rPr>
                <w:lang w:eastAsia="ro-RO"/>
              </w:rPr>
              <w:t xml:space="preserve">TOTAL </w:t>
            </w:r>
          </w:p>
        </w:tc>
        <w:tc>
          <w:tcPr>
            <w:tcW w:w="1134" w:type="dxa"/>
            <w:noWrap/>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10.593.569</w:t>
            </w:r>
          </w:p>
        </w:tc>
        <w:tc>
          <w:tcPr>
            <w:tcW w:w="1134" w:type="dxa"/>
            <w:noWrap/>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11.145.344</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11.706.670</w:t>
            </w:r>
          </w:p>
        </w:tc>
        <w:tc>
          <w:tcPr>
            <w:tcW w:w="1134" w:type="dxa"/>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12.277.892</w:t>
            </w:r>
          </w:p>
        </w:tc>
        <w:tc>
          <w:tcPr>
            <w:tcW w:w="1418" w:type="dxa"/>
            <w:vAlign w:val="center"/>
          </w:tcPr>
          <w:p>
            <w:pPr>
              <w:jc w:val="right"/>
              <w:cnfStyle w:val="000000000000" w:firstRow="0" w:lastRow="0" w:firstColumn="0" w:lastColumn="0" w:oddVBand="0" w:evenVBand="0" w:oddHBand="0" w:evenHBand="0" w:firstRowFirstColumn="0" w:firstRowLastColumn="0" w:lastRowFirstColumn="0" w:lastRowLastColumn="0"/>
              <w:rPr>
                <w:b/>
                <w:bCs/>
                <w:lang w:eastAsia="ro-RO"/>
              </w:rPr>
            </w:pPr>
            <w:r>
              <w:rPr>
                <w:b/>
                <w:bCs/>
                <w:color w:val="000000"/>
              </w:rPr>
              <w:t>12.859.365</w:t>
            </w:r>
          </w:p>
        </w:tc>
      </w:tr>
    </w:tbl>
    <w:p>
      <w:pPr>
        <w:rPr>
          <w:sz w:val="24"/>
          <w:szCs w:val="24"/>
          <w:lang w:val="ro-RO"/>
        </w:rPr>
      </w:pPr>
    </w:p>
    <w:p>
      <w:pPr>
        <w:spacing w:before="120" w:after="120" w:line="300" w:lineRule="auto"/>
        <w:jc w:val="both"/>
        <w:rPr>
          <w:sz w:val="24"/>
          <w:szCs w:val="24"/>
          <w:lang w:val="ro-RO" w:eastAsia="fr-FR"/>
        </w:rPr>
      </w:pPr>
      <w:r>
        <w:rPr>
          <w:sz w:val="24"/>
          <w:szCs w:val="24"/>
          <w:lang w:val="ro-RO" w:eastAsia="fr-FR"/>
        </w:rPr>
        <w:t>În instalațiile pentru realizarea și operarea cărora se va atribui contractul CL 04 intră mai multe categorii de deșeuri, iar fiecare categorie suferă diferite operații de tratare. Pentru fiecare astfel de categorie a fost identificat un tarif construit pe baza operațiilor de tratare prin care trece și a costurilor de operare și întreținere aferente acestor operații, determinate așa cum s-a prezentat anterior.</w:t>
      </w:r>
    </w:p>
    <w:p>
      <w:pPr>
        <w:spacing w:before="120" w:after="120" w:line="300" w:lineRule="auto"/>
        <w:jc w:val="both"/>
        <w:rPr>
          <w:sz w:val="24"/>
          <w:szCs w:val="24"/>
          <w:lang w:val="ro-RO"/>
        </w:rPr>
      </w:pPr>
      <w:r>
        <w:rPr>
          <w:sz w:val="24"/>
          <w:szCs w:val="24"/>
          <w:lang w:val="ro-RO"/>
        </w:rPr>
        <w:t xml:space="preserve">Astfel, în conformitate cu prevederile Ordinului ANRSC nr. 640/2022, cu modificările și completările ulterioare, au fost identificate </w:t>
      </w:r>
      <w:r>
        <w:rPr>
          <w:b/>
          <w:bCs/>
          <w:sz w:val="24"/>
          <w:szCs w:val="24"/>
          <w:lang w:val="ro-RO"/>
        </w:rPr>
        <w:t>4 tarife pentru activitățile serviciului de salubrizare</w:t>
      </w:r>
      <w:r>
        <w:rPr>
          <w:sz w:val="24"/>
          <w:szCs w:val="24"/>
          <w:lang w:val="ro-RO"/>
        </w:rPr>
        <w:t>, ce ar trebui avute în vedere în cadrul contractului CL 04:</w:t>
      </w:r>
    </w:p>
    <w:p>
      <w:pPr>
        <w:pStyle w:val="ListParagraph"/>
        <w:numPr>
          <w:ilvl w:val="0"/>
          <w:numId w:val="28"/>
        </w:numPr>
        <w:spacing w:after="240" w:line="276" w:lineRule="auto"/>
        <w:jc w:val="both"/>
        <w:rPr>
          <w:sz w:val="24"/>
          <w:szCs w:val="24"/>
          <w:lang w:val="ro-RO"/>
        </w:rPr>
      </w:pPr>
      <w:r>
        <w:rPr>
          <w:b/>
          <w:bCs/>
          <w:noProof/>
          <w:color w:val="E36C0A" w:themeColor="accent6" w:themeShade="BF"/>
          <w:sz w:val="24"/>
          <w:szCs w:val="24"/>
          <w:lang w:val="ro-RO"/>
        </w:rPr>
        <w:t>TARIF A</w:t>
      </w:r>
      <w:r>
        <w:rPr>
          <w:noProof/>
          <w:sz w:val="24"/>
          <w:szCs w:val="24"/>
          <w:lang w:val="ro-RO"/>
        </w:rPr>
        <w:t xml:space="preserve"> - </w:t>
      </w:r>
      <w:r>
        <w:rPr>
          <w:b/>
          <w:bCs/>
          <w:i/>
          <w:iCs/>
          <w:noProof/>
          <w:sz w:val="24"/>
          <w:szCs w:val="24"/>
          <w:lang w:val="ro-RO"/>
        </w:rPr>
        <w:t>Tarif pentru transferul deşeurilor de hârtie, metal, plastic şi sticlă – Tt reciclabile</w:t>
      </w:r>
      <w:r>
        <w:rPr>
          <w:noProof/>
          <w:sz w:val="24"/>
          <w:szCs w:val="24"/>
          <w:lang w:val="ro-RO"/>
        </w:rPr>
        <w:t>. Acest tarif include costurile de operare și mentenanță, redevența și o cotă de profit rezonabilă pentru transferul deșeurilor de hârtie, metal, plastic şi sticlă din zona 1 de colectare (cu excepția municipiului Galați) către Stația de sortare Valea Mărului.</w:t>
      </w:r>
    </w:p>
    <w:p>
      <w:pPr>
        <w:pStyle w:val="ListParagraph"/>
        <w:numPr>
          <w:ilvl w:val="0"/>
          <w:numId w:val="28"/>
        </w:numPr>
        <w:spacing w:after="240" w:line="276" w:lineRule="auto"/>
        <w:jc w:val="both"/>
        <w:rPr>
          <w:sz w:val="24"/>
          <w:szCs w:val="24"/>
          <w:lang w:val="ro-RO"/>
        </w:rPr>
      </w:pPr>
      <w:r>
        <w:rPr>
          <w:b/>
          <w:bCs/>
          <w:noProof/>
          <w:color w:val="E36C0A" w:themeColor="accent6" w:themeShade="BF"/>
          <w:sz w:val="24"/>
          <w:szCs w:val="24"/>
          <w:lang w:val="ro-RO"/>
        </w:rPr>
        <w:t>TARIF B</w:t>
      </w:r>
      <w:r>
        <w:rPr>
          <w:noProof/>
          <w:sz w:val="24"/>
          <w:szCs w:val="24"/>
          <w:lang w:val="ro-RO"/>
        </w:rPr>
        <w:t xml:space="preserve"> - </w:t>
      </w:r>
      <w:r>
        <w:rPr>
          <w:b/>
          <w:bCs/>
          <w:i/>
          <w:iCs/>
          <w:noProof/>
          <w:sz w:val="24"/>
          <w:szCs w:val="24"/>
          <w:lang w:val="ro-RO"/>
        </w:rPr>
        <w:t>Tarif pentru transferul deşeurilor reziduale, inclusiv a reziduurilor menajere şi similare şi al altor deşeuri colectate separat decât cele de hârtie, metal, plastic şi sticlă – Tt reziduale.</w:t>
      </w:r>
      <w:r>
        <w:rPr>
          <w:noProof/>
          <w:sz w:val="24"/>
          <w:szCs w:val="24"/>
          <w:lang w:val="ro-RO"/>
        </w:rPr>
        <w:t xml:space="preserve"> Acest tarif include costurile de operare și mentenanță, redevența și o cotă de profit rezonabilă pentru următoarele operațiuni:</w:t>
      </w:r>
    </w:p>
    <w:p>
      <w:pPr>
        <w:pStyle w:val="ListParagraph"/>
        <w:numPr>
          <w:ilvl w:val="1"/>
          <w:numId w:val="28"/>
        </w:numPr>
        <w:spacing w:after="240" w:line="276" w:lineRule="auto"/>
        <w:jc w:val="both"/>
        <w:rPr>
          <w:sz w:val="24"/>
          <w:szCs w:val="24"/>
          <w:lang w:val="ro-RO"/>
        </w:rPr>
      </w:pPr>
      <w:r>
        <w:rPr>
          <w:noProof/>
          <w:sz w:val="24"/>
          <w:szCs w:val="24"/>
          <w:lang w:val="ro-RO"/>
        </w:rPr>
        <w:t>transferul deșeurilor textile și voluminoase din zona 1 de colectare (cu excepția municipiului Galați) către Hala de fluxuri speciale Tecuci;</w:t>
      </w:r>
    </w:p>
    <w:p>
      <w:pPr>
        <w:pStyle w:val="ListParagraph"/>
        <w:numPr>
          <w:ilvl w:val="1"/>
          <w:numId w:val="28"/>
        </w:numPr>
        <w:spacing w:after="240" w:line="276" w:lineRule="auto"/>
        <w:jc w:val="both"/>
        <w:rPr>
          <w:sz w:val="24"/>
          <w:szCs w:val="24"/>
          <w:lang w:val="ro-RO"/>
        </w:rPr>
      </w:pPr>
      <w:r>
        <w:rPr>
          <w:noProof/>
          <w:sz w:val="24"/>
          <w:szCs w:val="24"/>
          <w:lang w:val="ro-RO"/>
        </w:rPr>
        <w:t>transferul de deșeuri menajere periculoase din zona 1 de colectare (cu excepția municipiului Galați) - stocare temporară pe amplasament;</w:t>
      </w:r>
    </w:p>
    <w:p>
      <w:pPr>
        <w:pStyle w:val="ListParagraph"/>
        <w:numPr>
          <w:ilvl w:val="1"/>
          <w:numId w:val="28"/>
        </w:numPr>
        <w:spacing w:after="240" w:line="276" w:lineRule="auto"/>
        <w:jc w:val="both"/>
        <w:rPr>
          <w:sz w:val="24"/>
          <w:szCs w:val="24"/>
          <w:lang w:val="ro-RO"/>
        </w:rPr>
      </w:pPr>
      <w:r>
        <w:rPr>
          <w:noProof/>
          <w:sz w:val="24"/>
          <w:szCs w:val="24"/>
          <w:lang w:val="ro-RO"/>
        </w:rPr>
        <w:t>transferul de reziduuri și digestat rezultat din tratarea deșeurilor în TMB Galați către Depozitul conform Valea Mărului.</w:t>
      </w:r>
    </w:p>
    <w:p>
      <w:pPr>
        <w:pStyle w:val="ListParagraph"/>
        <w:numPr>
          <w:ilvl w:val="0"/>
          <w:numId w:val="28"/>
        </w:numPr>
        <w:spacing w:after="240" w:line="276" w:lineRule="auto"/>
        <w:jc w:val="both"/>
        <w:rPr>
          <w:sz w:val="24"/>
          <w:szCs w:val="24"/>
          <w:lang w:val="ro-RO"/>
        </w:rPr>
      </w:pPr>
      <w:r>
        <w:rPr>
          <w:b/>
          <w:bCs/>
          <w:noProof/>
          <w:color w:val="E36C0A" w:themeColor="accent6" w:themeShade="BF"/>
          <w:sz w:val="24"/>
          <w:szCs w:val="24"/>
          <w:lang w:val="ro-RO"/>
        </w:rPr>
        <w:t>TARIF C</w:t>
      </w:r>
      <w:r>
        <w:rPr>
          <w:b/>
          <w:bCs/>
          <w:noProof/>
          <w:color w:val="4BACC6" w:themeColor="accent5"/>
          <w:sz w:val="24"/>
          <w:szCs w:val="24"/>
          <w:lang w:val="ro-RO"/>
        </w:rPr>
        <w:t xml:space="preserve"> -</w:t>
      </w:r>
      <w:r>
        <w:rPr>
          <w:b/>
          <w:bCs/>
          <w:i/>
          <w:iCs/>
          <w:noProof/>
          <w:sz w:val="24"/>
          <w:szCs w:val="24"/>
          <w:lang w:val="ro-RO"/>
        </w:rPr>
        <w:t xml:space="preserve"> Tariful de tratare mecano-biologică – Ttmb. </w:t>
      </w:r>
      <w:r>
        <w:rPr>
          <w:noProof/>
          <w:sz w:val="24"/>
          <w:szCs w:val="24"/>
          <w:lang w:val="ro-RO"/>
        </w:rPr>
        <w:t>Acest tarif include costurile de operare și mentenanță, redevența și o cotă de profit rezonabilă pentru următoarele operațiuni:</w:t>
      </w:r>
    </w:p>
    <w:p>
      <w:pPr>
        <w:pStyle w:val="ListParagraph"/>
        <w:numPr>
          <w:ilvl w:val="1"/>
          <w:numId w:val="28"/>
        </w:numPr>
        <w:spacing w:after="240" w:line="276" w:lineRule="auto"/>
        <w:jc w:val="both"/>
        <w:rPr>
          <w:sz w:val="24"/>
          <w:szCs w:val="24"/>
          <w:lang w:val="ro-RO"/>
        </w:rPr>
      </w:pPr>
      <w:r>
        <w:rPr>
          <w:noProof/>
          <w:sz w:val="24"/>
          <w:szCs w:val="24"/>
          <w:lang w:val="ro-RO"/>
        </w:rPr>
        <w:t>tratarea mecanică a deșeurilor reziduale;</w:t>
      </w:r>
    </w:p>
    <w:p>
      <w:pPr>
        <w:pStyle w:val="ListParagraph"/>
        <w:numPr>
          <w:ilvl w:val="1"/>
          <w:numId w:val="28"/>
        </w:numPr>
        <w:spacing w:after="240" w:line="276" w:lineRule="auto"/>
        <w:jc w:val="both"/>
        <w:rPr>
          <w:sz w:val="24"/>
          <w:szCs w:val="24"/>
          <w:lang w:val="ro-RO"/>
        </w:rPr>
      </w:pPr>
      <w:r>
        <w:rPr>
          <w:noProof/>
          <w:sz w:val="24"/>
          <w:szCs w:val="24"/>
          <w:lang w:val="ro-RO"/>
        </w:rPr>
        <w:t>tratarea biologică a fracției organice din deșeurile reziduale:</w:t>
      </w:r>
    </w:p>
    <w:p>
      <w:pPr>
        <w:pStyle w:val="ListParagraph"/>
        <w:numPr>
          <w:ilvl w:val="1"/>
          <w:numId w:val="28"/>
        </w:numPr>
        <w:spacing w:after="240" w:line="276" w:lineRule="auto"/>
        <w:jc w:val="both"/>
        <w:rPr>
          <w:sz w:val="24"/>
          <w:szCs w:val="24"/>
          <w:lang w:val="ro-RO"/>
        </w:rPr>
      </w:pPr>
      <w:r>
        <w:rPr>
          <w:noProof/>
          <w:sz w:val="24"/>
          <w:szCs w:val="24"/>
          <w:lang w:val="ro-RO"/>
        </w:rPr>
        <w:t>tratarea digestatului obținut din fracția organică din deșeurile reziduale;</w:t>
      </w:r>
    </w:p>
    <w:p>
      <w:pPr>
        <w:pStyle w:val="ListParagraph"/>
        <w:numPr>
          <w:ilvl w:val="1"/>
          <w:numId w:val="28"/>
        </w:numPr>
        <w:spacing w:after="240" w:line="276" w:lineRule="auto"/>
        <w:jc w:val="both"/>
        <w:rPr>
          <w:sz w:val="24"/>
          <w:szCs w:val="24"/>
          <w:lang w:val="ro-RO"/>
        </w:rPr>
      </w:pPr>
      <w:r>
        <w:rPr>
          <w:noProof/>
          <w:sz w:val="24"/>
          <w:szCs w:val="24"/>
          <w:lang w:val="ro-RO"/>
        </w:rPr>
        <w:t>producerea de RDF;</w:t>
      </w:r>
    </w:p>
    <w:p>
      <w:pPr>
        <w:pStyle w:val="ListParagraph"/>
        <w:numPr>
          <w:ilvl w:val="1"/>
          <w:numId w:val="28"/>
        </w:numPr>
        <w:spacing w:after="240" w:line="276" w:lineRule="auto"/>
        <w:jc w:val="both"/>
        <w:rPr>
          <w:sz w:val="24"/>
          <w:szCs w:val="24"/>
          <w:lang w:val="ro-RO"/>
        </w:rPr>
      </w:pPr>
      <w:r>
        <w:rPr>
          <w:noProof/>
          <w:sz w:val="24"/>
          <w:szCs w:val="24"/>
          <w:lang w:val="ro-RO"/>
        </w:rPr>
        <w:t>transportul digestatului și reziduurilor către Stația de transfer Galați</w:t>
      </w:r>
      <w:r>
        <w:rPr>
          <w:sz w:val="24"/>
          <w:szCs w:val="24"/>
          <w:lang w:val="ro-RO"/>
        </w:rPr>
        <w:t>.</w:t>
      </w:r>
    </w:p>
    <w:p>
      <w:pPr>
        <w:pStyle w:val="ListParagraph"/>
        <w:numPr>
          <w:ilvl w:val="0"/>
          <w:numId w:val="28"/>
        </w:numPr>
        <w:spacing w:after="240" w:line="276" w:lineRule="auto"/>
        <w:jc w:val="both"/>
        <w:rPr>
          <w:sz w:val="24"/>
          <w:szCs w:val="24"/>
          <w:lang w:val="ro-RO"/>
        </w:rPr>
      </w:pPr>
      <w:r>
        <w:rPr>
          <w:b/>
          <w:bCs/>
          <w:noProof/>
          <w:color w:val="E36C0A" w:themeColor="accent6" w:themeShade="BF"/>
          <w:sz w:val="24"/>
          <w:szCs w:val="24"/>
          <w:lang w:val="ro-RO"/>
        </w:rPr>
        <w:t>TARIF D</w:t>
      </w:r>
      <w:r>
        <w:rPr>
          <w:b/>
          <w:bCs/>
          <w:noProof/>
          <w:color w:val="4BACC6" w:themeColor="accent5"/>
          <w:sz w:val="24"/>
          <w:szCs w:val="24"/>
          <w:lang w:val="ro-RO"/>
        </w:rPr>
        <w:t xml:space="preserve"> -</w:t>
      </w:r>
      <w:r>
        <w:rPr>
          <w:b/>
          <w:bCs/>
          <w:i/>
          <w:iCs/>
          <w:noProof/>
          <w:sz w:val="24"/>
          <w:szCs w:val="24"/>
          <w:lang w:val="ro-RO"/>
        </w:rPr>
        <w:t xml:space="preserve"> Tariful de digestie anaerobă – Tda</w:t>
      </w:r>
      <w:r>
        <w:rPr>
          <w:noProof/>
          <w:sz w:val="24"/>
          <w:szCs w:val="24"/>
          <w:lang w:val="ro-RO"/>
        </w:rPr>
        <w:t>. Acest tarif include costurile de operare și mentenanță, redevența și o cotă de profit rezonabilă pentru următoarele operațiuni:</w:t>
      </w:r>
    </w:p>
    <w:p>
      <w:pPr>
        <w:pStyle w:val="ListParagraph"/>
        <w:numPr>
          <w:ilvl w:val="1"/>
          <w:numId w:val="28"/>
        </w:numPr>
        <w:spacing w:after="240" w:line="276" w:lineRule="auto"/>
        <w:jc w:val="both"/>
        <w:rPr>
          <w:sz w:val="24"/>
          <w:szCs w:val="24"/>
          <w:lang w:val="ro-RO"/>
        </w:rPr>
      </w:pPr>
      <w:r>
        <w:rPr>
          <w:noProof/>
          <w:sz w:val="24"/>
          <w:szCs w:val="24"/>
          <w:lang w:val="ro-RO"/>
        </w:rPr>
        <w:t>pretratarea mecanică a biodeșeurilor colectate separat;</w:t>
      </w:r>
    </w:p>
    <w:p>
      <w:pPr>
        <w:pStyle w:val="ListParagraph"/>
        <w:numPr>
          <w:ilvl w:val="1"/>
          <w:numId w:val="28"/>
        </w:numPr>
        <w:spacing w:after="240" w:line="276" w:lineRule="auto"/>
        <w:jc w:val="both"/>
        <w:rPr>
          <w:noProof/>
          <w:sz w:val="24"/>
          <w:szCs w:val="24"/>
          <w:lang w:val="ro-RO"/>
        </w:rPr>
      </w:pPr>
      <w:r>
        <w:rPr>
          <w:noProof/>
          <w:sz w:val="24"/>
          <w:szCs w:val="24"/>
          <w:lang w:val="ro-RO"/>
        </w:rPr>
        <w:t>tratarea biologică a biodeșeurilor colectate separat rezultate după pretratarea mecanică;</w:t>
      </w:r>
    </w:p>
    <w:p>
      <w:pPr>
        <w:pStyle w:val="ListParagraph"/>
        <w:numPr>
          <w:ilvl w:val="1"/>
          <w:numId w:val="28"/>
        </w:numPr>
        <w:spacing w:after="240" w:line="276" w:lineRule="auto"/>
        <w:jc w:val="both"/>
        <w:rPr>
          <w:sz w:val="24"/>
          <w:szCs w:val="24"/>
          <w:lang w:val="ro-RO"/>
        </w:rPr>
      </w:pPr>
      <w:r>
        <w:rPr>
          <w:noProof/>
          <w:sz w:val="24"/>
          <w:szCs w:val="24"/>
          <w:lang w:val="ro-RO"/>
        </w:rPr>
        <w:t xml:space="preserve">tratarea digestatului obținut din biodeșeurile colectate separat.   </w:t>
      </w:r>
      <w:r>
        <w:rPr>
          <w:sz w:val="24"/>
          <w:szCs w:val="24"/>
          <w:lang w:val="ro-RO"/>
        </w:rPr>
        <w:t xml:space="preserve"> </w:t>
      </w:r>
    </w:p>
    <w:p>
      <w:pPr>
        <w:spacing w:before="120" w:after="120" w:line="300" w:lineRule="auto"/>
        <w:jc w:val="both"/>
        <w:rPr>
          <w:sz w:val="24"/>
          <w:szCs w:val="24"/>
          <w:lang w:val="ro-RO" w:eastAsia="fr-FR"/>
        </w:rPr>
      </w:pPr>
      <w:r>
        <w:rPr>
          <w:sz w:val="24"/>
          <w:szCs w:val="24"/>
          <w:lang w:val="ro-RO" w:eastAsia="fr-FR"/>
        </w:rPr>
        <w:lastRenderedPageBreak/>
        <w:t>Calculul tarifelor maxime pe baza informațiilor din Analiza cost beneficiu aferentă proiectului ”Sistemul de Management Integrat al Deșeurilor în județul Galați” este detaliată în tabelele următoare:</w:t>
      </w:r>
    </w:p>
    <w:p>
      <w:pPr>
        <w:rPr>
          <w:b/>
          <w:sz w:val="24"/>
          <w:szCs w:val="24"/>
          <w:highlight w:val="green"/>
          <w:lang w:val="ro-RO"/>
        </w:rPr>
      </w:pPr>
    </w:p>
    <w:p>
      <w:pPr>
        <w:rPr>
          <w:rFonts w:eastAsiaTheme="minorEastAsia"/>
          <w:i/>
          <w:iCs/>
          <w:sz w:val="22"/>
          <w:szCs w:val="22"/>
          <w:lang w:val="ro-RO" w:eastAsia="ja-JP"/>
        </w:rPr>
      </w:pPr>
      <w:bookmarkStart w:id="3" w:name="_Toc100929900"/>
      <w:r>
        <w:rPr>
          <w:rFonts w:eastAsiaTheme="minorEastAsia"/>
          <w:i/>
          <w:iCs/>
          <w:sz w:val="22"/>
          <w:szCs w:val="22"/>
          <w:lang w:val="ro-RO" w:eastAsia="ja-JP"/>
        </w:rPr>
        <w:t xml:space="preserve">Tabel </w:t>
      </w:r>
      <w:r>
        <w:rPr>
          <w:rFonts w:eastAsiaTheme="minorEastAsia"/>
          <w:i/>
          <w:iCs/>
          <w:sz w:val="22"/>
          <w:szCs w:val="22"/>
          <w:lang w:val="ro-RO" w:eastAsia="ja-JP"/>
        </w:rPr>
        <w:fldChar w:fldCharType="begin"/>
      </w:r>
      <w:r>
        <w:rPr>
          <w:rFonts w:eastAsiaTheme="minorEastAsia"/>
          <w:i/>
          <w:iCs/>
          <w:sz w:val="22"/>
          <w:szCs w:val="22"/>
          <w:lang w:val="ro-RO" w:eastAsia="ja-JP"/>
        </w:rPr>
        <w:instrText xml:space="preserve"> SEQ Table \* ARABIC </w:instrText>
      </w:r>
      <w:r>
        <w:rPr>
          <w:rFonts w:eastAsiaTheme="minorEastAsia"/>
          <w:i/>
          <w:iCs/>
          <w:sz w:val="22"/>
          <w:szCs w:val="22"/>
          <w:lang w:val="ro-RO" w:eastAsia="ja-JP"/>
        </w:rPr>
        <w:fldChar w:fldCharType="separate"/>
      </w:r>
      <w:r>
        <w:rPr>
          <w:rFonts w:eastAsiaTheme="minorEastAsia"/>
          <w:i/>
          <w:iCs/>
          <w:noProof/>
          <w:sz w:val="22"/>
          <w:szCs w:val="22"/>
          <w:lang w:val="ro-RO" w:eastAsia="ja-JP"/>
        </w:rPr>
        <w:t>8</w:t>
      </w:r>
      <w:r>
        <w:rPr>
          <w:rFonts w:eastAsiaTheme="minorEastAsia"/>
          <w:i/>
          <w:iCs/>
          <w:sz w:val="22"/>
          <w:szCs w:val="22"/>
          <w:lang w:val="ro-RO" w:eastAsia="ja-JP"/>
        </w:rPr>
        <w:fldChar w:fldCharType="end"/>
      </w:r>
      <w:r>
        <w:rPr>
          <w:rFonts w:eastAsiaTheme="minorEastAsia"/>
          <w:i/>
          <w:iCs/>
          <w:sz w:val="22"/>
          <w:szCs w:val="22"/>
          <w:lang w:val="ro-RO" w:eastAsia="ja-JP"/>
        </w:rPr>
        <w:t xml:space="preserve"> -  Proiecția costurilor pentru transferul deșeurilor reciclabile și estimarea TARIFULUI A (lei, fără TVA)</w:t>
      </w:r>
    </w:p>
    <w:tbl>
      <w:tblPr>
        <w:tblStyle w:val="ListTable3-Accent2"/>
        <w:tblW w:w="0" w:type="auto"/>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2150"/>
        <w:gridCol w:w="776"/>
        <w:gridCol w:w="776"/>
        <w:gridCol w:w="776"/>
        <w:gridCol w:w="776"/>
        <w:gridCol w:w="776"/>
        <w:gridCol w:w="776"/>
        <w:gridCol w:w="776"/>
        <w:gridCol w:w="776"/>
        <w:gridCol w:w="776"/>
        <w:gridCol w:w="776"/>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984806" w:themeFill="accent6" w:themeFillShade="80"/>
            <w:hideMark/>
          </w:tcPr>
          <w:p>
            <w:pPr>
              <w:rPr>
                <w:sz w:val="16"/>
                <w:szCs w:val="16"/>
                <w:lang w:val="ro-RO"/>
              </w:rPr>
            </w:pPr>
            <w:r>
              <w:rPr>
                <w:color w:val="auto"/>
                <w:sz w:val="16"/>
                <w:szCs w:val="16"/>
                <w:lang w:val="ro-RO"/>
              </w:rPr>
              <w:t>Element / an</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2030</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2031</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2032</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2033</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2034</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2035</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2036</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2037</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2038</w:t>
            </w:r>
          </w:p>
        </w:tc>
        <w:tc>
          <w:tcPr>
            <w:tcW w:w="0" w:type="auto"/>
            <w:shd w:val="clear" w:color="auto" w:fill="984806" w:themeFill="accent6" w:themeFillShade="80"/>
            <w:noWrap/>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color w:val="auto"/>
                <w:sz w:val="16"/>
                <w:szCs w:val="16"/>
                <w:lang w:val="ro-RO"/>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rPr>
                <w:sz w:val="16"/>
                <w:szCs w:val="16"/>
                <w:lang w:val="ro-RO"/>
              </w:rPr>
            </w:pPr>
            <w:r>
              <w:rPr>
                <w:sz w:val="16"/>
                <w:szCs w:val="16"/>
                <w:lang w:val="ro-RO"/>
              </w:rPr>
              <w:t>INPUT deșeuri reciclabile - ST GALATI (tone/an)</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3.582,16</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3.542,05</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3.502,39</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3.504,31</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3.505,75</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3.733,31</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3.690,52</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3.648,22</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3.606,42</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3.565,09</w:t>
            </w:r>
          </w:p>
        </w:tc>
      </w:tr>
      <w:tr>
        <w:trPr>
          <w:trHeight w:val="4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rPr>
                <w:color w:val="000000"/>
                <w:sz w:val="16"/>
                <w:szCs w:val="16"/>
                <w:lang w:val="ro-RO"/>
              </w:rPr>
            </w:pPr>
            <w:r>
              <w:rPr>
                <w:color w:val="000000"/>
                <w:sz w:val="16"/>
                <w:szCs w:val="16"/>
                <w:lang w:val="ro-RO"/>
              </w:rPr>
              <w:t xml:space="preserve">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w:t>
            </w:r>
          </w:p>
        </w:tc>
        <w:tc>
          <w:tcPr>
            <w:tcW w:w="0" w:type="auto"/>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rPr>
                <w:b w:val="0"/>
                <w:bCs w:val="0"/>
                <w:color w:val="323232"/>
                <w:sz w:val="16"/>
                <w:szCs w:val="16"/>
                <w:lang w:val="ro-RO"/>
              </w:rPr>
            </w:pPr>
            <w:r>
              <w:rPr>
                <w:color w:val="323232"/>
                <w:sz w:val="16"/>
                <w:szCs w:val="16"/>
                <w:lang w:val="ro-RO"/>
              </w:rPr>
              <w:t>Costuri O&amp;M cu activitatea de transfer deșeuri reciclabile (lei/an)</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550.925</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552.888</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553.716</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557.437</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561.178</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580.426</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581.254</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582.172</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583.181</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584.280</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rPr>
                <w:color w:val="323232"/>
                <w:sz w:val="16"/>
                <w:szCs w:val="16"/>
                <w:lang w:val="ro-RO"/>
              </w:rPr>
            </w:pPr>
            <w:r>
              <w:rPr>
                <w:color w:val="323232"/>
                <w:sz w:val="16"/>
                <w:szCs w:val="16"/>
                <w:lang w:val="ro-RO"/>
              </w:rPr>
              <w:t>TOTAL O&amp;M COSTURI (lei/an)</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550.925</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552.888</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553.716</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557.437</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561.178</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580.426</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581.254</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582.172</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583.181</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584.280</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rPr>
                <w:b w:val="0"/>
                <w:bCs w:val="0"/>
                <w:color w:val="323232"/>
                <w:sz w:val="16"/>
                <w:szCs w:val="16"/>
                <w:lang w:val="ro-RO"/>
              </w:rPr>
            </w:pPr>
            <w:r>
              <w:rPr>
                <w:color w:val="323232"/>
                <w:sz w:val="16"/>
                <w:szCs w:val="16"/>
                <w:lang w:val="ro-RO"/>
              </w:rPr>
              <w:t>Redevența (lei/an)</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46.360</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52.433</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60.273</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68.139</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72.197</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78.452</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82.539</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86.696</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90.926</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95.232</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rPr>
                <w:color w:val="323232"/>
                <w:sz w:val="16"/>
                <w:szCs w:val="16"/>
                <w:lang w:val="ro-RO"/>
              </w:rPr>
            </w:pPr>
            <w:r>
              <w:rPr>
                <w:color w:val="323232"/>
                <w:sz w:val="16"/>
                <w:szCs w:val="16"/>
                <w:lang w:val="ro-RO"/>
              </w:rPr>
              <w:t xml:space="preserve">TOTAL O&amp;M COSTURI cu </w:t>
            </w:r>
            <w:r>
              <w:rPr>
                <w:color w:val="323232"/>
                <w:sz w:val="16"/>
                <w:szCs w:val="16"/>
                <w:lang w:val="pt-BR"/>
              </w:rPr>
              <w:t>redevența</w:t>
            </w:r>
            <w:r>
              <w:rPr>
                <w:color w:val="323232"/>
                <w:sz w:val="16"/>
                <w:szCs w:val="16"/>
                <w:lang w:val="ro-RO"/>
              </w:rPr>
              <w:t xml:space="preserve"> inclusa (lei/an)</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597.285</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605.321</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613.989</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625.575</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633.375</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658.878</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663.793</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668.868</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674.107</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679.512</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rPr>
                <w:b w:val="0"/>
                <w:bCs w:val="0"/>
                <w:color w:val="323232"/>
                <w:sz w:val="16"/>
                <w:szCs w:val="16"/>
                <w:lang w:val="ro-RO"/>
              </w:rPr>
            </w:pPr>
            <w:r>
              <w:rPr>
                <w:color w:val="323232"/>
                <w:sz w:val="16"/>
                <w:szCs w:val="16"/>
                <w:lang w:val="ro-RO"/>
              </w:rPr>
              <w:t>PROFIT</w:t>
            </w:r>
            <w:r>
              <w:rPr>
                <w:b w:val="0"/>
                <w:bCs w:val="0"/>
                <w:color w:val="323232"/>
                <w:sz w:val="16"/>
                <w:szCs w:val="16"/>
              </w:rPr>
              <w:t xml:space="preserve"> (lei/an)</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29.864</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30.266</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30.699</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31.279</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31.669</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32.944</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33.190</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33.443</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33.705</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33.976</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pPr>
              <w:rPr>
                <w:color w:val="323232"/>
                <w:sz w:val="16"/>
                <w:szCs w:val="16"/>
                <w:lang w:val="ro-RO"/>
              </w:rPr>
            </w:pPr>
            <w:r>
              <w:rPr>
                <w:color w:val="323232"/>
                <w:sz w:val="16"/>
                <w:szCs w:val="16"/>
                <w:lang w:val="ro-RO"/>
              </w:rPr>
              <w:t xml:space="preserve">TOTAL </w:t>
            </w:r>
            <w:r>
              <w:rPr>
                <w:color w:val="323232"/>
                <w:sz w:val="16"/>
                <w:szCs w:val="16"/>
              </w:rPr>
              <w:t>(lei/an)</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627.149</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635.587</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644.688</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656.854</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665.044</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691.822</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696.982</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702.311</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707.812</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713.488</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pPr>
              <w:rPr>
                <w:color w:val="323232"/>
                <w:sz w:val="16"/>
                <w:szCs w:val="16"/>
                <w:lang w:val="ro-RO"/>
              </w:rPr>
            </w:pPr>
            <w:r>
              <w:rPr>
                <w:color w:val="323232"/>
                <w:sz w:val="16"/>
                <w:szCs w:val="16"/>
                <w:lang w:val="ro-RO"/>
              </w:rPr>
              <w:t>TARIF TRANSFER DESEURI RECICLABILE</w:t>
            </w:r>
            <w:r>
              <w:rPr>
                <w:color w:val="323232"/>
                <w:sz w:val="16"/>
                <w:szCs w:val="16"/>
                <w:lang w:val="pt-BR"/>
              </w:rPr>
              <w:t xml:space="preserve"> (lei/tonă)</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175,08</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179,44</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184,07</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187,44</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189,70</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185,31</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188,86</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192,51</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196,26</w:t>
            </w:r>
          </w:p>
        </w:tc>
        <w:tc>
          <w:tcPr>
            <w:tcW w:w="0" w:type="auto"/>
            <w:tcBorders>
              <w:top w:val="none" w:sz="0" w:space="0" w:color="auto"/>
              <w:bottom w:val="none" w:sz="0" w:space="0" w:color="auto"/>
            </w:tcBorders>
            <w:noWrap/>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200,13</w:t>
            </w:r>
          </w:p>
        </w:tc>
      </w:tr>
    </w:tbl>
    <w:p>
      <w:pPr>
        <w:rPr>
          <w:rFonts w:eastAsiaTheme="minorEastAsia"/>
          <w:sz w:val="22"/>
          <w:szCs w:val="22"/>
          <w:lang w:val="ro-RO" w:eastAsia="ja-JP"/>
        </w:rPr>
      </w:pPr>
    </w:p>
    <w:bookmarkEnd w:id="3"/>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9</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Proiecția costurilor pentru transferul deșeurilor reziduale și estimarea TARIFULUI B (lei, fără TVA)</w:t>
      </w:r>
    </w:p>
    <w:tbl>
      <w:tblPr>
        <w:tblStyle w:val="ListTable3"/>
        <w:tblW w:w="0" w:type="auto"/>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1350"/>
        <w:gridCol w:w="856"/>
        <w:gridCol w:w="856"/>
        <w:gridCol w:w="856"/>
        <w:gridCol w:w="856"/>
        <w:gridCol w:w="856"/>
        <w:gridCol w:w="856"/>
        <w:gridCol w:w="856"/>
        <w:gridCol w:w="856"/>
        <w:gridCol w:w="856"/>
        <w:gridCol w:w="856"/>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100" w:firstRow="0" w:lastRow="0" w:firstColumn="1" w:lastColumn="0" w:oddVBand="0" w:evenVBand="0" w:oddHBand="0" w:evenHBand="0" w:firstRowFirstColumn="1" w:firstRowLastColumn="0" w:lastRowFirstColumn="0" w:lastRowLastColumn="0"/>
            <w:tcW w:w="0" w:type="auto"/>
            <w:tcBorders>
              <w:right w:val="none" w:sz="0" w:space="0" w:color="auto"/>
            </w:tcBorders>
            <w:shd w:val="clear" w:color="auto" w:fill="984806" w:themeFill="accent6" w:themeFillShade="80"/>
            <w:vAlign w:val="center"/>
            <w:hideMark/>
          </w:tcPr>
          <w:p>
            <w:pPr>
              <w:rPr>
                <w:sz w:val="16"/>
                <w:szCs w:val="16"/>
                <w:lang w:val="ro-RO"/>
              </w:rPr>
            </w:pPr>
            <w:r>
              <w:rPr>
                <w:sz w:val="16"/>
                <w:szCs w:val="16"/>
                <w:lang w:val="ro-RO"/>
              </w:rPr>
              <w:t>Element / an</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2030</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2031</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2032</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2033</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2034</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2035</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2036</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2037</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2038</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pPr>
              <w:rPr>
                <w:sz w:val="16"/>
                <w:szCs w:val="16"/>
                <w:lang w:val="ro-RO"/>
              </w:rPr>
            </w:pPr>
            <w:r>
              <w:rPr>
                <w:sz w:val="16"/>
                <w:szCs w:val="16"/>
                <w:lang w:val="ro-RO"/>
              </w:rPr>
              <w:t xml:space="preserve">INPUT </w:t>
            </w:r>
            <w:r>
              <w:rPr>
                <w:sz w:val="16"/>
                <w:szCs w:val="16"/>
              </w:rPr>
              <w:t>deșeuri</w:t>
            </w:r>
            <w:r>
              <w:rPr>
                <w:sz w:val="16"/>
                <w:szCs w:val="16"/>
                <w:lang w:val="ro-RO"/>
              </w:rPr>
              <w:t xml:space="preserve"> reziduale</w:t>
            </w:r>
            <w:r>
              <w:rPr>
                <w:sz w:val="16"/>
                <w:szCs w:val="16"/>
              </w:rPr>
              <w:t xml:space="preserve"> și reziduuri</w:t>
            </w:r>
            <w:r>
              <w:rPr>
                <w:sz w:val="16"/>
                <w:szCs w:val="16"/>
                <w:lang w:val="ro-RO"/>
              </w:rPr>
              <w:t xml:space="preserve"> - ST GALATI (tone/an)</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24.001,97</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23.738,07</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23.477,14</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23.129,93</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22.558,19</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20.713,06</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20.480,45</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20.250,53</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20.023,26</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19.798,61</w:t>
            </w:r>
          </w:p>
        </w:tc>
      </w:tr>
      <w:tr>
        <w:trPr>
          <w:trHeight w:val="4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000000"/>
                <w:sz w:val="16"/>
                <w:szCs w:val="16"/>
                <w:lang w:val="ro-RO"/>
              </w:rPr>
            </w:pPr>
            <w:r>
              <w:rPr>
                <w:color w:val="000000"/>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pPr>
              <w:rPr>
                <w:b w:val="0"/>
                <w:bCs w:val="0"/>
                <w:color w:val="323232"/>
                <w:sz w:val="16"/>
                <w:szCs w:val="16"/>
                <w:lang w:val="ro-RO"/>
              </w:rPr>
            </w:pPr>
            <w:r>
              <w:rPr>
                <w:color w:val="323232"/>
                <w:sz w:val="16"/>
                <w:szCs w:val="16"/>
                <w:lang w:val="ro-RO"/>
              </w:rPr>
              <w:t>Costuri O&amp;M cu activitatea de transfer deșeuri reziduale (lei/an)</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4.011.659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4.029.263</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4.039.320</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4.043.899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4.033.559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3.936.636</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3.950.339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3.964.670</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3.979.635</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3.995.239</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323232"/>
                <w:sz w:val="16"/>
                <w:szCs w:val="16"/>
                <w:lang w:val="ro-RO"/>
              </w:rPr>
            </w:pPr>
            <w:r>
              <w:rPr>
                <w:color w:val="323232"/>
                <w:sz w:val="16"/>
                <w:szCs w:val="16"/>
                <w:lang w:val="ro-RO"/>
              </w:rPr>
              <w:t>TOTAL O&amp;M COSTURI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4.011.659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4.029.263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4.039.320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4.043.899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4.033.559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3.936.636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3.950.339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3.964.670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3.979.635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3.995.239</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pPr>
              <w:rPr>
                <w:b w:val="0"/>
                <w:bCs w:val="0"/>
                <w:color w:val="323232"/>
                <w:sz w:val="16"/>
                <w:szCs w:val="16"/>
                <w:lang w:val="ro-RO"/>
              </w:rPr>
            </w:pPr>
            <w:r>
              <w:rPr>
                <w:color w:val="323232"/>
                <w:sz w:val="16"/>
                <w:szCs w:val="16"/>
                <w:lang w:val="ro-RO"/>
              </w:rPr>
              <w:t>Redevența (lei/an)</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279.716</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316.357</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363.660</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411.115</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435.600</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473.344</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497.999</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523.080</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548.604</w:t>
            </w:r>
          </w:p>
        </w:tc>
        <w:tc>
          <w:tcPr>
            <w:tcW w:w="0" w:type="auto"/>
            <w:tcBorders>
              <w:top w:val="none" w:sz="0" w:space="0" w:color="auto"/>
              <w:bottom w:val="none" w:sz="0" w:space="0" w:color="auto"/>
            </w:tcBorders>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574.585</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323232"/>
                <w:sz w:val="16"/>
                <w:szCs w:val="16"/>
                <w:lang w:val="ro-RO"/>
              </w:rPr>
            </w:pPr>
            <w:r>
              <w:rPr>
                <w:color w:val="323232"/>
                <w:sz w:val="16"/>
                <w:szCs w:val="16"/>
                <w:lang w:val="ro-RO"/>
              </w:rPr>
              <w:t xml:space="preserve">TOTAL O&amp;M COSTURI cu </w:t>
            </w:r>
            <w:r>
              <w:rPr>
                <w:color w:val="323232"/>
                <w:sz w:val="16"/>
                <w:szCs w:val="16"/>
                <w:lang w:val="pt-BR"/>
              </w:rPr>
              <w:t>redevența</w:t>
            </w:r>
            <w:r>
              <w:rPr>
                <w:color w:val="323232"/>
                <w:sz w:val="16"/>
                <w:szCs w:val="16"/>
                <w:lang w:val="ro-RO"/>
              </w:rPr>
              <w:t xml:space="preserve"> inclusa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4.291.374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4.345.620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4.402.980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4.455.015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4.469.159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4.409.981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4.448.338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4.487.750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4.528.238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4.569.825</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pPr>
              <w:rPr>
                <w:b w:val="0"/>
                <w:bCs w:val="0"/>
                <w:color w:val="323232"/>
                <w:sz w:val="16"/>
                <w:szCs w:val="16"/>
                <w:lang w:val="ro-RO"/>
              </w:rPr>
            </w:pPr>
            <w:r>
              <w:rPr>
                <w:color w:val="323232"/>
                <w:sz w:val="16"/>
                <w:szCs w:val="16"/>
                <w:lang w:val="ro-RO"/>
              </w:rPr>
              <w:t>PROFIT</w:t>
            </w:r>
            <w:r>
              <w:rPr>
                <w:b w:val="0"/>
                <w:bCs w:val="0"/>
                <w:color w:val="323232"/>
                <w:sz w:val="16"/>
                <w:szCs w:val="16"/>
              </w:rPr>
              <w:t xml:space="preserve"> (lei/an)</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214.569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217.281</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220.149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222.751</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223.458</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220.499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222.417</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224.387</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226.412</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228.491</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323232"/>
                <w:sz w:val="16"/>
                <w:szCs w:val="16"/>
                <w:lang w:val="ro-RO"/>
              </w:rPr>
            </w:pPr>
            <w:r>
              <w:rPr>
                <w:color w:val="323232"/>
                <w:sz w:val="16"/>
                <w:szCs w:val="16"/>
                <w:lang w:val="ro-RO"/>
              </w:rPr>
              <w:t xml:space="preserve">TOTAL </w:t>
            </w:r>
            <w:r>
              <w:rPr>
                <w:color w:val="323232"/>
                <w:sz w:val="16"/>
                <w:szCs w:val="16"/>
              </w:rPr>
              <w:t>(lei/an)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4.505.943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4.562.901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4.623.129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4.677.765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4.692.617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4.630.480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4.670.754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4.712.137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4.754.650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4.798.316</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pPr>
              <w:rPr>
                <w:color w:val="323232"/>
                <w:sz w:val="16"/>
                <w:szCs w:val="16"/>
                <w:lang w:val="ro-RO"/>
              </w:rPr>
            </w:pPr>
            <w:r>
              <w:rPr>
                <w:color w:val="323232"/>
                <w:sz w:val="16"/>
                <w:szCs w:val="16"/>
                <w:lang w:val="ro-RO"/>
              </w:rPr>
              <w:t>TARIF TRANSFER DESEURI REZIDUALE</w:t>
            </w:r>
            <w:r>
              <w:rPr>
                <w:color w:val="323232"/>
                <w:sz w:val="16"/>
                <w:szCs w:val="16"/>
                <w:lang w:val="pt-BR"/>
              </w:rPr>
              <w:t xml:space="preserve"> (lei/tonă)</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187,73</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192,22</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196,92</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202,24</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208,02</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223,55</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228,06</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232,69</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237,46</w:t>
            </w:r>
          </w:p>
        </w:tc>
        <w:tc>
          <w:tcPr>
            <w:tcW w:w="0" w:type="auto"/>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242,36</w:t>
            </w:r>
          </w:p>
        </w:tc>
      </w:tr>
    </w:tbl>
    <w:p/>
    <w:p>
      <w:pPr>
        <w:pStyle w:val="Caption"/>
        <w:spacing w:before="120" w:after="120" w:line="300" w:lineRule="auto"/>
        <w:jc w:val="both"/>
        <w:rPr>
          <w:rFonts w:ascii="Times New Roman" w:hAnsi="Times New Roman" w:cs="Times New Roman"/>
          <w:color w:val="auto"/>
          <w:sz w:val="22"/>
          <w:szCs w:val="22"/>
        </w:rPr>
      </w:pPr>
      <w:bookmarkStart w:id="4" w:name="_Toc100929902"/>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10</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Proiecția costurilor pentru tratarea mecano-biologică a deșeurilor reziduale și estimarea TARIFULUI C (lei, fără TVA)</w:t>
      </w:r>
      <w:bookmarkEnd w:id="4"/>
    </w:p>
    <w:tbl>
      <w:tblPr>
        <w:tblStyle w:val="ListTable3"/>
        <w:tblW w:w="0" w:type="auto"/>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1000"/>
        <w:gridCol w:w="891"/>
        <w:gridCol w:w="891"/>
        <w:gridCol w:w="891"/>
        <w:gridCol w:w="891"/>
        <w:gridCol w:w="891"/>
        <w:gridCol w:w="891"/>
        <w:gridCol w:w="891"/>
        <w:gridCol w:w="891"/>
        <w:gridCol w:w="891"/>
        <w:gridCol w:w="891"/>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984806" w:themeFill="accent6" w:themeFillShade="80"/>
            <w:vAlign w:val="center"/>
            <w:hideMark/>
          </w:tcPr>
          <w:p>
            <w:pPr>
              <w:rPr>
                <w:sz w:val="15"/>
                <w:szCs w:val="15"/>
                <w:lang w:val="ro-RO"/>
              </w:rPr>
            </w:pPr>
            <w:r>
              <w:rPr>
                <w:sz w:val="15"/>
                <w:szCs w:val="15"/>
                <w:lang w:val="ro-RO"/>
              </w:rPr>
              <w:t>Element / an</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2030</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2031</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2032</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2033</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2034</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2035</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2036</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2037</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2038</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5"/>
                <w:szCs w:val="15"/>
                <w:lang w:val="ro-RO"/>
              </w:rPr>
            </w:pPr>
            <w:r>
              <w:rPr>
                <w:i/>
                <w:iCs/>
                <w:sz w:val="15"/>
                <w:szCs w:val="15"/>
                <w:lang w:val="ro-RO"/>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sz w:val="15"/>
                <w:szCs w:val="15"/>
                <w:lang w:val="ro-RO"/>
              </w:rPr>
            </w:pPr>
            <w:r>
              <w:rPr>
                <w:sz w:val="15"/>
                <w:szCs w:val="15"/>
                <w:lang w:val="ro-RO"/>
              </w:rPr>
              <w:t xml:space="preserve">INPUT </w:t>
            </w:r>
            <w:r>
              <w:rPr>
                <w:sz w:val="15"/>
                <w:szCs w:val="15"/>
              </w:rPr>
              <w:t>deșeuri</w:t>
            </w:r>
            <w:r>
              <w:rPr>
                <w:sz w:val="15"/>
                <w:szCs w:val="15"/>
                <w:lang w:val="ro-RO"/>
              </w:rPr>
              <w:t xml:space="preserve"> reziduale - TMB GALATI (tone/an)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50.102,73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49.557,01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49.017,44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48.169,46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46.274,17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38.805,40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38.375,64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37.950,83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37.530,93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5"/>
                <w:szCs w:val="15"/>
                <w:lang w:val="ro-RO"/>
              </w:rPr>
            </w:pPr>
            <w:r>
              <w:rPr>
                <w:i/>
                <w:iCs/>
                <w:color w:val="000000"/>
                <w:sz w:val="15"/>
                <w:szCs w:val="15"/>
                <w:lang w:val="ro-RO"/>
              </w:rPr>
              <w:t>37.115,87</w:t>
            </w:r>
          </w:p>
        </w:tc>
      </w:tr>
      <w:tr>
        <w:trPr>
          <w:trHeight w:val="54"/>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000000"/>
                <w:sz w:val="15"/>
                <w:szCs w:val="15"/>
                <w:lang w:val="ro-RO"/>
              </w:rPr>
            </w:pPr>
            <w:r>
              <w:rPr>
                <w:color w:val="000000"/>
                <w:sz w:val="15"/>
                <w:szCs w:val="15"/>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b w:val="0"/>
                <w:bCs w:val="0"/>
                <w:color w:val="323232"/>
                <w:sz w:val="15"/>
                <w:szCs w:val="15"/>
                <w:lang w:val="ro-RO"/>
              </w:rPr>
            </w:pPr>
            <w:r>
              <w:rPr>
                <w:color w:val="323232"/>
                <w:sz w:val="15"/>
                <w:szCs w:val="15"/>
                <w:lang w:val="ro-RO"/>
              </w:rPr>
              <w:lastRenderedPageBreak/>
              <w:t>Costuri O&amp;M cu activitatea de tratare mecanica deșeuri reziduale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5.774.777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5.762.415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5.728.710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5.667.881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5.514.475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4.867.544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4.844.374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4.821.853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4.799.980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4.778.753</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b w:val="0"/>
                <w:bCs w:val="0"/>
                <w:color w:val="323232"/>
                <w:sz w:val="15"/>
                <w:szCs w:val="15"/>
                <w:lang w:val="ro-RO"/>
              </w:rPr>
            </w:pPr>
            <w:r>
              <w:rPr>
                <w:color w:val="323232"/>
                <w:sz w:val="15"/>
                <w:szCs w:val="15"/>
                <w:lang w:val="ro-RO"/>
              </w:rPr>
              <w:t>Costuri O&amp;M cu producerea de RDF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2.037.276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2.036.763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2.030.390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2.023.476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2.002.459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1.938.335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1.933.438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1.928.773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1.924.339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1.920.137</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b w:val="0"/>
                <w:bCs w:val="0"/>
                <w:color w:val="323232"/>
                <w:sz w:val="15"/>
                <w:szCs w:val="15"/>
                <w:lang w:val="ro-RO"/>
              </w:rPr>
            </w:pPr>
            <w:r>
              <w:rPr>
                <w:color w:val="323232"/>
                <w:sz w:val="15"/>
                <w:szCs w:val="15"/>
                <w:lang w:val="ro-RO"/>
              </w:rPr>
              <w:t xml:space="preserve">Costuri O&amp;M cu tratarea biologica a </w:t>
            </w:r>
            <w:r>
              <w:rPr>
                <w:color w:val="323232"/>
                <w:sz w:val="15"/>
                <w:szCs w:val="15"/>
                <w:lang w:val="pt-BR"/>
              </w:rPr>
              <w:t>fracției</w:t>
            </w:r>
            <w:r>
              <w:rPr>
                <w:color w:val="323232"/>
                <w:sz w:val="15"/>
                <w:szCs w:val="15"/>
                <w:lang w:val="ro-RO"/>
              </w:rPr>
              <w:t xml:space="preserve"> organice din deșeurile reziduale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9.664.041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9.658.433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9.626.952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9.562.597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9.386.096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8.611.852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8.593.024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8.574.953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8.557.636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8.541.068</w:t>
            </w:r>
          </w:p>
        </w:tc>
      </w:tr>
      <w:tr>
        <w:trPr>
          <w:trHeight w:val="45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b w:val="0"/>
                <w:bCs w:val="0"/>
                <w:color w:val="323232"/>
                <w:sz w:val="15"/>
                <w:szCs w:val="15"/>
                <w:lang w:val="ro-RO"/>
              </w:rPr>
            </w:pPr>
            <w:r>
              <w:rPr>
                <w:color w:val="323232"/>
                <w:sz w:val="15"/>
                <w:szCs w:val="15"/>
                <w:lang w:val="ro-RO"/>
              </w:rPr>
              <w:t xml:space="preserve">Costuri O&amp;M cu tratarea digestatului </w:t>
            </w:r>
            <w:r>
              <w:rPr>
                <w:color w:val="323232"/>
                <w:sz w:val="15"/>
                <w:szCs w:val="15"/>
                <w:lang w:val="pt-BR"/>
              </w:rPr>
              <w:t>obținut</w:t>
            </w:r>
            <w:r>
              <w:rPr>
                <w:color w:val="323232"/>
                <w:sz w:val="15"/>
                <w:szCs w:val="15"/>
                <w:lang w:val="ro-RO"/>
              </w:rPr>
              <w:t xml:space="preserve"> din fracția organica din deșeurile reziduale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3.619.094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3.619.692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3.610.880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3.590.096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3.528.349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3.248.027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3.244.061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3.240.429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3.237.130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ro-RO"/>
              </w:rPr>
            </w:pPr>
            <w:r>
              <w:rPr>
                <w:color w:val="000000"/>
                <w:sz w:val="15"/>
                <w:szCs w:val="15"/>
                <w:lang w:val="ro-RO"/>
              </w:rPr>
              <w:t>3.234.165</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b w:val="0"/>
                <w:bCs w:val="0"/>
                <w:color w:val="323232"/>
                <w:sz w:val="15"/>
                <w:szCs w:val="15"/>
                <w:lang w:val="ro-RO"/>
              </w:rPr>
            </w:pPr>
            <w:r>
              <w:rPr>
                <w:color w:val="323232"/>
                <w:sz w:val="15"/>
                <w:szCs w:val="15"/>
                <w:lang w:val="ro-RO"/>
              </w:rPr>
              <w:t xml:space="preserve">Costuri O&amp;M cu transportul reziduurilor la ST </w:t>
            </w:r>
            <w:r>
              <w:rPr>
                <w:color w:val="323232"/>
                <w:sz w:val="15"/>
                <w:szCs w:val="15"/>
                <w:lang w:val="pt-BR"/>
              </w:rPr>
              <w:t>Galați</w:t>
            </w:r>
            <w:r>
              <w:rPr>
                <w:color w:val="323232"/>
                <w:sz w:val="15"/>
                <w:szCs w:val="15"/>
                <w:lang w:val="ro-RO"/>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2.748.962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2.743.176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2.727.307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2.703.689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2.659.762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2.496.964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2.484.085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2.471.543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2.459.337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ro-RO"/>
              </w:rPr>
            </w:pPr>
            <w:r>
              <w:rPr>
                <w:color w:val="000000"/>
                <w:sz w:val="15"/>
                <w:szCs w:val="15"/>
                <w:lang w:val="ro-RO"/>
              </w:rPr>
              <w:t>2.447.466</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323232"/>
                <w:sz w:val="15"/>
                <w:szCs w:val="15"/>
                <w:lang w:val="ro-RO"/>
              </w:rPr>
            </w:pPr>
            <w:r>
              <w:rPr>
                <w:color w:val="323232"/>
                <w:sz w:val="15"/>
                <w:szCs w:val="15"/>
                <w:lang w:val="ro-RO"/>
              </w:rPr>
              <w:t>TOTAL O&amp;M COSTURI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23.844.150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23.820.478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23.724.239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23.547.739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23.091.141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21.162.721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21.098.982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21.037.551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20.978.422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20.921.588</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b w:val="0"/>
                <w:bCs w:val="0"/>
                <w:color w:val="323232"/>
                <w:sz w:val="15"/>
                <w:szCs w:val="15"/>
                <w:lang w:val="ro-RO"/>
              </w:rPr>
            </w:pPr>
            <w:r>
              <w:rPr>
                <w:color w:val="323232"/>
                <w:sz w:val="15"/>
                <w:szCs w:val="15"/>
                <w:lang w:val="ro-RO"/>
              </w:rPr>
              <w:t>Redevența (lei/an)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2.699.701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3.053.348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3.509.895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3.967.919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4.204.232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4.568.528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4.806.484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5.048.558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5.294.901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5.545.664</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323232"/>
                <w:sz w:val="15"/>
                <w:szCs w:val="15"/>
                <w:lang w:val="ro-RO"/>
              </w:rPr>
            </w:pPr>
            <w:r>
              <w:rPr>
                <w:color w:val="323232"/>
                <w:sz w:val="15"/>
                <w:szCs w:val="15"/>
                <w:lang w:val="ro-RO"/>
              </w:rPr>
              <w:t xml:space="preserve">TOTAL O&amp;M COSTURI cu </w:t>
            </w:r>
            <w:r>
              <w:rPr>
                <w:color w:val="323232"/>
                <w:sz w:val="15"/>
                <w:szCs w:val="15"/>
                <w:lang w:val="pt-BR"/>
              </w:rPr>
              <w:t>redevența</w:t>
            </w:r>
            <w:r>
              <w:rPr>
                <w:color w:val="323232"/>
                <w:sz w:val="15"/>
                <w:szCs w:val="15"/>
                <w:lang w:val="ro-RO"/>
              </w:rPr>
              <w:t xml:space="preserve"> inclusa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26.543.851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26.873.826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27.234.134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27.515.658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27.295.373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25.731.249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25.905.466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26.086.110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26.273.323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26.467.252</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b w:val="0"/>
                <w:bCs w:val="0"/>
                <w:color w:val="323232"/>
                <w:sz w:val="15"/>
                <w:szCs w:val="15"/>
                <w:lang w:val="ro-RO"/>
              </w:rPr>
            </w:pPr>
            <w:r>
              <w:rPr>
                <w:color w:val="323232"/>
                <w:sz w:val="15"/>
                <w:szCs w:val="15"/>
                <w:lang w:val="ro-RO"/>
              </w:rPr>
              <w:t>PROFIT</w:t>
            </w:r>
            <w:r>
              <w:rPr>
                <w:color w:val="323232"/>
                <w:sz w:val="15"/>
                <w:szCs w:val="15"/>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1.327.193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1.343.691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1.361.707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1.375.783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1.364.769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1.286.562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1.295.273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1.304.305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1.313.666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5"/>
                <w:szCs w:val="15"/>
                <w:lang w:val="ro-RO"/>
              </w:rPr>
            </w:pPr>
            <w:r>
              <w:rPr>
                <w:color w:val="323232"/>
                <w:sz w:val="15"/>
                <w:szCs w:val="15"/>
                <w:lang w:val="ro-RO"/>
              </w:rPr>
              <w:t>1.323.363</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323232"/>
                <w:sz w:val="15"/>
                <w:szCs w:val="15"/>
                <w:lang w:val="ro-RO"/>
              </w:rPr>
            </w:pPr>
            <w:r>
              <w:rPr>
                <w:color w:val="323232"/>
                <w:sz w:val="15"/>
                <w:szCs w:val="15"/>
                <w:lang w:val="ro-RO"/>
              </w:rPr>
              <w:t xml:space="preserve">TOTAL </w:t>
            </w:r>
            <w:r>
              <w:rPr>
                <w:color w:val="323232"/>
                <w:sz w:val="15"/>
                <w:szCs w:val="15"/>
              </w:rPr>
              <w:t>(lei/an)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27.871.043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28.217.518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28.595.841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28.891.441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28.660.142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27.017.811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27.200.739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27.390.415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27.586.989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5"/>
                <w:szCs w:val="15"/>
                <w:lang w:val="ro-RO"/>
              </w:rPr>
            </w:pPr>
            <w:r>
              <w:rPr>
                <w:b/>
                <w:bCs/>
                <w:color w:val="323232"/>
                <w:sz w:val="15"/>
                <w:szCs w:val="15"/>
                <w:lang w:val="ro-RO"/>
              </w:rPr>
              <w:t>27.790.615</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pPr>
              <w:rPr>
                <w:color w:val="323232"/>
                <w:sz w:val="15"/>
                <w:szCs w:val="15"/>
                <w:lang w:val="ro-RO"/>
              </w:rPr>
            </w:pPr>
            <w:r>
              <w:rPr>
                <w:color w:val="323232"/>
                <w:sz w:val="15"/>
                <w:szCs w:val="15"/>
                <w:lang w:val="ro-RO"/>
              </w:rPr>
              <w:t>TARIF TMB</w:t>
            </w:r>
            <w:r>
              <w:rPr>
                <w:color w:val="323232"/>
                <w:sz w:val="15"/>
                <w:szCs w:val="15"/>
              </w:rPr>
              <w:t xml:space="preserve"> (lei/tonă)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556,28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569,40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583,38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599,79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619,36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696,24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708,80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721,73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735,05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5"/>
                <w:szCs w:val="15"/>
                <w:lang w:val="ro-RO"/>
              </w:rPr>
            </w:pPr>
            <w:r>
              <w:rPr>
                <w:b/>
                <w:bCs/>
                <w:color w:val="323232"/>
                <w:sz w:val="15"/>
                <w:szCs w:val="15"/>
                <w:lang w:val="ro-RO"/>
              </w:rPr>
              <w:t>748,75</w:t>
            </w:r>
          </w:p>
        </w:tc>
      </w:tr>
    </w:tbl>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11</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Proiecția costurilor pentru tratarea anaerobă a biodeșeurilor colectate separat și estimarea TARIFULUI D (lei, fără TVA)</w:t>
      </w:r>
    </w:p>
    <w:tbl>
      <w:tblPr>
        <w:tblStyle w:val="ListTable3"/>
        <w:tblW w:w="9972" w:type="dxa"/>
        <w:tblBorders>
          <w:top w:val="single" w:sz="4" w:space="0" w:color="CC660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1132"/>
        <w:gridCol w:w="936"/>
        <w:gridCol w:w="936"/>
        <w:gridCol w:w="936"/>
        <w:gridCol w:w="936"/>
        <w:gridCol w:w="936"/>
        <w:gridCol w:w="936"/>
        <w:gridCol w:w="936"/>
        <w:gridCol w:w="936"/>
        <w:gridCol w:w="936"/>
        <w:gridCol w:w="936"/>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100" w:firstRow="0" w:lastRow="0" w:firstColumn="1" w:lastColumn="0" w:oddVBand="0" w:evenVBand="0" w:oddHBand="0" w:evenHBand="0" w:firstRowFirstColumn="1" w:firstRowLastColumn="0" w:lastRowFirstColumn="0" w:lastRowLastColumn="0"/>
            <w:tcW w:w="1129" w:type="dxa"/>
            <w:tcBorders>
              <w:bottom w:val="none" w:sz="0" w:space="0" w:color="auto"/>
              <w:right w:val="none" w:sz="0" w:space="0" w:color="auto"/>
            </w:tcBorders>
            <w:shd w:val="clear" w:color="auto" w:fill="984806" w:themeFill="accent6" w:themeFillShade="80"/>
            <w:vAlign w:val="center"/>
            <w:hideMark/>
          </w:tcPr>
          <w:p>
            <w:pPr>
              <w:rPr>
                <w:sz w:val="16"/>
                <w:szCs w:val="16"/>
                <w:lang w:val="ro-RO"/>
              </w:rPr>
            </w:pPr>
            <w:r>
              <w:rPr>
                <w:sz w:val="16"/>
                <w:szCs w:val="16"/>
                <w:lang w:val="ro-RO"/>
              </w:rPr>
              <w:t>Element / an</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2030</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2031</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2032</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2033</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2034</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2035</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2036</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2037</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2038</w:t>
            </w:r>
          </w:p>
        </w:tc>
        <w:tc>
          <w:tcPr>
            <w:tcW w:w="0" w:type="auto"/>
            <w:shd w:val="clear" w:color="auto" w:fill="984806" w:themeFill="accent6" w:themeFillShade="80"/>
            <w:noWrap/>
            <w:vAlign w:val="center"/>
            <w:hideMark/>
          </w:tcPr>
          <w:p>
            <w:pPr>
              <w:jc w:val="center"/>
              <w:cnfStyle w:val="100000000000" w:firstRow="1" w:lastRow="0" w:firstColumn="0" w:lastColumn="0" w:oddVBand="0" w:evenVBand="0" w:oddHBand="0" w:evenHBand="0" w:firstRowFirstColumn="0" w:firstRowLastColumn="0" w:lastRowFirstColumn="0" w:lastRowLastColumn="0"/>
              <w:rPr>
                <w:i/>
                <w:iCs/>
                <w:sz w:val="16"/>
                <w:szCs w:val="16"/>
                <w:lang w:val="ro-RO"/>
              </w:rPr>
            </w:pPr>
            <w:r>
              <w:rPr>
                <w:i/>
                <w:iCs/>
                <w:sz w:val="16"/>
                <w:szCs w:val="16"/>
                <w:lang w:val="ro-RO"/>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sz w:val="16"/>
                <w:szCs w:val="16"/>
                <w:lang w:val="ro-RO"/>
              </w:rPr>
            </w:pPr>
            <w:r>
              <w:rPr>
                <w:sz w:val="16"/>
                <w:szCs w:val="16"/>
                <w:lang w:val="ro-RO"/>
              </w:rPr>
              <w:t>INPUT biodeseuri - TMB GALATI (tone/an)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56.269,03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55.639,54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55.017,14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54.401,76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54.853,72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58.889,23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58.215,28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57.549,11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56.890,63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i/>
                <w:iCs/>
                <w:color w:val="000000"/>
                <w:sz w:val="16"/>
                <w:szCs w:val="16"/>
                <w:lang w:val="ro-RO"/>
              </w:rPr>
            </w:pPr>
            <w:r>
              <w:rPr>
                <w:i/>
                <w:iCs/>
                <w:color w:val="000000"/>
                <w:sz w:val="16"/>
                <w:szCs w:val="16"/>
                <w:lang w:val="ro-RO"/>
              </w:rPr>
              <w:t>56.239,75</w:t>
            </w:r>
          </w:p>
        </w:tc>
      </w:tr>
      <w:tr>
        <w:trPr>
          <w:trHeight w:val="255"/>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color w:val="000000"/>
                <w:sz w:val="16"/>
                <w:szCs w:val="16"/>
                <w:lang w:val="ro-RO"/>
              </w:rPr>
            </w:pPr>
            <w:r>
              <w:rPr>
                <w:color w:val="000000"/>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b w:val="0"/>
                <w:bCs w:val="0"/>
                <w:color w:val="323232"/>
                <w:sz w:val="16"/>
                <w:szCs w:val="16"/>
                <w:lang w:val="ro-RO"/>
              </w:rPr>
            </w:pPr>
            <w:r>
              <w:rPr>
                <w:color w:val="323232"/>
                <w:sz w:val="16"/>
                <w:szCs w:val="16"/>
                <w:lang w:val="ro-RO"/>
              </w:rPr>
              <w:t xml:space="preserve">Costuri O&amp;M cu activitatea de pretratare mecanica biodeseuri </w:t>
            </w:r>
            <w:r>
              <w:rPr>
                <w:color w:val="323232"/>
                <w:sz w:val="16"/>
                <w:szCs w:val="16"/>
                <w:lang w:val="ro-RO"/>
              </w:rPr>
              <w:lastRenderedPageBreak/>
              <w:t>colectate separat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lastRenderedPageBreak/>
              <w:t>6.447.978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6.444.939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6.422.607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6.401.066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6.456.397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6.769.140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6.744.288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6.720.299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6.697.173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6.674.909</w:t>
            </w:r>
          </w:p>
        </w:tc>
      </w:tr>
      <w:tr>
        <w:trPr>
          <w:trHeight w:val="45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b w:val="0"/>
                <w:bCs w:val="0"/>
                <w:color w:val="323232"/>
                <w:sz w:val="16"/>
                <w:szCs w:val="16"/>
                <w:lang w:val="ro-RO"/>
              </w:rPr>
            </w:pPr>
            <w:r>
              <w:rPr>
                <w:color w:val="323232"/>
                <w:sz w:val="16"/>
                <w:szCs w:val="16"/>
                <w:lang w:val="ro-RO"/>
              </w:rPr>
              <w:t xml:space="preserve">Costuri O&amp;M cu tratarea biologica a </w:t>
            </w:r>
            <w:r>
              <w:rPr>
                <w:color w:val="323232"/>
                <w:sz w:val="16"/>
                <w:szCs w:val="16"/>
                <w:lang w:val="pt-BR"/>
              </w:rPr>
              <w:t>biodeșeurilor</w:t>
            </w:r>
            <w:r>
              <w:rPr>
                <w:color w:val="323232"/>
                <w:sz w:val="16"/>
                <w:szCs w:val="16"/>
                <w:lang w:val="ro-RO"/>
              </w:rPr>
              <w:t xml:space="preserve"> rezultate după pretratarea mecanică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11.391.327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11.369.365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11.309.630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11.251.167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11.341.899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11.932.852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11.867.126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11.802.797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11.739.856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ro-RO"/>
              </w:rPr>
            </w:pPr>
            <w:r>
              <w:rPr>
                <w:color w:val="000000"/>
                <w:sz w:val="16"/>
                <w:szCs w:val="16"/>
                <w:lang w:val="ro-RO"/>
              </w:rPr>
              <w:t>11.678.296</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b w:val="0"/>
                <w:bCs w:val="0"/>
                <w:color w:val="323232"/>
                <w:sz w:val="16"/>
                <w:szCs w:val="16"/>
                <w:lang w:val="ro-RO"/>
              </w:rPr>
            </w:pPr>
            <w:r>
              <w:rPr>
                <w:color w:val="323232"/>
                <w:sz w:val="16"/>
                <w:szCs w:val="16"/>
                <w:lang w:val="ro-RO"/>
              </w:rPr>
              <w:t xml:space="preserve">Costuri O&amp;M cu tratarea digestatului </w:t>
            </w:r>
            <w:r>
              <w:rPr>
                <w:color w:val="323232"/>
                <w:sz w:val="16"/>
                <w:szCs w:val="16"/>
                <w:lang w:val="pt-BR"/>
              </w:rPr>
              <w:t>obținut</w:t>
            </w:r>
            <w:r>
              <w:rPr>
                <w:color w:val="323232"/>
                <w:sz w:val="16"/>
                <w:szCs w:val="16"/>
                <w:lang w:val="ro-RO"/>
              </w:rPr>
              <w:t xml:space="preserve"> din biodeșeurile colectate separat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6.511.329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6.503.843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6.475.956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6.448.830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6.502.626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6.827.571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6.796.729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6.766.720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6.737.540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000000"/>
                <w:sz w:val="16"/>
                <w:szCs w:val="16"/>
                <w:lang w:val="ro-RO"/>
              </w:rPr>
            </w:pPr>
            <w:r>
              <w:rPr>
                <w:color w:val="000000"/>
                <w:sz w:val="16"/>
                <w:szCs w:val="16"/>
                <w:lang w:val="ro-RO"/>
              </w:rPr>
              <w:t>6.709.187</w:t>
            </w:r>
          </w:p>
        </w:tc>
      </w:tr>
      <w:tr>
        <w:trPr>
          <w:trHeight w:val="255"/>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color w:val="323232"/>
                <w:sz w:val="16"/>
                <w:szCs w:val="16"/>
                <w:lang w:val="ro-RO"/>
              </w:rPr>
            </w:pPr>
            <w:r>
              <w:rPr>
                <w:color w:val="323232"/>
                <w:sz w:val="16"/>
                <w:szCs w:val="16"/>
                <w:lang w:val="ro-RO"/>
              </w:rPr>
              <w:t>TOTAL O&amp;M COSTURI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24.350.634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24.318.148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24.208.194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24.101.062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24.300.923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25.529.563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25.408.143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25.289.816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25.174.570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25.062.391</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b w:val="0"/>
                <w:bCs w:val="0"/>
                <w:color w:val="323232"/>
                <w:sz w:val="16"/>
                <w:szCs w:val="16"/>
                <w:lang w:val="ro-RO"/>
              </w:rPr>
            </w:pPr>
            <w:r>
              <w:rPr>
                <w:color w:val="323232"/>
                <w:sz w:val="16"/>
                <w:szCs w:val="16"/>
                <w:lang w:val="ro-RO"/>
              </w:rPr>
              <w:t>Redevența (lei/an)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3.543.254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3.637.531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3.819.549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4.044.196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4.212.398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4.562.653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4.730.406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4.896.196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5.059.965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5.372.434</w:t>
            </w:r>
          </w:p>
        </w:tc>
      </w:tr>
      <w:tr>
        <w:trPr>
          <w:trHeight w:val="255"/>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color w:val="323232"/>
                <w:sz w:val="16"/>
                <w:szCs w:val="16"/>
                <w:lang w:val="ro-RO"/>
              </w:rPr>
            </w:pPr>
            <w:r>
              <w:rPr>
                <w:color w:val="323232"/>
                <w:sz w:val="16"/>
                <w:szCs w:val="16"/>
                <w:lang w:val="ro-RO"/>
              </w:rPr>
              <w:t xml:space="preserve">TOTAL O&amp;M COSTURI cu </w:t>
            </w:r>
            <w:r>
              <w:rPr>
                <w:color w:val="323232"/>
                <w:sz w:val="16"/>
                <w:szCs w:val="16"/>
                <w:lang w:val="pt-BR"/>
              </w:rPr>
              <w:t>redevența</w:t>
            </w:r>
            <w:r>
              <w:rPr>
                <w:color w:val="323232"/>
                <w:sz w:val="16"/>
                <w:szCs w:val="16"/>
                <w:lang w:val="ro-RO"/>
              </w:rPr>
              <w:t xml:space="preserve"> inclusa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27.893.889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27.955.679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28.027.743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28.145.258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28.513.321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30.092.215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30.138.549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30.186.013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30.234.534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30.434.825</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b w:val="0"/>
                <w:bCs w:val="0"/>
                <w:color w:val="323232"/>
                <w:sz w:val="16"/>
                <w:szCs w:val="16"/>
                <w:lang w:val="ro-RO"/>
              </w:rPr>
            </w:pPr>
            <w:r>
              <w:rPr>
                <w:color w:val="323232"/>
                <w:sz w:val="16"/>
                <w:szCs w:val="16"/>
                <w:lang w:val="ro-RO"/>
              </w:rPr>
              <w:t>PROFIT</w:t>
            </w:r>
            <w:r>
              <w:rPr>
                <w:b w:val="0"/>
                <w:bCs w:val="0"/>
                <w:color w:val="323232"/>
                <w:sz w:val="16"/>
                <w:szCs w:val="16"/>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1.394.694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1.397.784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1.401.387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1.407.263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1.425.666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1.504.611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1.506.927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1.509.301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1.511.727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color w:val="323232"/>
                <w:sz w:val="16"/>
                <w:szCs w:val="16"/>
                <w:lang w:val="ro-RO"/>
              </w:rPr>
            </w:pPr>
            <w:r>
              <w:rPr>
                <w:color w:val="323232"/>
                <w:sz w:val="16"/>
                <w:szCs w:val="16"/>
                <w:lang w:val="ro-RO"/>
              </w:rPr>
              <w:t>1.521.741</w:t>
            </w:r>
          </w:p>
        </w:tc>
      </w:tr>
      <w:tr>
        <w:trPr>
          <w:trHeight w:val="27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color w:val="323232"/>
                <w:sz w:val="16"/>
                <w:szCs w:val="16"/>
                <w:lang w:val="ro-RO"/>
              </w:rPr>
            </w:pPr>
            <w:r>
              <w:rPr>
                <w:color w:val="323232"/>
                <w:sz w:val="16"/>
                <w:szCs w:val="16"/>
                <w:lang w:val="ro-RO"/>
              </w:rPr>
              <w:t xml:space="preserve">TOTAL </w:t>
            </w:r>
            <w:r>
              <w:rPr>
                <w:color w:val="323232"/>
                <w:sz w:val="16"/>
                <w:szCs w:val="16"/>
              </w:rPr>
              <w:t>(lei/an)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29.288.583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29.353.463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29.429.130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29.552.521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29.938.987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31.596.826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31.645.477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31.695.313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31.746.261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b/>
                <w:bCs/>
                <w:color w:val="323232"/>
                <w:sz w:val="16"/>
                <w:szCs w:val="16"/>
                <w:lang w:val="ro-RO"/>
              </w:rPr>
            </w:pPr>
            <w:r>
              <w:rPr>
                <w:b/>
                <w:bCs/>
                <w:color w:val="323232"/>
                <w:sz w:val="16"/>
                <w:szCs w:val="16"/>
                <w:lang w:val="ro-RO"/>
              </w:rPr>
              <w:t>31.956.566</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vAlign w:val="center"/>
            <w:hideMark/>
          </w:tcPr>
          <w:p>
            <w:pPr>
              <w:rPr>
                <w:color w:val="323232"/>
                <w:sz w:val="16"/>
                <w:szCs w:val="16"/>
                <w:lang w:val="ro-RO"/>
              </w:rPr>
            </w:pPr>
            <w:r>
              <w:rPr>
                <w:color w:val="323232"/>
                <w:sz w:val="16"/>
                <w:szCs w:val="16"/>
                <w:lang w:val="ro-RO"/>
              </w:rPr>
              <w:t xml:space="preserve">TARIF </w:t>
            </w:r>
            <w:r>
              <w:rPr>
                <w:color w:val="323232"/>
                <w:sz w:val="16"/>
                <w:szCs w:val="16"/>
                <w:lang w:val="pt-BR"/>
              </w:rPr>
              <w:t>DIGESTIE ANAEROBĂ (lei/tonă)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520,51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527,56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534,91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543,23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545,80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536,55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543,59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550,75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558,02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b/>
                <w:bCs/>
                <w:color w:val="323232"/>
                <w:sz w:val="16"/>
                <w:szCs w:val="16"/>
                <w:lang w:val="ro-RO"/>
              </w:rPr>
            </w:pPr>
            <w:r>
              <w:rPr>
                <w:b/>
                <w:bCs/>
                <w:color w:val="323232"/>
                <w:sz w:val="16"/>
                <w:szCs w:val="16"/>
                <w:lang w:val="ro-RO"/>
              </w:rPr>
              <w:t>568,22</w:t>
            </w:r>
          </w:p>
        </w:tc>
      </w:tr>
    </w:tbl>
    <w:p>
      <w:pPr>
        <w:tabs>
          <w:tab w:val="left" w:pos="9214"/>
          <w:tab w:val="left" w:pos="10065"/>
        </w:tabs>
        <w:spacing w:line="276" w:lineRule="auto"/>
        <w:ind w:right="-1"/>
        <w:jc w:val="both"/>
        <w:rPr>
          <w:b/>
          <w:sz w:val="24"/>
          <w:szCs w:val="24"/>
          <w:highlight w:val="green"/>
          <w:lang w:val="ro-RO"/>
        </w:rPr>
      </w:pPr>
    </w:p>
    <w:p>
      <w:pPr>
        <w:tabs>
          <w:tab w:val="left" w:pos="9214"/>
          <w:tab w:val="left" w:pos="10065"/>
        </w:tabs>
        <w:spacing w:line="276" w:lineRule="auto"/>
        <w:ind w:right="-1"/>
        <w:jc w:val="both"/>
        <w:rPr>
          <w:b/>
          <w:sz w:val="24"/>
          <w:szCs w:val="24"/>
          <w:highlight w:val="green"/>
          <w:lang w:val="ro-RO"/>
        </w:rPr>
      </w:pPr>
    </w:p>
    <w:p>
      <w:pPr>
        <w:tabs>
          <w:tab w:val="left" w:pos="9214"/>
          <w:tab w:val="left" w:pos="10065"/>
        </w:tabs>
        <w:spacing w:before="120" w:after="120" w:line="276" w:lineRule="auto"/>
        <w:jc w:val="both"/>
        <w:rPr>
          <w:bCs/>
          <w:sz w:val="24"/>
          <w:szCs w:val="24"/>
          <w:lang w:val="ro-RO"/>
        </w:rPr>
      </w:pPr>
      <w:r>
        <w:rPr>
          <w:bCs/>
          <w:sz w:val="24"/>
          <w:szCs w:val="24"/>
          <w:lang w:val="ro-RO"/>
        </w:rPr>
        <w:t xml:space="preserve">Sinteza valorii maxime a acestor </w:t>
      </w:r>
      <w:r>
        <w:rPr>
          <w:bCs/>
          <w:sz w:val="24"/>
          <w:szCs w:val="24"/>
          <w:u w:val="single"/>
          <w:lang w:val="ro-RO"/>
        </w:rPr>
        <w:t>tarife medii pe durata contractului</w:t>
      </w:r>
      <w:r>
        <w:rPr>
          <w:bCs/>
          <w:sz w:val="24"/>
          <w:szCs w:val="24"/>
          <w:lang w:val="ro-RO"/>
        </w:rPr>
        <w:t xml:space="preserve"> este prezentată mai jos:</w:t>
      </w: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12</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Tarifele medii maxime</w:t>
      </w:r>
    </w:p>
    <w:tbl>
      <w:tblPr>
        <w:tblStyle w:val="ListTable3"/>
        <w:tblW w:w="4852" w:type="pct"/>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ook w:val="00A0" w:firstRow="1" w:lastRow="0" w:firstColumn="1" w:lastColumn="0" w:noHBand="0" w:noVBand="0"/>
      </w:tblPr>
      <w:tblGrid>
        <w:gridCol w:w="7890"/>
        <w:gridCol w:w="1727"/>
      </w:tblGrid>
      <w:tr>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4102" w:type="pct"/>
            <w:shd w:val="clear" w:color="auto" w:fill="984806" w:themeFill="accent6" w:themeFillShade="80"/>
            <w:noWrap/>
          </w:tcPr>
          <w:p>
            <w:pPr>
              <w:overflowPunct w:val="0"/>
              <w:autoSpaceDE w:val="0"/>
              <w:autoSpaceDN w:val="0"/>
              <w:adjustRightInd w:val="0"/>
              <w:spacing w:line="276" w:lineRule="auto"/>
              <w:jc w:val="both"/>
              <w:textAlignment w:val="baseline"/>
              <w:rPr>
                <w:b w:val="0"/>
                <w:lang w:val="ro-RO"/>
              </w:rPr>
            </w:pPr>
            <w:r>
              <w:rPr>
                <w:lang w:val="ro-RO"/>
              </w:rPr>
              <w:t>Tarif</w:t>
            </w:r>
          </w:p>
        </w:tc>
        <w:tc>
          <w:tcPr>
            <w:cnfStyle w:val="000010000000" w:firstRow="0" w:lastRow="0" w:firstColumn="0" w:lastColumn="0" w:oddVBand="1" w:evenVBand="0" w:oddHBand="0" w:evenHBand="0" w:firstRowFirstColumn="0" w:firstRowLastColumn="0" w:lastRowFirstColumn="0" w:lastRowLastColumn="0"/>
            <w:tcW w:w="898" w:type="pct"/>
            <w:shd w:val="clear" w:color="auto" w:fill="984806" w:themeFill="accent6" w:themeFillShade="80"/>
            <w:noWrap/>
          </w:tcPr>
          <w:p>
            <w:pPr>
              <w:overflowPunct w:val="0"/>
              <w:autoSpaceDE w:val="0"/>
              <w:autoSpaceDN w:val="0"/>
              <w:adjustRightInd w:val="0"/>
              <w:spacing w:line="276" w:lineRule="auto"/>
              <w:jc w:val="center"/>
              <w:textAlignment w:val="baseline"/>
              <w:rPr>
                <w:b w:val="0"/>
                <w:lang w:val="ro-RO"/>
              </w:rPr>
            </w:pPr>
            <w:r>
              <w:rPr>
                <w:lang w:val="ro-RO"/>
              </w:rPr>
              <w:t>Tarif mediu,</w:t>
            </w:r>
          </w:p>
          <w:p>
            <w:pPr>
              <w:overflowPunct w:val="0"/>
              <w:autoSpaceDE w:val="0"/>
              <w:autoSpaceDN w:val="0"/>
              <w:adjustRightInd w:val="0"/>
              <w:spacing w:line="276" w:lineRule="auto"/>
              <w:jc w:val="center"/>
              <w:textAlignment w:val="baseline"/>
              <w:rPr>
                <w:b w:val="0"/>
                <w:lang w:val="ro-RO"/>
              </w:rPr>
            </w:pPr>
            <w:r>
              <w:rPr>
                <w:lang w:val="ro-RO"/>
              </w:rPr>
              <w:t>lei/tonă fără TVA</w:t>
            </w:r>
          </w:p>
        </w:tc>
      </w:tr>
      <w:tr>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2" w:type="pct"/>
            <w:tcBorders>
              <w:top w:val="none" w:sz="0" w:space="0" w:color="auto"/>
              <w:bottom w:val="none" w:sz="0" w:space="0" w:color="auto"/>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 xml:space="preserve">TARIF A - </w:t>
            </w:r>
            <w:r>
              <w:rPr>
                <w:i/>
                <w:iCs/>
                <w:noProof/>
                <w:lang w:val="ro-RO"/>
              </w:rPr>
              <w:t>Tarif pentru transferul deşeurilor de hârtie, metal, plastic și sticlă – Tt reciclabile</w:t>
            </w:r>
          </w:p>
        </w:tc>
        <w:tc>
          <w:tcPr>
            <w:cnfStyle w:val="000010000000" w:firstRow="0" w:lastRow="0" w:firstColumn="0" w:lastColumn="0" w:oddVBand="1" w:evenVBand="0" w:oddHBand="0" w:evenHBand="0" w:firstRowFirstColumn="0" w:firstRowLastColumn="0" w:lastRowFirstColumn="0" w:lastRowLastColumn="0"/>
            <w:tcW w:w="898" w:type="pct"/>
            <w:tcBorders>
              <w:top w:val="none" w:sz="0" w:space="0" w:color="auto"/>
              <w:left w:val="none" w:sz="0" w:space="0" w:color="auto"/>
              <w:bottom w:val="none" w:sz="0" w:space="0" w:color="auto"/>
              <w:right w:val="none" w:sz="0" w:space="0" w:color="auto"/>
            </w:tcBorders>
            <w:noWrap/>
          </w:tcPr>
          <w:p>
            <w:pPr>
              <w:overflowPunct w:val="0"/>
              <w:autoSpaceDE w:val="0"/>
              <w:autoSpaceDN w:val="0"/>
              <w:adjustRightInd w:val="0"/>
              <w:spacing w:line="276" w:lineRule="auto"/>
              <w:jc w:val="center"/>
              <w:textAlignment w:val="baseline"/>
              <w:rPr>
                <w:b/>
                <w:color w:val="000000"/>
                <w:lang w:val="ro-RO"/>
              </w:rPr>
            </w:pPr>
            <w:r>
              <w:rPr>
                <w:lang w:val="ro-RO"/>
              </w:rPr>
              <w:t>187,88</w:t>
            </w:r>
          </w:p>
        </w:tc>
      </w:tr>
      <w:tr>
        <w:trPr>
          <w:trHeight w:val="288"/>
        </w:trPr>
        <w:tc>
          <w:tcPr>
            <w:cnfStyle w:val="001000000000" w:firstRow="0" w:lastRow="0" w:firstColumn="1" w:lastColumn="0" w:oddVBand="0" w:evenVBand="0" w:oddHBand="0" w:evenHBand="0" w:firstRowFirstColumn="0" w:firstRowLastColumn="0" w:lastRowFirstColumn="0" w:lastRowLastColumn="0"/>
            <w:tcW w:w="4102" w:type="pct"/>
            <w:tcBorders>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 xml:space="preserve">TARIF B - </w:t>
            </w:r>
            <w:r>
              <w:rPr>
                <w:i/>
                <w:iCs/>
                <w:noProof/>
                <w:lang w:val="ro-RO"/>
              </w:rPr>
              <w:t>Tarif pentru transferul deşeurilor reziduale</w:t>
            </w:r>
          </w:p>
        </w:tc>
        <w:tc>
          <w:tcPr>
            <w:cnfStyle w:val="000010000000" w:firstRow="0" w:lastRow="0" w:firstColumn="0" w:lastColumn="0" w:oddVBand="1" w:evenVBand="0" w:oddHBand="0" w:evenHBand="0" w:firstRowFirstColumn="0" w:firstRowLastColumn="0" w:lastRowFirstColumn="0" w:lastRowLastColumn="0"/>
            <w:tcW w:w="898" w:type="pct"/>
            <w:tcBorders>
              <w:left w:val="none" w:sz="0" w:space="0" w:color="auto"/>
              <w:right w:val="none" w:sz="0" w:space="0" w:color="auto"/>
            </w:tcBorders>
            <w:noWrap/>
          </w:tcPr>
          <w:p>
            <w:pPr>
              <w:overflowPunct w:val="0"/>
              <w:autoSpaceDE w:val="0"/>
              <w:autoSpaceDN w:val="0"/>
              <w:adjustRightInd w:val="0"/>
              <w:spacing w:line="276" w:lineRule="auto"/>
              <w:jc w:val="center"/>
              <w:textAlignment w:val="baseline"/>
              <w:rPr>
                <w:b/>
                <w:color w:val="000000"/>
                <w:lang w:val="ro-RO"/>
              </w:rPr>
            </w:pPr>
            <w:r>
              <w:rPr>
                <w:lang w:val="ro-RO"/>
              </w:rPr>
              <w:t>215,13</w:t>
            </w:r>
          </w:p>
        </w:tc>
      </w:tr>
      <w:tr>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2" w:type="pct"/>
            <w:tcBorders>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TARIF C -</w:t>
            </w:r>
            <w:r>
              <w:rPr>
                <w:i/>
                <w:iCs/>
                <w:noProof/>
                <w:lang w:val="ro-RO"/>
              </w:rPr>
              <w:t xml:space="preserve"> Tariful de tratare mecano-biologică – Ttmb</w:t>
            </w:r>
          </w:p>
        </w:tc>
        <w:tc>
          <w:tcPr>
            <w:cnfStyle w:val="000010000000" w:firstRow="0" w:lastRow="0" w:firstColumn="0" w:lastColumn="0" w:oddVBand="1" w:evenVBand="0" w:oddHBand="0" w:evenHBand="0" w:firstRowFirstColumn="0" w:firstRowLastColumn="0" w:lastRowFirstColumn="0" w:lastRowLastColumn="0"/>
            <w:tcW w:w="898" w:type="pct"/>
            <w:tcBorders>
              <w:left w:val="none" w:sz="0" w:space="0" w:color="auto"/>
              <w:right w:val="none" w:sz="0" w:space="0" w:color="auto"/>
            </w:tcBorders>
            <w:noWrap/>
          </w:tcPr>
          <w:p>
            <w:pPr>
              <w:overflowPunct w:val="0"/>
              <w:autoSpaceDE w:val="0"/>
              <w:autoSpaceDN w:val="0"/>
              <w:adjustRightInd w:val="0"/>
              <w:spacing w:line="276" w:lineRule="auto"/>
              <w:jc w:val="center"/>
              <w:textAlignment w:val="baseline"/>
              <w:rPr>
                <w:lang w:val="ro-RO"/>
              </w:rPr>
            </w:pPr>
            <w:r>
              <w:rPr>
                <w:lang w:val="ro-RO"/>
              </w:rPr>
              <w:t>653,88</w:t>
            </w:r>
          </w:p>
        </w:tc>
      </w:tr>
      <w:tr>
        <w:trPr>
          <w:trHeight w:val="288"/>
        </w:trPr>
        <w:tc>
          <w:tcPr>
            <w:cnfStyle w:val="001000000000" w:firstRow="0" w:lastRow="0" w:firstColumn="1" w:lastColumn="0" w:oddVBand="0" w:evenVBand="0" w:oddHBand="0" w:evenHBand="0" w:firstRowFirstColumn="0" w:firstRowLastColumn="0" w:lastRowFirstColumn="0" w:lastRowLastColumn="0"/>
            <w:tcW w:w="4102" w:type="pct"/>
            <w:tcBorders>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TARIF D -</w:t>
            </w:r>
            <w:r>
              <w:rPr>
                <w:i/>
                <w:iCs/>
                <w:noProof/>
                <w:lang w:val="ro-RO"/>
              </w:rPr>
              <w:t xml:space="preserve"> Tariful de digestie anaerobă – Tda</w:t>
            </w:r>
          </w:p>
        </w:tc>
        <w:tc>
          <w:tcPr>
            <w:cnfStyle w:val="000010000000" w:firstRow="0" w:lastRow="0" w:firstColumn="0" w:lastColumn="0" w:oddVBand="1" w:evenVBand="0" w:oddHBand="0" w:evenHBand="0" w:firstRowFirstColumn="0" w:firstRowLastColumn="0" w:lastRowFirstColumn="0" w:lastRowLastColumn="0"/>
            <w:tcW w:w="898" w:type="pct"/>
            <w:tcBorders>
              <w:left w:val="none" w:sz="0" w:space="0" w:color="auto"/>
              <w:right w:val="none" w:sz="0" w:space="0" w:color="auto"/>
            </w:tcBorders>
            <w:noWrap/>
          </w:tcPr>
          <w:p>
            <w:pPr>
              <w:overflowPunct w:val="0"/>
              <w:autoSpaceDE w:val="0"/>
              <w:autoSpaceDN w:val="0"/>
              <w:adjustRightInd w:val="0"/>
              <w:spacing w:line="276" w:lineRule="auto"/>
              <w:jc w:val="center"/>
              <w:textAlignment w:val="baseline"/>
              <w:rPr>
                <w:lang w:val="ro-RO"/>
              </w:rPr>
            </w:pPr>
            <w:r>
              <w:rPr>
                <w:lang w:val="ro-RO"/>
              </w:rPr>
              <w:t>542,91</w:t>
            </w:r>
          </w:p>
        </w:tc>
      </w:tr>
    </w:tbl>
    <w:p>
      <w:pPr>
        <w:tabs>
          <w:tab w:val="left" w:pos="9214"/>
          <w:tab w:val="left" w:pos="10065"/>
        </w:tabs>
        <w:spacing w:line="276" w:lineRule="auto"/>
        <w:ind w:right="-1"/>
        <w:jc w:val="both"/>
        <w:rPr>
          <w:b/>
          <w:lang w:val="ro-RO"/>
        </w:rPr>
      </w:pPr>
    </w:p>
    <w:p>
      <w:pPr>
        <w:tabs>
          <w:tab w:val="left" w:pos="9214"/>
          <w:tab w:val="left" w:pos="10065"/>
        </w:tabs>
        <w:spacing w:before="120" w:after="120" w:line="276" w:lineRule="auto"/>
        <w:jc w:val="both"/>
        <w:rPr>
          <w:sz w:val="24"/>
          <w:szCs w:val="24"/>
          <w:lang w:val="ro-RO"/>
        </w:rPr>
      </w:pPr>
      <w:r>
        <w:rPr>
          <w:sz w:val="24"/>
          <w:szCs w:val="24"/>
          <w:lang w:val="ro-RO"/>
        </w:rPr>
        <w:t xml:space="preserve">În aceste tarife maxime nu sunt incluse veniturile din valorificarea reciclabilelor, a compostului și a surplusului de energie electrică. </w:t>
      </w:r>
    </w:p>
    <w:p>
      <w:pPr>
        <w:tabs>
          <w:tab w:val="left" w:pos="9214"/>
          <w:tab w:val="left" w:pos="10065"/>
        </w:tabs>
        <w:spacing w:before="120" w:after="120" w:line="276" w:lineRule="auto"/>
        <w:jc w:val="both"/>
        <w:rPr>
          <w:sz w:val="24"/>
          <w:szCs w:val="24"/>
          <w:lang w:val="ro-RO"/>
        </w:rPr>
      </w:pPr>
      <w:r>
        <w:rPr>
          <w:sz w:val="24"/>
          <w:szCs w:val="24"/>
          <w:lang w:val="ro-RO"/>
        </w:rPr>
        <w:t>Pe baza informațiilor prezentate anterior și ținând cont de principiile de mai sus, a fost determinată valoarea estimată a contractului, după cum urmează:</w:t>
      </w:r>
    </w:p>
    <w:p>
      <w:pPr>
        <w:pStyle w:val="Caption"/>
        <w:rPr>
          <w:b/>
          <w:sz w:val="24"/>
          <w:szCs w:val="24"/>
        </w:rPr>
      </w:pPr>
      <w:bookmarkStart w:id="5" w:name="_Toc495420134"/>
      <w:r>
        <w:rPr>
          <w:rFonts w:ascii="Times New Roman" w:hAnsi="Times New Roman" w:cs="Times New Roman"/>
          <w:color w:val="auto"/>
          <w:sz w:val="22"/>
          <w:szCs w:val="22"/>
        </w:rPr>
        <w:t xml:space="preserve">Tabel </w:t>
      </w:r>
      <w:r>
        <w:rPr>
          <w:i w:val="0"/>
          <w:iCs w:val="0"/>
          <w:sz w:val="22"/>
          <w:szCs w:val="22"/>
        </w:rPr>
        <w:fldChar w:fldCharType="begin"/>
      </w:r>
      <w:r>
        <w:rPr>
          <w:rFonts w:ascii="Times New Roman" w:hAnsi="Times New Roman" w:cs="Times New Roman"/>
          <w:color w:val="auto"/>
          <w:sz w:val="22"/>
          <w:szCs w:val="22"/>
        </w:rPr>
        <w:instrText xml:space="preserve"> SEQ Table \* ARABIC </w:instrText>
      </w:r>
      <w:r>
        <w:rPr>
          <w:i w:val="0"/>
          <w:iCs w:val="0"/>
          <w:sz w:val="22"/>
          <w:szCs w:val="22"/>
        </w:rPr>
        <w:fldChar w:fldCharType="separate"/>
      </w:r>
      <w:r>
        <w:rPr>
          <w:rFonts w:ascii="Times New Roman" w:hAnsi="Times New Roman" w:cs="Times New Roman"/>
          <w:noProof/>
          <w:color w:val="auto"/>
          <w:sz w:val="22"/>
          <w:szCs w:val="22"/>
        </w:rPr>
        <w:t>13</w:t>
      </w:r>
      <w:r>
        <w:rPr>
          <w:i w:val="0"/>
          <w:iCs w:val="0"/>
          <w:sz w:val="22"/>
          <w:szCs w:val="22"/>
        </w:rPr>
        <w:fldChar w:fldCharType="end"/>
      </w:r>
      <w:r>
        <w:rPr>
          <w:rFonts w:ascii="Times New Roman" w:hAnsi="Times New Roman" w:cs="Times New Roman"/>
          <w:color w:val="auto"/>
          <w:sz w:val="22"/>
          <w:szCs w:val="22"/>
        </w:rPr>
        <w:t xml:space="preserve"> – Calculul valorii estimate a contractului</w:t>
      </w:r>
      <w:bookmarkEnd w:id="5"/>
    </w:p>
    <w:tbl>
      <w:tblPr>
        <w:tblStyle w:val="ListTable3"/>
        <w:tblW w:w="9493" w:type="dxa"/>
        <w:tbl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insideH w:val="single" w:sz="4" w:space="0" w:color="984806" w:themeColor="accent6" w:themeShade="80"/>
          <w:insideV w:val="single" w:sz="4" w:space="0" w:color="984806" w:themeColor="accent6" w:themeShade="80"/>
        </w:tblBorders>
        <w:tblLayout w:type="fixed"/>
        <w:tblLook w:val="04A0" w:firstRow="1" w:lastRow="0" w:firstColumn="1" w:lastColumn="0" w:noHBand="0" w:noVBand="1"/>
      </w:tblPr>
      <w:tblGrid>
        <w:gridCol w:w="3539"/>
        <w:gridCol w:w="1455"/>
        <w:gridCol w:w="1226"/>
        <w:gridCol w:w="1366"/>
        <w:gridCol w:w="1907"/>
      </w:tblGrid>
      <w:tr>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3539" w:type="dxa"/>
            <w:tcBorders>
              <w:bottom w:val="none" w:sz="0" w:space="0" w:color="auto"/>
              <w:right w:val="none" w:sz="0" w:space="0" w:color="auto"/>
            </w:tcBorders>
            <w:shd w:val="clear" w:color="auto" w:fill="984806" w:themeFill="accent6" w:themeFillShade="80"/>
            <w:noWrap/>
            <w:vAlign w:val="center"/>
          </w:tcPr>
          <w:p>
            <w:pPr>
              <w:rPr>
                <w:rFonts w:cs="Arial"/>
                <w:sz w:val="18"/>
                <w:szCs w:val="18"/>
                <w:lang w:eastAsia="ro-RO"/>
              </w:rPr>
            </w:pPr>
            <w:r>
              <w:rPr>
                <w:rFonts w:cs="Arial"/>
                <w:sz w:val="18"/>
                <w:szCs w:val="18"/>
                <w:lang w:eastAsia="ro-RO"/>
              </w:rPr>
              <w:t>Activitatea</w:t>
            </w:r>
          </w:p>
        </w:tc>
        <w:tc>
          <w:tcPr>
            <w:tcW w:w="1455" w:type="dxa"/>
            <w:shd w:val="clear" w:color="auto" w:fill="984806" w:themeFill="accent6" w:themeFillShade="80"/>
            <w:noWrap/>
            <w:vAlign w:val="center"/>
          </w:tcPr>
          <w:p>
            <w:pPr>
              <w:jc w:val="center"/>
              <w:cnfStyle w:val="100000000000" w:firstRow="1" w:lastRow="0" w:firstColumn="0" w:lastColumn="0" w:oddVBand="0" w:evenVBand="0" w:oddHBand="0" w:evenHBand="0" w:firstRowFirstColumn="0" w:firstRowLastColumn="0" w:lastRowFirstColumn="0" w:lastRowLastColumn="0"/>
              <w:rPr>
                <w:rFonts w:cs="Arial"/>
                <w:sz w:val="18"/>
                <w:szCs w:val="18"/>
                <w:lang w:val="pt-BR" w:eastAsia="ro-RO"/>
              </w:rPr>
            </w:pPr>
            <w:r>
              <w:rPr>
                <w:rFonts w:cs="Arial"/>
                <w:sz w:val="18"/>
                <w:szCs w:val="18"/>
                <w:lang w:val="pt-BR" w:eastAsia="ro-RO"/>
              </w:rPr>
              <w:t>Tarif mediu, fără TVA (lei/ tonă)</w:t>
            </w:r>
          </w:p>
        </w:tc>
        <w:tc>
          <w:tcPr>
            <w:tcW w:w="1226" w:type="dxa"/>
            <w:shd w:val="clear" w:color="auto" w:fill="984806" w:themeFill="accent6" w:themeFillShade="80"/>
            <w:vAlign w:val="center"/>
          </w:tcPr>
          <w:p>
            <w:pPr>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 xml:space="preserve">Cantitate medie </w:t>
            </w:r>
            <w:r>
              <w:rPr>
                <w:rFonts w:cs="Arial"/>
                <w:sz w:val="18"/>
                <w:szCs w:val="18"/>
                <w:lang w:eastAsia="ro-RO"/>
              </w:rPr>
              <w:lastRenderedPageBreak/>
              <w:t>anuala (tone)</w:t>
            </w:r>
          </w:p>
        </w:tc>
        <w:tc>
          <w:tcPr>
            <w:tcW w:w="1366" w:type="dxa"/>
            <w:shd w:val="clear" w:color="auto" w:fill="984806" w:themeFill="accent6" w:themeFillShade="80"/>
            <w:vAlign w:val="center"/>
          </w:tcPr>
          <w:p>
            <w:pPr>
              <w:jc w:val="center"/>
              <w:cnfStyle w:val="100000000000" w:firstRow="1" w:lastRow="0" w:firstColumn="0" w:lastColumn="0" w:oddVBand="0" w:evenVBand="0" w:oddHBand="0" w:evenHBand="0" w:firstRowFirstColumn="0" w:firstRowLastColumn="0" w:lastRowFirstColumn="0" w:lastRowLastColumn="0"/>
              <w:rPr>
                <w:rFonts w:cs="Arial"/>
                <w:sz w:val="18"/>
                <w:szCs w:val="18"/>
                <w:lang w:val="pt-BR" w:eastAsia="ro-RO"/>
              </w:rPr>
            </w:pPr>
            <w:r>
              <w:rPr>
                <w:rFonts w:cs="Arial"/>
                <w:sz w:val="18"/>
                <w:szCs w:val="18"/>
                <w:lang w:val="pt-BR" w:eastAsia="ro-RO"/>
              </w:rPr>
              <w:lastRenderedPageBreak/>
              <w:t>Valoare anuala, fără TVA  (lei)</w:t>
            </w:r>
          </w:p>
        </w:tc>
        <w:tc>
          <w:tcPr>
            <w:tcW w:w="1907" w:type="dxa"/>
            <w:shd w:val="clear" w:color="auto" w:fill="984806" w:themeFill="accent6" w:themeFillShade="80"/>
            <w:noWrap/>
            <w:vAlign w:val="center"/>
          </w:tcPr>
          <w:p>
            <w:pPr>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Valoare 10 ani operare</w:t>
            </w:r>
          </w:p>
          <w:p>
            <w:pPr>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(lei)</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vAlign w:val="center"/>
          </w:tcPr>
          <w:p>
            <w:pPr>
              <w:rPr>
                <w:rFonts w:cs="Arial"/>
                <w:sz w:val="18"/>
                <w:szCs w:val="18"/>
                <w:lang w:eastAsia="ro-RO"/>
              </w:rPr>
            </w:pPr>
            <w:r>
              <w:rPr>
                <w:rFonts w:cs="Arial"/>
                <w:sz w:val="18"/>
                <w:szCs w:val="18"/>
                <w:lang w:eastAsia="ro-RO"/>
              </w:rPr>
              <w:t>Proiectare</w:t>
            </w:r>
          </w:p>
        </w:tc>
        <w:tc>
          <w:tcPr>
            <w:tcW w:w="1455"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lang w:eastAsia="ro-RO"/>
              </w:rPr>
              <w:t>-</w:t>
            </w:r>
          </w:p>
        </w:tc>
        <w:tc>
          <w:tcPr>
            <w:tcW w:w="1226"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lang w:eastAsia="ro-RO"/>
              </w:rPr>
              <w:t>-</w:t>
            </w:r>
          </w:p>
        </w:tc>
        <w:tc>
          <w:tcPr>
            <w:tcW w:w="1366"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lang w:eastAsia="ro-RO"/>
              </w:rPr>
              <w:t>-</w:t>
            </w:r>
          </w:p>
        </w:tc>
        <w:tc>
          <w:tcPr>
            <w:tcW w:w="1907"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eastAsia="ro-RO"/>
              </w:rPr>
            </w:pPr>
            <w:r>
              <w:rPr>
                <w:rFonts w:cs="Arial"/>
                <w:b/>
                <w:bCs/>
                <w:sz w:val="18"/>
                <w:szCs w:val="18"/>
                <w:lang w:eastAsia="ro-RO"/>
              </w:rPr>
              <w:t>12.860.634,51</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vAlign w:val="center"/>
            <w:hideMark/>
          </w:tcPr>
          <w:p>
            <w:pPr>
              <w:rPr>
                <w:rFonts w:cs="Arial"/>
                <w:b w:val="0"/>
                <w:bCs w:val="0"/>
                <w:sz w:val="18"/>
                <w:szCs w:val="18"/>
                <w:lang w:eastAsia="ro-RO"/>
              </w:rPr>
            </w:pPr>
            <w:r>
              <w:rPr>
                <w:rFonts w:cs="Arial"/>
                <w:sz w:val="18"/>
                <w:szCs w:val="18"/>
                <w:lang w:eastAsia="ro-RO"/>
              </w:rPr>
              <w:t>Execuție</w:t>
            </w:r>
          </w:p>
        </w:tc>
        <w:tc>
          <w:tcPr>
            <w:tcW w:w="1455"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w:t>
            </w:r>
          </w:p>
        </w:tc>
        <w:tc>
          <w:tcPr>
            <w:tcW w:w="1226"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w:t>
            </w:r>
          </w:p>
        </w:tc>
        <w:tc>
          <w:tcPr>
            <w:tcW w:w="1366"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w:t>
            </w:r>
          </w:p>
        </w:tc>
        <w:tc>
          <w:tcPr>
            <w:tcW w:w="190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lang w:eastAsia="ro-RO"/>
              </w:rPr>
            </w:pPr>
            <w:r>
              <w:rPr>
                <w:rFonts w:cs="Arial"/>
                <w:b/>
                <w:bCs/>
                <w:sz w:val="18"/>
                <w:szCs w:val="18"/>
                <w:lang w:eastAsia="ro-RO"/>
              </w:rPr>
              <w:t>292.578.170,31</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vAlign w:val="center"/>
            <w:hideMark/>
          </w:tcPr>
          <w:p>
            <w:pPr>
              <w:rPr>
                <w:rFonts w:cs="Arial"/>
                <w:b w:val="0"/>
                <w:bCs w:val="0"/>
                <w:sz w:val="18"/>
                <w:szCs w:val="18"/>
                <w:lang w:eastAsia="ro-RO"/>
              </w:rPr>
            </w:pPr>
            <w:r>
              <w:rPr>
                <w:rFonts w:cs="Arial"/>
                <w:sz w:val="18"/>
                <w:szCs w:val="18"/>
                <w:lang w:eastAsia="ro-RO"/>
              </w:rPr>
              <w:t>Operare</w:t>
            </w:r>
          </w:p>
        </w:tc>
        <w:tc>
          <w:tcPr>
            <w:tcW w:w="1455" w:type="dxa"/>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p>
        </w:tc>
        <w:tc>
          <w:tcPr>
            <w:tcW w:w="1226" w:type="dxa"/>
            <w:tcBorders>
              <w:top w:val="none" w:sz="0" w:space="0" w:color="auto"/>
              <w:bottom w:val="none" w:sz="0" w:space="0" w:color="auto"/>
            </w:tcBorders>
            <w:vAlign w:val="center"/>
            <w:hideMark/>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p>
        </w:tc>
        <w:tc>
          <w:tcPr>
            <w:tcW w:w="1366" w:type="dxa"/>
            <w:tcBorders>
              <w:top w:val="none" w:sz="0" w:space="0" w:color="auto"/>
              <w:bottom w:val="none" w:sz="0" w:space="0" w:color="auto"/>
            </w:tcBorders>
            <w:vAlign w:val="center"/>
            <w:hideMark/>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p>
        </w:tc>
        <w:tc>
          <w:tcPr>
            <w:tcW w:w="1907" w:type="dxa"/>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vAlign w:val="center"/>
            <w:hideMark/>
          </w:tcPr>
          <w:p>
            <w:pPr>
              <w:rPr>
                <w:rFonts w:cs="Arial"/>
                <w:b w:val="0"/>
                <w:bCs w:val="0"/>
                <w:sz w:val="18"/>
                <w:szCs w:val="18"/>
                <w:lang w:eastAsia="ro-RO"/>
              </w:rPr>
            </w:pPr>
            <w:r>
              <w:rPr>
                <w:rFonts w:cs="Arial"/>
                <w:color w:val="E36C0A" w:themeColor="accent6" w:themeShade="BF"/>
                <w:sz w:val="18"/>
                <w:szCs w:val="18"/>
                <w:lang w:eastAsia="ro-RO"/>
              </w:rPr>
              <w:t xml:space="preserve">TARIF A </w:t>
            </w:r>
            <w:r>
              <w:rPr>
                <w:rFonts w:cs="Arial"/>
                <w:sz w:val="18"/>
                <w:szCs w:val="18"/>
                <w:lang w:eastAsia="ro-RO"/>
              </w:rPr>
              <w:t xml:space="preserve">- </w:t>
            </w:r>
            <w:r>
              <w:rPr>
                <w:noProof/>
                <w:sz w:val="18"/>
                <w:szCs w:val="18"/>
              </w:rPr>
              <w:t>Tarif pentru transferul deşeurilor de hârtie, metal, plastic şi sticlă - Tt reciclabile</w:t>
            </w:r>
          </w:p>
        </w:tc>
        <w:tc>
          <w:tcPr>
            <w:tcW w:w="1455"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187,88</w:t>
            </w:r>
          </w:p>
        </w:tc>
        <w:tc>
          <w:tcPr>
            <w:tcW w:w="1226"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3.588,02</w:t>
            </w:r>
          </w:p>
        </w:tc>
        <w:tc>
          <w:tcPr>
            <w:tcW w:w="1366"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674.118,26</w:t>
            </w:r>
          </w:p>
        </w:tc>
        <w:tc>
          <w:tcPr>
            <w:tcW w:w="190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6.741.182,60</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vAlign w:val="center"/>
          </w:tcPr>
          <w:p>
            <w:pPr>
              <w:rPr>
                <w:rFonts w:cs="Arial"/>
                <w:b w:val="0"/>
                <w:bCs w:val="0"/>
                <w:sz w:val="18"/>
                <w:szCs w:val="18"/>
                <w:lang w:eastAsia="ro-RO"/>
              </w:rPr>
            </w:pPr>
            <w:r>
              <w:rPr>
                <w:rFonts w:cs="Arial"/>
                <w:color w:val="E36C0A" w:themeColor="accent6" w:themeShade="BF"/>
                <w:sz w:val="18"/>
                <w:szCs w:val="18"/>
                <w:lang w:eastAsia="ro-RO"/>
              </w:rPr>
              <w:t>TARIF B</w:t>
            </w:r>
            <w:r>
              <w:rPr>
                <w:rFonts w:cs="Arial"/>
                <w:sz w:val="18"/>
                <w:szCs w:val="18"/>
                <w:lang w:eastAsia="ro-RO"/>
              </w:rPr>
              <w:t xml:space="preserve"> - </w:t>
            </w:r>
            <w:r>
              <w:rPr>
                <w:noProof/>
                <w:sz w:val="18"/>
                <w:szCs w:val="18"/>
              </w:rPr>
              <w:t>Tarif pentru transferul deşeurilor reziduale, inclusiv a reziduurilor menajere şi similare şi al altor deşeuri colectate separat decât cele de hârtie, metal, plastic şi sticlă - Tt reziduale</w:t>
            </w:r>
          </w:p>
        </w:tc>
        <w:tc>
          <w:tcPr>
            <w:tcW w:w="1455"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215,13</w:t>
            </w:r>
          </w:p>
        </w:tc>
        <w:tc>
          <w:tcPr>
            <w:tcW w:w="1226"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21.817,12</w:t>
            </w:r>
          </w:p>
        </w:tc>
        <w:tc>
          <w:tcPr>
            <w:tcW w:w="1366"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4.693.408,39</w:t>
            </w:r>
          </w:p>
        </w:tc>
        <w:tc>
          <w:tcPr>
            <w:tcW w:w="1907"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46.934.083,95</w:t>
            </w:r>
          </w:p>
        </w:tc>
      </w:tr>
      <w:tr>
        <w:trPr>
          <w:trHeight w:val="480"/>
        </w:trPr>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vAlign w:val="center"/>
            <w:hideMark/>
          </w:tcPr>
          <w:p>
            <w:pPr>
              <w:rPr>
                <w:rFonts w:cs="Arial"/>
                <w:b w:val="0"/>
                <w:bCs w:val="0"/>
                <w:sz w:val="18"/>
                <w:szCs w:val="18"/>
                <w:lang w:eastAsia="ro-RO"/>
              </w:rPr>
            </w:pPr>
            <w:r>
              <w:rPr>
                <w:rFonts w:cs="Arial"/>
                <w:color w:val="E36C0A" w:themeColor="accent6" w:themeShade="BF"/>
                <w:sz w:val="18"/>
                <w:szCs w:val="18"/>
                <w:lang w:eastAsia="ro-RO"/>
              </w:rPr>
              <w:t>TARIF D</w:t>
            </w:r>
            <w:r>
              <w:rPr>
                <w:rFonts w:cs="Arial"/>
                <w:sz w:val="18"/>
                <w:szCs w:val="18"/>
                <w:lang w:eastAsia="ro-RO"/>
              </w:rPr>
              <w:t xml:space="preserve"> - Tarif </w:t>
            </w:r>
            <w:r>
              <w:rPr>
                <w:noProof/>
                <w:sz w:val="18"/>
                <w:szCs w:val="18"/>
              </w:rPr>
              <w:t>de tratare mecano-biologică - Ttmb</w:t>
            </w:r>
          </w:p>
        </w:tc>
        <w:tc>
          <w:tcPr>
            <w:tcW w:w="1455"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653,88</w:t>
            </w:r>
          </w:p>
        </w:tc>
        <w:tc>
          <w:tcPr>
            <w:tcW w:w="1226"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43.289,95</w:t>
            </w:r>
          </w:p>
        </w:tc>
        <w:tc>
          <w:tcPr>
            <w:tcW w:w="1366"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28.306.306,61</w:t>
            </w:r>
          </w:p>
        </w:tc>
        <w:tc>
          <w:tcPr>
            <w:tcW w:w="190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283.063.066,14</w:t>
            </w:r>
          </w:p>
        </w:tc>
      </w:tr>
      <w:tr>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vAlign w:val="center"/>
            <w:hideMark/>
          </w:tcPr>
          <w:p>
            <w:pPr>
              <w:rPr>
                <w:rFonts w:cs="Arial"/>
                <w:b w:val="0"/>
                <w:bCs w:val="0"/>
                <w:sz w:val="18"/>
                <w:szCs w:val="18"/>
                <w:lang w:eastAsia="ro-RO"/>
              </w:rPr>
            </w:pPr>
            <w:r>
              <w:rPr>
                <w:rFonts w:cs="Arial"/>
                <w:color w:val="E36C0A" w:themeColor="accent6" w:themeShade="BF"/>
                <w:sz w:val="18"/>
                <w:szCs w:val="18"/>
                <w:lang w:eastAsia="ro-RO"/>
              </w:rPr>
              <w:t>TARIF E</w:t>
            </w:r>
            <w:r>
              <w:rPr>
                <w:rFonts w:cs="Arial"/>
                <w:sz w:val="18"/>
                <w:szCs w:val="18"/>
                <w:lang w:eastAsia="ro-RO"/>
              </w:rPr>
              <w:t xml:space="preserve"> - Tarif de digestie anaerobă - Tda</w:t>
            </w:r>
          </w:p>
        </w:tc>
        <w:tc>
          <w:tcPr>
            <w:tcW w:w="1455" w:type="dxa"/>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rPr>
              <w:t>542,91</w:t>
            </w:r>
          </w:p>
        </w:tc>
        <w:tc>
          <w:tcPr>
            <w:tcW w:w="1226"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rPr>
              <w:t>56.396,52</w:t>
            </w:r>
          </w:p>
        </w:tc>
        <w:tc>
          <w:tcPr>
            <w:tcW w:w="1366"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rPr>
              <w:t>30.618.478,38</w:t>
            </w:r>
          </w:p>
        </w:tc>
        <w:tc>
          <w:tcPr>
            <w:tcW w:w="1907"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rPr>
              <w:t>306.184.783,80</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noWrap/>
            <w:vAlign w:val="center"/>
            <w:hideMark/>
          </w:tcPr>
          <w:p>
            <w:pPr>
              <w:rPr>
                <w:rFonts w:cs="Arial"/>
                <w:b w:val="0"/>
                <w:bCs w:val="0"/>
                <w:sz w:val="18"/>
                <w:szCs w:val="18"/>
                <w:lang w:eastAsia="ro-RO"/>
              </w:rPr>
            </w:pPr>
            <w:r>
              <w:rPr>
                <w:rFonts w:cs="Arial"/>
                <w:sz w:val="18"/>
                <w:szCs w:val="18"/>
                <w:lang w:eastAsia="ro-RO"/>
              </w:rPr>
              <w:t>Total valoare operare</w:t>
            </w:r>
          </w:p>
        </w:tc>
        <w:tc>
          <w:tcPr>
            <w:tcW w:w="1455"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p>
        </w:tc>
        <w:tc>
          <w:tcPr>
            <w:tcW w:w="1226"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p>
        </w:tc>
        <w:tc>
          <w:tcPr>
            <w:tcW w:w="1366"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rPr>
              <w:t>64.292.311,65</w:t>
            </w:r>
          </w:p>
        </w:tc>
        <w:tc>
          <w:tcPr>
            <w:tcW w:w="190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lang w:eastAsia="ro-RO"/>
              </w:rPr>
            </w:pPr>
            <w:r>
              <w:rPr>
                <w:rFonts w:cs="Arial"/>
                <w:b/>
                <w:bCs/>
                <w:sz w:val="18"/>
                <w:szCs w:val="18"/>
              </w:rPr>
              <w:t>642.923.116,48</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noWrap/>
            <w:vAlign w:val="center"/>
            <w:hideMark/>
          </w:tcPr>
          <w:p>
            <w:pPr>
              <w:rPr>
                <w:rFonts w:cs="Arial"/>
                <w:b w:val="0"/>
                <w:bCs w:val="0"/>
                <w:sz w:val="18"/>
                <w:szCs w:val="18"/>
                <w:lang w:eastAsia="ro-RO"/>
              </w:rPr>
            </w:pPr>
            <w:r>
              <w:rPr>
                <w:rFonts w:cs="Arial"/>
                <w:sz w:val="18"/>
                <w:szCs w:val="18"/>
                <w:lang w:eastAsia="ro-RO"/>
              </w:rPr>
              <w:t>Total valoare estimată (fără TVA)</w:t>
            </w:r>
          </w:p>
        </w:tc>
        <w:tc>
          <w:tcPr>
            <w:tcW w:w="1455" w:type="dxa"/>
            <w:tcBorders>
              <w:top w:val="none" w:sz="0" w:space="0" w:color="auto"/>
              <w:bottom w:val="none" w:sz="0" w:space="0" w:color="auto"/>
            </w:tcBorders>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eastAsia="ro-RO"/>
              </w:rPr>
            </w:pPr>
            <w:r>
              <w:rPr>
                <w:rFonts w:cs="Arial"/>
                <w:b/>
                <w:bCs/>
                <w:sz w:val="18"/>
                <w:szCs w:val="18"/>
              </w:rPr>
              <w:t>.......</w:t>
            </w:r>
          </w:p>
        </w:tc>
        <w:tc>
          <w:tcPr>
            <w:tcW w:w="1226" w:type="dxa"/>
            <w:tcBorders>
              <w:top w:val="none" w:sz="0" w:space="0" w:color="auto"/>
              <w:bottom w:val="none" w:sz="0" w:space="0" w:color="auto"/>
            </w:tcBorders>
            <w:vAlign w:val="center"/>
            <w:hideMark/>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eastAsia="ro-RO"/>
              </w:rPr>
            </w:pPr>
            <w:r>
              <w:rPr>
                <w:rFonts w:cs="Arial"/>
                <w:b/>
                <w:bCs/>
                <w:sz w:val="18"/>
                <w:szCs w:val="18"/>
              </w:rPr>
              <w:t>.......</w:t>
            </w:r>
          </w:p>
        </w:tc>
        <w:tc>
          <w:tcPr>
            <w:tcW w:w="1366" w:type="dxa"/>
            <w:tcBorders>
              <w:top w:val="none" w:sz="0" w:space="0" w:color="auto"/>
              <w:bottom w:val="none" w:sz="0" w:space="0" w:color="auto"/>
            </w:tcBorders>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eastAsia="ro-RO"/>
              </w:rPr>
            </w:pPr>
            <w:r>
              <w:rPr>
                <w:rFonts w:cs="Arial"/>
                <w:b/>
                <w:bCs/>
                <w:sz w:val="18"/>
                <w:szCs w:val="18"/>
              </w:rPr>
              <w:t>64.292.311,65</w:t>
            </w:r>
          </w:p>
        </w:tc>
        <w:tc>
          <w:tcPr>
            <w:tcW w:w="1907" w:type="dxa"/>
            <w:tcBorders>
              <w:top w:val="none" w:sz="0" w:space="0" w:color="auto"/>
              <w:bottom w:val="none" w:sz="0" w:space="0" w:color="auto"/>
            </w:tcBorders>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eastAsia="ro-RO"/>
              </w:rPr>
            </w:pPr>
            <w:r>
              <w:rPr>
                <w:rFonts w:cs="Arial"/>
                <w:b/>
                <w:bCs/>
                <w:sz w:val="18"/>
                <w:szCs w:val="18"/>
              </w:rPr>
              <w:t>948.361.921,30</w:t>
            </w:r>
          </w:p>
        </w:tc>
      </w:tr>
    </w:tbl>
    <w:p>
      <w:pPr>
        <w:tabs>
          <w:tab w:val="left" w:pos="9214"/>
          <w:tab w:val="left" w:pos="10065"/>
        </w:tabs>
        <w:spacing w:line="276" w:lineRule="auto"/>
        <w:ind w:right="-1"/>
        <w:jc w:val="both"/>
        <w:rPr>
          <w:b/>
          <w:sz w:val="24"/>
          <w:szCs w:val="24"/>
          <w:lang w:val="ro-RO"/>
        </w:rPr>
      </w:pPr>
    </w:p>
    <w:p>
      <w:pPr>
        <w:spacing w:before="120" w:after="120" w:line="300" w:lineRule="auto"/>
        <w:jc w:val="both"/>
        <w:rPr>
          <w:color w:val="000000" w:themeColor="text1"/>
          <w:sz w:val="24"/>
          <w:szCs w:val="24"/>
          <w:lang w:val="pt-BR"/>
        </w:rPr>
      </w:pPr>
      <w:r>
        <w:rPr>
          <w:rFonts w:cs="Arial"/>
          <w:sz w:val="24"/>
          <w:szCs w:val="24"/>
          <w:lang w:val="pt-BR"/>
        </w:rPr>
        <w:t xml:space="preserve">Valoarea totală estimată a contractului de delegare este de </w:t>
      </w:r>
      <w:r>
        <w:rPr>
          <w:rFonts w:cs="Arial"/>
          <w:b/>
          <w:sz w:val="24"/>
          <w:szCs w:val="24"/>
          <w:lang w:val="pt-BR"/>
        </w:rPr>
        <w:t>948.361.921,30 lei</w:t>
      </w:r>
      <w:r>
        <w:rPr>
          <w:rFonts w:cs="Arial"/>
          <w:sz w:val="24"/>
          <w:szCs w:val="24"/>
          <w:lang w:val="pt-BR"/>
        </w:rPr>
        <w:t xml:space="preserve">, fără TVA, pentru o perioadă </w:t>
      </w:r>
      <w:r>
        <w:rPr>
          <w:rFonts w:cs="Arial"/>
          <w:b/>
          <w:bCs/>
          <w:sz w:val="24"/>
          <w:szCs w:val="24"/>
          <w:lang w:val="pt-BR"/>
        </w:rPr>
        <w:t>de 158 de luni</w:t>
      </w:r>
      <w:r>
        <w:rPr>
          <w:rFonts w:cs="Arial"/>
          <w:sz w:val="24"/>
          <w:szCs w:val="24"/>
          <w:lang w:val="pt-BR"/>
        </w:rPr>
        <w:t xml:space="preserve">, din care pentru proiectare </w:t>
      </w:r>
      <w:r>
        <w:rPr>
          <w:rFonts w:cs="Arial"/>
          <w:b/>
          <w:bCs/>
          <w:sz w:val="24"/>
          <w:szCs w:val="24"/>
          <w:lang w:val="pt-BR"/>
        </w:rPr>
        <w:t>12.860.634,51</w:t>
      </w:r>
      <w:r>
        <w:rPr>
          <w:rFonts w:cs="Arial"/>
          <w:sz w:val="24"/>
          <w:szCs w:val="24"/>
          <w:lang w:val="pt-BR"/>
        </w:rPr>
        <w:t xml:space="preserve"> lei, fără TVA și pentru execuție </w:t>
      </w:r>
      <w:r>
        <w:rPr>
          <w:rFonts w:cs="Arial"/>
          <w:b/>
          <w:bCs/>
          <w:sz w:val="24"/>
          <w:szCs w:val="24"/>
          <w:lang w:val="pt-BR"/>
        </w:rPr>
        <w:t>292.578.170,31 lei</w:t>
      </w:r>
      <w:r>
        <w:rPr>
          <w:rFonts w:cs="Arial"/>
          <w:sz w:val="24"/>
          <w:szCs w:val="24"/>
          <w:lang w:val="pt-BR"/>
        </w:rPr>
        <w:t xml:space="preserve"> fără TVA, iar pentru </w:t>
      </w:r>
      <w:r>
        <w:rPr>
          <w:rFonts w:cs="Arial"/>
          <w:b/>
          <w:bCs/>
          <w:sz w:val="24"/>
          <w:szCs w:val="24"/>
          <w:lang w:val="pt-BR"/>
        </w:rPr>
        <w:t>10 ani de operare</w:t>
      </w:r>
      <w:r>
        <w:rPr>
          <w:rFonts w:cs="Arial"/>
          <w:sz w:val="24"/>
          <w:szCs w:val="24"/>
          <w:lang w:val="pt-BR"/>
        </w:rPr>
        <w:t xml:space="preserve"> </w:t>
      </w:r>
      <w:r>
        <w:rPr>
          <w:rFonts w:cs="Arial"/>
          <w:b/>
          <w:bCs/>
          <w:sz w:val="24"/>
          <w:szCs w:val="24"/>
          <w:lang w:val="pt-BR"/>
        </w:rPr>
        <w:t>642.923.116,48 lei</w:t>
      </w:r>
      <w:r>
        <w:rPr>
          <w:rFonts w:cs="Arial"/>
          <w:sz w:val="24"/>
          <w:szCs w:val="24"/>
          <w:lang w:val="pt-BR"/>
        </w:rPr>
        <w:t xml:space="preserve">, fără TVA, însemnând o valoare medie anuală de </w:t>
      </w:r>
      <w:r>
        <w:rPr>
          <w:rFonts w:cs="Arial"/>
          <w:b/>
          <w:sz w:val="24"/>
          <w:szCs w:val="24"/>
          <w:lang w:val="pt-BR"/>
        </w:rPr>
        <w:t>64.292.311,65</w:t>
      </w:r>
      <w:r>
        <w:rPr>
          <w:rFonts w:cs="Arial"/>
          <w:sz w:val="24"/>
          <w:szCs w:val="24"/>
          <w:lang w:val="pt-BR"/>
        </w:rPr>
        <w:t xml:space="preserve"> </w:t>
      </w:r>
      <w:r>
        <w:rPr>
          <w:rFonts w:cs="Arial"/>
          <w:b/>
          <w:bCs/>
          <w:sz w:val="24"/>
          <w:szCs w:val="24"/>
          <w:lang w:val="pt-BR"/>
        </w:rPr>
        <w:t>lei</w:t>
      </w:r>
      <w:r>
        <w:rPr>
          <w:rFonts w:cs="Arial"/>
          <w:sz w:val="24"/>
          <w:szCs w:val="24"/>
          <w:lang w:val="pt-BR"/>
        </w:rPr>
        <w:t xml:space="preserve">, fără TVA. </w:t>
      </w:r>
    </w:p>
    <w:p>
      <w:pPr>
        <w:pStyle w:val="Caption"/>
        <w:rPr>
          <w:rFonts w:ascii="Times New Roman" w:hAnsi="Times New Roman" w:cs="Times New Roman"/>
          <w:color w:val="auto"/>
          <w:sz w:val="22"/>
          <w:szCs w:val="22"/>
        </w:rPr>
      </w:pPr>
      <w:bookmarkStart w:id="6" w:name="_Toc100929904"/>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14</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Plafoane maximale pentru componentele proiectului</w:t>
      </w:r>
      <w:bookmarkEnd w:id="6"/>
    </w:p>
    <w:tbl>
      <w:tblPr>
        <w:tblStyle w:val="ListTable3"/>
        <w:tblW w:w="0" w:type="auto"/>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ook w:val="04A0" w:firstRow="1" w:lastRow="0" w:firstColumn="1" w:lastColumn="0" w:noHBand="0" w:noVBand="1"/>
      </w:tblPr>
      <w:tblGrid>
        <w:gridCol w:w="3811"/>
        <w:gridCol w:w="2205"/>
      </w:tblGrid>
      <w:tr>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auto"/>
            <w:shd w:val="clear" w:color="auto" w:fill="984806" w:themeFill="accent6" w:themeFillShade="80"/>
            <w:noWrap/>
            <w:hideMark/>
          </w:tcPr>
          <w:p>
            <w:pPr>
              <w:rPr>
                <w:lang w:eastAsia="ro-RO"/>
              </w:rPr>
            </w:pPr>
            <w:r>
              <w:rPr>
                <w:lang w:eastAsia="ro-RO"/>
              </w:rPr>
              <w:t>Element</w:t>
            </w:r>
          </w:p>
        </w:tc>
        <w:tc>
          <w:tcPr>
            <w:tcW w:w="0" w:type="auto"/>
            <w:shd w:val="clear" w:color="auto" w:fill="984806" w:themeFill="accent6" w:themeFillShade="80"/>
            <w:hideMark/>
          </w:tcPr>
          <w:p>
            <w:pPr>
              <w:cnfStyle w:val="100000000000" w:firstRow="1" w:lastRow="0" w:firstColumn="0" w:lastColumn="0" w:oddVBand="0" w:evenVBand="0" w:oddHBand="0" w:evenHBand="0" w:firstRowFirstColumn="0" w:firstRowLastColumn="0" w:lastRowFirstColumn="0" w:lastRowLastColumn="0"/>
              <w:rPr>
                <w:lang w:eastAsia="ro-RO"/>
              </w:rPr>
            </w:pPr>
            <w:r>
              <w:rPr>
                <w:lang w:eastAsia="ro-RO"/>
              </w:rPr>
              <w:t>Valoare (lei, fără TVA)</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rPr>
                <w:b w:val="0"/>
                <w:bCs w:val="0"/>
                <w:lang w:eastAsia="ro-RO"/>
              </w:rPr>
            </w:pPr>
            <w:r>
              <w:rPr>
                <w:lang w:eastAsia="ro-RO"/>
              </w:rPr>
              <w:t>Proiectare</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lang w:eastAsia="ro-RO"/>
              </w:rPr>
            </w:pPr>
            <w:r>
              <w:rPr>
                <w:rFonts w:cs="Arial"/>
              </w:rPr>
              <w:t>12.860.634,51</w:t>
            </w:r>
          </w:p>
        </w:tc>
      </w:tr>
      <w:tr>
        <w:trPr>
          <w:trHeight w:val="2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pPr>
              <w:rPr>
                <w:b w:val="0"/>
                <w:bCs w:val="0"/>
                <w:lang w:eastAsia="ro-RO"/>
              </w:rPr>
            </w:pPr>
            <w:r>
              <w:rPr>
                <w:lang w:eastAsia="ro-RO"/>
              </w:rPr>
              <w:t>Execuție</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lang w:eastAsia="ro-RO"/>
              </w:rPr>
            </w:pPr>
            <w:r>
              <w:rPr>
                <w:rFonts w:cs="Arial"/>
              </w:rPr>
              <w:t>292.578.170,31</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rPr>
                <w:lang w:eastAsia="ro-RO"/>
              </w:rPr>
            </w:pPr>
            <w:r>
              <w:rPr>
                <w:lang w:eastAsia="ro-RO"/>
              </w:rPr>
              <w:t>TOTAL PROIECTARE și EXECUȚIE</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lang w:eastAsia="ro-RO"/>
              </w:rPr>
            </w:pPr>
            <w:r>
              <w:rPr>
                <w:rFonts w:cs="Arial"/>
                <w:b/>
                <w:bCs/>
              </w:rPr>
              <w:t>305.438.804,82</w:t>
            </w:r>
          </w:p>
        </w:tc>
      </w:tr>
      <w:tr>
        <w:trPr>
          <w:trHeight w:val="2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pPr>
              <w:rPr>
                <w:b w:val="0"/>
                <w:bCs w:val="0"/>
                <w:lang w:val="pt-BR" w:eastAsia="ro-RO"/>
              </w:rPr>
            </w:pPr>
            <w:r>
              <w:rPr>
                <w:lang w:val="pt-BR" w:eastAsia="ro-RO"/>
              </w:rPr>
              <w:t>TOTAL VALOARE OPERARE pe 10 ani</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lang w:eastAsia="ro-RO"/>
              </w:rPr>
            </w:pPr>
            <w:r>
              <w:rPr>
                <w:rFonts w:cs="Arial"/>
              </w:rPr>
              <w:t>642.923.116,48</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pPr>
              <w:rPr>
                <w:lang w:eastAsia="ro-RO"/>
              </w:rPr>
            </w:pPr>
            <w:r>
              <w:rPr>
                <w:lang w:eastAsia="ro-RO"/>
              </w:rPr>
              <w:t xml:space="preserve">TOTAL VALOARE ESTIMATĂ </w:t>
            </w:r>
          </w:p>
        </w:tc>
        <w:tc>
          <w:tcPr>
            <w:tcW w:w="0" w:type="auto"/>
            <w:tcBorders>
              <w:top w:val="none" w:sz="0" w:space="0" w:color="auto"/>
              <w:bottom w:val="none" w:sz="0" w:space="0" w:color="auto"/>
            </w:tcBorders>
            <w:noWrap/>
            <w:hideMark/>
          </w:tcPr>
          <w:p>
            <w:pPr>
              <w:jc w:val="right"/>
              <w:cnfStyle w:val="000000100000" w:firstRow="0" w:lastRow="0" w:firstColumn="0" w:lastColumn="0" w:oddVBand="0" w:evenVBand="0" w:oddHBand="1" w:evenHBand="0" w:firstRowFirstColumn="0" w:firstRowLastColumn="0" w:lastRowFirstColumn="0" w:lastRowLastColumn="0"/>
              <w:rPr>
                <w:b/>
                <w:bCs/>
                <w:lang w:eastAsia="ro-RO"/>
              </w:rPr>
            </w:pPr>
            <w:r>
              <w:rPr>
                <w:rFonts w:cs="Arial"/>
                <w:b/>
                <w:bCs/>
              </w:rPr>
              <w:t xml:space="preserve">         948.361.921,30</w:t>
            </w:r>
          </w:p>
        </w:tc>
      </w:tr>
    </w:tbl>
    <w:p>
      <w:pPr>
        <w:tabs>
          <w:tab w:val="left" w:pos="9497"/>
          <w:tab w:val="left" w:pos="10065"/>
        </w:tabs>
        <w:spacing w:before="120" w:after="120" w:line="300" w:lineRule="auto"/>
        <w:ind w:right="-1"/>
        <w:jc w:val="both"/>
        <w:rPr>
          <w:sz w:val="24"/>
          <w:szCs w:val="24"/>
          <w:lang w:val="ro-RO"/>
        </w:rPr>
      </w:pPr>
      <w:r>
        <w:rPr>
          <w:sz w:val="24"/>
          <w:szCs w:val="24"/>
          <w:lang w:val="ro-RO"/>
        </w:rPr>
        <w:t xml:space="preserve">Dată fiind volatilitatea pieței, cât și procedura de ajustare a tarifelor potrivit prevederilor Ordinului ANRSC nr. 640/2022, cu modificările și completările ulterioare, se va solicita ofertantului să fundamenteze, în oferta sa financiară, </w:t>
      </w:r>
      <w:r>
        <w:rPr>
          <w:b/>
          <w:bCs/>
          <w:sz w:val="24"/>
          <w:szCs w:val="24"/>
          <w:lang w:val="ro-RO"/>
        </w:rPr>
        <w:t>tarifele pentru primul an de operare</w:t>
      </w:r>
      <w:r>
        <w:rPr>
          <w:sz w:val="24"/>
          <w:szCs w:val="24"/>
          <w:lang w:val="ro-RO"/>
        </w:rPr>
        <w:t>. Tarifele pentru anii următori vor putea fi ajustate la inflație, anual, conform prevederilor legale.</w:t>
      </w:r>
    </w:p>
    <w:p>
      <w:pPr>
        <w:tabs>
          <w:tab w:val="left" w:pos="9497"/>
          <w:tab w:val="left" w:pos="10065"/>
        </w:tabs>
        <w:spacing w:before="120" w:after="120" w:line="300" w:lineRule="auto"/>
        <w:ind w:right="-1"/>
        <w:jc w:val="both"/>
        <w:rPr>
          <w:sz w:val="24"/>
          <w:szCs w:val="24"/>
          <w:lang w:val="ro-RO"/>
        </w:rPr>
      </w:pPr>
      <w:r>
        <w:rPr>
          <w:sz w:val="24"/>
          <w:szCs w:val="24"/>
          <w:lang w:val="ro-RO"/>
        </w:rPr>
        <w:t>Tabelul următor prezintă sumarul plafoanelor maximale pentru tarifele aferente anului 1 de operare:</w:t>
      </w: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15</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Tarifele maxime în anul 1 de operare</w:t>
      </w:r>
    </w:p>
    <w:tbl>
      <w:tblPr>
        <w:tblStyle w:val="ListTable3"/>
        <w:tblW w:w="5000" w:type="pct"/>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ook w:val="00A0" w:firstRow="1" w:lastRow="0" w:firstColumn="1" w:lastColumn="0" w:noHBand="0" w:noVBand="0"/>
      </w:tblPr>
      <w:tblGrid>
        <w:gridCol w:w="7513"/>
        <w:gridCol w:w="2397"/>
      </w:tblGrid>
      <w:tr>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791" w:type="pct"/>
            <w:tcBorders>
              <w:bottom w:val="none" w:sz="0" w:space="0" w:color="auto"/>
              <w:right w:val="none" w:sz="0" w:space="0" w:color="auto"/>
            </w:tcBorders>
            <w:shd w:val="clear" w:color="auto" w:fill="984806" w:themeFill="accent6" w:themeFillShade="80"/>
            <w:noWrap/>
          </w:tcPr>
          <w:p>
            <w:pPr>
              <w:overflowPunct w:val="0"/>
              <w:autoSpaceDE w:val="0"/>
              <w:autoSpaceDN w:val="0"/>
              <w:adjustRightInd w:val="0"/>
              <w:spacing w:line="276" w:lineRule="auto"/>
              <w:jc w:val="both"/>
              <w:textAlignment w:val="baseline"/>
              <w:rPr>
                <w:b w:val="0"/>
                <w:lang w:val="ro-RO"/>
              </w:rPr>
            </w:pPr>
            <w:r>
              <w:rPr>
                <w:lang w:val="ro-RO"/>
              </w:rPr>
              <w:t>Tarif</w:t>
            </w:r>
          </w:p>
        </w:tc>
        <w:tc>
          <w:tcPr>
            <w:cnfStyle w:val="000010000000" w:firstRow="0" w:lastRow="0" w:firstColumn="0" w:lastColumn="0" w:oddVBand="1" w:evenVBand="0" w:oddHBand="0" w:evenHBand="0" w:firstRowFirstColumn="0" w:firstRowLastColumn="0" w:lastRowFirstColumn="0" w:lastRowLastColumn="0"/>
            <w:tcW w:w="1209" w:type="pct"/>
            <w:tcBorders>
              <w:left w:val="none" w:sz="0" w:space="0" w:color="auto"/>
              <w:right w:val="none" w:sz="0" w:space="0" w:color="auto"/>
            </w:tcBorders>
            <w:shd w:val="clear" w:color="auto" w:fill="984806" w:themeFill="accent6" w:themeFillShade="80"/>
            <w:noWrap/>
          </w:tcPr>
          <w:p>
            <w:pPr>
              <w:overflowPunct w:val="0"/>
              <w:autoSpaceDE w:val="0"/>
              <w:autoSpaceDN w:val="0"/>
              <w:adjustRightInd w:val="0"/>
              <w:spacing w:line="276" w:lineRule="auto"/>
              <w:jc w:val="center"/>
              <w:textAlignment w:val="baseline"/>
              <w:rPr>
                <w:b w:val="0"/>
                <w:lang w:val="ro-RO"/>
              </w:rPr>
            </w:pPr>
            <w:r>
              <w:rPr>
                <w:lang w:val="ro-RO"/>
              </w:rPr>
              <w:t>Tarif în anul 1 de operare,</w:t>
            </w:r>
          </w:p>
          <w:p>
            <w:pPr>
              <w:overflowPunct w:val="0"/>
              <w:autoSpaceDE w:val="0"/>
              <w:autoSpaceDN w:val="0"/>
              <w:adjustRightInd w:val="0"/>
              <w:spacing w:line="276" w:lineRule="auto"/>
              <w:jc w:val="center"/>
              <w:textAlignment w:val="baseline"/>
              <w:rPr>
                <w:b w:val="0"/>
                <w:lang w:val="ro-RO"/>
              </w:rPr>
            </w:pPr>
            <w:r>
              <w:rPr>
                <w:lang w:val="ro-RO"/>
              </w:rPr>
              <w:t>lei/tonă fără TVA</w:t>
            </w:r>
          </w:p>
        </w:tc>
      </w:tr>
      <w:tr>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91" w:type="pct"/>
            <w:tcBorders>
              <w:top w:val="none" w:sz="0" w:space="0" w:color="auto"/>
              <w:bottom w:val="none" w:sz="0" w:space="0" w:color="auto"/>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TARIF A</w:t>
            </w:r>
            <w:r>
              <w:rPr>
                <w:b w:val="0"/>
                <w:bCs w:val="0"/>
                <w:noProof/>
                <w:lang w:val="ro-RO"/>
              </w:rPr>
              <w:t xml:space="preserve"> - </w:t>
            </w:r>
            <w:r>
              <w:rPr>
                <w:b w:val="0"/>
                <w:bCs w:val="0"/>
                <w:i/>
                <w:iCs/>
                <w:noProof/>
                <w:lang w:val="ro-RO"/>
              </w:rPr>
              <w:t>Tarif pentru transferul deşeurilor de hârtie, metal, plastic și sticlă – Tt reciclabile</w:t>
            </w:r>
          </w:p>
        </w:tc>
        <w:tc>
          <w:tcPr>
            <w:cnfStyle w:val="000010000000" w:firstRow="0" w:lastRow="0" w:firstColumn="0" w:lastColumn="0" w:oddVBand="1" w:evenVBand="0" w:oddHBand="0" w:evenHBand="0" w:firstRowFirstColumn="0" w:firstRowLastColumn="0" w:lastRowFirstColumn="0" w:lastRowLastColumn="0"/>
            <w:tcW w:w="1209" w:type="pct"/>
            <w:tcBorders>
              <w:top w:val="none" w:sz="0" w:space="0" w:color="auto"/>
              <w:left w:val="none" w:sz="0" w:space="0" w:color="auto"/>
              <w:bottom w:val="none" w:sz="0" w:space="0" w:color="auto"/>
              <w:right w:val="none" w:sz="0" w:space="0" w:color="auto"/>
            </w:tcBorders>
            <w:noWrap/>
            <w:vAlign w:val="center"/>
          </w:tcPr>
          <w:p>
            <w:pPr>
              <w:overflowPunct w:val="0"/>
              <w:autoSpaceDE w:val="0"/>
              <w:autoSpaceDN w:val="0"/>
              <w:adjustRightInd w:val="0"/>
              <w:spacing w:line="276" w:lineRule="auto"/>
              <w:jc w:val="center"/>
              <w:textAlignment w:val="baseline"/>
              <w:rPr>
                <w:b/>
                <w:color w:val="000000"/>
                <w:lang w:val="ro-RO"/>
              </w:rPr>
            </w:pPr>
            <w:r>
              <w:rPr>
                <w:lang w:val="ro-RO"/>
              </w:rPr>
              <w:t>175,08</w:t>
            </w:r>
          </w:p>
        </w:tc>
      </w:tr>
      <w:tr>
        <w:trPr>
          <w:trHeight w:val="288"/>
        </w:trPr>
        <w:tc>
          <w:tcPr>
            <w:cnfStyle w:val="001000000000" w:firstRow="0" w:lastRow="0" w:firstColumn="1" w:lastColumn="0" w:oddVBand="0" w:evenVBand="0" w:oddHBand="0" w:evenHBand="0" w:firstRowFirstColumn="0" w:firstRowLastColumn="0" w:lastRowFirstColumn="0" w:lastRowLastColumn="0"/>
            <w:tcW w:w="3791" w:type="pct"/>
            <w:tcBorders>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TARIF B</w:t>
            </w:r>
            <w:r>
              <w:rPr>
                <w:b w:val="0"/>
                <w:bCs w:val="0"/>
                <w:noProof/>
                <w:lang w:val="ro-RO"/>
              </w:rPr>
              <w:t xml:space="preserve"> - </w:t>
            </w:r>
            <w:r>
              <w:rPr>
                <w:b w:val="0"/>
                <w:bCs w:val="0"/>
                <w:i/>
                <w:iCs/>
                <w:noProof/>
                <w:lang w:val="ro-RO"/>
              </w:rPr>
              <w:t>Tarif pentru transferul deşeurilor reziduale</w:t>
            </w:r>
          </w:p>
        </w:tc>
        <w:tc>
          <w:tcPr>
            <w:cnfStyle w:val="000010000000" w:firstRow="0" w:lastRow="0" w:firstColumn="0" w:lastColumn="0" w:oddVBand="1" w:evenVBand="0" w:oddHBand="0" w:evenHBand="0" w:firstRowFirstColumn="0" w:firstRowLastColumn="0" w:lastRowFirstColumn="0" w:lastRowLastColumn="0"/>
            <w:tcW w:w="1209" w:type="pct"/>
            <w:tcBorders>
              <w:left w:val="none" w:sz="0" w:space="0" w:color="auto"/>
              <w:right w:val="none" w:sz="0" w:space="0" w:color="auto"/>
            </w:tcBorders>
            <w:noWrap/>
            <w:vAlign w:val="center"/>
          </w:tcPr>
          <w:p>
            <w:pPr>
              <w:overflowPunct w:val="0"/>
              <w:autoSpaceDE w:val="0"/>
              <w:autoSpaceDN w:val="0"/>
              <w:adjustRightInd w:val="0"/>
              <w:spacing w:line="276" w:lineRule="auto"/>
              <w:jc w:val="center"/>
              <w:textAlignment w:val="baseline"/>
              <w:rPr>
                <w:b/>
                <w:color w:val="000000"/>
                <w:lang w:val="ro-RO"/>
              </w:rPr>
            </w:pPr>
            <w:r>
              <w:rPr>
                <w:lang w:val="ro-RO"/>
              </w:rPr>
              <w:t>187,73</w:t>
            </w:r>
          </w:p>
        </w:tc>
      </w:tr>
      <w:tr>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91" w:type="pct"/>
            <w:tcBorders>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TARIF C</w:t>
            </w:r>
            <w:r>
              <w:rPr>
                <w:b w:val="0"/>
                <w:bCs w:val="0"/>
                <w:noProof/>
                <w:lang w:val="ro-RO"/>
              </w:rPr>
              <w:t xml:space="preserve"> -</w:t>
            </w:r>
            <w:r>
              <w:rPr>
                <w:b w:val="0"/>
                <w:bCs w:val="0"/>
                <w:i/>
                <w:iCs/>
                <w:noProof/>
                <w:lang w:val="ro-RO"/>
              </w:rPr>
              <w:t xml:space="preserve"> Tariful de tratare mecano-biologică – Ttmb</w:t>
            </w:r>
          </w:p>
        </w:tc>
        <w:tc>
          <w:tcPr>
            <w:cnfStyle w:val="000010000000" w:firstRow="0" w:lastRow="0" w:firstColumn="0" w:lastColumn="0" w:oddVBand="1" w:evenVBand="0" w:oddHBand="0" w:evenHBand="0" w:firstRowFirstColumn="0" w:firstRowLastColumn="0" w:lastRowFirstColumn="0" w:lastRowLastColumn="0"/>
            <w:tcW w:w="1209" w:type="pct"/>
            <w:tcBorders>
              <w:left w:val="none" w:sz="0" w:space="0" w:color="auto"/>
              <w:right w:val="none" w:sz="0" w:space="0" w:color="auto"/>
            </w:tcBorders>
            <w:noWrap/>
            <w:vAlign w:val="center"/>
          </w:tcPr>
          <w:p>
            <w:pPr>
              <w:overflowPunct w:val="0"/>
              <w:autoSpaceDE w:val="0"/>
              <w:autoSpaceDN w:val="0"/>
              <w:adjustRightInd w:val="0"/>
              <w:spacing w:line="276" w:lineRule="auto"/>
              <w:jc w:val="center"/>
              <w:textAlignment w:val="baseline"/>
              <w:rPr>
                <w:lang w:val="ro-RO"/>
              </w:rPr>
            </w:pPr>
            <w:r>
              <w:rPr>
                <w:lang w:val="ro-RO"/>
              </w:rPr>
              <w:t>556,28</w:t>
            </w:r>
          </w:p>
        </w:tc>
      </w:tr>
      <w:tr>
        <w:trPr>
          <w:trHeight w:val="288"/>
        </w:trPr>
        <w:tc>
          <w:tcPr>
            <w:cnfStyle w:val="001000000000" w:firstRow="0" w:lastRow="0" w:firstColumn="1" w:lastColumn="0" w:oddVBand="0" w:evenVBand="0" w:oddHBand="0" w:evenHBand="0" w:firstRowFirstColumn="0" w:firstRowLastColumn="0" w:lastRowFirstColumn="0" w:lastRowLastColumn="0"/>
            <w:tcW w:w="3791" w:type="pct"/>
            <w:tcBorders>
              <w:right w:val="none" w:sz="0" w:space="0" w:color="auto"/>
            </w:tcBorders>
            <w:noWrap/>
          </w:tcPr>
          <w:p>
            <w:pPr>
              <w:overflowPunct w:val="0"/>
              <w:autoSpaceDE w:val="0"/>
              <w:autoSpaceDN w:val="0"/>
              <w:adjustRightInd w:val="0"/>
              <w:spacing w:line="276" w:lineRule="auto"/>
              <w:jc w:val="both"/>
              <w:textAlignment w:val="baseline"/>
              <w:rPr>
                <w:b w:val="0"/>
                <w:bCs w:val="0"/>
                <w:lang w:val="ro-RO"/>
              </w:rPr>
            </w:pPr>
            <w:r>
              <w:rPr>
                <w:noProof/>
                <w:lang w:val="ro-RO"/>
              </w:rPr>
              <w:t>TARIF D</w:t>
            </w:r>
            <w:r>
              <w:rPr>
                <w:b w:val="0"/>
                <w:bCs w:val="0"/>
                <w:noProof/>
                <w:lang w:val="ro-RO"/>
              </w:rPr>
              <w:t xml:space="preserve"> -</w:t>
            </w:r>
            <w:r>
              <w:rPr>
                <w:b w:val="0"/>
                <w:bCs w:val="0"/>
                <w:i/>
                <w:iCs/>
                <w:noProof/>
                <w:lang w:val="ro-RO"/>
              </w:rPr>
              <w:t xml:space="preserve"> Tariful de digestie anaerobă – Tda</w:t>
            </w:r>
          </w:p>
        </w:tc>
        <w:tc>
          <w:tcPr>
            <w:cnfStyle w:val="000010000000" w:firstRow="0" w:lastRow="0" w:firstColumn="0" w:lastColumn="0" w:oddVBand="1" w:evenVBand="0" w:oddHBand="0" w:evenHBand="0" w:firstRowFirstColumn="0" w:firstRowLastColumn="0" w:lastRowFirstColumn="0" w:lastRowLastColumn="0"/>
            <w:tcW w:w="1209" w:type="pct"/>
            <w:tcBorders>
              <w:left w:val="none" w:sz="0" w:space="0" w:color="auto"/>
              <w:right w:val="none" w:sz="0" w:space="0" w:color="auto"/>
            </w:tcBorders>
            <w:noWrap/>
            <w:vAlign w:val="center"/>
          </w:tcPr>
          <w:p>
            <w:pPr>
              <w:overflowPunct w:val="0"/>
              <w:autoSpaceDE w:val="0"/>
              <w:autoSpaceDN w:val="0"/>
              <w:adjustRightInd w:val="0"/>
              <w:spacing w:line="276" w:lineRule="auto"/>
              <w:jc w:val="center"/>
              <w:textAlignment w:val="baseline"/>
              <w:rPr>
                <w:lang w:val="ro-RO"/>
              </w:rPr>
            </w:pPr>
            <w:r>
              <w:rPr>
                <w:lang w:val="ro-RO"/>
              </w:rPr>
              <w:t>520,51</w:t>
            </w:r>
          </w:p>
        </w:tc>
      </w:tr>
    </w:tbl>
    <w:p>
      <w:pPr>
        <w:tabs>
          <w:tab w:val="left" w:pos="9214"/>
          <w:tab w:val="left" w:pos="10065"/>
        </w:tabs>
        <w:spacing w:line="276" w:lineRule="auto"/>
        <w:ind w:right="-1"/>
        <w:jc w:val="both"/>
        <w:rPr>
          <w:b/>
          <w:lang w:val="ro-RO"/>
        </w:rPr>
      </w:pPr>
    </w:p>
    <w:p>
      <w:pPr>
        <w:tabs>
          <w:tab w:val="left" w:pos="9497"/>
          <w:tab w:val="left" w:pos="10065"/>
        </w:tabs>
        <w:spacing w:line="276" w:lineRule="auto"/>
        <w:ind w:right="-1"/>
        <w:jc w:val="both"/>
        <w:rPr>
          <w:sz w:val="24"/>
          <w:szCs w:val="24"/>
          <w:lang w:val="ro-RO"/>
        </w:rPr>
      </w:pPr>
      <w:r>
        <w:rPr>
          <w:sz w:val="24"/>
          <w:szCs w:val="24"/>
          <w:lang w:val="ro-RO"/>
        </w:rPr>
        <w:t xml:space="preserve">Valoarea operării pentru anul 1, determinată pe baza acestor tarife maximale, este prezentată în tabelul următor: </w:t>
      </w:r>
    </w:p>
    <w:p>
      <w:pPr>
        <w:pStyle w:val="Caption"/>
        <w:spacing w:before="120" w:after="120" w:line="30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Tabel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SEQ Table \* ARABIC </w:instrText>
      </w:r>
      <w:r>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16</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 Valoarea operării în anul 1 </w:t>
      </w:r>
    </w:p>
    <w:tbl>
      <w:tblPr>
        <w:tblStyle w:val="ListTable3"/>
        <w:tblW w:w="5000" w:type="pct"/>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ook w:val="04A0" w:firstRow="1" w:lastRow="0" w:firstColumn="1" w:lastColumn="0" w:noHBand="0" w:noVBand="1"/>
      </w:tblPr>
      <w:tblGrid>
        <w:gridCol w:w="4061"/>
        <w:gridCol w:w="1994"/>
        <w:gridCol w:w="1928"/>
        <w:gridCol w:w="1927"/>
      </w:tblGrid>
      <w:tr>
        <w:trPr>
          <w:cnfStyle w:val="100000000000" w:firstRow="1" w:lastRow="0" w:firstColumn="0" w:lastColumn="0" w:oddVBand="0" w:evenVBand="0" w:oddHBand="0" w:evenHBand="0" w:firstRowFirstColumn="0" w:firstRowLastColumn="0" w:lastRowFirstColumn="0" w:lastRowLastColumn="0"/>
          <w:trHeight w:val="720"/>
        </w:trPr>
        <w:tc>
          <w:tcPr>
            <w:cnfStyle w:val="001000000100" w:firstRow="0" w:lastRow="0" w:firstColumn="1" w:lastColumn="0" w:oddVBand="0" w:evenVBand="0" w:oddHBand="0" w:evenHBand="0" w:firstRowFirstColumn="1" w:firstRowLastColumn="0" w:lastRowFirstColumn="0" w:lastRowLastColumn="0"/>
            <w:tcW w:w="2049" w:type="pct"/>
            <w:tcBorders>
              <w:bottom w:val="none" w:sz="0" w:space="0" w:color="auto"/>
              <w:right w:val="none" w:sz="0" w:space="0" w:color="auto"/>
            </w:tcBorders>
            <w:shd w:val="clear" w:color="auto" w:fill="984806" w:themeFill="accent6" w:themeFillShade="80"/>
            <w:noWrap/>
            <w:hideMark/>
          </w:tcPr>
          <w:p>
            <w:pPr>
              <w:jc w:val="center"/>
              <w:rPr>
                <w:b w:val="0"/>
                <w:bCs w:val="0"/>
                <w:lang w:val="ro-RO" w:eastAsia="ro-RO"/>
              </w:rPr>
            </w:pPr>
            <w:r>
              <w:rPr>
                <w:lang w:val="ro-RO" w:eastAsia="ro-RO"/>
              </w:rPr>
              <w:t>Activitatea</w:t>
            </w:r>
          </w:p>
        </w:tc>
        <w:tc>
          <w:tcPr>
            <w:tcW w:w="1006" w:type="pct"/>
            <w:shd w:val="clear" w:color="auto" w:fill="984806" w:themeFill="accent6" w:themeFillShade="80"/>
            <w:hideMark/>
          </w:tcPr>
          <w:p>
            <w:pPr>
              <w:jc w:val="center"/>
              <w:cnfStyle w:val="100000000000" w:firstRow="1" w:lastRow="0" w:firstColumn="0" w:lastColumn="0" w:oddVBand="0" w:evenVBand="0" w:oddHBand="0" w:evenHBand="0" w:firstRowFirstColumn="0" w:firstRowLastColumn="0" w:lastRowFirstColumn="0" w:lastRowLastColumn="0"/>
              <w:rPr>
                <w:b w:val="0"/>
                <w:bCs w:val="0"/>
                <w:lang w:val="ro-RO" w:eastAsia="ro-RO"/>
              </w:rPr>
            </w:pPr>
            <w:r>
              <w:rPr>
                <w:lang w:val="ro-RO" w:eastAsia="ro-RO"/>
              </w:rPr>
              <w:t>Tarif maxim, fără TVA (lei/ tonă)</w:t>
            </w:r>
          </w:p>
        </w:tc>
        <w:tc>
          <w:tcPr>
            <w:tcW w:w="973" w:type="pct"/>
            <w:shd w:val="clear" w:color="auto" w:fill="984806" w:themeFill="accent6" w:themeFillShade="80"/>
            <w:hideMark/>
          </w:tcPr>
          <w:p>
            <w:pPr>
              <w:jc w:val="right"/>
              <w:cnfStyle w:val="100000000000" w:firstRow="1" w:lastRow="0" w:firstColumn="0" w:lastColumn="0" w:oddVBand="0" w:evenVBand="0" w:oddHBand="0" w:evenHBand="0" w:firstRowFirstColumn="0" w:firstRowLastColumn="0" w:lastRowFirstColumn="0" w:lastRowLastColumn="0"/>
              <w:rPr>
                <w:b w:val="0"/>
                <w:bCs w:val="0"/>
                <w:lang w:val="ro-RO" w:eastAsia="ro-RO"/>
              </w:rPr>
            </w:pPr>
            <w:r>
              <w:rPr>
                <w:lang w:val="ro-RO" w:eastAsia="ro-RO"/>
              </w:rPr>
              <w:t>Cantitate medie anuala (tone)</w:t>
            </w:r>
          </w:p>
        </w:tc>
        <w:tc>
          <w:tcPr>
            <w:tcW w:w="972" w:type="pct"/>
            <w:shd w:val="clear" w:color="auto" w:fill="984806" w:themeFill="accent6" w:themeFillShade="80"/>
            <w:hideMark/>
          </w:tcPr>
          <w:p>
            <w:pPr>
              <w:jc w:val="right"/>
              <w:cnfStyle w:val="100000000000" w:firstRow="1" w:lastRow="0" w:firstColumn="0" w:lastColumn="0" w:oddVBand="0" w:evenVBand="0" w:oddHBand="0" w:evenHBand="0" w:firstRowFirstColumn="0" w:firstRowLastColumn="0" w:lastRowFirstColumn="0" w:lastRowLastColumn="0"/>
              <w:rPr>
                <w:b w:val="0"/>
                <w:bCs w:val="0"/>
                <w:lang w:val="ro-RO" w:eastAsia="ro-RO"/>
              </w:rPr>
            </w:pPr>
            <w:r>
              <w:rPr>
                <w:lang w:val="ro-RO" w:eastAsia="ro-RO"/>
              </w:rPr>
              <w:t>Valoare anuala, fără TVA  (lei)</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49" w:type="pct"/>
            <w:tcBorders>
              <w:right w:val="none" w:sz="0" w:space="0" w:color="auto"/>
            </w:tcBorders>
            <w:vAlign w:val="center"/>
          </w:tcPr>
          <w:p>
            <w:pPr>
              <w:rPr>
                <w:b w:val="0"/>
                <w:bCs w:val="0"/>
                <w:lang w:val="ro-RO" w:eastAsia="ro-RO"/>
              </w:rPr>
            </w:pPr>
            <w:r>
              <w:rPr>
                <w:noProof/>
                <w:lang w:val="ro-RO"/>
              </w:rPr>
              <w:t>TARIF A</w:t>
            </w:r>
            <w:r>
              <w:rPr>
                <w:b w:val="0"/>
                <w:bCs w:val="0"/>
                <w:noProof/>
                <w:lang w:val="ro-RO"/>
              </w:rPr>
              <w:t xml:space="preserve"> - </w:t>
            </w:r>
            <w:r>
              <w:rPr>
                <w:b w:val="0"/>
                <w:bCs w:val="0"/>
                <w:i/>
                <w:iCs/>
                <w:noProof/>
                <w:lang w:val="ro-RO"/>
              </w:rPr>
              <w:t>Tarif pentru transferul deşeurilor de hârtie, metal, plastic şi sticlă – Tt reciclabile</w:t>
            </w:r>
          </w:p>
        </w:tc>
        <w:tc>
          <w:tcPr>
            <w:tcW w:w="1006" w:type="pct"/>
            <w:noWrap/>
            <w:vAlign w:val="center"/>
          </w:tcPr>
          <w:p>
            <w:pPr>
              <w:jc w:val="center"/>
              <w:cnfStyle w:val="000000100000" w:firstRow="0" w:lastRow="0" w:firstColumn="0" w:lastColumn="0" w:oddVBand="0" w:evenVBand="0" w:oddHBand="1" w:evenHBand="0" w:firstRowFirstColumn="0" w:firstRowLastColumn="0" w:lastRowFirstColumn="0" w:lastRowLastColumn="0"/>
              <w:rPr>
                <w:lang w:val="ro-RO" w:eastAsia="ro-RO"/>
              </w:rPr>
            </w:pPr>
            <w:r>
              <w:rPr>
                <w:lang w:val="ro-RO"/>
              </w:rPr>
              <w:t>175,08</w:t>
            </w:r>
          </w:p>
        </w:tc>
        <w:tc>
          <w:tcPr>
            <w:tcW w:w="973" w:type="pct"/>
            <w:vAlign w:val="center"/>
          </w:tcPr>
          <w:p>
            <w:pPr>
              <w:jc w:val="right"/>
              <w:cnfStyle w:val="000000100000" w:firstRow="0" w:lastRow="0" w:firstColumn="0" w:lastColumn="0" w:oddVBand="0" w:evenVBand="0" w:oddHBand="1" w:evenHBand="0" w:firstRowFirstColumn="0" w:firstRowLastColumn="0" w:lastRowFirstColumn="0" w:lastRowLastColumn="0"/>
              <w:rPr>
                <w:lang w:val="ro-RO" w:eastAsia="ro-RO"/>
              </w:rPr>
            </w:pPr>
            <w:r>
              <w:rPr>
                <w:lang w:val="ro-RO" w:eastAsia="ro-RO"/>
              </w:rPr>
              <w:t>3.582,16</w:t>
            </w:r>
          </w:p>
        </w:tc>
        <w:tc>
          <w:tcPr>
            <w:tcW w:w="972" w:type="pct"/>
            <w:vAlign w:val="center"/>
          </w:tcPr>
          <w:p>
            <w:pPr>
              <w:jc w:val="right"/>
              <w:cnfStyle w:val="000000100000" w:firstRow="0" w:lastRow="0" w:firstColumn="0" w:lastColumn="0" w:oddVBand="0" w:evenVBand="0" w:oddHBand="1" w:evenHBand="0" w:firstRowFirstColumn="0" w:firstRowLastColumn="0" w:lastRowFirstColumn="0" w:lastRowLastColumn="0"/>
              <w:rPr>
                <w:lang w:val="ro-RO" w:eastAsia="ro-RO"/>
              </w:rPr>
            </w:pPr>
            <w:r>
              <w:rPr>
                <w:lang w:val="ro-RO" w:eastAsia="ro-RO"/>
              </w:rPr>
              <w:t>627.149</w:t>
            </w:r>
          </w:p>
        </w:tc>
      </w:tr>
      <w:tr>
        <w:trPr>
          <w:trHeight w:val="260"/>
        </w:trPr>
        <w:tc>
          <w:tcPr>
            <w:cnfStyle w:val="001000000000" w:firstRow="0" w:lastRow="0" w:firstColumn="1" w:lastColumn="0" w:oddVBand="0" w:evenVBand="0" w:oddHBand="0" w:evenHBand="0" w:firstRowFirstColumn="0" w:firstRowLastColumn="0" w:lastRowFirstColumn="0" w:lastRowLastColumn="0"/>
            <w:tcW w:w="2049" w:type="pct"/>
            <w:tcBorders>
              <w:right w:val="none" w:sz="0" w:space="0" w:color="auto"/>
            </w:tcBorders>
            <w:vAlign w:val="center"/>
          </w:tcPr>
          <w:p>
            <w:pPr>
              <w:rPr>
                <w:b w:val="0"/>
                <w:bCs w:val="0"/>
                <w:lang w:val="ro-RO" w:eastAsia="ro-RO"/>
              </w:rPr>
            </w:pPr>
            <w:r>
              <w:rPr>
                <w:noProof/>
                <w:lang w:val="ro-RO"/>
              </w:rPr>
              <w:t>TARIF B</w:t>
            </w:r>
            <w:r>
              <w:rPr>
                <w:b w:val="0"/>
                <w:bCs w:val="0"/>
                <w:noProof/>
                <w:lang w:val="ro-RO"/>
              </w:rPr>
              <w:t xml:space="preserve"> - </w:t>
            </w:r>
            <w:r>
              <w:rPr>
                <w:b w:val="0"/>
                <w:bCs w:val="0"/>
                <w:i/>
                <w:iCs/>
                <w:noProof/>
                <w:lang w:val="ro-RO"/>
              </w:rPr>
              <w:t>Tarif pentru transferul deşeurilor reziduale</w:t>
            </w:r>
          </w:p>
        </w:tc>
        <w:tc>
          <w:tcPr>
            <w:tcW w:w="1006" w:type="pct"/>
            <w:noWrap/>
            <w:vAlign w:val="center"/>
          </w:tcPr>
          <w:p>
            <w:pPr>
              <w:jc w:val="center"/>
              <w:cnfStyle w:val="000000000000" w:firstRow="0" w:lastRow="0" w:firstColumn="0" w:lastColumn="0" w:oddVBand="0" w:evenVBand="0" w:oddHBand="0" w:evenHBand="0" w:firstRowFirstColumn="0" w:firstRowLastColumn="0" w:lastRowFirstColumn="0" w:lastRowLastColumn="0"/>
              <w:rPr>
                <w:lang w:val="ro-RO" w:eastAsia="ro-RO"/>
              </w:rPr>
            </w:pPr>
            <w:r>
              <w:rPr>
                <w:lang w:val="ro-RO"/>
              </w:rPr>
              <w:t>187,73</w:t>
            </w:r>
          </w:p>
        </w:tc>
        <w:tc>
          <w:tcPr>
            <w:tcW w:w="973" w:type="pct"/>
            <w:vAlign w:val="center"/>
          </w:tcPr>
          <w:p>
            <w:pPr>
              <w:jc w:val="right"/>
              <w:cnfStyle w:val="000000000000" w:firstRow="0" w:lastRow="0" w:firstColumn="0" w:lastColumn="0" w:oddVBand="0" w:evenVBand="0" w:oddHBand="0" w:evenHBand="0" w:firstRowFirstColumn="0" w:firstRowLastColumn="0" w:lastRowFirstColumn="0" w:lastRowLastColumn="0"/>
              <w:rPr>
                <w:lang w:val="ro-RO" w:eastAsia="ro-RO"/>
              </w:rPr>
            </w:pPr>
            <w:r>
              <w:rPr>
                <w:lang w:val="ro-RO" w:eastAsia="ro-RO"/>
              </w:rPr>
              <w:t>24.001,97</w:t>
            </w:r>
          </w:p>
        </w:tc>
        <w:tc>
          <w:tcPr>
            <w:tcW w:w="972" w:type="pct"/>
            <w:vAlign w:val="center"/>
          </w:tcPr>
          <w:p>
            <w:pPr>
              <w:jc w:val="right"/>
              <w:cnfStyle w:val="000000000000" w:firstRow="0" w:lastRow="0" w:firstColumn="0" w:lastColumn="0" w:oddVBand="0" w:evenVBand="0" w:oddHBand="0" w:evenHBand="0" w:firstRowFirstColumn="0" w:firstRowLastColumn="0" w:lastRowFirstColumn="0" w:lastRowLastColumn="0"/>
              <w:rPr>
                <w:lang w:val="ro-RO" w:eastAsia="ro-RO"/>
              </w:rPr>
            </w:pPr>
            <w:r>
              <w:rPr>
                <w:lang w:val="ro-RO" w:eastAsia="ro-RO"/>
              </w:rPr>
              <w:t>4.505.943</w:t>
            </w:r>
          </w:p>
        </w:tc>
      </w:tr>
      <w:tr>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049" w:type="pct"/>
            <w:tcBorders>
              <w:right w:val="none" w:sz="0" w:space="0" w:color="auto"/>
            </w:tcBorders>
            <w:vAlign w:val="center"/>
            <w:hideMark/>
          </w:tcPr>
          <w:p>
            <w:pPr>
              <w:rPr>
                <w:lang w:val="ro-RO" w:eastAsia="ro-RO"/>
              </w:rPr>
            </w:pPr>
            <w:r>
              <w:rPr>
                <w:noProof/>
                <w:lang w:val="ro-RO"/>
              </w:rPr>
              <w:t>TARIF D</w:t>
            </w:r>
            <w:r>
              <w:rPr>
                <w:b w:val="0"/>
                <w:bCs w:val="0"/>
                <w:noProof/>
                <w:lang w:val="ro-RO"/>
              </w:rPr>
              <w:t xml:space="preserve"> -</w:t>
            </w:r>
            <w:r>
              <w:rPr>
                <w:b w:val="0"/>
                <w:bCs w:val="0"/>
                <w:i/>
                <w:iCs/>
                <w:noProof/>
                <w:lang w:val="ro-RO"/>
              </w:rPr>
              <w:t xml:space="preserve"> Tariful de tratare mecano-biologică – Ttmb</w:t>
            </w:r>
          </w:p>
        </w:tc>
        <w:tc>
          <w:tcPr>
            <w:tcW w:w="1006" w:type="pct"/>
            <w:noWrap/>
            <w:vAlign w:val="center"/>
          </w:tcPr>
          <w:p>
            <w:pPr>
              <w:jc w:val="center"/>
              <w:cnfStyle w:val="000000100000" w:firstRow="0" w:lastRow="0" w:firstColumn="0" w:lastColumn="0" w:oddVBand="0" w:evenVBand="0" w:oddHBand="1" w:evenHBand="0" w:firstRowFirstColumn="0" w:firstRowLastColumn="0" w:lastRowFirstColumn="0" w:lastRowLastColumn="0"/>
              <w:rPr>
                <w:lang w:val="ro-RO" w:eastAsia="ro-RO"/>
              </w:rPr>
            </w:pPr>
            <w:r>
              <w:rPr>
                <w:lang w:val="ro-RO"/>
              </w:rPr>
              <w:t>556,28</w:t>
            </w:r>
          </w:p>
        </w:tc>
        <w:tc>
          <w:tcPr>
            <w:tcW w:w="973" w:type="pct"/>
            <w:vAlign w:val="center"/>
          </w:tcPr>
          <w:p>
            <w:pPr>
              <w:jc w:val="right"/>
              <w:cnfStyle w:val="000000100000" w:firstRow="0" w:lastRow="0" w:firstColumn="0" w:lastColumn="0" w:oddVBand="0" w:evenVBand="0" w:oddHBand="1" w:evenHBand="0" w:firstRowFirstColumn="0" w:firstRowLastColumn="0" w:lastRowFirstColumn="0" w:lastRowLastColumn="0"/>
              <w:rPr>
                <w:lang w:val="ro-RO" w:eastAsia="ro-RO"/>
              </w:rPr>
            </w:pPr>
            <w:r>
              <w:rPr>
                <w:lang w:val="ro-RO"/>
              </w:rPr>
              <w:t>50.102,73</w:t>
            </w:r>
          </w:p>
        </w:tc>
        <w:tc>
          <w:tcPr>
            <w:tcW w:w="972" w:type="pct"/>
            <w:vAlign w:val="center"/>
          </w:tcPr>
          <w:p>
            <w:pPr>
              <w:jc w:val="right"/>
              <w:cnfStyle w:val="000000100000" w:firstRow="0" w:lastRow="0" w:firstColumn="0" w:lastColumn="0" w:oddVBand="0" w:evenVBand="0" w:oddHBand="1" w:evenHBand="0" w:firstRowFirstColumn="0" w:firstRowLastColumn="0" w:lastRowFirstColumn="0" w:lastRowLastColumn="0"/>
              <w:rPr>
                <w:lang w:val="ro-RO" w:eastAsia="ro-RO"/>
              </w:rPr>
            </w:pPr>
            <w:r>
              <w:rPr>
                <w:lang w:val="ro-RO"/>
              </w:rPr>
              <w:t>27.871.043</w:t>
            </w:r>
          </w:p>
        </w:tc>
      </w:tr>
      <w:tr>
        <w:trPr>
          <w:trHeight w:val="480"/>
        </w:trPr>
        <w:tc>
          <w:tcPr>
            <w:cnfStyle w:val="001000000000" w:firstRow="0" w:lastRow="0" w:firstColumn="1" w:lastColumn="0" w:oddVBand="0" w:evenVBand="0" w:oddHBand="0" w:evenHBand="0" w:firstRowFirstColumn="0" w:firstRowLastColumn="0" w:lastRowFirstColumn="0" w:lastRowLastColumn="0"/>
            <w:tcW w:w="2049" w:type="pct"/>
            <w:tcBorders>
              <w:right w:val="none" w:sz="0" w:space="0" w:color="auto"/>
            </w:tcBorders>
            <w:vAlign w:val="center"/>
            <w:hideMark/>
          </w:tcPr>
          <w:p>
            <w:pPr>
              <w:rPr>
                <w:lang w:val="ro-RO" w:eastAsia="ro-RO"/>
              </w:rPr>
            </w:pPr>
            <w:r>
              <w:rPr>
                <w:noProof/>
                <w:lang w:val="ro-RO"/>
              </w:rPr>
              <w:t>TARIF E</w:t>
            </w:r>
            <w:r>
              <w:rPr>
                <w:b w:val="0"/>
                <w:bCs w:val="0"/>
                <w:noProof/>
                <w:lang w:val="ro-RO"/>
              </w:rPr>
              <w:t xml:space="preserve"> -</w:t>
            </w:r>
            <w:r>
              <w:rPr>
                <w:b w:val="0"/>
                <w:bCs w:val="0"/>
                <w:i/>
                <w:iCs/>
                <w:noProof/>
                <w:lang w:val="ro-RO"/>
              </w:rPr>
              <w:t xml:space="preserve"> Tariful de digestie anaerobă – Tda</w:t>
            </w:r>
          </w:p>
        </w:tc>
        <w:tc>
          <w:tcPr>
            <w:tcW w:w="1006" w:type="pct"/>
            <w:noWrap/>
            <w:vAlign w:val="center"/>
          </w:tcPr>
          <w:p>
            <w:pPr>
              <w:jc w:val="center"/>
              <w:cnfStyle w:val="000000000000" w:firstRow="0" w:lastRow="0" w:firstColumn="0" w:lastColumn="0" w:oddVBand="0" w:evenVBand="0" w:oddHBand="0" w:evenHBand="0" w:firstRowFirstColumn="0" w:firstRowLastColumn="0" w:lastRowFirstColumn="0" w:lastRowLastColumn="0"/>
              <w:rPr>
                <w:lang w:val="ro-RO" w:eastAsia="ro-RO"/>
              </w:rPr>
            </w:pPr>
            <w:r>
              <w:rPr>
                <w:lang w:val="ro-RO"/>
              </w:rPr>
              <w:t>520,51</w:t>
            </w:r>
          </w:p>
        </w:tc>
        <w:tc>
          <w:tcPr>
            <w:tcW w:w="973" w:type="pct"/>
            <w:vAlign w:val="center"/>
          </w:tcPr>
          <w:p>
            <w:pPr>
              <w:jc w:val="right"/>
              <w:cnfStyle w:val="000000000000" w:firstRow="0" w:lastRow="0" w:firstColumn="0" w:lastColumn="0" w:oddVBand="0" w:evenVBand="0" w:oddHBand="0" w:evenHBand="0" w:firstRowFirstColumn="0" w:firstRowLastColumn="0" w:lastRowFirstColumn="0" w:lastRowLastColumn="0"/>
              <w:rPr>
                <w:lang w:val="ro-RO" w:eastAsia="ro-RO"/>
              </w:rPr>
            </w:pPr>
            <w:r>
              <w:rPr>
                <w:lang w:val="ro-RO"/>
              </w:rPr>
              <w:t>56.269,03</w:t>
            </w:r>
          </w:p>
        </w:tc>
        <w:tc>
          <w:tcPr>
            <w:tcW w:w="972" w:type="pct"/>
            <w:vAlign w:val="center"/>
          </w:tcPr>
          <w:p>
            <w:pPr>
              <w:jc w:val="right"/>
              <w:cnfStyle w:val="000000000000" w:firstRow="0" w:lastRow="0" w:firstColumn="0" w:lastColumn="0" w:oddVBand="0" w:evenVBand="0" w:oddHBand="0" w:evenHBand="0" w:firstRowFirstColumn="0" w:firstRowLastColumn="0" w:lastRowFirstColumn="0" w:lastRowLastColumn="0"/>
              <w:rPr>
                <w:lang w:val="ro-RO" w:eastAsia="ro-RO"/>
              </w:rPr>
            </w:pPr>
            <w:r>
              <w:rPr>
                <w:lang w:val="ro-RO"/>
              </w:rPr>
              <w:t>29.288.583</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49" w:type="pct"/>
            <w:tcBorders>
              <w:right w:val="none" w:sz="0" w:space="0" w:color="auto"/>
            </w:tcBorders>
            <w:noWrap/>
            <w:hideMark/>
          </w:tcPr>
          <w:p>
            <w:pPr>
              <w:rPr>
                <w:b w:val="0"/>
                <w:bCs w:val="0"/>
                <w:lang w:val="ro-RO" w:eastAsia="ro-RO"/>
              </w:rPr>
            </w:pPr>
            <w:r>
              <w:rPr>
                <w:lang w:val="ro-RO" w:eastAsia="ro-RO"/>
              </w:rPr>
              <w:t>Total valoare operare</w:t>
            </w:r>
          </w:p>
        </w:tc>
        <w:tc>
          <w:tcPr>
            <w:tcW w:w="1006" w:type="pct"/>
            <w:noWrap/>
            <w:vAlign w:val="center"/>
          </w:tcPr>
          <w:p>
            <w:pPr>
              <w:jc w:val="right"/>
              <w:cnfStyle w:val="000000100000" w:firstRow="0" w:lastRow="0" w:firstColumn="0" w:lastColumn="0" w:oddVBand="0" w:evenVBand="0" w:oddHBand="1" w:evenHBand="0" w:firstRowFirstColumn="0" w:firstRowLastColumn="0" w:lastRowFirstColumn="0" w:lastRowLastColumn="0"/>
              <w:rPr>
                <w:lang w:val="ro-RO" w:eastAsia="ro-RO"/>
              </w:rPr>
            </w:pPr>
          </w:p>
        </w:tc>
        <w:tc>
          <w:tcPr>
            <w:tcW w:w="973" w:type="pct"/>
            <w:vAlign w:val="center"/>
          </w:tcPr>
          <w:p>
            <w:pPr>
              <w:jc w:val="right"/>
              <w:cnfStyle w:val="000000100000" w:firstRow="0" w:lastRow="0" w:firstColumn="0" w:lastColumn="0" w:oddVBand="0" w:evenVBand="0" w:oddHBand="1" w:evenHBand="0" w:firstRowFirstColumn="0" w:firstRowLastColumn="0" w:lastRowFirstColumn="0" w:lastRowLastColumn="0"/>
              <w:rPr>
                <w:lang w:val="ro-RO" w:eastAsia="ro-RO"/>
              </w:rPr>
            </w:pPr>
          </w:p>
        </w:tc>
        <w:tc>
          <w:tcPr>
            <w:tcW w:w="972" w:type="pct"/>
            <w:vAlign w:val="center"/>
          </w:tcPr>
          <w:p>
            <w:pPr>
              <w:jc w:val="right"/>
              <w:cnfStyle w:val="000000100000" w:firstRow="0" w:lastRow="0" w:firstColumn="0" w:lastColumn="0" w:oddVBand="0" w:evenVBand="0" w:oddHBand="1" w:evenHBand="0" w:firstRowFirstColumn="0" w:firstRowLastColumn="0" w:lastRowFirstColumn="0" w:lastRowLastColumn="0"/>
              <w:rPr>
                <w:b/>
                <w:bCs/>
                <w:lang w:val="ro-RO" w:eastAsia="ro-RO"/>
              </w:rPr>
            </w:pPr>
            <w:r>
              <w:rPr>
                <w:b/>
                <w:bCs/>
                <w:lang w:val="ro-RO"/>
              </w:rPr>
              <w:t>62.292.718</w:t>
            </w:r>
          </w:p>
        </w:tc>
      </w:tr>
    </w:tbl>
    <w:p>
      <w:pPr>
        <w:tabs>
          <w:tab w:val="left" w:pos="9497"/>
          <w:tab w:val="left" w:pos="10065"/>
        </w:tabs>
        <w:spacing w:line="276" w:lineRule="auto"/>
        <w:ind w:right="-1"/>
        <w:jc w:val="both"/>
        <w:rPr>
          <w:sz w:val="24"/>
          <w:szCs w:val="24"/>
          <w:lang w:val="ro-RO"/>
        </w:rPr>
        <w:sectPr>
          <w:pgSz w:w="11900" w:h="16840"/>
          <w:pgMar w:top="1120" w:right="700" w:bottom="1080" w:left="1280" w:header="340" w:footer="818" w:gutter="0"/>
          <w:cols w:space="720"/>
        </w:sectPr>
      </w:pPr>
    </w:p>
    <w:p>
      <w:pPr>
        <w:spacing w:before="120" w:after="120" w:line="300" w:lineRule="auto"/>
        <w:jc w:val="both"/>
        <w:rPr>
          <w:sz w:val="24"/>
          <w:szCs w:val="24"/>
          <w:lang w:val="pt-BR"/>
        </w:rPr>
      </w:pPr>
      <w:r>
        <w:rPr>
          <w:sz w:val="24"/>
          <w:szCs w:val="24"/>
          <w:lang w:val="pt-BR"/>
        </w:rPr>
        <w:t>În urma procedurii se va încheia un contract de proiectare, execuție și operare.</w:t>
      </w:r>
    </w:p>
    <w:p>
      <w:pPr>
        <w:spacing w:before="120" w:after="120" w:line="300" w:lineRule="auto"/>
        <w:jc w:val="both"/>
        <w:rPr>
          <w:i/>
          <w:sz w:val="24"/>
          <w:szCs w:val="24"/>
          <w:lang w:val="ro-RO"/>
        </w:rPr>
      </w:pPr>
      <w:r>
        <w:rPr>
          <w:sz w:val="24"/>
          <w:szCs w:val="24"/>
          <w:lang w:val="pt-BR"/>
        </w:rPr>
        <w:t xml:space="preserve">Mecanismele de plată din cadrul contractului: </w:t>
      </w:r>
      <w:r>
        <w:rPr>
          <w:i/>
          <w:sz w:val="24"/>
          <w:szCs w:val="24"/>
          <w:lang w:val="ro-RO"/>
        </w:rPr>
        <w:t xml:space="preserve">Programul Dezvoltare Durabilă 2021-2027 (PDD). </w:t>
      </w:r>
      <w:r>
        <w:rPr>
          <w:sz w:val="24"/>
          <w:szCs w:val="24"/>
          <w:lang w:val="ro-RO"/>
        </w:rPr>
        <w:t>Achiziția contractului contribuie la îndeplinirea obiectivelor Proiectului „Sistem de Management Integrat al Deseurilor in judetul Galati – Etapa II″, cofinanțat prin</w:t>
      </w:r>
      <w:r>
        <w:rPr>
          <w:i/>
          <w:sz w:val="24"/>
          <w:szCs w:val="24"/>
          <w:lang w:val="ro-RO"/>
        </w:rPr>
        <w:t xml:space="preserve"> Programul Dezvoltare Durabilă 2021-2027 - Prioritatea 1 - Dezvoltarea infrastructurii de apă și apă uzată și tranziția la o economie circulară, PDD/RSO 2.6. Promovarea tranziției la o economie circulară și eficientă din punctul de vedere al utilizării resurselor - Titlu apel: Îmbunătățirea modului de gestionare a deșeurilor municipale, consolidarea capacității instituționale a MMAP și sprijin pentru pregătirea portofoliului de proiecte – proiecte etapizate tip B1, B2 și B3, </w:t>
      </w:r>
      <w:r>
        <w:rPr>
          <w:sz w:val="24"/>
          <w:szCs w:val="24"/>
          <w:lang w:val="ro-RO"/>
        </w:rPr>
        <w:t>pentru care Autoritatea Contractantă a încheiat Contractul de Finanțare nr. 72/20.08.2024</w:t>
      </w:r>
      <w:r>
        <w:rPr>
          <w:i/>
          <w:sz w:val="24"/>
          <w:szCs w:val="24"/>
          <w:lang w:val="ro-RO"/>
        </w:rPr>
        <w:t xml:space="preserve"> </w:t>
      </w:r>
      <w:r>
        <w:rPr>
          <w:sz w:val="24"/>
          <w:szCs w:val="24"/>
          <w:lang w:val="ro-RO"/>
        </w:rPr>
        <w:t>cu Ministerul Investițiilor și Proiectelor Europene, în calitate de Autoritate de Management pentru Programul Dezvoltare Durabilă.</w:t>
      </w:r>
    </w:p>
    <w:p>
      <w:pPr>
        <w:spacing w:before="120" w:after="120" w:line="300" w:lineRule="auto"/>
        <w:rPr>
          <w:sz w:val="24"/>
          <w:szCs w:val="24"/>
          <w:lang w:val="ro-RO"/>
        </w:rPr>
      </w:pPr>
    </w:p>
    <w:p>
      <w:pPr>
        <w:spacing w:before="120" w:after="120" w:line="300" w:lineRule="auto"/>
        <w:jc w:val="both"/>
        <w:rPr>
          <w:sz w:val="24"/>
          <w:szCs w:val="24"/>
          <w:lang w:val="ro-RO"/>
        </w:rPr>
      </w:pPr>
      <w:r>
        <w:rPr>
          <w:sz w:val="24"/>
          <w:szCs w:val="24"/>
          <w:lang w:val="ro-RO"/>
        </w:rPr>
        <w:t xml:space="preserve">Autoritatea contractantă va plăti sumele corepunzătoare </w:t>
      </w:r>
      <w:r>
        <w:rPr>
          <w:sz w:val="24"/>
          <w:szCs w:val="24"/>
          <w:u w:val="single"/>
          <w:lang w:val="ro-RO"/>
        </w:rPr>
        <w:t>etapelor de proiectare și execuție</w:t>
      </w:r>
      <w:r>
        <w:rPr>
          <w:sz w:val="24"/>
          <w:szCs w:val="24"/>
          <w:lang w:val="ro-RO"/>
        </w:rPr>
        <w:t xml:space="preserve"> astfel:</w:t>
      </w:r>
    </w:p>
    <w:p>
      <w:pPr>
        <w:pStyle w:val="ListParagraph"/>
        <w:numPr>
          <w:ilvl w:val="0"/>
          <w:numId w:val="20"/>
        </w:numPr>
        <w:spacing w:before="120" w:after="120" w:line="300" w:lineRule="auto"/>
        <w:jc w:val="both"/>
        <w:rPr>
          <w:sz w:val="24"/>
          <w:szCs w:val="24"/>
          <w:lang w:val="ro-RO"/>
        </w:rPr>
      </w:pPr>
      <w:r>
        <w:rPr>
          <w:sz w:val="24"/>
          <w:szCs w:val="24"/>
          <w:lang w:val="ro-RO"/>
        </w:rPr>
        <w:t>pentru etapa de proiectare: după aprobarea proiectului tehnic de către Autoritatea contractantă, pe baza procesului verbal de recepție și depunerea documentației pentru obținerea autorizației de construire;</w:t>
      </w:r>
    </w:p>
    <w:p>
      <w:pPr>
        <w:pStyle w:val="ListParagraph"/>
        <w:numPr>
          <w:ilvl w:val="0"/>
          <w:numId w:val="20"/>
        </w:numPr>
        <w:spacing w:before="120" w:after="120" w:line="300" w:lineRule="auto"/>
        <w:jc w:val="both"/>
        <w:rPr>
          <w:sz w:val="24"/>
          <w:szCs w:val="24"/>
          <w:lang w:val="ro-RO"/>
        </w:rPr>
      </w:pPr>
      <w:r>
        <w:rPr>
          <w:sz w:val="24"/>
          <w:szCs w:val="24"/>
          <w:lang w:val="ro-RO"/>
        </w:rPr>
        <w:t>pentru etapa de execuție: pe baza situațiilor de lucrări înaintate de către antreprenor și validate de către supervizor, în conformitate cu oferta tehnică și financiară și cu lucrările real executate.</w:t>
      </w:r>
    </w:p>
    <w:p>
      <w:pPr>
        <w:spacing w:before="120" w:after="120" w:line="300" w:lineRule="auto"/>
        <w:jc w:val="both"/>
        <w:rPr>
          <w:rFonts w:eastAsia="Verdana"/>
          <w:bCs/>
          <w:sz w:val="24"/>
          <w:szCs w:val="24"/>
          <w:lang w:val="ro-RO"/>
        </w:rPr>
      </w:pPr>
      <w:r>
        <w:rPr>
          <w:rFonts w:eastAsia="Verdana"/>
          <w:bCs/>
          <w:sz w:val="24"/>
          <w:szCs w:val="24"/>
          <w:lang w:val="ro-RO"/>
        </w:rPr>
        <w:t>Pentru etapa de operare, finanţarea va fi asigurată din sumele încasate la bugetul local al UAT-urilor membre ale ADI ECOSERV, cu titlu de taxă de salubrizare, și transferate la acesta. Operatorul va factura către ADI ECOSERV, la tarifele ofertate sau la tarifele de facturare, calculate de către ADI ECOSERV conform prevederilor legale, următoarele:</w:t>
      </w:r>
    </w:p>
    <w:p>
      <w:pPr>
        <w:pStyle w:val="ListParagraph"/>
        <w:numPr>
          <w:ilvl w:val="0"/>
          <w:numId w:val="20"/>
        </w:numPr>
        <w:spacing w:before="120" w:after="120" w:line="300" w:lineRule="auto"/>
        <w:jc w:val="both"/>
        <w:rPr>
          <w:sz w:val="24"/>
          <w:szCs w:val="24"/>
          <w:lang w:val="ro-RO"/>
        </w:rPr>
      </w:pPr>
      <w:r>
        <w:rPr>
          <w:sz w:val="24"/>
          <w:szCs w:val="24"/>
          <w:lang w:val="ro-RO"/>
        </w:rPr>
        <w:t>Cantitățile de deșeuri reciclabile care sunt transferate prin Stația de Transfer Galați către Stația de Sortare Valea Mărului, utilizând TARIFUL A;</w:t>
      </w:r>
    </w:p>
    <w:p>
      <w:pPr>
        <w:pStyle w:val="ListParagraph"/>
        <w:numPr>
          <w:ilvl w:val="0"/>
          <w:numId w:val="20"/>
        </w:numPr>
        <w:spacing w:before="120" w:after="120" w:line="300" w:lineRule="auto"/>
        <w:jc w:val="both"/>
        <w:rPr>
          <w:sz w:val="24"/>
          <w:szCs w:val="24"/>
          <w:lang w:val="ro-RO"/>
        </w:rPr>
      </w:pPr>
      <w:r>
        <w:rPr>
          <w:sz w:val="24"/>
          <w:szCs w:val="24"/>
          <w:lang w:val="ro-RO"/>
        </w:rPr>
        <w:t>Cantitățile de deșeuri reziduale (deșeuri textile, deșeuri voluminoase, deșeuri periculoase, digestat și reziduuri rezultate de la TMB) care sunt transferate prin Stația de Transfer Galați către Hala de fluxuri speciale Tecuci și Depozitul conform Valea Mărului, utilizând TARIFUL B;</w:t>
      </w:r>
    </w:p>
    <w:p>
      <w:pPr>
        <w:pStyle w:val="ListParagraph"/>
        <w:numPr>
          <w:ilvl w:val="0"/>
          <w:numId w:val="20"/>
        </w:numPr>
        <w:spacing w:before="120" w:after="120" w:line="300" w:lineRule="auto"/>
        <w:jc w:val="both"/>
        <w:rPr>
          <w:sz w:val="24"/>
          <w:szCs w:val="24"/>
          <w:lang w:val="ro-RO"/>
        </w:rPr>
      </w:pPr>
      <w:r>
        <w:rPr>
          <w:sz w:val="24"/>
          <w:szCs w:val="24"/>
          <w:lang w:val="ro-RO"/>
        </w:rPr>
        <w:t>Cantitățile de deșeuri reziduale tratate în Instalația de tratare mecano-biologică Galați, utilizând TARIFUL C;</w:t>
      </w:r>
    </w:p>
    <w:p>
      <w:pPr>
        <w:pStyle w:val="ListParagraph"/>
        <w:numPr>
          <w:ilvl w:val="0"/>
          <w:numId w:val="20"/>
        </w:numPr>
        <w:spacing w:before="120" w:after="120" w:line="300" w:lineRule="auto"/>
        <w:jc w:val="both"/>
        <w:rPr>
          <w:sz w:val="24"/>
          <w:szCs w:val="24"/>
          <w:lang w:val="ro-RO"/>
        </w:rPr>
      </w:pPr>
      <w:r>
        <w:rPr>
          <w:sz w:val="24"/>
          <w:szCs w:val="24"/>
          <w:lang w:val="ro-RO"/>
        </w:rPr>
        <w:lastRenderedPageBreak/>
        <w:t>Cantitățile de biodeșeuri colectate separat tratate în Instalația de tratare mecano-biologică Galați, utilizând TARIFUL D.</w:t>
      </w:r>
    </w:p>
    <w:p>
      <w:pPr>
        <w:spacing w:before="120" w:after="120" w:line="300" w:lineRule="auto"/>
        <w:jc w:val="both"/>
        <w:rPr>
          <w:sz w:val="24"/>
          <w:szCs w:val="24"/>
          <w:lang w:val="ro-RO"/>
        </w:rPr>
      </w:pPr>
    </w:p>
    <w:p>
      <w:pPr>
        <w:spacing w:before="120" w:after="120" w:line="300" w:lineRule="auto"/>
        <w:jc w:val="both"/>
        <w:rPr>
          <w:b/>
          <w:sz w:val="24"/>
          <w:szCs w:val="24"/>
          <w:lang w:val="ro-RO"/>
        </w:rPr>
      </w:pPr>
      <w:r>
        <w:rPr>
          <w:b/>
          <w:sz w:val="24"/>
          <w:szCs w:val="24"/>
          <w:lang w:val="ro-RO"/>
        </w:rPr>
        <w:t>Stabilirea penalităţilor pentru neîndeplinirea sau îndeplinirea defectuoasă a obligaţiilor contractuale</w:t>
      </w:r>
    </w:p>
    <w:p>
      <w:pPr>
        <w:spacing w:before="120" w:after="120" w:line="300" w:lineRule="auto"/>
        <w:jc w:val="both"/>
        <w:rPr>
          <w:sz w:val="24"/>
          <w:szCs w:val="24"/>
          <w:lang w:val="ro-RO"/>
        </w:rPr>
      </w:pPr>
      <w:r>
        <w:rPr>
          <w:sz w:val="24"/>
          <w:szCs w:val="24"/>
          <w:lang w:val="ro-RO"/>
        </w:rPr>
        <w:t xml:space="preserve">Penalitățile aplicate pentru neîndeplinirea obligaţiilor contractuale se stabilesc conform Acordului contractual de proiectare și execuţie și operare (model atasat), </w:t>
      </w:r>
      <w:r>
        <w:rPr>
          <w:bCs/>
          <w:sz w:val="24"/>
          <w:szCs w:val="24"/>
          <w:lang w:val="ro-RO"/>
        </w:rPr>
        <w:t xml:space="preserve">Clauza 35b- Perioada de Operare și Serviciile de Operare și </w:t>
      </w:r>
      <w:r>
        <w:rPr>
          <w:sz w:val="24"/>
          <w:szCs w:val="24"/>
          <w:lang w:val="ro-RO"/>
        </w:rPr>
        <w:t>clauza 36 – Întârzieri.</w:t>
      </w:r>
    </w:p>
    <w:p>
      <w:pPr>
        <w:spacing w:before="120" w:after="120" w:line="300" w:lineRule="auto"/>
        <w:jc w:val="both"/>
        <w:rPr>
          <w:bCs/>
          <w:sz w:val="24"/>
          <w:szCs w:val="24"/>
          <w:lang w:val="ro-RO"/>
        </w:rPr>
      </w:pPr>
      <w:r>
        <w:rPr>
          <w:bCs/>
          <w:sz w:val="24"/>
          <w:szCs w:val="24"/>
          <w:lang w:val="ro-RO"/>
        </w:rPr>
        <w:t>Sistemul de penalități este stabilit pentru fiecare etapă în parte - proiectare, construcție și operare - și va fi aplicat în conformitate cu condițiile contractuale și Anexa 4 – Indicatorii de performanță împreună cu penalitățile corespunzătoare.</w:t>
      </w:r>
    </w:p>
    <w:p>
      <w:pPr>
        <w:spacing w:before="120" w:after="120" w:line="300" w:lineRule="auto"/>
        <w:jc w:val="both"/>
        <w:rPr>
          <w:bCs/>
          <w:sz w:val="24"/>
          <w:szCs w:val="24"/>
          <w:lang w:val="ro-RO"/>
        </w:rPr>
      </w:pPr>
      <w:r>
        <w:rPr>
          <w:bCs/>
          <w:sz w:val="24"/>
          <w:szCs w:val="24"/>
          <w:lang w:val="ro-RO"/>
        </w:rPr>
        <w:t xml:space="preserve">Pentru </w:t>
      </w:r>
      <w:r>
        <w:rPr>
          <w:bCs/>
          <w:sz w:val="24"/>
          <w:szCs w:val="24"/>
          <w:u w:val="single"/>
          <w:lang w:val="ro-RO"/>
        </w:rPr>
        <w:t>etapa de proiectare</w:t>
      </w:r>
      <w:r>
        <w:rPr>
          <w:bCs/>
          <w:sz w:val="24"/>
          <w:szCs w:val="24"/>
          <w:lang w:val="ro-RO"/>
        </w:rPr>
        <w:t xml:space="preserve"> vor fi aplicate penalități pentru nefinalizarea proiectării în durata de maxim 6 luni, din motive ce țin exclusiv de proiectant. Penalitățile de întârziere se vor aplica pentru fiecare zi care se scurge între finalul perioadei de proiectare, așa cum a fost aceasta inclusă în oferta proiectantului și data efectivă de depunere a documentației pentru obținerea autorizației de construire, menționată în procesul verbal de predare-primire semnat cu Beneficiarul, sau data certificată de numărul de înregistrare al documentației pentru obținerea autorizației de construire, depusă la Consiliul Județean Galați.</w:t>
      </w:r>
    </w:p>
    <w:p>
      <w:pPr>
        <w:spacing w:before="120" w:after="120" w:line="300" w:lineRule="auto"/>
        <w:jc w:val="both"/>
        <w:rPr>
          <w:bCs/>
          <w:sz w:val="24"/>
          <w:szCs w:val="24"/>
          <w:lang w:val="ro-RO"/>
        </w:rPr>
      </w:pPr>
      <w:r>
        <w:rPr>
          <w:bCs/>
          <w:sz w:val="24"/>
          <w:szCs w:val="24"/>
          <w:lang w:val="ro-RO"/>
        </w:rPr>
        <w:t>Valoarea penalității pe zi de întârziere va fi egală cu prețul activității de proiectare, așa cum este prevăzut acesta în contractul semnat, împărțit la durata proiectării (în zile). Suma maximă a penalităților de întârziere nu va putea depăși valoarea activității de proiectare, așa cum este aceasta inclusă in prețul contractului semnat.</w:t>
      </w:r>
    </w:p>
    <w:p>
      <w:pPr>
        <w:spacing w:before="120" w:after="120" w:line="300" w:lineRule="auto"/>
        <w:jc w:val="both"/>
        <w:rPr>
          <w:bCs/>
          <w:sz w:val="24"/>
          <w:szCs w:val="24"/>
          <w:lang w:val="ro-RO"/>
        </w:rPr>
      </w:pPr>
      <w:r>
        <w:rPr>
          <w:bCs/>
          <w:sz w:val="24"/>
          <w:szCs w:val="24"/>
          <w:lang w:val="ro-RO"/>
        </w:rPr>
        <w:t>Pentru activitatea de execuție, valoarea penalităților de întârziere pentru fiecare zi de întârziere pe perioada de execuție va fi egală cu Prețul Contractului (sau al Sectorului) la semnarea Contractului, împărțit la Durata de Execuție la semnarea Contractului, exprimată în zile. Suma maximă a penalităților de întârziere va fi de 15% din Prețul activității de execuție a Contractului, la semnarea Contractului.</w:t>
      </w:r>
    </w:p>
    <w:p>
      <w:pPr>
        <w:spacing w:before="120" w:after="120" w:line="300" w:lineRule="auto"/>
        <w:jc w:val="both"/>
        <w:rPr>
          <w:bCs/>
          <w:sz w:val="24"/>
          <w:szCs w:val="24"/>
          <w:lang w:val="ro-RO"/>
        </w:rPr>
      </w:pPr>
      <w:r>
        <w:rPr>
          <w:bCs/>
          <w:sz w:val="24"/>
          <w:szCs w:val="24"/>
          <w:lang w:val="ro-RO"/>
        </w:rPr>
        <w:t>Dacă un Sector sau o parte din Lucrări au făcut obiectul Recepției la Terminarea Lucrărilor, valoarea penalităților de întârziere pentru fiecare zi de întârziere va fi egală cu Prețul Contractului la semnarea Contractului (din care se scade prețul Sectorului sau părții</w:t>
      </w:r>
      <w:r>
        <w:rPr>
          <w:b/>
          <w:bCs/>
          <w:sz w:val="24"/>
          <w:szCs w:val="24"/>
          <w:lang w:val="ro-RO"/>
        </w:rPr>
        <w:t xml:space="preserve"> </w:t>
      </w:r>
      <w:r>
        <w:rPr>
          <w:bCs/>
          <w:sz w:val="24"/>
          <w:szCs w:val="24"/>
          <w:lang w:val="ro-RO"/>
        </w:rPr>
        <w:t>din Lucrări la semnarea Contractului), împărțit la Durata de Execuție la semnarea Contractului, exprimată în zile.</w:t>
      </w:r>
    </w:p>
    <w:p>
      <w:pPr>
        <w:spacing w:before="120" w:after="120" w:line="300" w:lineRule="auto"/>
        <w:jc w:val="both"/>
        <w:rPr>
          <w:sz w:val="24"/>
          <w:szCs w:val="24"/>
          <w:lang w:val="ro-RO"/>
        </w:rPr>
      </w:pPr>
      <w:r>
        <w:rPr>
          <w:bCs/>
          <w:sz w:val="24"/>
          <w:szCs w:val="24"/>
          <w:lang w:val="ro-RO"/>
        </w:rPr>
        <w:t xml:space="preserve">Pentru activitatea de operare, valoarea penalităților va fi cea stabilită în </w:t>
      </w:r>
      <w:r>
        <w:rPr>
          <w:b/>
          <w:bCs/>
          <w:sz w:val="24"/>
          <w:szCs w:val="24"/>
          <w:lang w:val="ro-RO"/>
        </w:rPr>
        <w:t xml:space="preserve">Anexa 4 – Indicatori de performanță și penalități, </w:t>
      </w:r>
      <w:r>
        <w:rPr>
          <w:sz w:val="24"/>
          <w:szCs w:val="24"/>
          <w:lang w:val="ro-RO"/>
        </w:rPr>
        <w:t>a se vedea tabelul de mai jos.</w:t>
      </w:r>
    </w:p>
    <w:p>
      <w:pPr>
        <w:spacing w:before="120" w:after="120" w:line="300" w:lineRule="auto"/>
        <w:jc w:val="both"/>
        <w:rPr>
          <w:sz w:val="24"/>
          <w:szCs w:val="24"/>
          <w:lang w:val="ro-RO"/>
        </w:rPr>
      </w:pPr>
    </w:p>
    <w:p>
      <w:pPr>
        <w:spacing w:before="120" w:after="120" w:line="300" w:lineRule="auto"/>
        <w:jc w:val="both"/>
        <w:rPr>
          <w:sz w:val="24"/>
          <w:szCs w:val="24"/>
          <w:lang w:val="ro-RO"/>
        </w:rPr>
      </w:pPr>
    </w:p>
    <w:p>
      <w:pPr>
        <w:spacing w:before="120" w:after="120" w:line="300" w:lineRule="auto"/>
        <w:jc w:val="both"/>
        <w:rPr>
          <w:sz w:val="24"/>
          <w:szCs w:val="24"/>
          <w:lang w:val="ro-RO"/>
        </w:rPr>
      </w:pPr>
    </w:p>
    <w:p>
      <w:pPr>
        <w:spacing w:before="120" w:after="120" w:line="300" w:lineRule="auto"/>
        <w:jc w:val="both"/>
        <w:rPr>
          <w:sz w:val="24"/>
          <w:szCs w:val="24"/>
          <w:lang w:val="ro-RO"/>
        </w:rPr>
      </w:pPr>
    </w:p>
    <w:tbl>
      <w:tblPr>
        <w:tblW w:w="0" w:type="auto"/>
        <w:jc w:val="center"/>
        <w:tblBorders>
          <w:top w:val="single" w:sz="4" w:space="0" w:color="C5E0B3"/>
          <w:left w:val="single" w:sz="4" w:space="0" w:color="C5E0B3"/>
          <w:bottom w:val="single" w:sz="4" w:space="0" w:color="C5E0B3"/>
          <w:right w:val="single" w:sz="4" w:space="0" w:color="C5E0B3"/>
          <w:insideH w:val="single" w:sz="6" w:space="0" w:color="C5E0B3"/>
          <w:insideV w:val="single" w:sz="6" w:space="0" w:color="C5E0B3"/>
        </w:tblBorders>
        <w:shd w:val="clear" w:color="auto" w:fill="EEECE1" w:themeFill="background2"/>
        <w:tblLook w:val="04A0" w:firstRow="1" w:lastRow="0" w:firstColumn="1" w:lastColumn="0" w:noHBand="0" w:noVBand="1"/>
      </w:tblPr>
      <w:tblGrid>
        <w:gridCol w:w="562"/>
        <w:gridCol w:w="1701"/>
        <w:gridCol w:w="2410"/>
        <w:gridCol w:w="1276"/>
        <w:gridCol w:w="3961"/>
      </w:tblGrid>
      <w:tr>
        <w:trPr>
          <w:trHeight w:val="20"/>
          <w:jc w:val="center"/>
        </w:trPr>
        <w:tc>
          <w:tcPr>
            <w:tcW w:w="562" w:type="dxa"/>
            <w:tcBorders>
              <w:top w:val="single" w:sz="4" w:space="0" w:color="C5E0B3"/>
              <w:left w:val="single" w:sz="4" w:space="0" w:color="C5E0B3"/>
              <w:bottom w:val="single" w:sz="6" w:space="0" w:color="C5E0B3"/>
              <w:right w:val="single" w:sz="6" w:space="0" w:color="C5E0B3"/>
            </w:tcBorders>
            <w:shd w:val="clear" w:color="auto" w:fill="EEECE1" w:themeFill="background2"/>
            <w:vAlign w:val="center"/>
          </w:tcPr>
          <w:p>
            <w:pPr>
              <w:keepLines/>
              <w:jc w:val="both"/>
              <w:rPr>
                <w:b/>
                <w:bCs/>
                <w:sz w:val="22"/>
                <w:szCs w:val="22"/>
                <w:lang w:val="ro-RO"/>
              </w:rPr>
            </w:pPr>
            <w:r>
              <w:rPr>
                <w:b/>
                <w:bCs/>
                <w:sz w:val="22"/>
                <w:szCs w:val="22"/>
                <w:lang w:val="ro-RO"/>
              </w:rPr>
              <w:lastRenderedPageBreak/>
              <w:t>Nr.</w:t>
            </w:r>
          </w:p>
        </w:tc>
        <w:tc>
          <w:tcPr>
            <w:tcW w:w="1701" w:type="dxa"/>
            <w:tcBorders>
              <w:top w:val="single" w:sz="4" w:space="0" w:color="C5E0B3"/>
              <w:left w:val="single" w:sz="6" w:space="0" w:color="C5E0B3"/>
              <w:bottom w:val="single" w:sz="6" w:space="0" w:color="C5E0B3"/>
              <w:right w:val="single" w:sz="6" w:space="0" w:color="C5E0B3"/>
            </w:tcBorders>
            <w:shd w:val="clear" w:color="auto" w:fill="EEECE1" w:themeFill="background2"/>
            <w:vAlign w:val="center"/>
          </w:tcPr>
          <w:p>
            <w:pPr>
              <w:keepLines/>
              <w:rPr>
                <w:b/>
                <w:bCs/>
                <w:sz w:val="22"/>
                <w:szCs w:val="22"/>
                <w:lang w:val="ro-RO"/>
              </w:rPr>
            </w:pPr>
            <w:r>
              <w:rPr>
                <w:b/>
                <w:bCs/>
                <w:sz w:val="22"/>
                <w:szCs w:val="22"/>
                <w:lang w:val="ro-RO"/>
              </w:rPr>
              <w:t>Titlu</w:t>
            </w:r>
          </w:p>
        </w:tc>
        <w:tc>
          <w:tcPr>
            <w:tcW w:w="2410" w:type="dxa"/>
            <w:tcBorders>
              <w:top w:val="single" w:sz="4" w:space="0" w:color="C5E0B3"/>
              <w:left w:val="single" w:sz="6" w:space="0" w:color="C5E0B3"/>
              <w:bottom w:val="single" w:sz="6" w:space="0" w:color="C5E0B3"/>
              <w:right w:val="single" w:sz="6" w:space="0" w:color="C5E0B3"/>
            </w:tcBorders>
            <w:shd w:val="clear" w:color="auto" w:fill="EEECE1" w:themeFill="background2"/>
            <w:vAlign w:val="center"/>
          </w:tcPr>
          <w:p>
            <w:pPr>
              <w:keepLines/>
              <w:rPr>
                <w:b/>
                <w:bCs/>
                <w:sz w:val="22"/>
                <w:szCs w:val="22"/>
                <w:lang w:val="ro-RO"/>
              </w:rPr>
            </w:pPr>
            <w:r>
              <w:rPr>
                <w:b/>
                <w:bCs/>
                <w:sz w:val="22"/>
                <w:szCs w:val="22"/>
                <w:lang w:val="ro-RO"/>
              </w:rPr>
              <w:t>Descriere/unitate de măsurare</w:t>
            </w:r>
          </w:p>
        </w:tc>
        <w:tc>
          <w:tcPr>
            <w:tcW w:w="1276" w:type="dxa"/>
            <w:tcBorders>
              <w:top w:val="single" w:sz="4" w:space="0" w:color="C5E0B3"/>
              <w:left w:val="single" w:sz="6" w:space="0" w:color="C5E0B3"/>
              <w:bottom w:val="single" w:sz="6" w:space="0" w:color="C5E0B3"/>
              <w:right w:val="single" w:sz="6" w:space="0" w:color="C5E0B3"/>
            </w:tcBorders>
            <w:shd w:val="clear" w:color="auto" w:fill="EEECE1" w:themeFill="background2"/>
            <w:vAlign w:val="center"/>
          </w:tcPr>
          <w:p>
            <w:pPr>
              <w:keepLines/>
              <w:jc w:val="both"/>
              <w:rPr>
                <w:b/>
                <w:bCs/>
                <w:sz w:val="22"/>
                <w:szCs w:val="22"/>
                <w:lang w:val="ro-RO"/>
              </w:rPr>
            </w:pPr>
            <w:r>
              <w:rPr>
                <w:b/>
                <w:bCs/>
                <w:sz w:val="22"/>
                <w:szCs w:val="22"/>
                <w:lang w:val="ro-RO"/>
              </w:rPr>
              <w:t>Valori propuse</w:t>
            </w:r>
          </w:p>
        </w:tc>
        <w:tc>
          <w:tcPr>
            <w:tcW w:w="3961" w:type="dxa"/>
            <w:tcBorders>
              <w:top w:val="single" w:sz="4" w:space="0" w:color="C5E0B3"/>
              <w:left w:val="single" w:sz="6" w:space="0" w:color="C5E0B3"/>
              <w:bottom w:val="single" w:sz="6" w:space="0" w:color="C5E0B3"/>
              <w:right w:val="single" w:sz="4" w:space="0" w:color="C5E0B3"/>
            </w:tcBorders>
            <w:shd w:val="clear" w:color="auto" w:fill="EEECE1" w:themeFill="background2"/>
            <w:vAlign w:val="center"/>
          </w:tcPr>
          <w:p>
            <w:pPr>
              <w:keepLines/>
              <w:rPr>
                <w:b/>
                <w:bCs/>
                <w:sz w:val="22"/>
                <w:szCs w:val="22"/>
                <w:lang w:val="ro-RO"/>
              </w:rPr>
            </w:pPr>
            <w:r>
              <w:rPr>
                <w:b/>
                <w:bCs/>
                <w:sz w:val="22"/>
                <w:szCs w:val="22"/>
                <w:lang w:val="ro-RO"/>
              </w:rPr>
              <w:t>Penalități propuse</w:t>
            </w:r>
          </w:p>
        </w:tc>
      </w:tr>
      <w:tr>
        <w:trPr>
          <w:trHeight w:val="20"/>
          <w:jc w:val="center"/>
        </w:trPr>
        <w:tc>
          <w:tcPr>
            <w:tcW w:w="562" w:type="dxa"/>
            <w:tcBorders>
              <w:top w:val="single" w:sz="6" w:space="0" w:color="C5E0B3"/>
              <w:left w:val="single" w:sz="4" w:space="0" w:color="C5E0B3"/>
              <w:bottom w:val="single" w:sz="6" w:space="0" w:color="C5E0B3"/>
              <w:right w:val="single" w:sz="6" w:space="0" w:color="C5E0B3"/>
            </w:tcBorders>
            <w:shd w:val="clear" w:color="auto" w:fill="EEECE1" w:themeFill="background2"/>
            <w:vAlign w:val="center"/>
          </w:tcPr>
          <w:p>
            <w:pPr>
              <w:keepLines/>
              <w:jc w:val="both"/>
              <w:rPr>
                <w:b/>
                <w:bCs/>
                <w:sz w:val="22"/>
                <w:szCs w:val="22"/>
                <w:lang w:val="ro-RO"/>
              </w:rPr>
            </w:pPr>
            <w:r>
              <w:rPr>
                <w:b/>
                <w:bCs/>
                <w:sz w:val="22"/>
                <w:szCs w:val="22"/>
                <w:lang w:val="ro-RO"/>
              </w:rPr>
              <w:t>I.1</w:t>
            </w:r>
          </w:p>
          <w:p>
            <w:pPr>
              <w:keepLines/>
              <w:jc w:val="both"/>
              <w:rPr>
                <w:b/>
                <w:bCs/>
                <w:sz w:val="22"/>
                <w:szCs w:val="22"/>
                <w:lang w:val="ro-RO"/>
              </w:rPr>
            </w:pPr>
          </w:p>
        </w:tc>
        <w:tc>
          <w:tcPr>
            <w:tcW w:w="1701"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
                <w:bCs/>
                <w:sz w:val="22"/>
                <w:szCs w:val="22"/>
                <w:lang w:val="ro-RO"/>
              </w:rPr>
            </w:pPr>
            <w:r>
              <w:rPr>
                <w:b/>
                <w:bCs/>
                <w:sz w:val="22"/>
                <w:szCs w:val="22"/>
                <w:lang w:val="ro-RO"/>
              </w:rPr>
              <w:t xml:space="preserve">Eficiență în operarea </w:t>
            </w:r>
          </w:p>
          <w:p>
            <w:pPr>
              <w:keepLines/>
              <w:rPr>
                <w:b/>
                <w:bCs/>
                <w:sz w:val="22"/>
                <w:szCs w:val="22"/>
                <w:lang w:val="ro-RO"/>
              </w:rPr>
            </w:pPr>
            <w:r>
              <w:rPr>
                <w:b/>
                <w:bCs/>
                <w:sz w:val="22"/>
                <w:szCs w:val="22"/>
                <w:lang w:val="ro-RO"/>
              </w:rPr>
              <w:t xml:space="preserve">TMB – linia mecanică </w:t>
            </w:r>
          </w:p>
        </w:tc>
        <w:tc>
          <w:tcPr>
            <w:tcW w:w="2410"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Cs/>
                <w:sz w:val="22"/>
                <w:szCs w:val="22"/>
                <w:lang w:val="ro-RO"/>
              </w:rPr>
            </w:pPr>
            <w:r>
              <w:rPr>
                <w:bCs/>
                <w:sz w:val="22"/>
                <w:szCs w:val="22"/>
                <w:lang w:val="ro-RO"/>
              </w:rPr>
              <w:t>I.1.1 Cantitatea totală de deșeuri reciclabile (hârtie, carton, metal, sticlă) trimise anual la reciclare ca procent din cantitatea de deșeuri reziduale  și reziduuri de sortare și compostare acceptate la intrarea în instalația TMB</w:t>
            </w:r>
          </w:p>
          <w:p>
            <w:pPr>
              <w:keepLines/>
              <w:rPr>
                <w:bCs/>
                <w:sz w:val="22"/>
                <w:szCs w:val="22"/>
                <w:lang w:val="ro-RO"/>
              </w:rPr>
            </w:pPr>
          </w:p>
          <w:p>
            <w:pPr>
              <w:keepLines/>
              <w:rPr>
                <w:bCs/>
                <w:sz w:val="22"/>
                <w:szCs w:val="22"/>
                <w:lang w:val="ro-RO"/>
              </w:rPr>
            </w:pPr>
          </w:p>
        </w:tc>
        <w:tc>
          <w:tcPr>
            <w:tcW w:w="1276"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jc w:val="both"/>
              <w:rPr>
                <w:bCs/>
                <w:sz w:val="22"/>
                <w:szCs w:val="22"/>
                <w:highlight w:val="green"/>
                <w:lang w:val="ro-RO"/>
              </w:rPr>
            </w:pPr>
            <w:r>
              <w:rPr>
                <w:bCs/>
                <w:sz w:val="22"/>
                <w:szCs w:val="22"/>
                <w:lang w:val="ro-RO"/>
              </w:rPr>
              <w:t>Min. 5%</w:t>
            </w:r>
          </w:p>
        </w:tc>
        <w:tc>
          <w:tcPr>
            <w:tcW w:w="3961" w:type="dxa"/>
            <w:tcBorders>
              <w:top w:val="single" w:sz="6" w:space="0" w:color="C5E0B3"/>
              <w:left w:val="single" w:sz="6" w:space="0" w:color="C5E0B3"/>
              <w:bottom w:val="single" w:sz="6" w:space="0" w:color="C5E0B3"/>
              <w:right w:val="single" w:sz="4" w:space="0" w:color="C5E0B3"/>
            </w:tcBorders>
            <w:shd w:val="clear" w:color="auto" w:fill="EEECE1" w:themeFill="background2"/>
            <w:vAlign w:val="center"/>
          </w:tcPr>
          <w:p>
            <w:pPr>
              <w:keepLines/>
              <w:rPr>
                <w:bCs/>
                <w:sz w:val="22"/>
                <w:szCs w:val="22"/>
                <w:lang w:val="ro-RO"/>
              </w:rPr>
            </w:pPr>
            <w:r>
              <w:rPr>
                <w:bCs/>
                <w:sz w:val="22"/>
                <w:szCs w:val="22"/>
                <w:lang w:val="ro-RO"/>
              </w:rPr>
              <w:t>Pentru cantități inferioare valorii propuse se va aplica următoarea formulă  de calcul a penalizării:</w:t>
            </w:r>
          </w:p>
          <w:p>
            <w:pPr>
              <w:keepLines/>
              <w:rPr>
                <w:bCs/>
                <w:sz w:val="22"/>
                <w:szCs w:val="22"/>
                <w:lang w:val="ro-RO"/>
              </w:rPr>
            </w:pPr>
            <w:r>
              <w:rPr>
                <w:bCs/>
                <w:sz w:val="22"/>
                <w:szCs w:val="22"/>
                <w:lang w:val="ro-RO"/>
              </w:rPr>
              <w:t>P= (M</w:t>
            </w:r>
            <w:r>
              <w:rPr>
                <w:bCs/>
                <w:sz w:val="22"/>
                <w:szCs w:val="22"/>
                <w:vertAlign w:val="subscript"/>
                <w:lang w:val="ro-RO"/>
              </w:rPr>
              <w:t>T</w:t>
            </w:r>
            <w:r>
              <w:rPr>
                <w:bCs/>
                <w:sz w:val="22"/>
                <w:szCs w:val="22"/>
                <w:lang w:val="ro-RO"/>
              </w:rPr>
              <w:t>-M</w:t>
            </w:r>
            <w:r>
              <w:rPr>
                <w:bCs/>
                <w:sz w:val="22"/>
                <w:szCs w:val="22"/>
                <w:vertAlign w:val="subscript"/>
                <w:lang w:val="ro-RO"/>
              </w:rPr>
              <w:t>V</w:t>
            </w:r>
            <w:r>
              <w:rPr>
                <w:bCs/>
                <w:sz w:val="22"/>
                <w:szCs w:val="22"/>
                <w:lang w:val="ro-RO"/>
              </w:rPr>
              <w:t>) </w:t>
            </w:r>
            <w:r>
              <w:rPr>
                <w:bCs/>
                <w:sz w:val="22"/>
                <w:szCs w:val="22"/>
                <w:vertAlign w:val="subscript"/>
                <w:lang w:val="ro-RO"/>
              </w:rPr>
              <w:t> </w:t>
            </w:r>
            <w:r>
              <w:rPr>
                <w:bCs/>
                <w:i/>
                <w:sz w:val="22"/>
                <w:szCs w:val="22"/>
                <w:lang w:val="ro-RO"/>
              </w:rPr>
              <w:t>x</w:t>
            </w:r>
            <w:r>
              <w:rPr>
                <w:bCs/>
                <w:sz w:val="22"/>
                <w:szCs w:val="22"/>
                <w:lang w:val="ro-RO"/>
              </w:rPr>
              <w:t> V, unde:</w:t>
            </w:r>
          </w:p>
          <w:p>
            <w:pPr>
              <w:keepLines/>
              <w:rPr>
                <w:bCs/>
                <w:sz w:val="22"/>
                <w:szCs w:val="22"/>
                <w:lang w:val="ro-RO"/>
              </w:rPr>
            </w:pPr>
            <w:r>
              <w:rPr>
                <w:bCs/>
                <w:sz w:val="22"/>
                <w:szCs w:val="22"/>
                <w:lang w:val="ro-RO"/>
              </w:rPr>
              <w:t>P = penalitatea</w:t>
            </w:r>
          </w:p>
          <w:p>
            <w:pPr>
              <w:keepLines/>
              <w:rPr>
                <w:bCs/>
                <w:sz w:val="22"/>
                <w:szCs w:val="22"/>
                <w:lang w:val="ro-RO"/>
              </w:rPr>
            </w:pPr>
            <w:r>
              <w:rPr>
                <w:bCs/>
                <w:sz w:val="22"/>
                <w:szCs w:val="22"/>
                <w:lang w:val="ro-RO"/>
              </w:rPr>
              <w:t>M</w:t>
            </w:r>
            <w:r>
              <w:rPr>
                <w:bCs/>
                <w:sz w:val="22"/>
                <w:szCs w:val="22"/>
                <w:vertAlign w:val="subscript"/>
                <w:lang w:val="ro-RO"/>
              </w:rPr>
              <w:t>T</w:t>
            </w:r>
            <w:r>
              <w:rPr>
                <w:bCs/>
                <w:sz w:val="22"/>
                <w:szCs w:val="22"/>
                <w:lang w:val="ro-RO"/>
              </w:rPr>
              <w:t> = cantitatea (masa) de deșeuri necesar a fi sortate și trimise la reciclare</w:t>
            </w:r>
          </w:p>
          <w:p>
            <w:pPr>
              <w:keepLines/>
              <w:rPr>
                <w:bCs/>
                <w:sz w:val="22"/>
                <w:szCs w:val="22"/>
                <w:lang w:val="ro-RO"/>
              </w:rPr>
            </w:pPr>
            <w:r>
              <w:rPr>
                <w:bCs/>
                <w:sz w:val="22"/>
                <w:szCs w:val="22"/>
                <w:lang w:val="ro-RO"/>
              </w:rPr>
              <w:t>M</w:t>
            </w:r>
            <w:r>
              <w:rPr>
                <w:bCs/>
                <w:sz w:val="22"/>
                <w:szCs w:val="22"/>
                <w:vertAlign w:val="subscript"/>
                <w:lang w:val="ro-RO"/>
              </w:rPr>
              <w:t>V</w:t>
            </w:r>
            <w:r>
              <w:rPr>
                <w:bCs/>
                <w:sz w:val="22"/>
                <w:szCs w:val="22"/>
                <w:lang w:val="ro-RO"/>
              </w:rPr>
              <w:t> = cantitatea (masa) de deșeuri efectiv sortate și trimise la reciclare</w:t>
            </w:r>
          </w:p>
          <w:p>
            <w:pPr>
              <w:keepLines/>
              <w:rPr>
                <w:bCs/>
                <w:sz w:val="22"/>
                <w:szCs w:val="22"/>
                <w:lang w:val="ro-RO"/>
              </w:rPr>
            </w:pPr>
            <w:r>
              <w:rPr>
                <w:bCs/>
                <w:sz w:val="22"/>
                <w:szCs w:val="22"/>
                <w:lang w:val="ro-RO"/>
              </w:rPr>
              <w:t>V = prețul mediu anual de vânzare a deșeurilor reciclabile</w:t>
            </w:r>
          </w:p>
          <w:p>
            <w:pPr>
              <w:keepLines/>
              <w:rPr>
                <w:bCs/>
                <w:sz w:val="22"/>
                <w:szCs w:val="22"/>
                <w:lang w:val="ro-RO"/>
              </w:rPr>
            </w:pPr>
          </w:p>
        </w:tc>
      </w:tr>
      <w:tr>
        <w:trPr>
          <w:trHeight w:val="20"/>
          <w:jc w:val="center"/>
        </w:trPr>
        <w:tc>
          <w:tcPr>
            <w:tcW w:w="562" w:type="dxa"/>
            <w:tcBorders>
              <w:top w:val="single" w:sz="6" w:space="0" w:color="C5E0B3"/>
              <w:left w:val="single" w:sz="4" w:space="0" w:color="C5E0B3"/>
              <w:bottom w:val="single" w:sz="6" w:space="0" w:color="C5E0B3"/>
              <w:right w:val="single" w:sz="6" w:space="0" w:color="C5E0B3"/>
            </w:tcBorders>
            <w:shd w:val="clear" w:color="auto" w:fill="EEECE1" w:themeFill="background2"/>
            <w:vAlign w:val="center"/>
          </w:tcPr>
          <w:p>
            <w:pPr>
              <w:keepLines/>
              <w:jc w:val="both"/>
              <w:rPr>
                <w:b/>
                <w:bCs/>
                <w:sz w:val="22"/>
                <w:szCs w:val="22"/>
                <w:lang w:val="ro-RO"/>
              </w:rPr>
            </w:pPr>
          </w:p>
        </w:tc>
        <w:tc>
          <w:tcPr>
            <w:tcW w:w="1701"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
                <w:bCs/>
                <w:sz w:val="22"/>
                <w:szCs w:val="22"/>
                <w:lang w:val="ro-RO"/>
              </w:rPr>
            </w:pPr>
          </w:p>
        </w:tc>
        <w:tc>
          <w:tcPr>
            <w:tcW w:w="2410"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Cs/>
                <w:sz w:val="22"/>
                <w:szCs w:val="22"/>
                <w:lang w:val="ro-RO"/>
              </w:rPr>
            </w:pPr>
            <w:r>
              <w:rPr>
                <w:bCs/>
                <w:sz w:val="22"/>
                <w:szCs w:val="22"/>
                <w:lang w:val="ro-RO"/>
              </w:rPr>
              <w:t>I.1.2 Cantitatea de deșeuri trimisă anual la valorificare energetică ca procent din cantitatea totală   de deșeuri acceptate la instalația TMB reziduale, deșeuri textile și deșeuri voluminoase acceptate în instalația TMB</w:t>
            </w:r>
          </w:p>
          <w:p>
            <w:pPr>
              <w:keepLines/>
              <w:rPr>
                <w:bCs/>
                <w:sz w:val="22"/>
                <w:szCs w:val="22"/>
                <w:lang w:val="ro-RO"/>
              </w:rPr>
            </w:pPr>
          </w:p>
          <w:p>
            <w:pPr>
              <w:keepLines/>
              <w:rPr>
                <w:bCs/>
                <w:sz w:val="22"/>
                <w:szCs w:val="22"/>
                <w:lang w:val="ro-RO"/>
              </w:rPr>
            </w:pPr>
          </w:p>
        </w:tc>
        <w:tc>
          <w:tcPr>
            <w:tcW w:w="1276"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jc w:val="both"/>
              <w:rPr>
                <w:bCs/>
                <w:sz w:val="22"/>
                <w:szCs w:val="22"/>
                <w:lang w:val="ro-RO"/>
              </w:rPr>
            </w:pPr>
            <w:r>
              <w:rPr>
                <w:bCs/>
                <w:sz w:val="22"/>
                <w:szCs w:val="22"/>
                <w:lang w:val="ro-RO"/>
              </w:rPr>
              <w:t xml:space="preserve">Min. 13% </w:t>
            </w:r>
          </w:p>
          <w:p>
            <w:pPr>
              <w:keepLines/>
              <w:jc w:val="both"/>
              <w:rPr>
                <w:bCs/>
                <w:sz w:val="22"/>
                <w:szCs w:val="22"/>
                <w:highlight w:val="green"/>
                <w:lang w:val="ro-RO"/>
              </w:rPr>
            </w:pPr>
          </w:p>
          <w:p>
            <w:pPr>
              <w:keepLines/>
              <w:jc w:val="both"/>
              <w:rPr>
                <w:bCs/>
                <w:sz w:val="22"/>
                <w:szCs w:val="22"/>
                <w:highlight w:val="green"/>
                <w:lang w:val="ro-RO"/>
              </w:rPr>
            </w:pPr>
          </w:p>
        </w:tc>
        <w:tc>
          <w:tcPr>
            <w:tcW w:w="3961" w:type="dxa"/>
            <w:tcBorders>
              <w:top w:val="single" w:sz="6" w:space="0" w:color="C5E0B3"/>
              <w:left w:val="single" w:sz="6" w:space="0" w:color="C5E0B3"/>
              <w:bottom w:val="single" w:sz="6" w:space="0" w:color="C5E0B3"/>
              <w:right w:val="single" w:sz="4" w:space="0" w:color="C5E0B3"/>
            </w:tcBorders>
            <w:shd w:val="clear" w:color="auto" w:fill="EEECE1" w:themeFill="background2"/>
            <w:vAlign w:val="center"/>
          </w:tcPr>
          <w:p>
            <w:pPr>
              <w:keepLines/>
              <w:rPr>
                <w:bCs/>
                <w:sz w:val="22"/>
                <w:szCs w:val="22"/>
                <w:lang w:val="ro-RO"/>
              </w:rPr>
            </w:pPr>
            <w:r>
              <w:rPr>
                <w:bCs/>
                <w:sz w:val="22"/>
                <w:szCs w:val="22"/>
                <w:lang w:val="ro-RO"/>
              </w:rPr>
              <w:t>Pentru cantități inferioare valorii propuse se va aplica următoarea formulă  de calcul a penalizării:</w:t>
            </w:r>
          </w:p>
          <w:p>
            <w:pPr>
              <w:keepLines/>
              <w:rPr>
                <w:bCs/>
                <w:sz w:val="22"/>
                <w:szCs w:val="22"/>
                <w:lang w:val="ro-RO"/>
              </w:rPr>
            </w:pPr>
            <w:r>
              <w:rPr>
                <w:bCs/>
                <w:sz w:val="22"/>
                <w:szCs w:val="22"/>
                <w:lang w:val="ro-RO"/>
              </w:rPr>
              <w:t>P= (MT-MV)  x  1,15 x CRDF, unde:</w:t>
            </w:r>
          </w:p>
          <w:p>
            <w:pPr>
              <w:keepLines/>
              <w:rPr>
                <w:bCs/>
                <w:sz w:val="22"/>
                <w:szCs w:val="22"/>
                <w:lang w:val="ro-RO"/>
              </w:rPr>
            </w:pPr>
            <w:r>
              <w:rPr>
                <w:bCs/>
                <w:sz w:val="22"/>
                <w:szCs w:val="22"/>
                <w:lang w:val="ro-RO"/>
              </w:rPr>
              <w:t>P = penalitatea</w:t>
            </w:r>
          </w:p>
          <w:p>
            <w:pPr>
              <w:keepLines/>
              <w:rPr>
                <w:bCs/>
                <w:sz w:val="22"/>
                <w:szCs w:val="22"/>
                <w:lang w:val="ro-RO"/>
              </w:rPr>
            </w:pPr>
            <w:r>
              <w:rPr>
                <w:bCs/>
                <w:sz w:val="22"/>
                <w:szCs w:val="22"/>
                <w:lang w:val="ro-RO"/>
              </w:rPr>
              <w:t>MT = cantitatea (masa) de deșeuri necesar a fi valorificate energetic</w:t>
            </w:r>
          </w:p>
          <w:p>
            <w:pPr>
              <w:keepLines/>
              <w:rPr>
                <w:bCs/>
                <w:sz w:val="22"/>
                <w:szCs w:val="22"/>
                <w:lang w:val="ro-RO"/>
              </w:rPr>
            </w:pPr>
            <w:r>
              <w:rPr>
                <w:bCs/>
                <w:sz w:val="22"/>
                <w:szCs w:val="22"/>
                <w:lang w:val="ro-RO"/>
              </w:rPr>
              <w:t>MV = cantitatea (masa) de deșeuri efectiv valorificate energetic</w:t>
            </w:r>
          </w:p>
          <w:p>
            <w:pPr>
              <w:keepLines/>
              <w:rPr>
                <w:bCs/>
                <w:sz w:val="22"/>
                <w:szCs w:val="22"/>
                <w:lang w:val="ro-RO"/>
              </w:rPr>
            </w:pPr>
            <w:r>
              <w:rPr>
                <w:bCs/>
                <w:sz w:val="22"/>
                <w:szCs w:val="22"/>
                <w:lang w:val="ro-RO"/>
              </w:rPr>
              <w:t>CRDF = costul mediu anual de transport și valorificare a RDF</w:t>
            </w:r>
          </w:p>
        </w:tc>
      </w:tr>
      <w:tr>
        <w:trPr>
          <w:trHeight w:val="20"/>
          <w:jc w:val="center"/>
        </w:trPr>
        <w:tc>
          <w:tcPr>
            <w:tcW w:w="562" w:type="dxa"/>
            <w:tcBorders>
              <w:top w:val="single" w:sz="6" w:space="0" w:color="C5E0B3"/>
              <w:left w:val="single" w:sz="4" w:space="0" w:color="C5E0B3"/>
              <w:bottom w:val="single" w:sz="6" w:space="0" w:color="C5E0B3"/>
              <w:right w:val="single" w:sz="6" w:space="0" w:color="C5E0B3"/>
            </w:tcBorders>
            <w:shd w:val="clear" w:color="auto" w:fill="EEECE1" w:themeFill="background2"/>
            <w:vAlign w:val="center"/>
          </w:tcPr>
          <w:p>
            <w:pPr>
              <w:keepLines/>
              <w:jc w:val="both"/>
              <w:rPr>
                <w:b/>
                <w:bCs/>
                <w:sz w:val="22"/>
                <w:szCs w:val="22"/>
                <w:lang w:val="ro-RO"/>
              </w:rPr>
            </w:pPr>
            <w:r>
              <w:rPr>
                <w:b/>
                <w:bCs/>
                <w:sz w:val="22"/>
                <w:szCs w:val="22"/>
                <w:lang w:val="ro-RO"/>
              </w:rPr>
              <w:t>I.2</w:t>
            </w:r>
          </w:p>
        </w:tc>
        <w:tc>
          <w:tcPr>
            <w:tcW w:w="1701"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
                <w:bCs/>
                <w:sz w:val="22"/>
                <w:szCs w:val="22"/>
                <w:lang w:val="ro-RO"/>
              </w:rPr>
            </w:pPr>
            <w:r>
              <w:rPr>
                <w:b/>
                <w:bCs/>
                <w:sz w:val="22"/>
                <w:szCs w:val="22"/>
                <w:lang w:val="ro-RO"/>
              </w:rPr>
              <w:t>Eficiență în operarea digestoarelor</w:t>
            </w:r>
          </w:p>
        </w:tc>
        <w:tc>
          <w:tcPr>
            <w:tcW w:w="2410"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Cs/>
                <w:sz w:val="22"/>
                <w:szCs w:val="22"/>
                <w:lang w:val="ro-RO"/>
              </w:rPr>
            </w:pPr>
            <w:r>
              <w:rPr>
                <w:bCs/>
                <w:sz w:val="22"/>
                <w:szCs w:val="22"/>
                <w:lang w:val="ro-RO"/>
              </w:rPr>
              <w:t>I.2.1 Cantitatea de compost obținut anual din biodeșeuri colectate separat ca procent din cantitatea de biodeșeuri colectate separat acceptată la instalația  TMB</w:t>
            </w:r>
          </w:p>
        </w:tc>
        <w:tc>
          <w:tcPr>
            <w:tcW w:w="1276"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jc w:val="both"/>
              <w:rPr>
                <w:bCs/>
                <w:sz w:val="22"/>
                <w:szCs w:val="22"/>
                <w:lang w:val="ro-RO"/>
              </w:rPr>
            </w:pPr>
            <w:r>
              <w:rPr>
                <w:bCs/>
                <w:sz w:val="22"/>
                <w:szCs w:val="22"/>
                <w:lang w:val="ro-RO"/>
              </w:rPr>
              <w:t>Min. 16%</w:t>
            </w:r>
          </w:p>
          <w:p>
            <w:pPr>
              <w:keepLines/>
              <w:jc w:val="both"/>
              <w:rPr>
                <w:bCs/>
                <w:sz w:val="22"/>
                <w:szCs w:val="22"/>
                <w:highlight w:val="green"/>
                <w:lang w:val="ro-RO"/>
              </w:rPr>
            </w:pPr>
          </w:p>
        </w:tc>
        <w:tc>
          <w:tcPr>
            <w:tcW w:w="3961" w:type="dxa"/>
            <w:tcBorders>
              <w:top w:val="single" w:sz="6" w:space="0" w:color="C5E0B3"/>
              <w:left w:val="single" w:sz="6" w:space="0" w:color="C5E0B3"/>
              <w:bottom w:val="single" w:sz="6" w:space="0" w:color="C5E0B3"/>
              <w:right w:val="single" w:sz="4" w:space="0" w:color="C5E0B3"/>
            </w:tcBorders>
            <w:shd w:val="clear" w:color="auto" w:fill="EEECE1" w:themeFill="background2"/>
            <w:vAlign w:val="center"/>
          </w:tcPr>
          <w:p>
            <w:pPr>
              <w:keepLines/>
              <w:rPr>
                <w:bCs/>
                <w:sz w:val="22"/>
                <w:szCs w:val="22"/>
                <w:lang w:val="ro-RO"/>
              </w:rPr>
            </w:pPr>
            <w:r>
              <w:rPr>
                <w:bCs/>
                <w:sz w:val="22"/>
                <w:szCs w:val="22"/>
                <w:lang w:val="ro-RO"/>
              </w:rPr>
              <w:t>Pentru cantități valorificate mai mici decât valorile propuse, Operatorul TMB  va suporta costurile aferente taxei / tarifului de depozitare și a CEC aferente pentru cantitatea depozitată ce depășește cantitatea corespunzătoare valorilor propuse, fără a le putea introduce în tarif. Aceste costuri vor fi determinate de către Autoritățile contractante conform reglementărilor în vigoare și scăzute din factura operatorului TMB sub formă de penalități pentru neîndeplinirea indicatorilor de performanță.</w:t>
            </w:r>
          </w:p>
        </w:tc>
      </w:tr>
      <w:tr>
        <w:trPr>
          <w:trHeight w:val="20"/>
          <w:jc w:val="center"/>
        </w:trPr>
        <w:tc>
          <w:tcPr>
            <w:tcW w:w="562" w:type="dxa"/>
            <w:tcBorders>
              <w:top w:val="single" w:sz="6" w:space="0" w:color="C5E0B3"/>
              <w:left w:val="single" w:sz="4" w:space="0" w:color="C5E0B3"/>
              <w:bottom w:val="single" w:sz="6" w:space="0" w:color="C5E0B3"/>
              <w:right w:val="single" w:sz="6" w:space="0" w:color="C5E0B3"/>
            </w:tcBorders>
            <w:shd w:val="clear" w:color="auto" w:fill="EEECE1" w:themeFill="background2"/>
            <w:vAlign w:val="center"/>
          </w:tcPr>
          <w:p>
            <w:pPr>
              <w:keepLines/>
              <w:jc w:val="both"/>
              <w:rPr>
                <w:b/>
                <w:bCs/>
                <w:sz w:val="22"/>
                <w:szCs w:val="22"/>
                <w:lang w:val="ro-RO"/>
              </w:rPr>
            </w:pPr>
            <w:r>
              <w:rPr>
                <w:b/>
                <w:bCs/>
                <w:sz w:val="22"/>
                <w:szCs w:val="22"/>
                <w:lang w:val="ro-RO"/>
              </w:rPr>
              <w:t>I.3</w:t>
            </w:r>
          </w:p>
        </w:tc>
        <w:tc>
          <w:tcPr>
            <w:tcW w:w="1701"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
                <w:bCs/>
                <w:sz w:val="22"/>
                <w:szCs w:val="22"/>
                <w:lang w:val="ro-RO"/>
              </w:rPr>
            </w:pPr>
            <w:r>
              <w:rPr>
                <w:b/>
                <w:bCs/>
                <w:sz w:val="22"/>
                <w:szCs w:val="22"/>
                <w:lang w:val="ro-RO"/>
              </w:rPr>
              <w:t>Eficiență în operarea  instalației TMB</w:t>
            </w:r>
          </w:p>
        </w:tc>
        <w:tc>
          <w:tcPr>
            <w:tcW w:w="2410"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Cs/>
                <w:sz w:val="22"/>
                <w:szCs w:val="22"/>
                <w:lang w:val="ro-RO"/>
              </w:rPr>
            </w:pPr>
            <w:r>
              <w:rPr>
                <w:bCs/>
                <w:sz w:val="22"/>
                <w:szCs w:val="22"/>
                <w:lang w:val="ro-RO"/>
              </w:rPr>
              <w:t>I.3.1 Cantitatea de deșeuri trimisă anual la depozitare ca procent din cantitatea totală de deșeuri acceptată reziduale și biodeșeuri colectate separat acceptată la instalația TMB</w:t>
            </w:r>
          </w:p>
        </w:tc>
        <w:tc>
          <w:tcPr>
            <w:tcW w:w="1276"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jc w:val="both"/>
              <w:rPr>
                <w:bCs/>
                <w:sz w:val="22"/>
                <w:szCs w:val="22"/>
                <w:lang w:val="ro-RO"/>
              </w:rPr>
            </w:pPr>
            <w:r>
              <w:rPr>
                <w:bCs/>
                <w:sz w:val="22"/>
                <w:szCs w:val="22"/>
                <w:lang w:val="ro-RO"/>
              </w:rPr>
              <w:t>Max. 20%</w:t>
            </w:r>
          </w:p>
          <w:p>
            <w:pPr>
              <w:keepLines/>
              <w:jc w:val="both"/>
              <w:rPr>
                <w:bCs/>
                <w:sz w:val="22"/>
                <w:szCs w:val="22"/>
                <w:highlight w:val="green"/>
                <w:lang w:val="ro-RO"/>
              </w:rPr>
            </w:pPr>
          </w:p>
          <w:p>
            <w:pPr>
              <w:keepLines/>
              <w:jc w:val="both"/>
              <w:rPr>
                <w:bCs/>
                <w:sz w:val="22"/>
                <w:szCs w:val="22"/>
                <w:highlight w:val="green"/>
                <w:lang w:val="ro-RO"/>
              </w:rPr>
            </w:pPr>
          </w:p>
          <w:p>
            <w:pPr>
              <w:keepLines/>
              <w:jc w:val="both"/>
              <w:rPr>
                <w:bCs/>
                <w:sz w:val="22"/>
                <w:szCs w:val="22"/>
                <w:highlight w:val="green"/>
                <w:lang w:val="ro-RO"/>
              </w:rPr>
            </w:pPr>
          </w:p>
        </w:tc>
        <w:tc>
          <w:tcPr>
            <w:tcW w:w="3961" w:type="dxa"/>
            <w:tcBorders>
              <w:top w:val="single" w:sz="6" w:space="0" w:color="C5E0B3"/>
              <w:left w:val="single" w:sz="6" w:space="0" w:color="C5E0B3"/>
              <w:bottom w:val="single" w:sz="6" w:space="0" w:color="C5E0B3"/>
              <w:right w:val="single" w:sz="4" w:space="0" w:color="C5E0B3"/>
            </w:tcBorders>
            <w:shd w:val="clear" w:color="auto" w:fill="EEECE1" w:themeFill="background2"/>
            <w:vAlign w:val="center"/>
          </w:tcPr>
          <w:p>
            <w:pPr>
              <w:keepLines/>
              <w:rPr>
                <w:bCs/>
                <w:sz w:val="22"/>
                <w:szCs w:val="22"/>
                <w:lang w:val="ro-RO"/>
              </w:rPr>
            </w:pPr>
            <w:r>
              <w:rPr>
                <w:bCs/>
                <w:sz w:val="22"/>
                <w:szCs w:val="22"/>
                <w:lang w:val="ro-RO"/>
              </w:rPr>
              <w:t>Pentru cantități depozitate mai mari decât valorile indicatorului, costul corespunzător tarifului de depozitare și a contribuției la economia circulară aferent acestora este suportat de către operatorul TMB, fără a putea fi inclus în tarif. Acest cost va fi determinat de către Autoritățile contractante conform reglementărilor în vigoare și scăzut din factura Antreprenorului sub formă de penalități pentru neîndeplinirea indicatorilor de performanță</w:t>
            </w:r>
          </w:p>
        </w:tc>
      </w:tr>
      <w:tr>
        <w:trPr>
          <w:trHeight w:val="20"/>
          <w:jc w:val="center"/>
        </w:trPr>
        <w:tc>
          <w:tcPr>
            <w:tcW w:w="562" w:type="dxa"/>
            <w:tcBorders>
              <w:top w:val="single" w:sz="6" w:space="0" w:color="C5E0B3"/>
              <w:left w:val="single" w:sz="4" w:space="0" w:color="C5E0B3"/>
              <w:bottom w:val="single" w:sz="6" w:space="0" w:color="C5E0B3"/>
              <w:right w:val="single" w:sz="6" w:space="0" w:color="C5E0B3"/>
            </w:tcBorders>
            <w:shd w:val="clear" w:color="auto" w:fill="EEECE1" w:themeFill="background2"/>
            <w:vAlign w:val="center"/>
          </w:tcPr>
          <w:p>
            <w:pPr>
              <w:keepLines/>
              <w:jc w:val="both"/>
              <w:rPr>
                <w:b/>
                <w:bCs/>
                <w:sz w:val="22"/>
                <w:szCs w:val="22"/>
                <w:lang w:val="ro-RO"/>
              </w:rPr>
            </w:pPr>
          </w:p>
        </w:tc>
        <w:tc>
          <w:tcPr>
            <w:tcW w:w="1701"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
                <w:bCs/>
                <w:sz w:val="22"/>
                <w:szCs w:val="22"/>
                <w:lang w:val="ro-RO"/>
              </w:rPr>
            </w:pPr>
          </w:p>
        </w:tc>
        <w:tc>
          <w:tcPr>
            <w:tcW w:w="2410"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Cs/>
                <w:sz w:val="22"/>
                <w:szCs w:val="22"/>
                <w:lang w:val="ro-RO"/>
              </w:rPr>
            </w:pPr>
            <w:r>
              <w:rPr>
                <w:bCs/>
                <w:sz w:val="22"/>
                <w:szCs w:val="22"/>
                <w:lang w:val="ro-RO"/>
              </w:rPr>
              <w:t>I.3.2 Cantitatea de energie totală generată anual din procesarea biogazului obținut, raportată la cantitatea de energie totală consumată anual (%)</w:t>
            </w:r>
          </w:p>
        </w:tc>
        <w:tc>
          <w:tcPr>
            <w:tcW w:w="1276" w:type="dxa"/>
            <w:tcBorders>
              <w:top w:val="single" w:sz="6" w:space="0" w:color="C5E0B3"/>
              <w:left w:val="single" w:sz="6" w:space="0" w:color="C5E0B3"/>
              <w:bottom w:val="single" w:sz="6" w:space="0" w:color="C5E0B3"/>
              <w:right w:val="single" w:sz="6" w:space="0" w:color="C5E0B3"/>
            </w:tcBorders>
            <w:shd w:val="clear" w:color="auto" w:fill="EEECE1" w:themeFill="background2"/>
            <w:vAlign w:val="center"/>
          </w:tcPr>
          <w:p>
            <w:pPr>
              <w:keepLines/>
              <w:rPr>
                <w:bCs/>
                <w:sz w:val="22"/>
                <w:szCs w:val="22"/>
                <w:highlight w:val="green"/>
                <w:lang w:val="ro-RO"/>
              </w:rPr>
            </w:pPr>
            <w:r>
              <w:rPr>
                <w:bCs/>
                <w:sz w:val="22"/>
                <w:szCs w:val="22"/>
                <w:lang w:val="ro-RO"/>
              </w:rPr>
              <w:t>Mai mare de 100%</w:t>
            </w:r>
          </w:p>
        </w:tc>
        <w:tc>
          <w:tcPr>
            <w:tcW w:w="3961" w:type="dxa"/>
            <w:tcBorders>
              <w:top w:val="single" w:sz="6" w:space="0" w:color="C5E0B3"/>
              <w:left w:val="single" w:sz="6" w:space="0" w:color="C5E0B3"/>
              <w:bottom w:val="single" w:sz="6" w:space="0" w:color="C5E0B3"/>
              <w:right w:val="single" w:sz="4" w:space="0" w:color="C5E0B3"/>
            </w:tcBorders>
            <w:shd w:val="clear" w:color="auto" w:fill="EEECE1" w:themeFill="background2"/>
            <w:vAlign w:val="center"/>
          </w:tcPr>
          <w:p>
            <w:pPr>
              <w:keepLines/>
              <w:rPr>
                <w:bCs/>
                <w:sz w:val="22"/>
                <w:szCs w:val="22"/>
                <w:lang w:val="ro-RO"/>
              </w:rPr>
            </w:pPr>
            <w:r>
              <w:rPr>
                <w:bCs/>
                <w:sz w:val="22"/>
                <w:szCs w:val="22"/>
                <w:lang w:val="ro-RO"/>
              </w:rPr>
              <w:t>Costurile aferente energiei achiziționate vor fi suportate de Operatorul TMB, fără a putea include aceste costuri în tarif și fără a putea factura Autorităților contractante aceste sume</w:t>
            </w:r>
          </w:p>
        </w:tc>
      </w:tr>
    </w:tbl>
    <w:p>
      <w:pPr>
        <w:spacing w:line="276" w:lineRule="auto"/>
        <w:jc w:val="both"/>
        <w:rPr>
          <w:b/>
          <w:bCs/>
          <w:sz w:val="24"/>
          <w:szCs w:val="24"/>
          <w:lang w:val="ro-RO"/>
        </w:rPr>
      </w:pPr>
    </w:p>
    <w:p>
      <w:pPr>
        <w:spacing w:line="276" w:lineRule="auto"/>
        <w:jc w:val="both"/>
        <w:rPr>
          <w:b/>
          <w:bCs/>
          <w:i/>
          <w:sz w:val="24"/>
          <w:szCs w:val="24"/>
          <w:lang w:val="ro-RO"/>
        </w:rPr>
      </w:pPr>
      <w:r>
        <w:rPr>
          <w:b/>
          <w:bCs/>
          <w:sz w:val="24"/>
          <w:szCs w:val="24"/>
          <w:lang w:val="ro-RO"/>
        </w:rPr>
        <w:t xml:space="preserve">* </w:t>
      </w:r>
      <w:r>
        <w:rPr>
          <w:b/>
          <w:bCs/>
          <w:i/>
          <w:sz w:val="24"/>
          <w:szCs w:val="24"/>
          <w:lang w:val="ro-RO"/>
        </w:rPr>
        <w:t>Valoarea propusă este calculată pe baza estimării compoziției deșeurilor reziduale, realizată la data întocmirii documentației de atribuire, astfel încât să fie atinse țintele de valorificare/depozitare prevăzute în SMID Galați. Începând din anul 2030, operatorul va realiza anual determinarea compoziției deșeurilor reziduale, prin intermediul unui furnizor de terță parte. Pe baza rezultatelor de compoziție obținute, valoarea indicatorului va fi ajustată anual de către Autoritatea Contractantă, urmând același algoritm de calcul, în scopul atingerii țintelor de reciclare/depozitare ale SMID Galați</w:t>
      </w:r>
    </w:p>
    <w:p>
      <w:pPr>
        <w:spacing w:line="276" w:lineRule="auto"/>
        <w:jc w:val="both"/>
        <w:rPr>
          <w:b/>
          <w:bCs/>
          <w:i/>
          <w:sz w:val="24"/>
          <w:szCs w:val="24"/>
          <w:lang w:val="ro-RO"/>
        </w:rPr>
      </w:pPr>
    </w:p>
    <w:p>
      <w:pPr>
        <w:spacing w:before="120" w:after="120" w:line="276" w:lineRule="auto"/>
        <w:jc w:val="both"/>
        <w:rPr>
          <w:sz w:val="24"/>
          <w:szCs w:val="24"/>
          <w:lang w:val="ro-RO"/>
        </w:rPr>
      </w:pPr>
      <w:r>
        <w:rPr>
          <w:sz w:val="24"/>
          <w:szCs w:val="24"/>
          <w:lang w:val="ro-RO"/>
        </w:rPr>
        <w:t xml:space="preserve">Conform Memoriului de necesitate şi oportunitate, întocmit de Direcţia Programe din cadrul Autorității Contractante, valoarea totală a achiziţiei este de </w:t>
      </w:r>
      <w:r>
        <w:rPr>
          <w:b/>
          <w:sz w:val="24"/>
          <w:szCs w:val="24"/>
          <w:lang w:val="ro-RO"/>
        </w:rPr>
        <w:t>948.361.921,30</w:t>
      </w:r>
      <w:r>
        <w:rPr>
          <w:sz w:val="24"/>
          <w:szCs w:val="24"/>
          <w:lang w:val="ro-RO"/>
        </w:rPr>
        <w:t xml:space="preserve"> lei fără TVA;</w:t>
      </w:r>
    </w:p>
    <w:p>
      <w:pPr>
        <w:spacing w:before="120" w:after="120" w:line="276" w:lineRule="auto"/>
        <w:jc w:val="both"/>
        <w:rPr>
          <w:sz w:val="24"/>
          <w:szCs w:val="24"/>
          <w:lang w:val="ro-RO"/>
        </w:rPr>
      </w:pPr>
      <w:r>
        <w:rPr>
          <w:sz w:val="24"/>
          <w:szCs w:val="24"/>
          <w:lang w:val="ro-RO"/>
        </w:rPr>
        <w:t xml:space="preserve">Procedura de achiziție aleasă, conform art. 68 din Legea 98/2016, respectiv art. 71-75 din Legea 98/2016, este </w:t>
      </w:r>
      <w:r>
        <w:rPr>
          <w:b/>
          <w:sz w:val="24"/>
          <w:szCs w:val="24"/>
          <w:lang w:val="ro-RO"/>
        </w:rPr>
        <w:t>,,LICITAȚIE DESCHISĂ’’ -</w:t>
      </w:r>
      <w:r>
        <w:rPr>
          <w:sz w:val="24"/>
          <w:szCs w:val="24"/>
          <w:lang w:val="ro-RO"/>
        </w:rPr>
        <w:t xml:space="preserve"> având în vedere că valoarea estimată, conform memoriului de necesitate, este de </w:t>
      </w:r>
      <w:r>
        <w:rPr>
          <w:b/>
          <w:sz w:val="24"/>
          <w:szCs w:val="24"/>
          <w:lang w:val="ro-RO"/>
        </w:rPr>
        <w:t xml:space="preserve">948.361.921,30 </w:t>
      </w:r>
      <w:r>
        <w:rPr>
          <w:sz w:val="24"/>
          <w:szCs w:val="24"/>
          <w:lang w:val="ro-RO"/>
        </w:rPr>
        <w:t>lei fără TVA, conform art. 7 alin. (1) lit. b) și art. 69 alin. (1).</w:t>
      </w:r>
    </w:p>
    <w:p>
      <w:pPr>
        <w:spacing w:before="120" w:after="120" w:line="276" w:lineRule="auto"/>
        <w:jc w:val="both"/>
        <w:rPr>
          <w:sz w:val="24"/>
          <w:szCs w:val="24"/>
          <w:lang w:val="ro-RO"/>
        </w:rPr>
      </w:pPr>
      <w:r>
        <w:rPr>
          <w:sz w:val="24"/>
          <w:szCs w:val="24"/>
          <w:lang w:val="ro-RO"/>
        </w:rPr>
        <w:t>Achiziția nu este divizată în loturi, întrucât realizarea pe loturi ar face executarea contractului dificilă din punct de vedere tehnic și costisitoare în raport de avantajele potențiale ale lotizării.</w:t>
      </w:r>
    </w:p>
    <w:p>
      <w:pPr>
        <w:spacing w:before="120" w:after="120" w:line="276" w:lineRule="auto"/>
        <w:jc w:val="both"/>
        <w:rPr>
          <w:sz w:val="24"/>
          <w:szCs w:val="24"/>
          <w:lang w:val="ro-RO"/>
        </w:rPr>
      </w:pPr>
      <w:r>
        <w:rPr>
          <w:sz w:val="24"/>
          <w:szCs w:val="24"/>
          <w:lang w:val="ro-RO"/>
        </w:rPr>
        <w:t>Nu se utilizează divizarea în loturi, întrucât există un singur obiectiv, ceea ce presupune imposibilitatea defalcării serviciilor pe mai multe obiective de construcție cu funcționalități distincte în cadrul obiectivului de investiție (conf. art. 14, alin. (3) din Legea 98/ 2016). Acest lucru înseamnă că același operator economic (sau asociere de operatori economici) are responsabilitatea realizării serviciilor prevăzute în tema de proiectare. În aceste condiții este exclusă divizarea contractului în loturi.</w:t>
      </w:r>
    </w:p>
    <w:p>
      <w:pPr>
        <w:spacing w:line="276" w:lineRule="auto"/>
        <w:jc w:val="both"/>
        <w:rPr>
          <w:b/>
          <w:sz w:val="24"/>
          <w:szCs w:val="24"/>
          <w:lang w:val="ro-RO"/>
        </w:rPr>
      </w:pPr>
    </w:p>
    <w:p>
      <w:pPr>
        <w:spacing w:line="276" w:lineRule="auto"/>
        <w:jc w:val="both"/>
        <w:rPr>
          <w:b/>
          <w:sz w:val="24"/>
          <w:szCs w:val="24"/>
          <w:lang w:val="ro-RO"/>
        </w:rPr>
      </w:pPr>
      <w:r>
        <w:rPr>
          <w:b/>
          <w:sz w:val="24"/>
          <w:szCs w:val="24"/>
          <w:lang w:val="ro-RO"/>
        </w:rPr>
        <w:t>Criteriul de atribuire ales:</w:t>
      </w:r>
    </w:p>
    <w:p>
      <w:pPr>
        <w:spacing w:line="276" w:lineRule="auto"/>
        <w:jc w:val="both"/>
        <w:rPr>
          <w:rFonts w:eastAsia="Calibri"/>
          <w:bCs/>
          <w:sz w:val="24"/>
          <w:szCs w:val="24"/>
          <w:lang w:val="ro-RO"/>
        </w:rPr>
      </w:pPr>
      <w:r>
        <w:rPr>
          <w:rFonts w:eastAsia="Calibri"/>
          <w:bCs/>
          <w:sz w:val="24"/>
          <w:szCs w:val="24"/>
          <w:lang w:val="ro-RO"/>
        </w:rPr>
        <w:t>Cel mai bun raport calitate-preţ în ceea ce privește factorii de evaluare menționați:</w:t>
      </w:r>
    </w:p>
    <w:p>
      <w:pPr>
        <w:spacing w:line="360" w:lineRule="auto"/>
        <w:contextualSpacing/>
        <w:jc w:val="both"/>
        <w:rPr>
          <w:b/>
          <w:bCs/>
          <w:sz w:val="24"/>
          <w:szCs w:val="24"/>
          <w:lang w:val="ro-RO"/>
        </w:rPr>
      </w:pPr>
    </w:p>
    <w:p>
      <w:pPr>
        <w:spacing w:line="360" w:lineRule="auto"/>
        <w:contextualSpacing/>
        <w:jc w:val="both"/>
        <w:rPr>
          <w:b/>
          <w:bCs/>
          <w:sz w:val="24"/>
          <w:szCs w:val="24"/>
          <w:lang w:val="ro-RO"/>
        </w:rPr>
      </w:pPr>
      <w:r>
        <w:rPr>
          <w:b/>
          <w:bCs/>
          <w:sz w:val="24"/>
          <w:szCs w:val="24"/>
          <w:lang w:val="ro-RO"/>
        </w:rPr>
        <w:t>Factori de evaluare:</w:t>
      </w:r>
    </w:p>
    <w:p>
      <w:pPr>
        <w:spacing w:line="360" w:lineRule="auto"/>
        <w:contextualSpacing/>
        <w:jc w:val="both"/>
        <w:rPr>
          <w:b/>
          <w:bCs/>
          <w:sz w:val="24"/>
          <w:szCs w:val="24"/>
          <w:lang w:val="ro-RO"/>
        </w:rPr>
      </w:pPr>
      <w:r>
        <w:rPr>
          <w:b/>
          <w:bCs/>
          <w:sz w:val="24"/>
          <w:szCs w:val="24"/>
          <w:lang w:val="ro-RO"/>
        </w:rPr>
        <w:t>1.</w:t>
      </w:r>
      <w:r>
        <w:rPr>
          <w:b/>
          <w:bCs/>
          <w:sz w:val="24"/>
          <w:szCs w:val="24"/>
          <w:lang w:val="ro-RO"/>
        </w:rPr>
        <w:tab/>
        <w:t>Preţul ofertei (pentru serviciile de proiectare și pentru lucrările de construcţii) - pondere 25% - punctaj maxim: 25 puncte</w:t>
      </w:r>
    </w:p>
    <w:p>
      <w:pPr>
        <w:spacing w:line="360" w:lineRule="auto"/>
        <w:contextualSpacing/>
        <w:jc w:val="both"/>
        <w:rPr>
          <w:sz w:val="24"/>
          <w:szCs w:val="24"/>
          <w:lang w:val="ro-RO"/>
        </w:rPr>
      </w:pPr>
      <w:r>
        <w:rPr>
          <w:sz w:val="24"/>
          <w:szCs w:val="24"/>
          <w:lang w:val="ro-RO"/>
        </w:rPr>
        <w:t>Algoritm de calcul: Punctajul acordat pentru criteriul „Preţul ofertei" (Pof) se calculează astfel:</w:t>
      </w:r>
    </w:p>
    <w:p>
      <w:pPr>
        <w:numPr>
          <w:ilvl w:val="0"/>
          <w:numId w:val="3"/>
        </w:numPr>
        <w:spacing w:line="360" w:lineRule="auto"/>
        <w:contextualSpacing/>
        <w:jc w:val="both"/>
        <w:rPr>
          <w:sz w:val="24"/>
          <w:szCs w:val="24"/>
          <w:lang w:val="ro-RO"/>
        </w:rPr>
      </w:pPr>
      <w:r>
        <w:rPr>
          <w:sz w:val="24"/>
          <w:szCs w:val="24"/>
          <w:lang w:val="ro-RO"/>
        </w:rPr>
        <w:t>Pentru cel mai mic preț ofertat (Prm) se acordă punctajul maxim, de 25 puncte;</w:t>
      </w:r>
    </w:p>
    <w:p>
      <w:pPr>
        <w:numPr>
          <w:ilvl w:val="0"/>
          <w:numId w:val="3"/>
        </w:numPr>
        <w:spacing w:line="360" w:lineRule="auto"/>
        <w:contextualSpacing/>
        <w:jc w:val="both"/>
        <w:rPr>
          <w:sz w:val="24"/>
          <w:szCs w:val="24"/>
          <w:lang w:val="ro-RO"/>
        </w:rPr>
      </w:pPr>
      <w:r>
        <w:rPr>
          <w:sz w:val="24"/>
          <w:szCs w:val="24"/>
          <w:lang w:val="ro-RO"/>
        </w:rPr>
        <w:t xml:space="preserve">Pentru celelalte oferte, respectiv prețurile ofertate mai mari decât Prm (Pro), punctajul </w:t>
      </w:r>
      <w:r>
        <w:rPr>
          <w:b/>
          <w:bCs/>
          <w:sz w:val="24"/>
          <w:szCs w:val="24"/>
          <w:lang w:val="ro-RO"/>
        </w:rPr>
        <w:t>Pof se acordă astfel:</w:t>
      </w:r>
    </w:p>
    <w:p>
      <w:pPr>
        <w:spacing w:line="360" w:lineRule="auto"/>
        <w:contextualSpacing/>
        <w:jc w:val="both"/>
        <w:rPr>
          <w:sz w:val="24"/>
          <w:szCs w:val="24"/>
          <w:lang w:val="ro-RO"/>
        </w:rPr>
      </w:pPr>
      <w:r>
        <w:rPr>
          <w:sz w:val="24"/>
          <w:szCs w:val="24"/>
          <w:lang w:val="ro-RO"/>
        </w:rPr>
        <w:t>Pof = (Prm/Pro) x 25, unde</w:t>
      </w:r>
    </w:p>
    <w:p>
      <w:pPr>
        <w:spacing w:line="360" w:lineRule="auto"/>
        <w:contextualSpacing/>
        <w:jc w:val="both"/>
        <w:rPr>
          <w:sz w:val="24"/>
          <w:szCs w:val="24"/>
          <w:lang w:val="ro-RO"/>
        </w:rPr>
      </w:pPr>
      <w:r>
        <w:rPr>
          <w:sz w:val="24"/>
          <w:szCs w:val="24"/>
          <w:lang w:val="ro-RO"/>
        </w:rPr>
        <w:t>Pof = Preţul ofertei</w:t>
      </w:r>
    </w:p>
    <w:p>
      <w:pPr>
        <w:spacing w:line="360" w:lineRule="auto"/>
        <w:contextualSpacing/>
        <w:jc w:val="both"/>
        <w:rPr>
          <w:sz w:val="24"/>
          <w:szCs w:val="24"/>
          <w:lang w:val="ro-RO"/>
        </w:rPr>
      </w:pPr>
      <w:r>
        <w:rPr>
          <w:sz w:val="24"/>
          <w:szCs w:val="24"/>
          <w:lang w:val="ro-RO"/>
        </w:rPr>
        <w:t>Prm = Cel mai mic preţ ofertat, dintre ofertele considerate admisibile</w:t>
      </w:r>
    </w:p>
    <w:p>
      <w:pPr>
        <w:spacing w:line="360" w:lineRule="auto"/>
        <w:contextualSpacing/>
        <w:jc w:val="both"/>
        <w:rPr>
          <w:sz w:val="24"/>
          <w:szCs w:val="24"/>
          <w:lang w:val="ro-RO"/>
        </w:rPr>
      </w:pPr>
      <w:r>
        <w:rPr>
          <w:sz w:val="24"/>
          <w:szCs w:val="24"/>
          <w:lang w:val="ro-RO"/>
        </w:rPr>
        <w:lastRenderedPageBreak/>
        <w:t>Pro = Preţul ofertei evaluate</w:t>
      </w:r>
    </w:p>
    <w:p>
      <w:pPr>
        <w:spacing w:line="360" w:lineRule="auto"/>
        <w:contextualSpacing/>
        <w:jc w:val="both"/>
        <w:rPr>
          <w:sz w:val="24"/>
          <w:szCs w:val="24"/>
          <w:lang w:val="ro-RO"/>
        </w:rPr>
      </w:pPr>
      <w:r>
        <w:rPr>
          <w:b/>
          <w:sz w:val="24"/>
          <w:szCs w:val="24"/>
          <w:lang w:val="it-IT"/>
        </w:rPr>
        <w:t xml:space="preserve">2.   </w:t>
      </w:r>
      <w:r>
        <w:rPr>
          <w:b/>
          <w:bCs/>
          <w:sz w:val="24"/>
          <w:szCs w:val="24"/>
          <w:lang w:val="ro-RO"/>
        </w:rPr>
        <w:t xml:space="preserve">     Cost serviciu de operare - pondere 45% - punctaj maxim: 45 puncte</w:t>
      </w:r>
    </w:p>
    <w:p>
      <w:pPr>
        <w:spacing w:line="276" w:lineRule="auto"/>
        <w:jc w:val="both"/>
        <w:rPr>
          <w:sz w:val="24"/>
          <w:szCs w:val="24"/>
          <w:lang w:val="it-IT"/>
        </w:rPr>
      </w:pPr>
      <w:r>
        <w:rPr>
          <w:sz w:val="24"/>
          <w:szCs w:val="24"/>
          <w:lang w:val="it-IT"/>
        </w:rPr>
        <w:t>Punctajul P2 aferent factorului de evaluare va fi obţinut prin însumarea punctajelor obţinute de oferta respectivă la fiecare din subfactorii menţionaţi mai jos:</w:t>
      </w:r>
    </w:p>
    <w:p>
      <w:pPr>
        <w:spacing w:line="276" w:lineRule="auto"/>
        <w:jc w:val="both"/>
        <w:rPr>
          <w:sz w:val="24"/>
          <w:szCs w:val="24"/>
          <w:lang w:val="it-IT"/>
        </w:rPr>
      </w:pPr>
      <w:r>
        <w:rPr>
          <w:sz w:val="24"/>
          <w:szCs w:val="24"/>
          <w:lang w:val="it-IT"/>
        </w:rPr>
        <w:t>- Tarif ofertat pentru tratarea mecano-biologică a deşeurilor reziduale, fără TVA;</w:t>
      </w:r>
    </w:p>
    <w:p>
      <w:pPr>
        <w:spacing w:line="276" w:lineRule="auto"/>
        <w:jc w:val="both"/>
        <w:rPr>
          <w:sz w:val="24"/>
          <w:szCs w:val="24"/>
          <w:lang w:val="it-IT"/>
        </w:rPr>
      </w:pPr>
      <w:r>
        <w:rPr>
          <w:sz w:val="24"/>
          <w:szCs w:val="24"/>
          <w:lang w:val="it-IT"/>
        </w:rPr>
        <w:t>- Tarif pentru tratarea bio-deșeurilor colectate separat, fără TVA.</w:t>
      </w:r>
    </w:p>
    <w:p>
      <w:pPr>
        <w:spacing w:line="276" w:lineRule="auto"/>
        <w:jc w:val="both"/>
        <w:rPr>
          <w:sz w:val="24"/>
          <w:szCs w:val="24"/>
          <w:lang w:val="it-IT"/>
        </w:rPr>
      </w:pPr>
      <w:r>
        <w:rPr>
          <w:sz w:val="24"/>
          <w:szCs w:val="24"/>
          <w:lang w:val="it-IT"/>
        </w:rPr>
        <w:t>Algoritm de calcul:</w:t>
      </w:r>
      <w:r>
        <w:rPr>
          <w:sz w:val="24"/>
          <w:szCs w:val="24"/>
          <w:lang w:val="it-IT"/>
        </w:rPr>
        <w:tab/>
      </w:r>
    </w:p>
    <w:p>
      <w:pPr>
        <w:spacing w:line="276" w:lineRule="auto"/>
        <w:jc w:val="both"/>
        <w:rPr>
          <w:sz w:val="24"/>
          <w:szCs w:val="24"/>
          <w:lang w:val="it-IT"/>
        </w:rPr>
      </w:pPr>
      <w:r>
        <w:rPr>
          <w:sz w:val="24"/>
          <w:szCs w:val="24"/>
          <w:lang w:val="it-IT"/>
        </w:rPr>
        <w:t>Punctajul se acordă astfel:</w:t>
      </w:r>
      <w:r>
        <w:rPr>
          <w:sz w:val="24"/>
          <w:szCs w:val="24"/>
          <w:lang w:val="it-IT"/>
        </w:rPr>
        <w:tab/>
      </w:r>
    </w:p>
    <w:p>
      <w:pPr>
        <w:spacing w:line="276" w:lineRule="auto"/>
        <w:jc w:val="both"/>
        <w:rPr>
          <w:sz w:val="24"/>
          <w:szCs w:val="24"/>
          <w:lang w:val="it-IT"/>
        </w:rPr>
      </w:pPr>
      <w:r>
        <w:rPr>
          <w:sz w:val="24"/>
          <w:szCs w:val="24"/>
          <w:lang w:val="it-IT"/>
        </w:rPr>
        <w:t>a) Pentru cel mai scăzut tarif ofertat pentru tratarea mecano-biologică a deşeurilor reziduale se acordă punctajul maxim alocat subfactorului de evaluare, respectiv 30 puncte;</w:t>
      </w:r>
    </w:p>
    <w:p>
      <w:pPr>
        <w:spacing w:line="276" w:lineRule="auto"/>
        <w:jc w:val="both"/>
        <w:rPr>
          <w:sz w:val="24"/>
          <w:szCs w:val="24"/>
          <w:lang w:val="it-IT"/>
        </w:rPr>
      </w:pPr>
      <w:r>
        <w:rPr>
          <w:sz w:val="24"/>
          <w:szCs w:val="24"/>
          <w:lang w:val="it-IT"/>
        </w:rPr>
        <w:t>b) Pentru alt tarif decât cel prevăzut la pct.a), punctajul se acordă aplicând formula:</w:t>
      </w:r>
    </w:p>
    <w:p>
      <w:pPr>
        <w:spacing w:line="276" w:lineRule="auto"/>
        <w:jc w:val="both"/>
        <w:rPr>
          <w:sz w:val="24"/>
          <w:szCs w:val="24"/>
          <w:lang w:val="it-IT"/>
        </w:rPr>
      </w:pPr>
    </w:p>
    <w:p>
      <w:pPr>
        <w:spacing w:line="276" w:lineRule="auto"/>
        <w:jc w:val="both"/>
        <w:rPr>
          <w:sz w:val="24"/>
          <w:szCs w:val="24"/>
          <w:lang w:val="it-IT"/>
        </w:rPr>
      </w:pPr>
      <w:r>
        <w:rPr>
          <w:sz w:val="24"/>
          <w:szCs w:val="24"/>
          <w:lang w:val="it-IT"/>
        </w:rPr>
        <w:t>P2.1 = (tarif minim / tarif ofertat) x 30 puncte</w:t>
      </w:r>
    </w:p>
    <w:p>
      <w:pPr>
        <w:spacing w:line="276" w:lineRule="auto"/>
        <w:jc w:val="both"/>
        <w:rPr>
          <w:sz w:val="24"/>
          <w:szCs w:val="24"/>
          <w:lang w:val="it-IT"/>
        </w:rPr>
      </w:pPr>
      <w:r>
        <w:rPr>
          <w:sz w:val="24"/>
          <w:szCs w:val="24"/>
          <w:lang w:val="it-IT"/>
        </w:rPr>
        <w:t>unde:</w:t>
      </w:r>
      <w:r>
        <w:rPr>
          <w:sz w:val="24"/>
          <w:szCs w:val="24"/>
          <w:lang w:val="it-IT"/>
        </w:rPr>
        <w:tab/>
      </w:r>
    </w:p>
    <w:p>
      <w:pPr>
        <w:spacing w:line="276" w:lineRule="auto"/>
        <w:jc w:val="both"/>
        <w:rPr>
          <w:sz w:val="24"/>
          <w:szCs w:val="24"/>
          <w:lang w:val="it-IT"/>
        </w:rPr>
      </w:pPr>
      <w:r>
        <w:rPr>
          <w:sz w:val="24"/>
          <w:szCs w:val="24"/>
          <w:lang w:val="it-IT"/>
        </w:rPr>
        <w:t>- „tarif minim" este tariful cel mai scăzut, dintre ofertele considerate admisibile;</w:t>
      </w:r>
    </w:p>
    <w:p>
      <w:pPr>
        <w:spacing w:line="276" w:lineRule="auto"/>
        <w:jc w:val="both"/>
        <w:rPr>
          <w:sz w:val="24"/>
          <w:szCs w:val="24"/>
          <w:lang w:val="it-IT"/>
        </w:rPr>
      </w:pPr>
      <w:r>
        <w:rPr>
          <w:sz w:val="24"/>
          <w:szCs w:val="24"/>
          <w:lang w:val="it-IT"/>
        </w:rPr>
        <w:t>- „tarif ofertat" este tariful ofertei evaluate.</w:t>
      </w:r>
    </w:p>
    <w:p>
      <w:pPr>
        <w:spacing w:line="276" w:lineRule="auto"/>
        <w:jc w:val="both"/>
        <w:rPr>
          <w:sz w:val="24"/>
          <w:szCs w:val="24"/>
          <w:lang w:val="it-IT"/>
        </w:rPr>
      </w:pPr>
      <w:r>
        <w:rPr>
          <w:sz w:val="24"/>
          <w:szCs w:val="24"/>
          <w:lang w:val="it-IT"/>
        </w:rPr>
        <w:t>c) Pentru cel mai scăzut tarif pentru tratarea bio-deșeurilor colectate separat se acordă punctajul maxim alocat subfactorului de evaluare respectiv: 15 puncte;</w:t>
      </w:r>
    </w:p>
    <w:p>
      <w:pPr>
        <w:spacing w:line="276" w:lineRule="auto"/>
        <w:jc w:val="both"/>
        <w:rPr>
          <w:sz w:val="24"/>
          <w:szCs w:val="24"/>
          <w:lang w:val="it-IT"/>
        </w:rPr>
      </w:pPr>
      <w:r>
        <w:rPr>
          <w:sz w:val="24"/>
          <w:szCs w:val="24"/>
          <w:lang w:val="it-IT"/>
        </w:rPr>
        <w:t>d) Pentru alt tarif decât cel prevăzut la pct.c), punctajul se acordă aplicând formula:</w:t>
      </w:r>
    </w:p>
    <w:p>
      <w:pPr>
        <w:spacing w:line="276" w:lineRule="auto"/>
        <w:jc w:val="both"/>
        <w:rPr>
          <w:sz w:val="24"/>
          <w:szCs w:val="24"/>
          <w:lang w:val="it-IT"/>
        </w:rPr>
      </w:pPr>
      <w:r>
        <w:rPr>
          <w:sz w:val="24"/>
          <w:szCs w:val="24"/>
          <w:lang w:val="it-IT"/>
        </w:rPr>
        <w:t>P2.2 = (tarif minim / tarif ofertat) x 15 puncte</w:t>
      </w:r>
    </w:p>
    <w:p>
      <w:pPr>
        <w:spacing w:line="276" w:lineRule="auto"/>
        <w:jc w:val="both"/>
        <w:rPr>
          <w:sz w:val="24"/>
          <w:szCs w:val="24"/>
          <w:lang w:val="it-IT"/>
        </w:rPr>
      </w:pPr>
      <w:r>
        <w:rPr>
          <w:sz w:val="24"/>
          <w:szCs w:val="24"/>
          <w:lang w:val="it-IT"/>
        </w:rPr>
        <w:t>unde:</w:t>
      </w:r>
      <w:r>
        <w:rPr>
          <w:sz w:val="24"/>
          <w:szCs w:val="24"/>
          <w:lang w:val="it-IT"/>
        </w:rPr>
        <w:tab/>
      </w:r>
    </w:p>
    <w:p>
      <w:pPr>
        <w:spacing w:line="276" w:lineRule="auto"/>
        <w:jc w:val="both"/>
        <w:rPr>
          <w:sz w:val="24"/>
          <w:szCs w:val="24"/>
          <w:lang w:val="it-IT"/>
        </w:rPr>
      </w:pPr>
      <w:r>
        <w:rPr>
          <w:sz w:val="24"/>
          <w:szCs w:val="24"/>
          <w:lang w:val="it-IT"/>
        </w:rPr>
        <w:t>- „tarif minim" este tariful cel mai scăzut, dintre ofertele considerate admisibile;</w:t>
      </w:r>
    </w:p>
    <w:p>
      <w:pPr>
        <w:spacing w:line="276" w:lineRule="auto"/>
        <w:jc w:val="both"/>
        <w:rPr>
          <w:sz w:val="24"/>
          <w:szCs w:val="24"/>
          <w:lang w:val="it-IT"/>
        </w:rPr>
      </w:pPr>
      <w:r>
        <w:rPr>
          <w:sz w:val="24"/>
          <w:szCs w:val="24"/>
          <w:lang w:val="it-IT"/>
        </w:rPr>
        <w:t>- „tarif ofertat" este tariful ofertei evaluate.</w:t>
      </w:r>
    </w:p>
    <w:p>
      <w:pPr>
        <w:spacing w:line="276" w:lineRule="auto"/>
        <w:jc w:val="both"/>
        <w:rPr>
          <w:sz w:val="24"/>
          <w:szCs w:val="24"/>
          <w:lang w:val="it-IT"/>
        </w:rPr>
      </w:pPr>
    </w:p>
    <w:p>
      <w:pPr>
        <w:spacing w:line="276" w:lineRule="auto"/>
        <w:jc w:val="both"/>
        <w:rPr>
          <w:b/>
          <w:bCs/>
          <w:sz w:val="24"/>
          <w:szCs w:val="24"/>
          <w:lang w:val="ro-RO"/>
        </w:rPr>
      </w:pPr>
      <w:r>
        <w:rPr>
          <w:b/>
          <w:bCs/>
          <w:sz w:val="24"/>
          <w:szCs w:val="24"/>
          <w:lang w:val="ro-RO"/>
        </w:rPr>
        <w:t>3. Protecţia mediului - pondere 30% - punctaj maxim: 30 puncte</w:t>
      </w:r>
    </w:p>
    <w:p>
      <w:pPr>
        <w:spacing w:line="276" w:lineRule="auto"/>
        <w:jc w:val="both"/>
        <w:rPr>
          <w:sz w:val="24"/>
          <w:szCs w:val="24"/>
          <w:lang w:val="it-IT"/>
        </w:rPr>
      </w:pPr>
      <w:r>
        <w:rPr>
          <w:sz w:val="24"/>
          <w:szCs w:val="24"/>
          <w:lang w:val="it-IT"/>
        </w:rPr>
        <w:t>Punctajul P3 aferent factorului de evaluare va fi obţinut prin însumarea punctajelor obţinute de oferta respectivă la fiecare din subfactorii menţionaţi mai jos (fiecare având alocat un număr egal de puncte – 10 pct.):</w:t>
      </w:r>
    </w:p>
    <w:p>
      <w:pPr>
        <w:spacing w:line="276" w:lineRule="auto"/>
        <w:jc w:val="both"/>
        <w:rPr>
          <w:sz w:val="24"/>
          <w:szCs w:val="24"/>
          <w:lang w:val="it-IT"/>
        </w:rPr>
      </w:pPr>
      <w:r>
        <w:rPr>
          <w:sz w:val="24"/>
          <w:szCs w:val="24"/>
          <w:lang w:val="it-IT"/>
        </w:rPr>
        <w:t>-</w:t>
      </w:r>
      <w:r>
        <w:rPr>
          <w:sz w:val="24"/>
          <w:szCs w:val="24"/>
          <w:lang w:val="it-IT"/>
        </w:rPr>
        <w:tab/>
        <w:t>Procent de materiale eliminate prin depozitare;</w:t>
      </w:r>
    </w:p>
    <w:p>
      <w:pPr>
        <w:spacing w:line="276" w:lineRule="auto"/>
        <w:jc w:val="both"/>
        <w:rPr>
          <w:sz w:val="24"/>
          <w:szCs w:val="24"/>
          <w:lang w:val="it-IT"/>
        </w:rPr>
      </w:pPr>
      <w:r>
        <w:rPr>
          <w:sz w:val="24"/>
          <w:szCs w:val="24"/>
          <w:lang w:val="it-IT"/>
        </w:rPr>
        <w:t>-</w:t>
      </w:r>
      <w:r>
        <w:rPr>
          <w:sz w:val="24"/>
          <w:szCs w:val="24"/>
          <w:lang w:val="it-IT"/>
        </w:rPr>
        <w:tab/>
        <w:t>Procent de deşeuri reciclabile extrase, în vederea valorificării materiale, din deşeurile mixte;</w:t>
      </w:r>
    </w:p>
    <w:p>
      <w:pPr>
        <w:spacing w:line="276" w:lineRule="auto"/>
        <w:jc w:val="both"/>
        <w:rPr>
          <w:sz w:val="24"/>
          <w:szCs w:val="24"/>
          <w:lang w:val="it-IT"/>
        </w:rPr>
      </w:pPr>
      <w:r>
        <w:rPr>
          <w:sz w:val="24"/>
          <w:szCs w:val="24"/>
          <w:lang w:val="it-IT"/>
        </w:rPr>
        <w:t>-</w:t>
      </w:r>
      <w:r>
        <w:rPr>
          <w:sz w:val="24"/>
          <w:szCs w:val="24"/>
          <w:lang w:val="it-IT"/>
        </w:rPr>
        <w:tab/>
        <w:t xml:space="preserve">Indice de generare a biogazului. </w:t>
      </w:r>
    </w:p>
    <w:p>
      <w:pPr>
        <w:spacing w:line="276" w:lineRule="auto"/>
        <w:jc w:val="both"/>
        <w:rPr>
          <w:sz w:val="24"/>
          <w:szCs w:val="24"/>
          <w:lang w:val="it-IT"/>
        </w:rPr>
      </w:pPr>
      <w:r>
        <w:rPr>
          <w:sz w:val="24"/>
          <w:szCs w:val="24"/>
          <w:lang w:val="it-IT"/>
        </w:rPr>
        <w:t xml:space="preserve">Algoritm de calcul: </w:t>
      </w:r>
    </w:p>
    <w:p>
      <w:pPr>
        <w:spacing w:line="276" w:lineRule="auto"/>
        <w:jc w:val="both"/>
        <w:rPr>
          <w:sz w:val="24"/>
          <w:szCs w:val="24"/>
          <w:lang w:val="it-IT"/>
        </w:rPr>
      </w:pPr>
      <w:r>
        <w:rPr>
          <w:sz w:val="24"/>
          <w:szCs w:val="24"/>
          <w:lang w:val="it-IT"/>
        </w:rPr>
        <w:t>Punctajul se acordă astfel:</w:t>
      </w:r>
    </w:p>
    <w:p>
      <w:pPr>
        <w:spacing w:line="276" w:lineRule="auto"/>
        <w:jc w:val="both"/>
        <w:rPr>
          <w:sz w:val="24"/>
          <w:szCs w:val="24"/>
          <w:lang w:val="it-IT"/>
        </w:rPr>
      </w:pPr>
      <w:r>
        <w:rPr>
          <w:sz w:val="24"/>
          <w:szCs w:val="24"/>
          <w:lang w:val="it-IT"/>
        </w:rPr>
        <w:t>a)</w:t>
      </w:r>
      <w:r>
        <w:rPr>
          <w:sz w:val="24"/>
          <w:szCs w:val="24"/>
          <w:lang w:val="it-IT"/>
        </w:rPr>
        <w:tab/>
        <w:t>Pentru cea mai mică valoare ofertată pentru procentul de materiale eliminate prin depozitare se acordă punctajul maxim alocat subfactorului, respectiv 10 puncte;</w:t>
      </w:r>
    </w:p>
    <w:p>
      <w:pPr>
        <w:spacing w:line="276" w:lineRule="auto"/>
        <w:ind w:firstLine="720"/>
        <w:jc w:val="both"/>
        <w:rPr>
          <w:sz w:val="24"/>
          <w:szCs w:val="24"/>
          <w:lang w:val="it-IT"/>
        </w:rPr>
      </w:pPr>
      <w:r>
        <w:rPr>
          <w:sz w:val="24"/>
          <w:szCs w:val="24"/>
          <w:lang w:val="it-IT"/>
        </w:rPr>
        <w:t xml:space="preserve">Pentru alt procent decât cel prevăzut la pct.a), punctajul se acordă aplicând formula: </w:t>
      </w:r>
    </w:p>
    <w:p>
      <w:pPr>
        <w:spacing w:line="276" w:lineRule="auto"/>
        <w:jc w:val="both"/>
        <w:rPr>
          <w:sz w:val="24"/>
          <w:szCs w:val="24"/>
          <w:lang w:val="it-IT"/>
        </w:rPr>
      </w:pPr>
      <w:r>
        <w:rPr>
          <w:sz w:val="24"/>
          <w:szCs w:val="24"/>
          <w:lang w:val="it-IT"/>
        </w:rPr>
        <w:t>P3.1 = (procent minim / procent ofertat) x 10 puncte</w:t>
      </w:r>
    </w:p>
    <w:p>
      <w:pPr>
        <w:spacing w:line="276" w:lineRule="auto"/>
        <w:jc w:val="both"/>
        <w:rPr>
          <w:sz w:val="24"/>
          <w:szCs w:val="24"/>
          <w:lang w:val="it-IT"/>
        </w:rPr>
      </w:pPr>
      <w:r>
        <w:rPr>
          <w:sz w:val="24"/>
          <w:szCs w:val="24"/>
          <w:lang w:val="it-IT"/>
        </w:rPr>
        <w:t>unde:</w:t>
      </w:r>
    </w:p>
    <w:p>
      <w:pPr>
        <w:spacing w:line="276" w:lineRule="auto"/>
        <w:jc w:val="both"/>
        <w:rPr>
          <w:sz w:val="24"/>
          <w:szCs w:val="24"/>
          <w:lang w:val="it-IT"/>
        </w:rPr>
      </w:pPr>
      <w:r>
        <w:rPr>
          <w:sz w:val="24"/>
          <w:szCs w:val="24"/>
          <w:lang w:val="it-IT"/>
        </w:rPr>
        <w:t>-</w:t>
      </w:r>
      <w:r>
        <w:rPr>
          <w:sz w:val="24"/>
          <w:szCs w:val="24"/>
          <w:lang w:val="it-IT"/>
        </w:rPr>
        <w:tab/>
        <w:t>„procent minim" este procentul cel mai scăzut, dintre ofertele considerate admisibile;</w:t>
      </w:r>
    </w:p>
    <w:p>
      <w:pPr>
        <w:spacing w:line="276" w:lineRule="auto"/>
        <w:jc w:val="both"/>
        <w:rPr>
          <w:sz w:val="24"/>
          <w:szCs w:val="24"/>
          <w:lang w:val="it-IT"/>
        </w:rPr>
      </w:pPr>
      <w:r>
        <w:rPr>
          <w:sz w:val="24"/>
          <w:szCs w:val="24"/>
          <w:lang w:val="it-IT"/>
        </w:rPr>
        <w:t>-</w:t>
      </w:r>
      <w:r>
        <w:rPr>
          <w:sz w:val="24"/>
          <w:szCs w:val="24"/>
          <w:lang w:val="it-IT"/>
        </w:rPr>
        <w:tab/>
        <w:t>„procent ofertat" este procentul ofertei evaluate.</w:t>
      </w:r>
    </w:p>
    <w:p>
      <w:pPr>
        <w:spacing w:line="276" w:lineRule="auto"/>
        <w:jc w:val="both"/>
        <w:rPr>
          <w:sz w:val="24"/>
          <w:szCs w:val="24"/>
          <w:lang w:val="it-IT"/>
        </w:rPr>
      </w:pPr>
      <w:r>
        <w:rPr>
          <w:sz w:val="24"/>
          <w:szCs w:val="24"/>
          <w:lang w:val="it-IT"/>
        </w:rPr>
        <w:t>b)</w:t>
      </w:r>
      <w:r>
        <w:rPr>
          <w:sz w:val="24"/>
          <w:szCs w:val="24"/>
          <w:lang w:val="it-IT"/>
        </w:rPr>
        <w:tab/>
        <w:t>Pentru cea mai mare valoare ofertată pentru procentul de deşeuri reciclabile extrase, în vederea valorificării materiale, din deşeurile mixte se acordă punctajul maxim alocat subfactorului, respectiv 10 puncte;</w:t>
      </w:r>
    </w:p>
    <w:p>
      <w:pPr>
        <w:spacing w:line="276" w:lineRule="auto"/>
        <w:jc w:val="both"/>
        <w:rPr>
          <w:sz w:val="24"/>
          <w:szCs w:val="24"/>
          <w:lang w:val="it-IT"/>
        </w:rPr>
      </w:pPr>
      <w:r>
        <w:rPr>
          <w:sz w:val="24"/>
          <w:szCs w:val="24"/>
          <w:lang w:val="it-IT"/>
        </w:rPr>
        <w:tab/>
        <w:t xml:space="preserve">Pentru alt procent decât cel prevăzut la pct.b), punctajul se acordă aplicând formula: </w:t>
      </w:r>
    </w:p>
    <w:p>
      <w:pPr>
        <w:spacing w:line="276" w:lineRule="auto"/>
        <w:jc w:val="both"/>
        <w:rPr>
          <w:sz w:val="24"/>
          <w:szCs w:val="24"/>
          <w:lang w:val="it-IT"/>
        </w:rPr>
      </w:pPr>
      <w:r>
        <w:rPr>
          <w:sz w:val="24"/>
          <w:szCs w:val="24"/>
          <w:lang w:val="it-IT"/>
        </w:rPr>
        <w:lastRenderedPageBreak/>
        <w:t>P3.2 = (procent ofertat / procent maxim) x 10 puncte</w:t>
      </w:r>
    </w:p>
    <w:p>
      <w:pPr>
        <w:spacing w:line="276" w:lineRule="auto"/>
        <w:jc w:val="both"/>
        <w:rPr>
          <w:sz w:val="24"/>
          <w:szCs w:val="24"/>
          <w:lang w:val="it-IT"/>
        </w:rPr>
      </w:pPr>
      <w:r>
        <w:rPr>
          <w:sz w:val="24"/>
          <w:szCs w:val="24"/>
          <w:lang w:val="it-IT"/>
        </w:rPr>
        <w:t>unde:</w:t>
      </w:r>
    </w:p>
    <w:p>
      <w:pPr>
        <w:spacing w:line="276" w:lineRule="auto"/>
        <w:jc w:val="both"/>
        <w:rPr>
          <w:sz w:val="24"/>
          <w:szCs w:val="24"/>
          <w:lang w:val="it-IT"/>
        </w:rPr>
      </w:pPr>
      <w:r>
        <w:rPr>
          <w:sz w:val="24"/>
          <w:szCs w:val="24"/>
          <w:lang w:val="it-IT"/>
        </w:rPr>
        <w:t>-</w:t>
      </w:r>
      <w:r>
        <w:rPr>
          <w:sz w:val="24"/>
          <w:szCs w:val="24"/>
          <w:lang w:val="it-IT"/>
        </w:rPr>
        <w:tab/>
        <w:t>„procent maxim" este procentul cel mai ridicat, dintre ofertele considerate admisibile;</w:t>
      </w:r>
    </w:p>
    <w:p>
      <w:pPr>
        <w:spacing w:line="276" w:lineRule="auto"/>
        <w:jc w:val="both"/>
        <w:rPr>
          <w:sz w:val="24"/>
          <w:szCs w:val="24"/>
          <w:lang w:val="it-IT"/>
        </w:rPr>
      </w:pPr>
      <w:r>
        <w:rPr>
          <w:sz w:val="24"/>
          <w:szCs w:val="24"/>
          <w:lang w:val="it-IT"/>
        </w:rPr>
        <w:t>-</w:t>
      </w:r>
      <w:r>
        <w:rPr>
          <w:sz w:val="24"/>
          <w:szCs w:val="24"/>
          <w:lang w:val="it-IT"/>
        </w:rPr>
        <w:tab/>
        <w:t>„procent ofertat" este procentul ofertei evaluate.</w:t>
      </w:r>
    </w:p>
    <w:p>
      <w:pPr>
        <w:spacing w:line="276" w:lineRule="auto"/>
        <w:jc w:val="both"/>
        <w:rPr>
          <w:sz w:val="24"/>
          <w:szCs w:val="24"/>
          <w:lang w:val="it-IT"/>
        </w:rPr>
      </w:pPr>
    </w:p>
    <w:p>
      <w:pPr>
        <w:spacing w:line="276" w:lineRule="auto"/>
        <w:jc w:val="both"/>
        <w:rPr>
          <w:sz w:val="24"/>
          <w:szCs w:val="24"/>
          <w:lang w:val="it-IT"/>
        </w:rPr>
      </w:pPr>
      <w:r>
        <w:rPr>
          <w:sz w:val="24"/>
          <w:szCs w:val="24"/>
          <w:lang w:val="it-IT"/>
        </w:rPr>
        <w:t>c)</w:t>
      </w:r>
      <w:r>
        <w:rPr>
          <w:sz w:val="24"/>
          <w:szCs w:val="24"/>
          <w:lang w:val="it-IT"/>
        </w:rPr>
        <w:tab/>
        <w:t>Pentru cea mai mare valoare ofertată pentru indicele de generare a biogazului se acordă punctajul maxim alocat subfactorului, respectiv 10 puncte;</w:t>
      </w:r>
    </w:p>
    <w:p>
      <w:pPr>
        <w:spacing w:line="276" w:lineRule="auto"/>
        <w:jc w:val="both"/>
        <w:rPr>
          <w:sz w:val="24"/>
          <w:szCs w:val="24"/>
          <w:lang w:val="it-IT"/>
        </w:rPr>
      </w:pPr>
      <w:r>
        <w:rPr>
          <w:sz w:val="24"/>
          <w:szCs w:val="24"/>
          <w:lang w:val="it-IT"/>
        </w:rPr>
        <w:t>Indicele ofertat se va stabili pornind de la:</w:t>
      </w:r>
    </w:p>
    <w:p>
      <w:pPr>
        <w:spacing w:line="276" w:lineRule="auto"/>
        <w:jc w:val="both"/>
        <w:rPr>
          <w:sz w:val="24"/>
          <w:szCs w:val="24"/>
          <w:lang w:val="it-IT"/>
        </w:rPr>
      </w:pPr>
      <w:r>
        <w:rPr>
          <w:sz w:val="24"/>
          <w:szCs w:val="24"/>
          <w:lang w:val="it-IT"/>
        </w:rPr>
        <w:t>-</w:t>
      </w:r>
      <w:r>
        <w:rPr>
          <w:sz w:val="24"/>
          <w:szCs w:val="24"/>
          <w:lang w:val="it-IT"/>
        </w:rPr>
        <w:tab/>
        <w:t>Cantitatea de deșeuri reziduale colectate și tratate în TMB (a se vedea Studiul de Fundamentare, sect. 3.1.1).</w:t>
      </w:r>
    </w:p>
    <w:p>
      <w:pPr>
        <w:spacing w:line="276" w:lineRule="auto"/>
        <w:jc w:val="both"/>
        <w:rPr>
          <w:sz w:val="24"/>
          <w:szCs w:val="24"/>
          <w:lang w:val="it-IT"/>
        </w:rPr>
      </w:pPr>
      <w:r>
        <w:rPr>
          <w:sz w:val="24"/>
          <w:szCs w:val="24"/>
          <w:lang w:val="it-IT"/>
        </w:rPr>
        <w:t>-</w:t>
      </w:r>
      <w:r>
        <w:rPr>
          <w:sz w:val="24"/>
          <w:szCs w:val="24"/>
          <w:lang w:val="it-IT"/>
        </w:rPr>
        <w:tab/>
        <w:t>Detalii privind compoziția estimată a deșeurilor (a se vedea Studiul de Fundamentare)</w:t>
      </w:r>
    </w:p>
    <w:p>
      <w:pPr>
        <w:spacing w:line="276" w:lineRule="auto"/>
        <w:jc w:val="both"/>
        <w:rPr>
          <w:sz w:val="24"/>
          <w:szCs w:val="24"/>
          <w:lang w:val="it-IT"/>
        </w:rPr>
      </w:pPr>
    </w:p>
    <w:p>
      <w:pPr>
        <w:spacing w:line="276" w:lineRule="auto"/>
        <w:jc w:val="both"/>
        <w:rPr>
          <w:sz w:val="24"/>
          <w:szCs w:val="24"/>
          <w:lang w:val="it-IT"/>
        </w:rPr>
      </w:pPr>
      <w:r>
        <w:rPr>
          <w:sz w:val="24"/>
          <w:szCs w:val="24"/>
          <w:lang w:val="it-IT"/>
        </w:rPr>
        <w:tab/>
        <w:t xml:space="preserve">Pentru alt procent decât cel prevăzut la pct. c), punctajul se acordă aplicând formula: </w:t>
      </w:r>
    </w:p>
    <w:p>
      <w:pPr>
        <w:spacing w:line="276" w:lineRule="auto"/>
        <w:jc w:val="both"/>
        <w:rPr>
          <w:sz w:val="24"/>
          <w:szCs w:val="24"/>
          <w:lang w:val="it-IT"/>
        </w:rPr>
      </w:pPr>
      <w:r>
        <w:rPr>
          <w:sz w:val="24"/>
          <w:szCs w:val="24"/>
          <w:lang w:val="it-IT"/>
        </w:rPr>
        <w:t>P3.3 = (indice ofertat / indice maxim) x 10 puncte</w:t>
      </w:r>
    </w:p>
    <w:p>
      <w:pPr>
        <w:spacing w:line="276" w:lineRule="auto"/>
        <w:jc w:val="both"/>
        <w:rPr>
          <w:sz w:val="24"/>
          <w:szCs w:val="24"/>
          <w:lang w:val="it-IT"/>
        </w:rPr>
      </w:pPr>
      <w:r>
        <w:rPr>
          <w:sz w:val="24"/>
          <w:szCs w:val="24"/>
          <w:lang w:val="it-IT"/>
        </w:rPr>
        <w:t>unde:</w:t>
      </w:r>
    </w:p>
    <w:p>
      <w:pPr>
        <w:spacing w:line="276" w:lineRule="auto"/>
        <w:jc w:val="both"/>
        <w:rPr>
          <w:sz w:val="24"/>
          <w:szCs w:val="24"/>
          <w:lang w:val="it-IT"/>
        </w:rPr>
      </w:pPr>
      <w:r>
        <w:rPr>
          <w:sz w:val="24"/>
          <w:szCs w:val="24"/>
          <w:lang w:val="it-IT"/>
        </w:rPr>
        <w:t>-</w:t>
      </w:r>
      <w:r>
        <w:rPr>
          <w:sz w:val="24"/>
          <w:szCs w:val="24"/>
          <w:lang w:val="it-IT"/>
        </w:rPr>
        <w:tab/>
        <w:t>„indice maxim" este indicele cel mai ridicat, dintre ofertele considerate admisibile;</w:t>
      </w:r>
    </w:p>
    <w:p>
      <w:pPr>
        <w:spacing w:line="276" w:lineRule="auto"/>
        <w:jc w:val="both"/>
        <w:rPr>
          <w:sz w:val="24"/>
          <w:szCs w:val="24"/>
          <w:lang w:val="it-IT"/>
        </w:rPr>
      </w:pPr>
      <w:r>
        <w:rPr>
          <w:sz w:val="24"/>
          <w:szCs w:val="24"/>
          <w:lang w:val="it-IT"/>
        </w:rPr>
        <w:t>-</w:t>
      </w:r>
      <w:r>
        <w:rPr>
          <w:sz w:val="24"/>
          <w:szCs w:val="24"/>
          <w:lang w:val="it-IT"/>
        </w:rPr>
        <w:tab/>
        <w:t xml:space="preserve">„indice ofertat" este indicele ofertei evaluate. </w:t>
      </w:r>
    </w:p>
    <w:p>
      <w:pPr>
        <w:spacing w:line="276" w:lineRule="auto"/>
        <w:jc w:val="both"/>
        <w:rPr>
          <w:sz w:val="24"/>
          <w:szCs w:val="24"/>
          <w:lang w:val="it-IT"/>
        </w:rPr>
      </w:pPr>
      <w:r>
        <w:rPr>
          <w:sz w:val="24"/>
          <w:szCs w:val="24"/>
          <w:lang w:val="it-IT"/>
        </w:rPr>
        <w:t>Punctajul total aferent factorului P3 = P3.1 + P3.2 + P3.3</w:t>
      </w:r>
    </w:p>
    <w:p>
      <w:pPr>
        <w:spacing w:line="276" w:lineRule="auto"/>
        <w:jc w:val="both"/>
        <w:rPr>
          <w:sz w:val="24"/>
          <w:szCs w:val="24"/>
          <w:lang w:val="ro-RO"/>
        </w:rPr>
      </w:pPr>
    </w:p>
    <w:p>
      <w:pPr>
        <w:spacing w:line="276" w:lineRule="auto"/>
        <w:jc w:val="both"/>
        <w:rPr>
          <w:b/>
          <w:bCs/>
          <w:sz w:val="24"/>
          <w:szCs w:val="24"/>
          <w:lang w:val="ro-RO"/>
        </w:rPr>
      </w:pPr>
      <w:r>
        <w:rPr>
          <w:b/>
          <w:bCs/>
          <w:sz w:val="24"/>
          <w:szCs w:val="24"/>
          <w:lang w:val="ro-RO"/>
        </w:rPr>
        <w:t>Formula de calcul punctaj total:</w:t>
      </w:r>
    </w:p>
    <w:p>
      <w:pPr>
        <w:spacing w:line="276" w:lineRule="auto"/>
        <w:jc w:val="both"/>
        <w:rPr>
          <w:sz w:val="24"/>
          <w:szCs w:val="24"/>
          <w:lang w:val="ro-RO"/>
        </w:rPr>
      </w:pPr>
      <w:r>
        <w:rPr>
          <w:sz w:val="24"/>
          <w:szCs w:val="24"/>
          <w:lang w:val="ro-RO"/>
        </w:rPr>
        <w:t>Punctaj total P = PI + P2 + P3 = maxim 25 puncte + maxim 45 puncte + maxim 30 puncte = maxim 100 puncte</w:t>
      </w:r>
    </w:p>
    <w:p>
      <w:pPr>
        <w:spacing w:line="276" w:lineRule="auto"/>
        <w:jc w:val="both"/>
        <w:rPr>
          <w:sz w:val="24"/>
          <w:szCs w:val="24"/>
          <w:lang w:val="it-IT"/>
        </w:rPr>
      </w:pPr>
      <w:r>
        <w:rPr>
          <w:sz w:val="24"/>
          <w:szCs w:val="24"/>
          <w:lang w:val="ro-RO"/>
        </w:rPr>
        <w:t>Punctaj total: 100</w:t>
      </w:r>
    </w:p>
    <w:p>
      <w:pPr>
        <w:spacing w:line="276" w:lineRule="auto"/>
        <w:jc w:val="both"/>
        <w:rPr>
          <w:b/>
          <w:sz w:val="24"/>
          <w:szCs w:val="24"/>
          <w:lang w:val="it-IT"/>
        </w:rPr>
      </w:pPr>
    </w:p>
    <w:p>
      <w:pPr>
        <w:spacing w:line="276" w:lineRule="auto"/>
        <w:jc w:val="both"/>
        <w:rPr>
          <w:sz w:val="24"/>
          <w:szCs w:val="24"/>
          <w:lang w:val="it-IT"/>
        </w:rPr>
      </w:pPr>
      <w:r>
        <w:rPr>
          <w:b/>
          <w:sz w:val="24"/>
          <w:szCs w:val="24"/>
          <w:lang w:val="it-IT"/>
        </w:rPr>
        <w:t>Justificare</w:t>
      </w:r>
      <w:r>
        <w:rPr>
          <w:sz w:val="24"/>
          <w:szCs w:val="24"/>
          <w:lang w:val="it-IT"/>
        </w:rPr>
        <w:t>:</w:t>
      </w:r>
    </w:p>
    <w:p>
      <w:pPr>
        <w:spacing w:line="276" w:lineRule="auto"/>
        <w:jc w:val="both"/>
        <w:rPr>
          <w:sz w:val="24"/>
          <w:szCs w:val="24"/>
          <w:lang w:val="ro-RO"/>
        </w:rPr>
      </w:pPr>
      <w:r>
        <w:rPr>
          <w:sz w:val="24"/>
          <w:szCs w:val="24"/>
          <w:lang w:val="ro-RO"/>
        </w:rPr>
        <w:t>Art. 187 din Legea nr. 98/2016 privind achizițiile publice reglementează atribuirea contractelor de achiziție publică prin utilizarea criteriului „oferta cea mai avantajoasă din punct de vedere economic”, stabilită pe baza unui criteriu de atribuire și, după caz, a unor factori de evaluare obiectivi, care garantează evaluarea ofertelor in conditii de concurenta reala. Astfel, criteriul de atribuire poate fi: (a) prețul cel mai scăzut, (b) costul cel mai scăzut, (c) cel mai bun raport calitate–preț sau (d) cel mai bun raport calitate-cost.</w:t>
      </w:r>
    </w:p>
    <w:p>
      <w:pPr>
        <w:spacing w:line="276" w:lineRule="auto"/>
        <w:jc w:val="both"/>
        <w:rPr>
          <w:b/>
          <w:sz w:val="24"/>
          <w:szCs w:val="24"/>
          <w:u w:val="single"/>
          <w:lang w:val="ro-RO"/>
        </w:rPr>
      </w:pPr>
      <w:r>
        <w:rPr>
          <w:sz w:val="24"/>
          <w:szCs w:val="24"/>
          <w:lang w:val="ro-RO"/>
        </w:rPr>
        <w:t>Dat fiind specificul contractului care urmează să fie atribuit, respectiv complexitatea și natura multidisciplinara și interdependenta a activitatilor care fac obiectul contractului, autoritatea contractanta a ales sa atribuie contractul de „</w:t>
      </w:r>
      <w:r>
        <w:rPr>
          <w:b/>
          <w:sz w:val="24"/>
          <w:szCs w:val="24"/>
          <w:u w:val="single"/>
          <w:lang w:val="ro-RO"/>
        </w:rPr>
        <w:t>PROIECTARE-EXECUŢIE-OPERARE A STAŢIEI DE TRANSFER ŞI A INSTALAŢIEI DE TRATARE MECANO-BIOLOGICĂ CU DIGESTIE ANAEROBĂ GALAŢI, JUDEŢUL GALAŢI”</w:t>
      </w:r>
      <w:r>
        <w:rPr>
          <w:sz w:val="24"/>
          <w:szCs w:val="24"/>
          <w:lang w:val="ro-RO"/>
        </w:rPr>
        <w:t xml:space="preserve"> prin utilizarea criteriului </w:t>
      </w:r>
      <w:r>
        <w:rPr>
          <w:b/>
          <w:bCs/>
          <w:sz w:val="24"/>
          <w:szCs w:val="24"/>
          <w:lang w:val="ro-RO"/>
        </w:rPr>
        <w:t>„cel mai bun raport calitate-preț”.</w:t>
      </w:r>
    </w:p>
    <w:p>
      <w:pPr>
        <w:spacing w:line="276" w:lineRule="auto"/>
        <w:jc w:val="both"/>
        <w:rPr>
          <w:sz w:val="24"/>
          <w:szCs w:val="24"/>
          <w:lang w:val="ro-RO"/>
        </w:rPr>
      </w:pPr>
      <w:r>
        <w:rPr>
          <w:sz w:val="24"/>
          <w:szCs w:val="24"/>
          <w:lang w:val="ro-RO"/>
        </w:rPr>
        <w:t>De asemenea, la stabilirea factorilor/sub-factorilor de evaluare se au în vedere dispoziţiile Instrucţiunii nr. 1/2017 din 4 ianuarie 2017, emisă de ANAP în aplicarea prevederilor 179 lit. g) și art. 187 alin. (8) lit. a) din Legea nr. 98/2016 privind achiziţiile publice [...], urmărindu-se ca:</w:t>
      </w:r>
    </w:p>
    <w:p>
      <w:pPr>
        <w:numPr>
          <w:ilvl w:val="0"/>
          <w:numId w:val="17"/>
        </w:numPr>
        <w:spacing w:line="276" w:lineRule="auto"/>
        <w:jc w:val="both"/>
        <w:rPr>
          <w:sz w:val="24"/>
          <w:szCs w:val="24"/>
          <w:lang w:val="ro-RO"/>
        </w:rPr>
      </w:pPr>
      <w:r>
        <w:rPr>
          <w:sz w:val="24"/>
          <w:szCs w:val="24"/>
          <w:lang w:val="ro-RO"/>
        </w:rPr>
        <w:t>factorii de evaluare să fie relevanţi şi să reflecte avantajele economice și financiare rezultate din ofertele depuse, avantaje care să nu fie anulate sau diminuate pe parcursul îndeplinirii contractului, fiind corelaţi cu specificul activităţilor şi domeniului în care se încadrează obiectul contractului;</w:t>
      </w:r>
    </w:p>
    <w:p>
      <w:pPr>
        <w:numPr>
          <w:ilvl w:val="0"/>
          <w:numId w:val="17"/>
        </w:numPr>
        <w:spacing w:line="276" w:lineRule="auto"/>
        <w:jc w:val="both"/>
        <w:rPr>
          <w:sz w:val="24"/>
          <w:szCs w:val="24"/>
          <w:lang w:val="ro-RO"/>
        </w:rPr>
      </w:pPr>
      <w:r>
        <w:rPr>
          <w:sz w:val="24"/>
          <w:szCs w:val="24"/>
          <w:lang w:val="ro-RO"/>
        </w:rPr>
        <w:lastRenderedPageBreak/>
        <w:t>factorii de evaluare referitori la modul de organizare a activităţilor necesare a fi desfăşurate pentru implementarea contractului să fie corelaţi cu complexitatea acestuia şi să se raporteze la modalităţile pe care contractorul le are în vedere pentru executarea contractului, având asociată o metodologie de punctare obiectivă, axată pe aceste elemente calitative descrise în propunerea tehnică.</w:t>
      </w:r>
    </w:p>
    <w:p>
      <w:pPr>
        <w:spacing w:line="276" w:lineRule="auto"/>
        <w:jc w:val="both"/>
        <w:rPr>
          <w:b/>
          <w:sz w:val="24"/>
          <w:szCs w:val="24"/>
          <w:lang w:val="ro-RO"/>
        </w:rPr>
      </w:pPr>
      <w:r>
        <w:rPr>
          <w:b/>
          <w:sz w:val="24"/>
          <w:szCs w:val="24"/>
          <w:lang w:val="ro-RO"/>
        </w:rPr>
        <w:t>Pentru factorul 2:</w:t>
      </w:r>
    </w:p>
    <w:p>
      <w:pPr>
        <w:spacing w:after="120" w:line="276" w:lineRule="auto"/>
        <w:jc w:val="both"/>
        <w:rPr>
          <w:sz w:val="24"/>
          <w:szCs w:val="24"/>
          <w:lang w:val="ro-RO"/>
        </w:rPr>
      </w:pPr>
      <w:r>
        <w:rPr>
          <w:b/>
          <w:sz w:val="24"/>
          <w:szCs w:val="24"/>
          <w:lang w:val="ro-RO"/>
        </w:rPr>
        <w:t xml:space="preserve">- </w:t>
      </w:r>
      <w:r>
        <w:rPr>
          <w:sz w:val="24"/>
          <w:szCs w:val="24"/>
          <w:lang w:val="ro-RO"/>
        </w:rPr>
        <w:t>Tarif ofertat pentru tratarea mecano-biologică a deșeurilor reziduale (punctaj maxim: 30 puncte),</w:t>
      </w:r>
    </w:p>
    <w:p>
      <w:pPr>
        <w:spacing w:after="120" w:line="276" w:lineRule="auto"/>
        <w:jc w:val="both"/>
        <w:rPr>
          <w:sz w:val="24"/>
          <w:szCs w:val="24"/>
          <w:lang w:val="ro-RO"/>
        </w:rPr>
      </w:pPr>
      <w:r>
        <w:rPr>
          <w:b/>
          <w:sz w:val="24"/>
          <w:szCs w:val="24"/>
          <w:lang w:val="ro-RO"/>
        </w:rPr>
        <w:t xml:space="preserve">- </w:t>
      </w:r>
      <w:r>
        <w:rPr>
          <w:sz w:val="24"/>
          <w:szCs w:val="24"/>
          <w:lang w:val="ro-RO"/>
        </w:rPr>
        <w:t>Tarif ofertat pentru digestia anaerobă a biodeșeurilor colectate separat (punctaj maxim: 15 puncte).</w:t>
      </w:r>
    </w:p>
    <w:p>
      <w:pPr>
        <w:spacing w:after="120" w:line="276" w:lineRule="auto"/>
        <w:jc w:val="both"/>
        <w:rPr>
          <w:sz w:val="24"/>
          <w:szCs w:val="24"/>
          <w:lang w:val="ro-RO"/>
        </w:rPr>
      </w:pPr>
      <w:r>
        <w:rPr>
          <w:sz w:val="24"/>
          <w:szCs w:val="24"/>
          <w:lang w:val="ro-RO"/>
        </w:rPr>
        <w:t xml:space="preserve">Tarifele propuse de ofertanţi pentru tratarea mecano-biologică a deșeurilor reziduale, respectiv pentru tratarea bio-deșeurilor colectate separat - a căror fundamentare în caderul ofertei este solicitată prin documentaţia de atribuire - reflectă atât costurile de funcţionare a sistemului, cât şi raportul cost/eficienţă - prin prisma </w:t>
      </w:r>
      <w:r>
        <w:rPr>
          <w:b/>
          <w:bCs/>
          <w:sz w:val="24"/>
          <w:szCs w:val="24"/>
          <w:lang w:val="ro-RO"/>
        </w:rPr>
        <w:t>(i)</w:t>
      </w:r>
      <w:r>
        <w:rPr>
          <w:sz w:val="24"/>
          <w:szCs w:val="24"/>
          <w:lang w:val="ro-RO"/>
        </w:rPr>
        <w:t xml:space="preserve"> îndeplinirii de către viitorul contractant a obligaţiilor contractuale descrise în Caietul de sarcini şi reglementate în Condiţiile contractuale, şi a </w:t>
      </w:r>
      <w:r>
        <w:rPr>
          <w:b/>
          <w:bCs/>
          <w:sz w:val="24"/>
          <w:szCs w:val="24"/>
          <w:lang w:val="ro-RO"/>
        </w:rPr>
        <w:t>(ii)</w:t>
      </w:r>
      <w:r>
        <w:rPr>
          <w:sz w:val="24"/>
          <w:szCs w:val="24"/>
          <w:lang w:val="ro-RO"/>
        </w:rPr>
        <w:t xml:space="preserve"> respectării/atingerii indicatorilor de performanţă stabiliţi în Caietul de sarcini.</w:t>
      </w:r>
    </w:p>
    <w:p>
      <w:pPr>
        <w:spacing w:after="120" w:line="276" w:lineRule="auto"/>
        <w:jc w:val="both"/>
        <w:rPr>
          <w:sz w:val="24"/>
          <w:szCs w:val="24"/>
          <w:lang w:val="ro-RO"/>
        </w:rPr>
      </w:pPr>
      <w:r>
        <w:rPr>
          <w:sz w:val="24"/>
          <w:szCs w:val="24"/>
          <w:lang w:val="ro-RO"/>
        </w:rPr>
        <w:t>Tarifele pentru tratarea mecano-biologică a deșeurilor reziduale, respectiv pentru tratarea bio-deșeurilor colectate separat, prezentate de ofertanți în cadrul Ofertei financiare, trebuie să conducă la atingerea următoarelor obiective urmărite de autoritatea contractantă:</w:t>
      </w:r>
    </w:p>
    <w:p>
      <w:pPr>
        <w:numPr>
          <w:ilvl w:val="4"/>
          <w:numId w:val="18"/>
        </w:numPr>
        <w:spacing w:after="120" w:line="276" w:lineRule="auto"/>
        <w:jc w:val="both"/>
        <w:rPr>
          <w:sz w:val="24"/>
          <w:szCs w:val="24"/>
          <w:lang w:val="ro-RO"/>
        </w:rPr>
      </w:pPr>
      <w:r>
        <w:rPr>
          <w:sz w:val="24"/>
          <w:szCs w:val="24"/>
          <w:lang w:val="ro-RO"/>
        </w:rPr>
        <w:t>asigurarea prestării serviciului de operare la nivelurile de calitate şi Indicatorii de Performanţă stabiliţi prin Caietul de Sarcini și Regulamentul Serviciului de Salubritate;</w:t>
      </w:r>
    </w:p>
    <w:p>
      <w:pPr>
        <w:numPr>
          <w:ilvl w:val="4"/>
          <w:numId w:val="18"/>
        </w:numPr>
        <w:spacing w:after="120" w:line="276" w:lineRule="auto"/>
        <w:jc w:val="both"/>
        <w:rPr>
          <w:sz w:val="24"/>
          <w:szCs w:val="24"/>
          <w:lang w:val="ro-RO"/>
        </w:rPr>
      </w:pPr>
      <w:r>
        <w:rPr>
          <w:sz w:val="24"/>
          <w:szCs w:val="24"/>
          <w:lang w:val="ro-RO"/>
        </w:rPr>
        <w:t>realizarea unui raport calitate-cost cât mai bun pentru serviciul prestat pe durata Perioadei de Operare din cadrul Contractului şi asigurarea unui echilibru între riscurile și beneficiile asumate de Autoritatea Contractantă și de Contractant;</w:t>
      </w:r>
    </w:p>
    <w:p>
      <w:pPr>
        <w:numPr>
          <w:ilvl w:val="4"/>
          <w:numId w:val="18"/>
        </w:numPr>
        <w:spacing w:after="120" w:line="276" w:lineRule="auto"/>
        <w:jc w:val="both"/>
        <w:rPr>
          <w:sz w:val="24"/>
          <w:szCs w:val="24"/>
          <w:lang w:val="ro-RO"/>
        </w:rPr>
      </w:pPr>
      <w:r>
        <w:rPr>
          <w:sz w:val="24"/>
          <w:szCs w:val="24"/>
          <w:lang w:val="ro-RO"/>
        </w:rPr>
        <w:t>asigurarea funcţionării eficiente a serviciului şi a exploatării bunurilor aparţinând domeniului public, afectate serviciului (instalațiile de tratare mecano-biologică și de transfer construite în etapa de „proiectare și execuție” din cadrul contractului), în conformitate cu condițiile contractuale.</w:t>
      </w:r>
    </w:p>
    <w:p>
      <w:pPr>
        <w:spacing w:after="120" w:line="276" w:lineRule="auto"/>
        <w:jc w:val="both"/>
        <w:rPr>
          <w:sz w:val="24"/>
          <w:szCs w:val="24"/>
          <w:lang w:val="ro-RO"/>
        </w:rPr>
      </w:pPr>
    </w:p>
    <w:p>
      <w:pPr>
        <w:spacing w:after="120" w:line="276" w:lineRule="auto"/>
        <w:jc w:val="both"/>
        <w:rPr>
          <w:sz w:val="24"/>
          <w:szCs w:val="24"/>
          <w:lang w:val="ro-RO"/>
        </w:rPr>
      </w:pPr>
      <w:r>
        <w:rPr>
          <w:sz w:val="24"/>
          <w:szCs w:val="24"/>
          <w:lang w:val="ro-RO"/>
        </w:rPr>
        <w:t>În acest sens, Ofertanții trebuie să prezinte în oferta financiară și să justifice, prin Fișa de fundamentare a tarifului și Memoriu tehnico-economic justificativ (conform modelului Anexa C prezentat în secțiunea „Formulare” a documentației de atribuire), tarifele de operare propuse pentru activitățile de (i) tratare mecano-biologică a deșeurilor reziduale și (ii) tratare a bio-deșeurilor colectate separat, care fac parte din serviciul de operare care se deleagă prin Contract.</w:t>
      </w:r>
    </w:p>
    <w:p>
      <w:pPr>
        <w:spacing w:after="120" w:line="276" w:lineRule="auto"/>
        <w:jc w:val="both"/>
        <w:rPr>
          <w:sz w:val="24"/>
          <w:szCs w:val="24"/>
          <w:lang w:val="ro-RO"/>
        </w:rPr>
      </w:pPr>
      <w:r>
        <w:rPr>
          <w:sz w:val="24"/>
          <w:szCs w:val="24"/>
          <w:lang w:val="ro-RO"/>
        </w:rPr>
        <w:t xml:space="preserve">Pentru subfactorii aferenți factorului de evaluare 2, care are în vedere componenta de operare din cadrul Contractului, se stabilesc ponderi de </w:t>
      </w:r>
      <w:r>
        <w:rPr>
          <w:b/>
          <w:sz w:val="24"/>
          <w:szCs w:val="24"/>
          <w:lang w:val="ro-RO"/>
        </w:rPr>
        <w:t xml:space="preserve">30%, </w:t>
      </w:r>
      <w:r>
        <w:rPr>
          <w:bCs/>
          <w:sz w:val="24"/>
          <w:szCs w:val="24"/>
          <w:lang w:val="ro-RO"/>
        </w:rPr>
        <w:t>respectiv</w:t>
      </w:r>
      <w:r>
        <w:rPr>
          <w:b/>
          <w:sz w:val="24"/>
          <w:szCs w:val="24"/>
          <w:lang w:val="ro-RO"/>
        </w:rPr>
        <w:t xml:space="preserve"> 15%, </w:t>
      </w:r>
      <w:r>
        <w:rPr>
          <w:sz w:val="24"/>
          <w:szCs w:val="24"/>
          <w:lang w:val="ro-RO"/>
        </w:rPr>
        <w:t xml:space="preserve">din punctajul total, per total semnificativ mai ridicată decât ponderea acordată factorului de evaluare 1, ținând cont atât de ponderea valorică semnificativ mai mare a serviciilor de operare, raportat la valoarea totală estimată a contractului ce urmează să fie atribuit, cât și de durata semnificativ mai mare pe parcursul căreia vor fi prestate serviciile de operare (10 ani din totalul duratei de 12 ani a Contractului). </w:t>
      </w:r>
    </w:p>
    <w:p>
      <w:pPr>
        <w:spacing w:after="120" w:line="276" w:lineRule="auto"/>
        <w:jc w:val="both"/>
        <w:rPr>
          <w:sz w:val="24"/>
          <w:szCs w:val="24"/>
          <w:lang w:val="ro-RO"/>
        </w:rPr>
      </w:pPr>
      <w:r>
        <w:rPr>
          <w:sz w:val="24"/>
          <w:szCs w:val="24"/>
          <w:lang w:val="ro-RO"/>
        </w:rPr>
        <w:t xml:space="preserve">La stabilirea ponderilor aferente celor doi subfactori a factorului 2 (30% pentru tariful ofertat pentru tratarea mecano-biologică a deșeurilor reziduale, 15% pentru tariful ofertat pentru tratarea bio-deșeurilor colectate separat) se are în vedere importanța relativă, din punct de vedere valoric, a fiecăreia dintre </w:t>
      </w:r>
      <w:r>
        <w:rPr>
          <w:sz w:val="24"/>
          <w:szCs w:val="24"/>
          <w:lang w:val="ro-RO"/>
        </w:rPr>
        <w:lastRenderedPageBreak/>
        <w:t>aceste activități aferente etapei de operare din cadrul Contractului, (a se vedea „Determinarea şi justificarea valorii estimate”, din cuprinsul prezentei strategii de contractare), cantitatea de deșeuri reziduale tratate mecano-biologic reprezentând, de fapt, ponderea dominantă a deșeurilor tratate in instalatie și cu impactul cel mai mare in atingerea obiectivelor și țintelor prevăzute de legislatie și totodata cu impactul cel mai mare in pretul total al sistemului de gestionare a deșeurilor la nivelul judetului Galati.</w:t>
      </w:r>
    </w:p>
    <w:p>
      <w:pPr>
        <w:spacing w:after="120" w:line="276" w:lineRule="auto"/>
        <w:jc w:val="both"/>
        <w:rPr>
          <w:sz w:val="24"/>
          <w:szCs w:val="24"/>
          <w:lang w:val="ro-RO"/>
        </w:rPr>
      </w:pPr>
      <w:r>
        <w:rPr>
          <w:sz w:val="24"/>
          <w:szCs w:val="24"/>
          <w:lang w:val="ro-RO"/>
        </w:rPr>
        <w:t>Avantajul urmărit de autoritatea contractantă, prin utilizarea factorului de evaluare 2 (respectiv a celor doi subfactori aferenți acestuia) rezidă în obținerea unor oferte cu preț avantajos, dar în același timp realist, pentru serviciile de operare a instalațiilor de tratare a deșeurilor, construite prin Contract, asigurând astfel utilizarea judicioasă a fondurilor publice și operarea în condiții de eficiență a acestei componente a serviciului de salubritate, astfel încât să se asigure îndeplinirea țintelor asumate de România în domeniul gestionării deșeurilor.</w:t>
      </w:r>
    </w:p>
    <w:p>
      <w:pPr>
        <w:spacing w:line="276" w:lineRule="auto"/>
        <w:jc w:val="both"/>
        <w:rPr>
          <w:sz w:val="24"/>
          <w:szCs w:val="24"/>
          <w:lang w:val="ro-RO"/>
        </w:rPr>
      </w:pPr>
      <w:r>
        <w:rPr>
          <w:sz w:val="24"/>
          <w:szCs w:val="24"/>
          <w:lang w:val="ro-RO"/>
        </w:rPr>
        <w:t>Subfactorii de evaluare aferenți factorului 3 se referă la calitatea tehnică a ofertelor prezentate, prin prisma calității serviciilor de proiectare ofertate și a execuției lucrărilor de construcții, respectiv a calității serviciilor de operare a instalațiilor construite, toate aceste aspecte fiind reflectate de asigurarea unui nivel cât mai ridicat de protecție a mediului, cuantificabil prin intermediul următoarelor aspecte:</w:t>
      </w:r>
    </w:p>
    <w:p>
      <w:pPr>
        <w:numPr>
          <w:ilvl w:val="4"/>
          <w:numId w:val="18"/>
        </w:numPr>
        <w:spacing w:line="276" w:lineRule="auto"/>
        <w:jc w:val="both"/>
        <w:rPr>
          <w:sz w:val="24"/>
          <w:szCs w:val="24"/>
          <w:lang w:val="ro-RO"/>
        </w:rPr>
      </w:pPr>
      <w:r>
        <w:rPr>
          <w:sz w:val="24"/>
          <w:szCs w:val="24"/>
          <w:lang w:val="ro-RO"/>
        </w:rPr>
        <w:t xml:space="preserve">procent </w:t>
      </w:r>
      <w:r>
        <w:rPr>
          <w:sz w:val="24"/>
          <w:szCs w:val="24"/>
          <w:u w:val="single"/>
          <w:lang w:val="ro-RO"/>
        </w:rPr>
        <w:t>cât mai scăzut</w:t>
      </w:r>
      <w:r>
        <w:rPr>
          <w:sz w:val="24"/>
          <w:szCs w:val="24"/>
          <w:lang w:val="ro-RO"/>
        </w:rPr>
        <w:t xml:space="preserve"> de materiale eliminate prin depozitare,</w:t>
      </w:r>
    </w:p>
    <w:p>
      <w:pPr>
        <w:numPr>
          <w:ilvl w:val="4"/>
          <w:numId w:val="18"/>
        </w:numPr>
        <w:spacing w:line="276" w:lineRule="auto"/>
        <w:jc w:val="both"/>
        <w:rPr>
          <w:sz w:val="24"/>
          <w:szCs w:val="24"/>
          <w:lang w:val="ro-RO"/>
        </w:rPr>
      </w:pPr>
      <w:r>
        <w:rPr>
          <w:sz w:val="24"/>
          <w:szCs w:val="24"/>
          <w:lang w:val="ro-RO"/>
        </w:rPr>
        <w:t xml:space="preserve">procent </w:t>
      </w:r>
      <w:r>
        <w:rPr>
          <w:sz w:val="24"/>
          <w:szCs w:val="24"/>
          <w:u w:val="single"/>
          <w:lang w:val="ro-RO"/>
        </w:rPr>
        <w:t>cât mai ridicat</w:t>
      </w:r>
      <w:r>
        <w:rPr>
          <w:sz w:val="24"/>
          <w:szCs w:val="24"/>
          <w:lang w:val="ro-RO"/>
        </w:rPr>
        <w:t xml:space="preserve"> de deșeuri reciclabile extrase, în vederea valorificării materiale, din deșeurile mixte,</w:t>
      </w:r>
    </w:p>
    <w:p>
      <w:pPr>
        <w:numPr>
          <w:ilvl w:val="4"/>
          <w:numId w:val="18"/>
        </w:numPr>
        <w:spacing w:line="276" w:lineRule="auto"/>
        <w:jc w:val="both"/>
        <w:rPr>
          <w:sz w:val="24"/>
          <w:szCs w:val="24"/>
          <w:lang w:val="ro-RO"/>
        </w:rPr>
      </w:pPr>
      <w:r>
        <w:rPr>
          <w:sz w:val="24"/>
          <w:szCs w:val="24"/>
          <w:lang w:val="ro-RO"/>
        </w:rPr>
        <w:t xml:space="preserve">indice </w:t>
      </w:r>
      <w:r>
        <w:rPr>
          <w:sz w:val="24"/>
          <w:szCs w:val="24"/>
          <w:u w:val="single"/>
          <w:lang w:val="ro-RO"/>
        </w:rPr>
        <w:t>cât mai ridicat</w:t>
      </w:r>
      <w:r>
        <w:rPr>
          <w:sz w:val="24"/>
          <w:szCs w:val="24"/>
          <w:lang w:val="ro-RO"/>
        </w:rPr>
        <w:t xml:space="preserve"> de generare a biogazului.</w:t>
      </w:r>
    </w:p>
    <w:p>
      <w:pPr>
        <w:spacing w:line="276" w:lineRule="auto"/>
        <w:jc w:val="both"/>
        <w:rPr>
          <w:sz w:val="24"/>
          <w:szCs w:val="24"/>
          <w:lang w:val="ro-RO"/>
        </w:rPr>
      </w:pPr>
    </w:p>
    <w:p>
      <w:pPr>
        <w:spacing w:after="120" w:line="276" w:lineRule="auto"/>
        <w:jc w:val="both"/>
        <w:rPr>
          <w:sz w:val="24"/>
          <w:szCs w:val="24"/>
          <w:lang w:val="ro-RO"/>
        </w:rPr>
      </w:pPr>
      <w:r>
        <w:rPr>
          <w:sz w:val="24"/>
          <w:szCs w:val="24"/>
          <w:lang w:val="ro-RO"/>
        </w:rPr>
        <w:t>Avantajul urmărit de autoritatea contractantă, prin utilizarea factorului de evaluare 3 (respectit a celor trei subfactori aferenți acestuia), rezidă în obținerea unor oferte care să prevadă proiectarea, execuția și operarea în condiții cât mai eficiente a instalațiilor de tratare a deșeurilor care fac obiectul contractului ce urmează să fie atribuit, prin prisma asigurării unui nivel cât mai ridicat de protecție a mediului, conform documentelor programatice în domeniu (Planul Național de Gestionare a Deșeurilor, Planul Județean de gestionare a Deșeurilor, etc.) și obligațiilor asumate de România prin Tratatul de Aderare.</w:t>
      </w:r>
    </w:p>
    <w:p>
      <w:pPr>
        <w:spacing w:after="120" w:line="276" w:lineRule="auto"/>
        <w:jc w:val="both"/>
        <w:rPr>
          <w:sz w:val="24"/>
          <w:szCs w:val="24"/>
          <w:lang w:val="ro-RO"/>
        </w:rPr>
      </w:pPr>
      <w:r>
        <w:rPr>
          <w:sz w:val="24"/>
          <w:szCs w:val="24"/>
          <w:lang w:val="ro-RO"/>
        </w:rPr>
        <w:t>Totodată, suma ponderilor acordate factorilor de evaluare 2 și 3, ambii raportându-se la comnponenta de operare din cadrul Contractului, respectiv 75%, este apropiată de ponderea (aprox 76%) aferentă activității de operare, raportat la valoarea totală estimată a contractului ce urmează să fie atribuit. În acest mod se asigură proporționalitatea între factorii de evaluare care privesc componenta de proiectare și execuție, respectiv componenta de operare a instalațiilor, din cadrul contractului ce urmează să fie atribuit.</w:t>
      </w:r>
    </w:p>
    <w:p>
      <w:pPr>
        <w:spacing w:line="276" w:lineRule="auto"/>
        <w:jc w:val="both"/>
        <w:rPr>
          <w:sz w:val="24"/>
          <w:szCs w:val="24"/>
          <w:lang w:val="ro-RO"/>
        </w:rPr>
      </w:pPr>
    </w:p>
    <w:p>
      <w:pPr>
        <w:numPr>
          <w:ilvl w:val="1"/>
          <w:numId w:val="22"/>
        </w:numPr>
        <w:spacing w:line="276" w:lineRule="auto"/>
        <w:jc w:val="both"/>
        <w:rPr>
          <w:b/>
          <w:bCs/>
          <w:sz w:val="24"/>
          <w:szCs w:val="24"/>
          <w:lang w:val="ro-RO"/>
        </w:rPr>
      </w:pPr>
      <w:r>
        <w:rPr>
          <w:b/>
          <w:bCs/>
          <w:sz w:val="24"/>
          <w:szCs w:val="24"/>
          <w:lang w:val="ro-RO"/>
        </w:rPr>
        <w:t>Riscuri: Alocarea riscurilor în cadrul contractului, măsuri de gestionare a riscurilor</w:t>
      </w:r>
    </w:p>
    <w:p>
      <w:pPr>
        <w:spacing w:line="276" w:lineRule="auto"/>
        <w:jc w:val="both"/>
        <w:rPr>
          <w:b/>
          <w:sz w:val="24"/>
          <w:szCs w:val="24"/>
          <w:lang w:val="ro-RO"/>
        </w:rPr>
      </w:pPr>
    </w:p>
    <w:p>
      <w:pPr>
        <w:spacing w:line="276" w:lineRule="auto"/>
        <w:jc w:val="both"/>
        <w:rPr>
          <w:sz w:val="24"/>
          <w:szCs w:val="24"/>
          <w:lang w:val="ro-RO"/>
        </w:rPr>
      </w:pPr>
      <w:r>
        <w:rPr>
          <w:sz w:val="24"/>
          <w:szCs w:val="24"/>
          <w:lang w:val="ro-RO"/>
        </w:rPr>
        <w:t>În tabelul de mai jos sunt prezentate riscurile identificate în relație cu îndeplinirea contractului, modul de alocare a acestora în cadrul contractului şi măsurile de gestionare a riscurilor identificate.</w:t>
      </w:r>
    </w:p>
    <w:p>
      <w:pPr>
        <w:spacing w:line="276" w:lineRule="auto"/>
        <w:jc w:val="both"/>
        <w:rPr>
          <w:sz w:val="24"/>
          <w:szCs w:val="24"/>
          <w:lang w:val="ro-RO"/>
        </w:rPr>
      </w:pPr>
    </w:p>
    <w:p>
      <w:pPr>
        <w:spacing w:line="276" w:lineRule="auto"/>
        <w:jc w:val="both"/>
        <w:rPr>
          <w:sz w:val="24"/>
          <w:szCs w:val="24"/>
          <w:lang w:val="ro-RO"/>
        </w:rPr>
      </w:pPr>
      <w:r>
        <w:rPr>
          <w:sz w:val="24"/>
          <w:szCs w:val="24"/>
          <w:lang w:val="ro-RO"/>
        </w:rPr>
        <w:t>Sunt excluse riscurile care vor fi prevăzute în contractul dintre părţi şi pentru care există prevederi contractuale.</w:t>
      </w:r>
    </w:p>
    <w:p>
      <w:pPr>
        <w:spacing w:line="276" w:lineRule="auto"/>
        <w:jc w:val="both"/>
        <w:rPr>
          <w:sz w:val="24"/>
          <w:szCs w:val="24"/>
          <w:lang w:val="ro-RO"/>
        </w:rPr>
      </w:pPr>
    </w:p>
    <w:p>
      <w:pPr>
        <w:spacing w:line="276" w:lineRule="auto"/>
        <w:jc w:val="both"/>
        <w:rPr>
          <w:sz w:val="24"/>
          <w:szCs w:val="24"/>
          <w:lang w:val="ro-RO"/>
        </w:rPr>
      </w:pPr>
      <w:r>
        <w:rPr>
          <w:sz w:val="24"/>
          <w:szCs w:val="24"/>
          <w:lang w:val="ro-RO"/>
        </w:rPr>
        <w:lastRenderedPageBreak/>
        <w:t>Nu sunt considerate riscuri toate condiţiile stipulate în Documentaţia de atribuire, condiţii ce trebuie îndeplinite de către Operator (ex. asigurarea cu personal, dotare minimală, autorizări și experienţă relevantă, sisteme de management etc).</w:t>
      </w:r>
    </w:p>
    <w:p>
      <w:pPr>
        <w:spacing w:line="276" w:lineRule="auto"/>
        <w:jc w:val="both"/>
        <w:rPr>
          <w:sz w:val="24"/>
          <w:szCs w:val="24"/>
          <w:lang w:val="ro-RO"/>
        </w:rPr>
      </w:pPr>
    </w:p>
    <w:p>
      <w:pPr>
        <w:spacing w:line="276" w:lineRule="auto"/>
        <w:jc w:val="both"/>
        <w:rPr>
          <w:sz w:val="24"/>
          <w:szCs w:val="24"/>
          <w:lang w:val="ro-RO"/>
        </w:rPr>
      </w:pPr>
      <w:r>
        <w:rPr>
          <w:sz w:val="24"/>
          <w:szCs w:val="24"/>
          <w:lang w:val="ro-RO"/>
        </w:rPr>
        <w:t>În această categorie sunt cuprinse toate angajamentele asumate ca atare, prin ofertă, de către Operator. Prin urmare, toate acestea sunt responsabilităţi exclusive ale Operatorului, pe toată durata de derulare a Contractului.</w:t>
      </w:r>
    </w:p>
    <w:p>
      <w:pPr>
        <w:rPr>
          <w:sz w:val="24"/>
          <w:szCs w:val="24"/>
          <w:lang w:val="ro-RO"/>
        </w:rPr>
      </w:pPr>
    </w:p>
    <w:p>
      <w:pPr>
        <w:rPr>
          <w:sz w:val="24"/>
          <w:szCs w:val="24"/>
          <w:lang w:val="ro-RO"/>
        </w:rPr>
        <w:sectPr>
          <w:footerReference w:type="default" r:id="rId9"/>
          <w:type w:val="continuous"/>
          <w:pgSz w:w="11900" w:h="16840"/>
          <w:pgMar w:top="1060" w:right="700" w:bottom="1080" w:left="1280" w:header="340" w:footer="818" w:gutter="0"/>
          <w:cols w:space="720"/>
        </w:sectPr>
      </w:pPr>
    </w:p>
    <w:tbl>
      <w:tblPr>
        <w:tblW w:w="144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26"/>
        <w:gridCol w:w="2876"/>
        <w:gridCol w:w="2684"/>
        <w:gridCol w:w="1215"/>
        <w:gridCol w:w="1169"/>
        <w:gridCol w:w="3045"/>
        <w:gridCol w:w="2910"/>
      </w:tblGrid>
      <w:tr>
        <w:trPr>
          <w:tblHeader/>
        </w:trPr>
        <w:tc>
          <w:tcPr>
            <w:tcW w:w="526" w:type="dxa"/>
            <w:vMerge w:val="restart"/>
            <w:shd w:val="clear" w:color="auto" w:fill="D9D9D9"/>
            <w:vAlign w:val="center"/>
          </w:tcPr>
          <w:p>
            <w:pPr>
              <w:spacing w:after="240" w:line="276" w:lineRule="auto"/>
              <w:jc w:val="center"/>
              <w:rPr>
                <w:b/>
                <w:bCs/>
                <w:kern w:val="28"/>
                <w:sz w:val="18"/>
                <w:szCs w:val="18"/>
              </w:rPr>
            </w:pPr>
            <w:r>
              <w:rPr>
                <w:b/>
                <w:bCs/>
                <w:kern w:val="28"/>
                <w:sz w:val="18"/>
                <w:szCs w:val="18"/>
              </w:rPr>
              <w:lastRenderedPageBreak/>
              <w:t>Nr.</w:t>
            </w:r>
          </w:p>
        </w:tc>
        <w:tc>
          <w:tcPr>
            <w:tcW w:w="2876" w:type="dxa"/>
            <w:vMerge w:val="restart"/>
            <w:shd w:val="clear" w:color="auto" w:fill="D9D9D9"/>
            <w:vAlign w:val="center"/>
          </w:tcPr>
          <w:p>
            <w:pPr>
              <w:spacing w:after="240" w:line="276" w:lineRule="auto"/>
              <w:jc w:val="center"/>
              <w:rPr>
                <w:b/>
                <w:bCs/>
                <w:kern w:val="28"/>
                <w:sz w:val="18"/>
                <w:szCs w:val="18"/>
              </w:rPr>
            </w:pPr>
            <w:r>
              <w:rPr>
                <w:b/>
                <w:bCs/>
                <w:kern w:val="28"/>
                <w:sz w:val="18"/>
                <w:szCs w:val="18"/>
              </w:rPr>
              <w:t>Denumirea riscului</w:t>
            </w:r>
          </w:p>
        </w:tc>
        <w:tc>
          <w:tcPr>
            <w:tcW w:w="2684" w:type="dxa"/>
            <w:vMerge w:val="restart"/>
            <w:shd w:val="clear" w:color="auto" w:fill="D9D9D9"/>
            <w:vAlign w:val="center"/>
          </w:tcPr>
          <w:p>
            <w:pPr>
              <w:spacing w:after="240" w:line="276" w:lineRule="auto"/>
              <w:jc w:val="center"/>
              <w:rPr>
                <w:b/>
                <w:bCs/>
                <w:kern w:val="28"/>
                <w:sz w:val="18"/>
                <w:szCs w:val="18"/>
              </w:rPr>
            </w:pPr>
            <w:r>
              <w:rPr>
                <w:b/>
                <w:bCs/>
                <w:kern w:val="28"/>
                <w:sz w:val="18"/>
                <w:szCs w:val="18"/>
              </w:rPr>
              <w:t>Descrierea riscului</w:t>
            </w:r>
          </w:p>
        </w:tc>
        <w:tc>
          <w:tcPr>
            <w:tcW w:w="2384" w:type="dxa"/>
            <w:gridSpan w:val="2"/>
            <w:shd w:val="clear" w:color="auto" w:fill="D9D9D9"/>
            <w:vAlign w:val="center"/>
          </w:tcPr>
          <w:p>
            <w:pPr>
              <w:spacing w:after="240" w:line="276" w:lineRule="auto"/>
              <w:jc w:val="center"/>
              <w:rPr>
                <w:b/>
                <w:bCs/>
                <w:kern w:val="28"/>
                <w:sz w:val="18"/>
                <w:szCs w:val="18"/>
              </w:rPr>
            </w:pPr>
            <w:r>
              <w:rPr>
                <w:b/>
                <w:bCs/>
                <w:kern w:val="28"/>
                <w:sz w:val="18"/>
                <w:szCs w:val="18"/>
              </w:rPr>
              <w:t>Alocare</w:t>
            </w:r>
          </w:p>
        </w:tc>
        <w:tc>
          <w:tcPr>
            <w:tcW w:w="3045" w:type="dxa"/>
            <w:vMerge w:val="restart"/>
            <w:shd w:val="clear" w:color="auto" w:fill="D9D9D9"/>
            <w:vAlign w:val="center"/>
          </w:tcPr>
          <w:p>
            <w:pPr>
              <w:spacing w:after="240" w:line="276" w:lineRule="auto"/>
              <w:jc w:val="center"/>
              <w:rPr>
                <w:b/>
                <w:bCs/>
                <w:kern w:val="28"/>
                <w:sz w:val="18"/>
                <w:szCs w:val="18"/>
              </w:rPr>
            </w:pPr>
            <w:r>
              <w:rPr>
                <w:b/>
                <w:bCs/>
                <w:kern w:val="28"/>
                <w:sz w:val="18"/>
                <w:szCs w:val="18"/>
              </w:rPr>
              <w:t>Consecințe</w:t>
            </w:r>
          </w:p>
        </w:tc>
        <w:tc>
          <w:tcPr>
            <w:tcW w:w="2910" w:type="dxa"/>
            <w:vMerge w:val="restart"/>
            <w:shd w:val="clear" w:color="auto" w:fill="D9D9D9"/>
            <w:vAlign w:val="center"/>
          </w:tcPr>
          <w:p>
            <w:pPr>
              <w:spacing w:after="240" w:line="276" w:lineRule="auto"/>
              <w:jc w:val="center"/>
              <w:rPr>
                <w:b/>
                <w:bCs/>
                <w:kern w:val="28"/>
                <w:sz w:val="18"/>
                <w:szCs w:val="18"/>
              </w:rPr>
            </w:pPr>
            <w:r>
              <w:rPr>
                <w:b/>
                <w:bCs/>
                <w:kern w:val="28"/>
                <w:sz w:val="18"/>
                <w:szCs w:val="18"/>
              </w:rPr>
              <w:t>Managementul riscului</w:t>
            </w:r>
          </w:p>
        </w:tc>
      </w:tr>
      <w:tr>
        <w:trPr>
          <w:tblHeader/>
        </w:trPr>
        <w:tc>
          <w:tcPr>
            <w:tcW w:w="526" w:type="dxa"/>
            <w:vMerge/>
            <w:vAlign w:val="center"/>
          </w:tcPr>
          <w:p>
            <w:pPr>
              <w:spacing w:after="240" w:line="276" w:lineRule="auto"/>
              <w:rPr>
                <w:b/>
                <w:bCs/>
                <w:kern w:val="28"/>
                <w:sz w:val="18"/>
                <w:szCs w:val="18"/>
              </w:rPr>
            </w:pPr>
          </w:p>
        </w:tc>
        <w:tc>
          <w:tcPr>
            <w:tcW w:w="2876" w:type="dxa"/>
            <w:vMerge/>
            <w:vAlign w:val="center"/>
          </w:tcPr>
          <w:p>
            <w:pPr>
              <w:spacing w:after="240" w:line="276" w:lineRule="auto"/>
              <w:rPr>
                <w:b/>
                <w:bCs/>
                <w:kern w:val="28"/>
                <w:sz w:val="18"/>
                <w:szCs w:val="18"/>
              </w:rPr>
            </w:pPr>
          </w:p>
        </w:tc>
        <w:tc>
          <w:tcPr>
            <w:tcW w:w="2684" w:type="dxa"/>
            <w:vMerge/>
            <w:vAlign w:val="center"/>
          </w:tcPr>
          <w:p>
            <w:pPr>
              <w:spacing w:after="240" w:line="276" w:lineRule="auto"/>
              <w:rPr>
                <w:b/>
                <w:bCs/>
                <w:kern w:val="28"/>
                <w:sz w:val="18"/>
                <w:szCs w:val="18"/>
              </w:rPr>
            </w:pPr>
          </w:p>
        </w:tc>
        <w:tc>
          <w:tcPr>
            <w:tcW w:w="1215" w:type="dxa"/>
            <w:shd w:val="clear" w:color="auto" w:fill="D9D9D9"/>
            <w:vAlign w:val="center"/>
          </w:tcPr>
          <w:p>
            <w:pPr>
              <w:spacing w:after="240" w:line="276" w:lineRule="auto"/>
              <w:jc w:val="center"/>
              <w:rPr>
                <w:b/>
                <w:bCs/>
                <w:kern w:val="28"/>
                <w:sz w:val="18"/>
                <w:szCs w:val="18"/>
              </w:rPr>
            </w:pPr>
            <w:r>
              <w:rPr>
                <w:b/>
                <w:bCs/>
                <w:kern w:val="28"/>
                <w:sz w:val="18"/>
                <w:szCs w:val="18"/>
              </w:rPr>
              <w:t>Delegatar</w:t>
            </w:r>
          </w:p>
        </w:tc>
        <w:tc>
          <w:tcPr>
            <w:tcW w:w="1169" w:type="dxa"/>
            <w:shd w:val="clear" w:color="auto" w:fill="D9D9D9"/>
            <w:vAlign w:val="center"/>
          </w:tcPr>
          <w:p>
            <w:pPr>
              <w:spacing w:after="240" w:line="276" w:lineRule="auto"/>
              <w:jc w:val="center"/>
              <w:rPr>
                <w:b/>
                <w:bCs/>
                <w:kern w:val="28"/>
                <w:sz w:val="18"/>
                <w:szCs w:val="18"/>
              </w:rPr>
            </w:pPr>
            <w:r>
              <w:rPr>
                <w:b/>
                <w:bCs/>
                <w:kern w:val="28"/>
                <w:sz w:val="18"/>
                <w:szCs w:val="18"/>
              </w:rPr>
              <w:t>Delegat</w:t>
            </w:r>
          </w:p>
        </w:tc>
        <w:tc>
          <w:tcPr>
            <w:tcW w:w="3045" w:type="dxa"/>
            <w:vMerge/>
            <w:vAlign w:val="center"/>
          </w:tcPr>
          <w:p>
            <w:pPr>
              <w:spacing w:after="240" w:line="276" w:lineRule="auto"/>
              <w:rPr>
                <w:b/>
                <w:bCs/>
                <w:kern w:val="28"/>
                <w:sz w:val="18"/>
                <w:szCs w:val="18"/>
              </w:rPr>
            </w:pPr>
          </w:p>
        </w:tc>
        <w:tc>
          <w:tcPr>
            <w:tcW w:w="2910" w:type="dxa"/>
            <w:vMerge/>
            <w:vAlign w:val="center"/>
          </w:tcPr>
          <w:p>
            <w:pPr>
              <w:spacing w:after="240" w:line="276" w:lineRule="auto"/>
              <w:rPr>
                <w:b/>
                <w:bCs/>
                <w:kern w:val="28"/>
                <w:sz w:val="18"/>
                <w:szCs w:val="18"/>
              </w:rPr>
            </w:pPr>
          </w:p>
        </w:tc>
      </w:tr>
      <w:tr>
        <w:tc>
          <w:tcPr>
            <w:tcW w:w="14425" w:type="dxa"/>
            <w:gridSpan w:val="7"/>
            <w:vAlign w:val="center"/>
          </w:tcPr>
          <w:p>
            <w:pPr>
              <w:spacing w:line="320" w:lineRule="exact"/>
              <w:jc w:val="both"/>
              <w:rPr>
                <w:b/>
                <w:i/>
                <w:sz w:val="18"/>
                <w:szCs w:val="18"/>
                <w:lang w:val="pt-BR"/>
              </w:rPr>
            </w:pPr>
            <w:r>
              <w:rPr>
                <w:b/>
                <w:i/>
                <w:sz w:val="18"/>
                <w:szCs w:val="18"/>
                <w:lang w:val="pt-BR"/>
              </w:rPr>
              <w:t xml:space="preserve">Riscuri generale privind amplasamentul instalațiilor </w:t>
            </w:r>
          </w:p>
        </w:tc>
      </w:tr>
      <w:tr>
        <w:trPr>
          <w:trHeight w:val="1544"/>
        </w:trPr>
        <w:tc>
          <w:tcPr>
            <w:tcW w:w="526" w:type="dxa"/>
            <w:vAlign w:val="center"/>
          </w:tcPr>
          <w:p>
            <w:pPr>
              <w:numPr>
                <w:ilvl w:val="0"/>
                <w:numId w:val="26"/>
              </w:numPr>
              <w:spacing w:after="240" w:line="276" w:lineRule="auto"/>
              <w:ind w:left="0" w:firstLine="0"/>
              <w:jc w:val="center"/>
              <w:rPr>
                <w:b/>
                <w:bCs/>
                <w:color w:val="000000"/>
                <w:kern w:val="28"/>
                <w:sz w:val="18"/>
                <w:szCs w:val="18"/>
                <w:lang w:val="pt-BR"/>
              </w:rPr>
            </w:pPr>
          </w:p>
        </w:tc>
        <w:tc>
          <w:tcPr>
            <w:tcW w:w="2876" w:type="dxa"/>
            <w:vAlign w:val="center"/>
          </w:tcPr>
          <w:p>
            <w:pPr>
              <w:spacing w:after="240" w:line="276" w:lineRule="auto"/>
              <w:rPr>
                <w:color w:val="000000"/>
                <w:kern w:val="28"/>
                <w:sz w:val="18"/>
                <w:szCs w:val="18"/>
              </w:rPr>
            </w:pPr>
            <w:r>
              <w:rPr>
                <w:color w:val="000000"/>
                <w:sz w:val="18"/>
                <w:szCs w:val="18"/>
              </w:rPr>
              <w:t xml:space="preserve">Restricționarea accesului pe amplasamente </w:t>
            </w:r>
          </w:p>
        </w:tc>
        <w:tc>
          <w:tcPr>
            <w:tcW w:w="2684" w:type="dxa"/>
            <w:vAlign w:val="center"/>
          </w:tcPr>
          <w:p>
            <w:pPr>
              <w:spacing w:after="240" w:line="276" w:lineRule="auto"/>
              <w:rPr>
                <w:color w:val="000000"/>
                <w:kern w:val="28"/>
                <w:sz w:val="18"/>
                <w:szCs w:val="18"/>
              </w:rPr>
            </w:pPr>
            <w:r>
              <w:rPr>
                <w:color w:val="000000"/>
                <w:sz w:val="18"/>
                <w:szCs w:val="18"/>
              </w:rPr>
              <w:t xml:space="preserve">În urma unei acțiuni în instanță, un fost sau pretins proprietar poate obține un ordin de restricționare a accesului </w:t>
            </w: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jc w:val="center"/>
              <w:rPr>
                <w:color w:val="000000"/>
                <w:kern w:val="28"/>
                <w:sz w:val="18"/>
                <w:szCs w:val="18"/>
              </w:rPr>
            </w:pPr>
          </w:p>
        </w:tc>
        <w:tc>
          <w:tcPr>
            <w:tcW w:w="3045" w:type="dxa"/>
            <w:vAlign w:val="center"/>
          </w:tcPr>
          <w:p>
            <w:pPr>
              <w:spacing w:after="120" w:line="276" w:lineRule="auto"/>
              <w:rPr>
                <w:color w:val="000000"/>
                <w:kern w:val="28"/>
                <w:sz w:val="18"/>
                <w:szCs w:val="18"/>
              </w:rPr>
            </w:pPr>
            <w:r>
              <w:rPr>
                <w:color w:val="000000"/>
                <w:kern w:val="28"/>
                <w:sz w:val="18"/>
                <w:szCs w:val="18"/>
              </w:rPr>
              <w:t>Această situație poate apărea atât în etapa de execuție, cât și în etapa de operare.</w:t>
            </w:r>
          </w:p>
          <w:p>
            <w:pPr>
              <w:spacing w:after="120" w:line="276" w:lineRule="auto"/>
              <w:rPr>
                <w:color w:val="000000"/>
                <w:kern w:val="28"/>
                <w:sz w:val="18"/>
                <w:szCs w:val="18"/>
              </w:rPr>
            </w:pPr>
            <w:r>
              <w:rPr>
                <w:color w:val="000000"/>
                <w:kern w:val="28"/>
                <w:sz w:val="18"/>
                <w:szCs w:val="18"/>
              </w:rPr>
              <w:t>Activitatea poate fi temporar întreruptă, până la rezolvarea situației.</w:t>
            </w:r>
          </w:p>
        </w:tc>
        <w:tc>
          <w:tcPr>
            <w:tcW w:w="2910" w:type="dxa"/>
            <w:vAlign w:val="center"/>
          </w:tcPr>
          <w:p>
            <w:pPr>
              <w:spacing w:after="240" w:line="276" w:lineRule="auto"/>
              <w:rPr>
                <w:color w:val="000000"/>
                <w:kern w:val="28"/>
                <w:sz w:val="18"/>
                <w:szCs w:val="18"/>
              </w:rPr>
            </w:pPr>
            <w:r>
              <w:rPr>
                <w:color w:val="000000"/>
                <w:kern w:val="28"/>
                <w:sz w:val="18"/>
                <w:szCs w:val="18"/>
              </w:rPr>
              <w:t>CJ Galați va lua toate măsurile pentru ca situația terenului și a drumului de acces să fie clarificate până la momentul începerii contractului</w:t>
            </w:r>
          </w:p>
        </w:tc>
      </w:tr>
      <w:tr>
        <w:trPr>
          <w:trHeight w:val="120"/>
        </w:trPr>
        <w:tc>
          <w:tcPr>
            <w:tcW w:w="526" w:type="dxa"/>
            <w:vAlign w:val="center"/>
          </w:tcPr>
          <w:p>
            <w:pPr>
              <w:numPr>
                <w:ilvl w:val="0"/>
                <w:numId w:val="26"/>
              </w:numPr>
              <w:spacing w:after="240" w:line="276" w:lineRule="auto"/>
              <w:ind w:left="0" w:firstLine="0"/>
              <w:jc w:val="center"/>
              <w:rPr>
                <w:b/>
                <w:bCs/>
                <w:color w:val="000000"/>
                <w:kern w:val="28"/>
                <w:sz w:val="18"/>
                <w:szCs w:val="18"/>
              </w:rPr>
            </w:pPr>
          </w:p>
        </w:tc>
        <w:tc>
          <w:tcPr>
            <w:tcW w:w="2876" w:type="dxa"/>
            <w:vAlign w:val="center"/>
          </w:tcPr>
          <w:p>
            <w:pPr>
              <w:spacing w:after="240" w:line="276" w:lineRule="auto"/>
              <w:rPr>
                <w:color w:val="000000"/>
                <w:kern w:val="28"/>
                <w:sz w:val="18"/>
                <w:szCs w:val="18"/>
                <w:lang w:val="pt-BR"/>
              </w:rPr>
            </w:pPr>
            <w:r>
              <w:rPr>
                <w:color w:val="000000"/>
                <w:sz w:val="18"/>
                <w:szCs w:val="18"/>
                <w:lang w:val="pt-BR"/>
              </w:rPr>
              <w:t xml:space="preserve">Restricții induse de folosința terenurilor învecinate </w:t>
            </w:r>
          </w:p>
        </w:tc>
        <w:tc>
          <w:tcPr>
            <w:tcW w:w="2684" w:type="dxa"/>
            <w:vAlign w:val="center"/>
          </w:tcPr>
          <w:p>
            <w:pPr>
              <w:spacing w:after="240" w:line="276" w:lineRule="auto"/>
              <w:rPr>
                <w:color w:val="000000"/>
                <w:kern w:val="28"/>
                <w:sz w:val="18"/>
                <w:szCs w:val="18"/>
              </w:rPr>
            </w:pPr>
            <w:r>
              <w:rPr>
                <w:color w:val="000000"/>
                <w:sz w:val="18"/>
                <w:szCs w:val="18"/>
              </w:rPr>
              <w:t xml:space="preserve">Pe durata Contractului CL 04, folosința terenurilor învecinate poate suferi modificări care pot genera un impact negativ asupra proiectului. </w:t>
            </w: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jc w:val="center"/>
              <w:rPr>
                <w:color w:val="000000"/>
                <w:kern w:val="28"/>
                <w:sz w:val="18"/>
                <w:szCs w:val="18"/>
              </w:rPr>
            </w:pPr>
          </w:p>
        </w:tc>
        <w:tc>
          <w:tcPr>
            <w:tcW w:w="3045" w:type="dxa"/>
            <w:vAlign w:val="center"/>
          </w:tcPr>
          <w:p>
            <w:pPr>
              <w:spacing w:after="240" w:line="276" w:lineRule="auto"/>
              <w:rPr>
                <w:color w:val="000000"/>
                <w:kern w:val="28"/>
                <w:sz w:val="18"/>
                <w:szCs w:val="18"/>
                <w:lang w:val="pt-BR"/>
              </w:rPr>
            </w:pPr>
            <w:r>
              <w:rPr>
                <w:color w:val="000000"/>
                <w:kern w:val="28"/>
                <w:sz w:val="18"/>
                <w:szCs w:val="18"/>
                <w:lang w:val="pt-BR"/>
              </w:rPr>
              <w:t>Activitatea operatorului este afectată, cu efect asupra costurilor acestuia (care vor crește), sau activitatea va putea fi temporar întreruptă</w:t>
            </w:r>
          </w:p>
        </w:tc>
        <w:tc>
          <w:tcPr>
            <w:tcW w:w="2910" w:type="dxa"/>
            <w:vAlign w:val="center"/>
          </w:tcPr>
          <w:p>
            <w:pPr>
              <w:spacing w:after="120" w:line="276" w:lineRule="auto"/>
              <w:rPr>
                <w:color w:val="000000"/>
                <w:kern w:val="28"/>
                <w:sz w:val="18"/>
                <w:szCs w:val="18"/>
                <w:lang w:val="pt-BR"/>
              </w:rPr>
            </w:pPr>
            <w:r>
              <w:rPr>
                <w:color w:val="000000"/>
                <w:kern w:val="28"/>
                <w:sz w:val="18"/>
                <w:szCs w:val="18"/>
                <w:lang w:val="pt-BR"/>
              </w:rPr>
              <w:t>Autoritatea contractantă împreună cu operatorul vor analiza consecințele situației și vor identifica măsurile ce trebuie luate pentru a reduce sau elimina eventualele întreruperi de activitate și eventualul impact negativ.</w:t>
            </w:r>
          </w:p>
          <w:p>
            <w:pPr>
              <w:spacing w:after="120" w:line="276" w:lineRule="auto"/>
              <w:rPr>
                <w:color w:val="000000"/>
                <w:kern w:val="28"/>
                <w:sz w:val="18"/>
                <w:szCs w:val="18"/>
                <w:lang w:val="es-ES"/>
              </w:rPr>
            </w:pPr>
            <w:r>
              <w:rPr>
                <w:color w:val="000000"/>
                <w:kern w:val="28"/>
                <w:sz w:val="18"/>
                <w:szCs w:val="18"/>
                <w:lang w:val="es-ES"/>
              </w:rPr>
              <w:t xml:space="preserve">Acesta poate fi un motiv pentru solicitarea unor modificări de tarif. </w:t>
            </w:r>
          </w:p>
          <w:p>
            <w:pPr>
              <w:spacing w:line="276" w:lineRule="auto"/>
              <w:rPr>
                <w:color w:val="000000"/>
                <w:kern w:val="28"/>
                <w:sz w:val="18"/>
                <w:szCs w:val="18"/>
                <w:lang w:val="es-ES"/>
              </w:rPr>
            </w:pPr>
            <w:r>
              <w:rPr>
                <w:color w:val="000000"/>
                <w:kern w:val="28"/>
                <w:sz w:val="18"/>
                <w:szCs w:val="18"/>
                <w:lang w:val="es-ES"/>
              </w:rPr>
              <w:t>Totuși, dacă această situație atrage necesitatea unor investiții suplimentare, acestea vor fi aprobate de către autoritatea contractantă, după care amortizarea lor va putea fi inclusă in tarif.</w:t>
            </w:r>
          </w:p>
        </w:tc>
      </w:tr>
      <w:tr>
        <w:trPr>
          <w:trHeight w:val="2593"/>
        </w:trPr>
        <w:tc>
          <w:tcPr>
            <w:tcW w:w="526" w:type="dxa"/>
            <w:vAlign w:val="center"/>
          </w:tcPr>
          <w:p>
            <w:pPr>
              <w:numPr>
                <w:ilvl w:val="0"/>
                <w:numId w:val="26"/>
              </w:numPr>
              <w:spacing w:after="240" w:line="276" w:lineRule="auto"/>
              <w:ind w:left="0" w:firstLine="0"/>
              <w:jc w:val="center"/>
              <w:rPr>
                <w:b/>
                <w:bCs/>
                <w:kern w:val="28"/>
                <w:sz w:val="18"/>
                <w:szCs w:val="18"/>
                <w:lang w:val="es-ES"/>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Fenomene meteo extreme – inundarea întregului amplasament</w:t>
            </w:r>
          </w:p>
        </w:tc>
        <w:tc>
          <w:tcPr>
            <w:tcW w:w="2684" w:type="dxa"/>
            <w:vAlign w:val="center"/>
          </w:tcPr>
          <w:p>
            <w:pPr>
              <w:spacing w:after="240" w:line="276" w:lineRule="auto"/>
              <w:rPr>
                <w:color w:val="000000"/>
                <w:kern w:val="28"/>
                <w:sz w:val="18"/>
                <w:szCs w:val="18"/>
                <w:lang w:val="pt-BR"/>
              </w:rPr>
            </w:pPr>
            <w:r>
              <w:rPr>
                <w:color w:val="000000"/>
                <w:kern w:val="28"/>
                <w:sz w:val="18"/>
                <w:szCs w:val="18"/>
                <w:lang w:val="es-ES"/>
              </w:rPr>
              <w:t xml:space="preserve">În cazul unor ploi torențiale poate avea loc inundarea amplasamentului, ducând la sistarea activității. </w:t>
            </w:r>
            <w:r>
              <w:rPr>
                <w:color w:val="000000"/>
                <w:kern w:val="28"/>
                <w:sz w:val="18"/>
                <w:szCs w:val="18"/>
                <w:lang w:val="pt-BR"/>
              </w:rPr>
              <w:t>Această situație nu este determinată și nici favorizată de operarea neconformă a instalațiilor.</w:t>
            </w:r>
          </w:p>
        </w:tc>
        <w:tc>
          <w:tcPr>
            <w:tcW w:w="1215" w:type="dxa"/>
            <w:vAlign w:val="center"/>
          </w:tcPr>
          <w:p>
            <w:pPr>
              <w:spacing w:after="240" w:line="276" w:lineRule="auto"/>
              <w:jc w:val="center"/>
              <w:rPr>
                <w:color w:val="000000"/>
                <w:kern w:val="28"/>
                <w:sz w:val="18"/>
                <w:szCs w:val="18"/>
              </w:rPr>
            </w:pPr>
            <w:r>
              <w:rPr>
                <w:color w:val="000000"/>
                <w:kern w:val="28"/>
                <w:sz w:val="18"/>
                <w:szCs w:val="18"/>
              </w:rPr>
              <w:t>50%</w:t>
            </w:r>
          </w:p>
        </w:tc>
        <w:tc>
          <w:tcPr>
            <w:tcW w:w="1169" w:type="dxa"/>
            <w:vAlign w:val="center"/>
          </w:tcPr>
          <w:p>
            <w:pPr>
              <w:spacing w:after="240" w:line="276" w:lineRule="auto"/>
              <w:jc w:val="center"/>
              <w:rPr>
                <w:color w:val="000000"/>
                <w:kern w:val="28"/>
                <w:sz w:val="18"/>
                <w:szCs w:val="18"/>
              </w:rPr>
            </w:pPr>
            <w:r>
              <w:rPr>
                <w:color w:val="000000"/>
                <w:kern w:val="28"/>
                <w:sz w:val="18"/>
                <w:szCs w:val="18"/>
              </w:rPr>
              <w:t>50%</w:t>
            </w:r>
          </w:p>
        </w:tc>
        <w:tc>
          <w:tcPr>
            <w:tcW w:w="3045" w:type="dxa"/>
            <w:vAlign w:val="center"/>
          </w:tcPr>
          <w:p>
            <w:pPr>
              <w:spacing w:after="120" w:line="276" w:lineRule="auto"/>
              <w:rPr>
                <w:color w:val="000000"/>
                <w:kern w:val="28"/>
                <w:sz w:val="18"/>
                <w:szCs w:val="18"/>
                <w:lang w:val="es-ES"/>
              </w:rPr>
            </w:pPr>
            <w:r>
              <w:rPr>
                <w:color w:val="000000"/>
                <w:kern w:val="28"/>
                <w:sz w:val="18"/>
                <w:szCs w:val="18"/>
                <w:lang w:val="es-ES"/>
              </w:rPr>
              <w:t>Sistarea activității până la remedierea situației</w:t>
            </w:r>
          </w:p>
          <w:p>
            <w:pPr>
              <w:spacing w:after="120" w:line="276" w:lineRule="auto"/>
              <w:rPr>
                <w:color w:val="000000"/>
                <w:kern w:val="28"/>
                <w:sz w:val="18"/>
                <w:szCs w:val="18"/>
                <w:lang w:val="es-ES"/>
              </w:rPr>
            </w:pPr>
            <w:r>
              <w:rPr>
                <w:color w:val="000000"/>
                <w:kern w:val="28"/>
                <w:sz w:val="18"/>
                <w:szCs w:val="18"/>
                <w:lang w:val="es-ES"/>
              </w:rPr>
              <w:t>Costuri suplimentare pentru remedierea situației</w:t>
            </w:r>
          </w:p>
          <w:p>
            <w:pPr>
              <w:spacing w:after="120" w:line="276" w:lineRule="auto"/>
              <w:rPr>
                <w:color w:val="000000"/>
                <w:kern w:val="28"/>
                <w:sz w:val="18"/>
                <w:szCs w:val="18"/>
                <w:lang w:val="es-ES"/>
              </w:rPr>
            </w:pPr>
            <w:r>
              <w:rPr>
                <w:color w:val="000000"/>
                <w:kern w:val="28"/>
                <w:sz w:val="18"/>
                <w:szCs w:val="18"/>
                <w:lang w:val="es-ES"/>
              </w:rPr>
              <w:t>Costurile vor fi suportate de către autoritatea contractantă</w:t>
            </w:r>
          </w:p>
          <w:p>
            <w:pPr>
              <w:spacing w:after="120" w:line="276" w:lineRule="auto"/>
              <w:rPr>
                <w:color w:val="000000"/>
                <w:kern w:val="28"/>
                <w:sz w:val="18"/>
                <w:szCs w:val="18"/>
                <w:lang w:val="es-ES"/>
              </w:rPr>
            </w:pPr>
            <w:r>
              <w:rPr>
                <w:color w:val="000000"/>
                <w:kern w:val="28"/>
                <w:sz w:val="18"/>
                <w:szCs w:val="18"/>
                <w:lang w:val="es-ES"/>
              </w:rPr>
              <w:t>Pierderile suferite de către operator nu justifică solicitarea majorării tarifului</w:t>
            </w:r>
          </w:p>
        </w:tc>
        <w:tc>
          <w:tcPr>
            <w:tcW w:w="2910" w:type="dxa"/>
            <w:vAlign w:val="center"/>
          </w:tcPr>
          <w:p>
            <w:pPr>
              <w:spacing w:after="240" w:line="276" w:lineRule="auto"/>
              <w:rPr>
                <w:color w:val="000000"/>
                <w:kern w:val="28"/>
                <w:sz w:val="18"/>
                <w:szCs w:val="18"/>
                <w:lang w:val="es-ES"/>
              </w:rPr>
            </w:pPr>
            <w:r>
              <w:rPr>
                <w:color w:val="000000"/>
                <w:kern w:val="28"/>
                <w:sz w:val="18"/>
                <w:szCs w:val="18"/>
                <w:lang w:val="es-ES"/>
              </w:rPr>
              <w:t>În etapa de proiectare se va ține cont de acest aspect</w:t>
            </w:r>
          </w:p>
          <w:p>
            <w:pPr>
              <w:spacing w:after="240" w:line="276" w:lineRule="auto"/>
              <w:rPr>
                <w:color w:val="000000"/>
                <w:kern w:val="28"/>
                <w:sz w:val="18"/>
                <w:szCs w:val="18"/>
                <w:lang w:val="pt-BR"/>
              </w:rPr>
            </w:pPr>
            <w:r>
              <w:rPr>
                <w:color w:val="000000"/>
                <w:kern w:val="28"/>
                <w:sz w:val="18"/>
                <w:szCs w:val="18"/>
                <w:lang w:val="pt-BR"/>
              </w:rPr>
              <w:t>Vor fi incluse soluții pentru protecția față de astfel de situații</w:t>
            </w:r>
          </w:p>
        </w:tc>
      </w:tr>
      <w:tr>
        <w:trPr>
          <w:trHeight w:val="828"/>
        </w:trPr>
        <w:tc>
          <w:tcPr>
            <w:tcW w:w="14425" w:type="dxa"/>
            <w:gridSpan w:val="7"/>
            <w:vAlign w:val="center"/>
          </w:tcPr>
          <w:p>
            <w:pPr>
              <w:spacing w:line="276" w:lineRule="auto"/>
              <w:rPr>
                <w:color w:val="000000"/>
                <w:kern w:val="28"/>
                <w:sz w:val="18"/>
                <w:szCs w:val="18"/>
                <w:lang w:val="pt-BR"/>
              </w:rPr>
            </w:pPr>
            <w:r>
              <w:rPr>
                <w:b/>
                <w:bCs/>
                <w:i/>
                <w:color w:val="000000"/>
                <w:kern w:val="28"/>
                <w:sz w:val="18"/>
                <w:szCs w:val="18"/>
                <w:lang w:val="pt-BR"/>
              </w:rPr>
              <w:lastRenderedPageBreak/>
              <w:t>Riscuri asociate punerii în execuție a contractului</w:t>
            </w:r>
          </w:p>
        </w:tc>
      </w:tr>
      <w:tr>
        <w:trPr>
          <w:trHeight w:val="3160"/>
        </w:trP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rPr>
            </w:pPr>
            <w:r>
              <w:rPr>
                <w:color w:val="000000"/>
                <w:kern w:val="28"/>
                <w:sz w:val="18"/>
                <w:szCs w:val="18"/>
              </w:rPr>
              <w:t>Intârzieri la autorizarea activităţilor</w:t>
            </w:r>
          </w:p>
        </w:tc>
        <w:tc>
          <w:tcPr>
            <w:tcW w:w="2684" w:type="dxa"/>
            <w:vAlign w:val="center"/>
          </w:tcPr>
          <w:p>
            <w:pPr>
              <w:spacing w:after="240" w:line="276" w:lineRule="auto"/>
              <w:rPr>
                <w:color w:val="000000"/>
                <w:kern w:val="28"/>
                <w:sz w:val="18"/>
                <w:szCs w:val="18"/>
              </w:rPr>
            </w:pPr>
            <w:r>
              <w:rPr>
                <w:color w:val="000000"/>
                <w:kern w:val="28"/>
                <w:sz w:val="18"/>
                <w:szCs w:val="18"/>
              </w:rPr>
              <w:t xml:space="preserve">Activitatea de operare a staţiei de transfer și a instalației TMB necesită obtinerea unor autorizări cel puţin din punct de vedere al protecţiei mediului. </w:t>
            </w:r>
          </w:p>
          <w:p>
            <w:pPr>
              <w:spacing w:after="240" w:line="276" w:lineRule="auto"/>
              <w:rPr>
                <w:color w:val="000000"/>
                <w:kern w:val="28"/>
                <w:sz w:val="18"/>
                <w:szCs w:val="18"/>
              </w:rPr>
            </w:pPr>
          </w:p>
        </w:tc>
        <w:tc>
          <w:tcPr>
            <w:tcW w:w="1215" w:type="dxa"/>
            <w:vAlign w:val="center"/>
          </w:tcPr>
          <w:p>
            <w:pPr>
              <w:spacing w:after="240" w:line="276" w:lineRule="auto"/>
              <w:jc w:val="center"/>
              <w:rPr>
                <w:color w:val="000000"/>
                <w:kern w:val="28"/>
                <w:sz w:val="18"/>
                <w:szCs w:val="18"/>
              </w:rPr>
            </w:pPr>
          </w:p>
        </w:tc>
        <w:tc>
          <w:tcPr>
            <w:tcW w:w="1169" w:type="dxa"/>
            <w:vAlign w:val="center"/>
          </w:tcPr>
          <w:p>
            <w:pPr>
              <w:spacing w:after="240" w:line="276" w:lineRule="auto"/>
              <w:jc w:val="center"/>
              <w:rPr>
                <w:color w:val="000000"/>
                <w:kern w:val="28"/>
                <w:sz w:val="18"/>
                <w:szCs w:val="18"/>
              </w:rPr>
            </w:pPr>
            <w:r>
              <w:rPr>
                <w:color w:val="000000"/>
                <w:kern w:val="28"/>
                <w:sz w:val="18"/>
                <w:szCs w:val="18"/>
              </w:rPr>
              <w:t>100%</w:t>
            </w:r>
          </w:p>
        </w:tc>
        <w:tc>
          <w:tcPr>
            <w:tcW w:w="3045" w:type="dxa"/>
            <w:vAlign w:val="center"/>
          </w:tcPr>
          <w:p>
            <w:pPr>
              <w:spacing w:after="240" w:line="276" w:lineRule="auto"/>
              <w:rPr>
                <w:color w:val="000000"/>
                <w:kern w:val="28"/>
                <w:sz w:val="18"/>
                <w:szCs w:val="18"/>
              </w:rPr>
            </w:pPr>
            <w:r>
              <w:rPr>
                <w:color w:val="000000"/>
                <w:kern w:val="28"/>
                <w:sz w:val="18"/>
                <w:szCs w:val="18"/>
              </w:rPr>
              <w:t>În anumite situații pot exista întârzieri în autorizarea activităților şi pot apărea costuri suplimentare (impuse de autoritățile competente), care nu au fost luate în calcul la realizarea ofertei.</w:t>
            </w:r>
          </w:p>
          <w:p>
            <w:pPr>
              <w:spacing w:after="240" w:line="276" w:lineRule="auto"/>
              <w:rPr>
                <w:bCs/>
                <w:color w:val="000000"/>
                <w:kern w:val="28"/>
                <w:sz w:val="18"/>
                <w:szCs w:val="18"/>
              </w:rPr>
            </w:pPr>
            <w:r>
              <w:rPr>
                <w:color w:val="000000"/>
                <w:kern w:val="28"/>
                <w:sz w:val="18"/>
                <w:szCs w:val="18"/>
              </w:rPr>
              <w:t>Eventualele costuri suplimentare vor fi suportate în întregime de către Delegat, fără ca acesta să fie îndreptățit să solicite ajustarea tarifului.</w:t>
            </w:r>
          </w:p>
        </w:tc>
        <w:tc>
          <w:tcPr>
            <w:tcW w:w="2910" w:type="dxa"/>
            <w:vAlign w:val="center"/>
          </w:tcPr>
          <w:p>
            <w:pPr>
              <w:spacing w:after="240" w:line="276" w:lineRule="auto"/>
              <w:rPr>
                <w:color w:val="000000"/>
                <w:kern w:val="28"/>
                <w:sz w:val="18"/>
                <w:szCs w:val="18"/>
              </w:rPr>
            </w:pPr>
            <w:r>
              <w:rPr>
                <w:color w:val="000000"/>
                <w:kern w:val="28"/>
                <w:sz w:val="18"/>
                <w:szCs w:val="18"/>
              </w:rPr>
              <w:t>Analizând toate posibilele implicații legate de vecinătăți (folosințe prezente şi viitoare), zone sensibile, reglementările la nivel local, Delegatul trebuie sa analizeze cu atenție posibilele amplasamente.</w:t>
            </w:r>
          </w:p>
        </w:tc>
      </w:tr>
      <w:tr>
        <w:tc>
          <w:tcPr>
            <w:tcW w:w="526" w:type="dxa"/>
            <w:vAlign w:val="center"/>
          </w:tcPr>
          <w:p>
            <w:pPr>
              <w:numPr>
                <w:ilvl w:val="0"/>
                <w:numId w:val="26"/>
              </w:numPr>
              <w:spacing w:after="240" w:line="276" w:lineRule="auto"/>
              <w:ind w:left="0" w:firstLine="0"/>
              <w:jc w:val="center"/>
              <w:rPr>
                <w:b/>
                <w:bCs/>
                <w:kern w:val="28"/>
                <w:sz w:val="18"/>
                <w:szCs w:val="18"/>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Necorelări în atribuirea contractelor de delegare din cadrul SMID</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La data începerii activității de operare a instalațiilor, delegarea activității de colectare și  transport nu este atribuită și se estimează o perioadă mai mare de trei luni până la atribuirea acestui contract</w:t>
            </w: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jc w:val="center"/>
              <w:rPr>
                <w:color w:val="000000"/>
                <w:kern w:val="28"/>
                <w:sz w:val="18"/>
                <w:szCs w:val="18"/>
              </w:rPr>
            </w:pPr>
          </w:p>
        </w:tc>
        <w:tc>
          <w:tcPr>
            <w:tcW w:w="3045" w:type="dxa"/>
            <w:vAlign w:val="center"/>
          </w:tcPr>
          <w:p>
            <w:pPr>
              <w:spacing w:after="240" w:line="276" w:lineRule="auto"/>
              <w:rPr>
                <w:color w:val="000000"/>
                <w:kern w:val="28"/>
                <w:sz w:val="18"/>
                <w:szCs w:val="18"/>
              </w:rPr>
            </w:pPr>
            <w:r>
              <w:rPr>
                <w:color w:val="000000"/>
                <w:kern w:val="28"/>
                <w:sz w:val="18"/>
                <w:szCs w:val="18"/>
              </w:rPr>
              <w:t>Lipsa unui operator pentru colectare și transport, care să aibă obligația respectării indicatorilor de performanță, poate atrage costuri suplimentare pentru operator în vederea respectării indicatorilor lui</w:t>
            </w:r>
          </w:p>
        </w:tc>
        <w:tc>
          <w:tcPr>
            <w:tcW w:w="2910" w:type="dxa"/>
            <w:vAlign w:val="center"/>
          </w:tcPr>
          <w:p>
            <w:pPr>
              <w:spacing w:after="240" w:line="276" w:lineRule="auto"/>
              <w:rPr>
                <w:color w:val="000000"/>
                <w:kern w:val="28"/>
                <w:sz w:val="18"/>
                <w:szCs w:val="18"/>
              </w:rPr>
            </w:pPr>
          </w:p>
          <w:p>
            <w:pPr>
              <w:spacing w:after="240" w:line="276" w:lineRule="auto"/>
              <w:rPr>
                <w:color w:val="000000"/>
                <w:kern w:val="28"/>
                <w:sz w:val="18"/>
                <w:szCs w:val="18"/>
                <w:lang w:val="pt-BR"/>
              </w:rPr>
            </w:pPr>
            <w:r>
              <w:rPr>
                <w:color w:val="000000"/>
                <w:kern w:val="28"/>
                <w:sz w:val="18"/>
                <w:szCs w:val="18"/>
                <w:lang w:val="pt-BR"/>
              </w:rPr>
              <w:t xml:space="preserve">AC va informa Operatorul asupra stadiului atribuirii contractului de delegare a activității de colectare și transport. </w:t>
            </w:r>
          </w:p>
          <w:p>
            <w:pPr>
              <w:spacing w:after="240" w:line="276" w:lineRule="auto"/>
              <w:rPr>
                <w:color w:val="000000"/>
                <w:kern w:val="28"/>
                <w:sz w:val="18"/>
                <w:szCs w:val="18"/>
                <w:lang w:val="pt-BR"/>
              </w:rPr>
            </w:pPr>
            <w:r>
              <w:rPr>
                <w:color w:val="000000"/>
                <w:kern w:val="28"/>
                <w:sz w:val="18"/>
                <w:szCs w:val="18"/>
                <w:lang w:val="pt-BR"/>
              </w:rPr>
              <w:t>Operatorul va primi în instalații deșeuri colectate numai de la operatori de colectare și transport și operatorii de instalații indicați de către AC.</w:t>
            </w:r>
          </w:p>
          <w:p>
            <w:pPr>
              <w:spacing w:after="240" w:line="276" w:lineRule="auto"/>
              <w:rPr>
                <w:color w:val="000000"/>
                <w:kern w:val="28"/>
                <w:sz w:val="18"/>
                <w:szCs w:val="18"/>
                <w:lang w:val="pt-BR"/>
              </w:rPr>
            </w:pPr>
            <w:r>
              <w:rPr>
                <w:color w:val="000000"/>
                <w:kern w:val="28"/>
                <w:sz w:val="18"/>
                <w:szCs w:val="18"/>
                <w:lang w:val="pt-BR"/>
              </w:rPr>
              <w:t xml:space="preserve">Pe perioada până la atribuirea acestui contract, Operatorul poate solicita modificări de tarif, cu respectarea dispozițiilor Ordinului ANRSC nr. </w:t>
            </w:r>
            <w:r>
              <w:rPr>
                <w:color w:val="000000"/>
                <w:kern w:val="28"/>
                <w:sz w:val="18"/>
                <w:szCs w:val="18"/>
                <w:lang w:val="pt-BR"/>
              </w:rPr>
              <w:lastRenderedPageBreak/>
              <w:t>640/2022, ca urmare a modificării cantităților.</w:t>
            </w:r>
          </w:p>
        </w:tc>
      </w:tr>
      <w:tr>
        <w:tc>
          <w:tcPr>
            <w:tcW w:w="14425" w:type="dxa"/>
            <w:gridSpan w:val="7"/>
            <w:vAlign w:val="center"/>
          </w:tcPr>
          <w:p>
            <w:pPr>
              <w:spacing w:after="240" w:line="276" w:lineRule="auto"/>
              <w:rPr>
                <w:b/>
                <w:bCs/>
                <w:i/>
                <w:color w:val="000000"/>
                <w:kern w:val="28"/>
                <w:sz w:val="18"/>
                <w:szCs w:val="18"/>
                <w:lang w:val="pt-BR"/>
              </w:rPr>
            </w:pPr>
            <w:r>
              <w:rPr>
                <w:b/>
                <w:bCs/>
                <w:i/>
                <w:color w:val="000000"/>
                <w:kern w:val="28"/>
                <w:sz w:val="18"/>
                <w:szCs w:val="18"/>
                <w:lang w:val="pt-BR"/>
              </w:rPr>
              <w:lastRenderedPageBreak/>
              <w:t>Riscuri asociate perioadei de operare</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rPr>
            </w:pPr>
            <w:r>
              <w:rPr>
                <w:color w:val="000000"/>
                <w:kern w:val="28"/>
                <w:sz w:val="18"/>
                <w:szCs w:val="18"/>
              </w:rPr>
              <w:t>Intervenţii la infrastructura rutiera</w:t>
            </w:r>
          </w:p>
        </w:tc>
        <w:tc>
          <w:tcPr>
            <w:tcW w:w="2684" w:type="dxa"/>
            <w:vAlign w:val="center"/>
          </w:tcPr>
          <w:p>
            <w:pPr>
              <w:spacing w:after="240" w:line="276" w:lineRule="auto"/>
              <w:rPr>
                <w:color w:val="000000"/>
                <w:kern w:val="28"/>
                <w:sz w:val="18"/>
                <w:szCs w:val="18"/>
              </w:rPr>
            </w:pPr>
            <w:r>
              <w:rPr>
                <w:color w:val="000000"/>
                <w:kern w:val="28"/>
                <w:sz w:val="18"/>
                <w:szCs w:val="18"/>
              </w:rPr>
              <w:t>Lucările de infrastructură derulate de autorităţile publice locale (intervenţii planificate) impiedică transportul deșeurilor între instalații, serviciul nemaiputând fi prestat la standardele stabilite.</w:t>
            </w:r>
          </w:p>
        </w:tc>
        <w:tc>
          <w:tcPr>
            <w:tcW w:w="1215" w:type="dxa"/>
            <w:vAlign w:val="center"/>
          </w:tcPr>
          <w:p>
            <w:pPr>
              <w:spacing w:after="240" w:line="276" w:lineRule="auto"/>
              <w:jc w:val="center"/>
              <w:rPr>
                <w:color w:val="000000"/>
                <w:kern w:val="28"/>
                <w:sz w:val="18"/>
                <w:szCs w:val="18"/>
              </w:rPr>
            </w:pPr>
            <w:r>
              <w:rPr>
                <w:color w:val="000000"/>
                <w:kern w:val="28"/>
                <w:sz w:val="18"/>
                <w:szCs w:val="18"/>
              </w:rPr>
              <w:t>50%</w:t>
            </w:r>
          </w:p>
        </w:tc>
        <w:tc>
          <w:tcPr>
            <w:tcW w:w="1169" w:type="dxa"/>
            <w:vAlign w:val="center"/>
          </w:tcPr>
          <w:p>
            <w:pPr>
              <w:spacing w:after="240" w:line="276" w:lineRule="auto"/>
              <w:jc w:val="center"/>
              <w:rPr>
                <w:color w:val="000000"/>
                <w:kern w:val="28"/>
                <w:sz w:val="18"/>
                <w:szCs w:val="18"/>
              </w:rPr>
            </w:pPr>
            <w:r>
              <w:rPr>
                <w:color w:val="000000"/>
                <w:kern w:val="28"/>
                <w:sz w:val="18"/>
                <w:szCs w:val="18"/>
              </w:rPr>
              <w:t>50%</w:t>
            </w:r>
          </w:p>
        </w:tc>
        <w:tc>
          <w:tcPr>
            <w:tcW w:w="3045" w:type="dxa"/>
            <w:vAlign w:val="center"/>
          </w:tcPr>
          <w:p>
            <w:pPr>
              <w:spacing w:after="240" w:line="276" w:lineRule="auto"/>
              <w:rPr>
                <w:bCs/>
                <w:color w:val="000000"/>
                <w:kern w:val="28"/>
                <w:sz w:val="18"/>
                <w:szCs w:val="18"/>
              </w:rPr>
            </w:pPr>
            <w:r>
              <w:rPr>
                <w:color w:val="000000"/>
                <w:kern w:val="28"/>
                <w:sz w:val="18"/>
                <w:szCs w:val="18"/>
              </w:rPr>
              <w:t>Pentru eventualele costuri suplimentare generate de dificultăţi majore în prestarea serviciului, Operatorul poate solicita recuperarea costurilor suplimentare. Solicitarea va fi în mod obligatoriu documentată.</w:t>
            </w:r>
          </w:p>
        </w:tc>
        <w:tc>
          <w:tcPr>
            <w:tcW w:w="2910" w:type="dxa"/>
            <w:vAlign w:val="center"/>
          </w:tcPr>
          <w:p>
            <w:pPr>
              <w:spacing w:after="240" w:line="276" w:lineRule="auto"/>
              <w:rPr>
                <w:color w:val="000000"/>
                <w:kern w:val="28"/>
                <w:sz w:val="18"/>
                <w:szCs w:val="18"/>
              </w:rPr>
            </w:pPr>
            <w:r>
              <w:rPr>
                <w:color w:val="000000"/>
                <w:kern w:val="28"/>
                <w:sz w:val="18"/>
                <w:szCs w:val="18"/>
              </w:rPr>
              <w:t xml:space="preserve">AC trebuie să comunice din timp Operatorului calendarul lucrărilor la infrastructură, astfel încât acesta să îşi poată organiza activitatea în mod corespunzător. </w:t>
            </w:r>
          </w:p>
        </w:tc>
      </w:tr>
      <w:tr>
        <w:tc>
          <w:tcPr>
            <w:tcW w:w="526" w:type="dxa"/>
            <w:vAlign w:val="center"/>
          </w:tcPr>
          <w:p>
            <w:pPr>
              <w:numPr>
                <w:ilvl w:val="0"/>
                <w:numId w:val="26"/>
              </w:numPr>
              <w:spacing w:after="240" w:line="276" w:lineRule="auto"/>
              <w:ind w:left="0" w:firstLine="0"/>
              <w:jc w:val="center"/>
              <w:rPr>
                <w:b/>
                <w:bCs/>
                <w:kern w:val="28"/>
                <w:sz w:val="18"/>
                <w:szCs w:val="18"/>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Afectarea infrastructurii rutiere în urma dezastrelor naturale</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Afectarea infrastructurii rutiere în urma producerii de dezastre naturale (ex. drumuri surpate, poduri rupte de la inundatii) poate restricţiona transportul deşeurilor între instalații, ceea cee poate conduce la costuri mai mari, mai ales pentru activitatea de transfer.</w:t>
            </w: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jc w:val="center"/>
              <w:rPr>
                <w:color w:val="000000"/>
                <w:kern w:val="28"/>
                <w:sz w:val="18"/>
                <w:szCs w:val="18"/>
              </w:rPr>
            </w:pPr>
          </w:p>
        </w:tc>
        <w:tc>
          <w:tcPr>
            <w:tcW w:w="3045" w:type="dxa"/>
            <w:vAlign w:val="center"/>
          </w:tcPr>
          <w:p>
            <w:pPr>
              <w:spacing w:after="240" w:line="276" w:lineRule="auto"/>
              <w:rPr>
                <w:bCs/>
                <w:color w:val="000000"/>
                <w:kern w:val="28"/>
                <w:sz w:val="18"/>
                <w:szCs w:val="18"/>
                <w:lang w:val="pt-BR"/>
              </w:rPr>
            </w:pPr>
            <w:r>
              <w:rPr>
                <w:color w:val="000000"/>
                <w:kern w:val="28"/>
                <w:sz w:val="18"/>
                <w:szCs w:val="18"/>
                <w:lang w:val="pt-BR"/>
              </w:rPr>
              <w:t>Aceste situații pot genera costuri suplimentare</w:t>
            </w:r>
            <w:r>
              <w:rPr>
                <w:b/>
                <w:color w:val="000000"/>
                <w:kern w:val="28"/>
                <w:sz w:val="18"/>
                <w:szCs w:val="18"/>
                <w:lang w:val="pt-BR"/>
              </w:rPr>
              <w:t xml:space="preserve"> </w:t>
            </w:r>
          </w:p>
        </w:tc>
        <w:tc>
          <w:tcPr>
            <w:tcW w:w="2910" w:type="dxa"/>
            <w:vAlign w:val="center"/>
          </w:tcPr>
          <w:p>
            <w:pPr>
              <w:spacing w:after="240" w:line="276" w:lineRule="auto"/>
              <w:rPr>
                <w:color w:val="000000"/>
                <w:kern w:val="28"/>
                <w:sz w:val="18"/>
                <w:szCs w:val="18"/>
                <w:lang w:val="pt-BR"/>
              </w:rPr>
            </w:pPr>
            <w:r>
              <w:rPr>
                <w:color w:val="000000"/>
                <w:kern w:val="28"/>
                <w:sz w:val="18"/>
                <w:szCs w:val="18"/>
                <w:lang w:val="pt-BR"/>
              </w:rPr>
              <w:t>În aceste situaţii Operatorul este indreptăţit să solicite recuperarea costurilor suplimentare.</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Gradul ridicat de impurificare a deşeurilor colectate separat</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In general, este acceptat un anumit grad de impurificare (greşeli) în cazul fiecărui recipient de colectare separată a deşeurilor.</w:t>
            </w:r>
          </w:p>
          <w:p>
            <w:pPr>
              <w:spacing w:after="240" w:line="276" w:lineRule="auto"/>
              <w:rPr>
                <w:color w:val="000000"/>
                <w:kern w:val="28"/>
                <w:sz w:val="18"/>
                <w:szCs w:val="18"/>
                <w:lang w:val="pt-BR"/>
              </w:rPr>
            </w:pPr>
            <w:r>
              <w:rPr>
                <w:color w:val="000000"/>
                <w:kern w:val="28"/>
                <w:sz w:val="18"/>
                <w:szCs w:val="18"/>
                <w:lang w:val="pt-BR"/>
              </w:rPr>
              <w:t>In situatia în care gradul de impurificare pentru biodeșeurile colectate separat este foarte mare, instalația de digestie anaerobă poate avea deficiențe în operare, iar instalația de tratare mecanică poate fi suprasolicitată.</w:t>
            </w: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rPr>
                <w:color w:val="000000"/>
                <w:kern w:val="28"/>
                <w:sz w:val="18"/>
                <w:szCs w:val="18"/>
              </w:rPr>
            </w:pPr>
          </w:p>
        </w:tc>
        <w:tc>
          <w:tcPr>
            <w:tcW w:w="3045" w:type="dxa"/>
            <w:vAlign w:val="center"/>
          </w:tcPr>
          <w:p>
            <w:pPr>
              <w:spacing w:after="240" w:line="276" w:lineRule="auto"/>
              <w:rPr>
                <w:b/>
                <w:color w:val="000000"/>
                <w:kern w:val="28"/>
                <w:sz w:val="18"/>
                <w:szCs w:val="18"/>
              </w:rPr>
            </w:pPr>
            <w:r>
              <w:rPr>
                <w:color w:val="000000"/>
                <w:kern w:val="28"/>
                <w:sz w:val="18"/>
                <w:szCs w:val="18"/>
              </w:rPr>
              <w:t>Operatorul nu își va putea îndeplini indicatorii de peformanță. De asemenea, această situație duce și la creșterea costurilor acestuia.</w:t>
            </w:r>
            <w:r>
              <w:rPr>
                <w:b/>
                <w:color w:val="000000"/>
                <w:kern w:val="28"/>
                <w:sz w:val="18"/>
                <w:szCs w:val="18"/>
              </w:rPr>
              <w:t xml:space="preserve"> </w:t>
            </w:r>
          </w:p>
          <w:p>
            <w:pPr>
              <w:spacing w:after="240" w:line="276" w:lineRule="auto"/>
              <w:rPr>
                <w:bCs/>
                <w:color w:val="000000"/>
                <w:kern w:val="28"/>
                <w:sz w:val="18"/>
                <w:szCs w:val="18"/>
              </w:rPr>
            </w:pPr>
            <w:r>
              <w:rPr>
                <w:bCs/>
                <w:color w:val="000000"/>
                <w:kern w:val="28"/>
                <w:sz w:val="18"/>
                <w:szCs w:val="18"/>
              </w:rPr>
              <w:t>O altă situație poate fi aceea că nu se va putea produce suficientă energie pentru funcționarea instalației TMB, ceea ce duce la creșterea costurilor.</w:t>
            </w:r>
          </w:p>
        </w:tc>
        <w:tc>
          <w:tcPr>
            <w:tcW w:w="2910" w:type="dxa"/>
            <w:vAlign w:val="center"/>
          </w:tcPr>
          <w:p>
            <w:pPr>
              <w:spacing w:after="240" w:line="276" w:lineRule="auto"/>
              <w:rPr>
                <w:color w:val="000000"/>
                <w:kern w:val="28"/>
                <w:sz w:val="18"/>
                <w:szCs w:val="18"/>
                <w:lang w:val="pt-BR"/>
              </w:rPr>
            </w:pPr>
            <w:r>
              <w:rPr>
                <w:color w:val="000000"/>
                <w:kern w:val="28"/>
                <w:sz w:val="18"/>
                <w:szCs w:val="18"/>
              </w:rPr>
              <w:t xml:space="preserve">Acesta este un risc ce revine în întregime AC. În vederea corectării situației, în urma anunțării acesteia de către Operator, AC are obligația aplicării la Delegatul activității de colectare și transport, ca și la generatori,  a penalităților stabilite prin Regulamentul de salubrizare aprobat. </w:t>
            </w:r>
            <w:r>
              <w:rPr>
                <w:color w:val="000000"/>
                <w:kern w:val="28"/>
                <w:sz w:val="18"/>
                <w:szCs w:val="18"/>
                <w:lang w:val="pt-BR"/>
              </w:rPr>
              <w:t xml:space="preserve">Acest risc poate constitui motiv pentru creșterea tarifului, cu respectarea dispozițiilor Ordinului ANRSC 640/2022, ca urmare a </w:t>
            </w:r>
            <w:r>
              <w:rPr>
                <w:color w:val="000000"/>
                <w:kern w:val="28"/>
                <w:sz w:val="18"/>
                <w:szCs w:val="18"/>
                <w:lang w:val="pt-BR"/>
              </w:rPr>
              <w:lastRenderedPageBreak/>
              <w:t>modificării condițiilor de  prestare a activității.</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Cantităţile de deşeuri la intrarea în instalaţii sunt mai mari decât cele planificate</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Cantitatile lunare cântărite la intrarea în instalatie sunt mai mari decat estimarile pe care s-au bazat oferta de servicii și calcularea tarifului.</w:t>
            </w:r>
          </w:p>
          <w:p>
            <w:pPr>
              <w:spacing w:after="240" w:line="276" w:lineRule="auto"/>
              <w:rPr>
                <w:color w:val="000000"/>
                <w:kern w:val="28"/>
                <w:sz w:val="18"/>
                <w:szCs w:val="18"/>
                <w:lang w:val="pt-BR"/>
              </w:rPr>
            </w:pP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rPr>
                <w:color w:val="000000"/>
                <w:kern w:val="28"/>
                <w:sz w:val="18"/>
                <w:szCs w:val="18"/>
              </w:rPr>
            </w:pPr>
          </w:p>
        </w:tc>
        <w:tc>
          <w:tcPr>
            <w:tcW w:w="3045" w:type="dxa"/>
            <w:vAlign w:val="center"/>
          </w:tcPr>
          <w:p>
            <w:pPr>
              <w:spacing w:after="240" w:line="276" w:lineRule="auto"/>
              <w:rPr>
                <w:color w:val="000000"/>
                <w:kern w:val="28"/>
                <w:sz w:val="18"/>
                <w:szCs w:val="18"/>
              </w:rPr>
            </w:pPr>
            <w:r>
              <w:rPr>
                <w:b/>
                <w:color w:val="000000"/>
                <w:kern w:val="28"/>
                <w:sz w:val="18"/>
                <w:szCs w:val="18"/>
              </w:rPr>
              <w:t xml:space="preserve"> </w:t>
            </w:r>
            <w:r>
              <w:rPr>
                <w:color w:val="000000"/>
                <w:kern w:val="28"/>
                <w:sz w:val="18"/>
                <w:szCs w:val="18"/>
              </w:rPr>
              <w:t>Creșterea cantității de deșeuri duce în mod direct la creșterea cheltuieilor, dar şi a cantității de materiale valorificabile obținute, respectiv la cresterea veniturilor.</w:t>
            </w:r>
          </w:p>
          <w:p>
            <w:pPr>
              <w:spacing w:after="240" w:line="276" w:lineRule="auto"/>
              <w:rPr>
                <w:color w:val="000000"/>
                <w:kern w:val="28"/>
                <w:sz w:val="18"/>
                <w:szCs w:val="18"/>
                <w:lang w:val="pt-BR"/>
              </w:rPr>
            </w:pPr>
            <w:r>
              <w:rPr>
                <w:color w:val="000000"/>
                <w:kern w:val="28"/>
                <w:sz w:val="18"/>
                <w:szCs w:val="18"/>
                <w:lang w:val="pt-BR"/>
              </w:rPr>
              <w:t>Cantitatea de deșeuri depășește limita capacității maxime de operare a instalației.</w:t>
            </w:r>
          </w:p>
          <w:p>
            <w:pPr>
              <w:spacing w:after="240" w:line="276" w:lineRule="auto"/>
              <w:rPr>
                <w:bCs/>
                <w:color w:val="000000"/>
                <w:kern w:val="28"/>
                <w:sz w:val="18"/>
                <w:szCs w:val="18"/>
                <w:lang w:val="pt-BR"/>
              </w:rPr>
            </w:pPr>
          </w:p>
        </w:tc>
        <w:tc>
          <w:tcPr>
            <w:tcW w:w="2910" w:type="dxa"/>
            <w:vAlign w:val="center"/>
          </w:tcPr>
          <w:p>
            <w:pPr>
              <w:spacing w:after="120" w:line="276" w:lineRule="auto"/>
              <w:rPr>
                <w:color w:val="000000"/>
                <w:kern w:val="28"/>
                <w:sz w:val="18"/>
                <w:szCs w:val="18"/>
                <w:lang w:val="pt-BR"/>
              </w:rPr>
            </w:pPr>
            <w:r>
              <w:rPr>
                <w:color w:val="000000"/>
                <w:kern w:val="28"/>
                <w:sz w:val="18"/>
                <w:szCs w:val="18"/>
                <w:lang w:val="pt-BR"/>
              </w:rPr>
              <w:t>In situatia in care timp de 12 luni calendaristice consecutive se înregistrează o cantitate de deșeuri care depășește capacitatea anuală a instalației, Autoritatea Contractantă va avea  responsabilitatea de a identifica și finanța soluții tehnice necesare pentru tratarea cantităților de deșeuri ce depășesc capacitatea maximă, fie prin realizarea unor investiții în instalația existentă (aceste investiții pot fi puse în sarcina delegatului, prin programul de investiții, însă costurile aferente investițiilot respective vor fi recuperate de delegat prin tarife majorate), fie prin realizarea unor investiții noi.</w:t>
            </w:r>
          </w:p>
        </w:tc>
      </w:tr>
      <w:tr>
        <w:trPr>
          <w:trHeight w:val="462"/>
        </w:trP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Cantităţile de deşeuri la intrarea în instalaţii sunt mai mici decât cele planificate</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Cantitatile lunare cântărite la intrarea în instalație sunt considerabil mai mici decat estimările pe care s-au bazat oferta de servicii și calcularea tarifului.</w:t>
            </w:r>
          </w:p>
          <w:p>
            <w:pPr>
              <w:spacing w:after="240" w:line="276" w:lineRule="auto"/>
              <w:rPr>
                <w:color w:val="000000"/>
                <w:kern w:val="28"/>
                <w:sz w:val="18"/>
                <w:szCs w:val="18"/>
                <w:lang w:val="pt-BR"/>
              </w:rPr>
            </w:pP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jc w:val="center"/>
              <w:rPr>
                <w:color w:val="000000"/>
                <w:kern w:val="28"/>
                <w:sz w:val="18"/>
                <w:szCs w:val="18"/>
              </w:rPr>
            </w:pPr>
          </w:p>
        </w:tc>
        <w:tc>
          <w:tcPr>
            <w:tcW w:w="3045" w:type="dxa"/>
            <w:vAlign w:val="center"/>
          </w:tcPr>
          <w:p>
            <w:pPr>
              <w:spacing w:after="240" w:line="276" w:lineRule="auto"/>
              <w:rPr>
                <w:color w:val="000000"/>
                <w:kern w:val="28"/>
                <w:sz w:val="18"/>
                <w:szCs w:val="18"/>
              </w:rPr>
            </w:pPr>
            <w:r>
              <w:rPr>
                <w:color w:val="000000"/>
                <w:kern w:val="28"/>
                <w:sz w:val="18"/>
                <w:szCs w:val="18"/>
              </w:rPr>
              <w:t>Scăderea cantității de deșeuri poate duce la scăderea cantității de energie produsă și s-ar putea ca să fie necesar să se achiziționeze energie de pe piată, ceea ce duce la creșterea costurilor.</w:t>
            </w:r>
          </w:p>
          <w:p>
            <w:pPr>
              <w:spacing w:after="240" w:line="276" w:lineRule="auto"/>
              <w:rPr>
                <w:bCs/>
                <w:color w:val="000000"/>
                <w:kern w:val="28"/>
                <w:sz w:val="18"/>
                <w:szCs w:val="18"/>
                <w:lang w:val="pt-BR"/>
              </w:rPr>
            </w:pPr>
            <w:r>
              <w:rPr>
                <w:color w:val="000000"/>
                <w:kern w:val="28"/>
                <w:sz w:val="18"/>
                <w:szCs w:val="18"/>
                <w:lang w:val="pt-BR"/>
              </w:rPr>
              <w:t>Instalațiile au costuri fixe mari, în cazul repartizării acestora asupra unor cantități mai mici, costul pe tona de deșeu tratată crește.</w:t>
            </w:r>
          </w:p>
        </w:tc>
        <w:tc>
          <w:tcPr>
            <w:tcW w:w="2910" w:type="dxa"/>
            <w:vAlign w:val="center"/>
          </w:tcPr>
          <w:p>
            <w:pPr>
              <w:spacing w:after="120" w:line="276" w:lineRule="auto"/>
              <w:rPr>
                <w:color w:val="000000"/>
                <w:kern w:val="28"/>
                <w:sz w:val="18"/>
                <w:szCs w:val="18"/>
                <w:lang w:val="pt-BR"/>
              </w:rPr>
            </w:pPr>
            <w:r>
              <w:rPr>
                <w:color w:val="000000"/>
                <w:kern w:val="28"/>
                <w:sz w:val="18"/>
                <w:szCs w:val="18"/>
                <w:lang w:val="pt-BR"/>
              </w:rPr>
              <w:t>In situatia in care timp de 12 luni calendaristice se inregistreaza o cantitate de deșeuri mai mică cu peste 20% față de cantitatea estimata la data contractării, Operatorul  este îndreptățit să solicite aprobarea unei modificări a tarifului, cu respectarea dispozițiilor Ordinului ANRSC 640/2022, ca urmare a modificării cantităților.</w:t>
            </w:r>
          </w:p>
          <w:p>
            <w:pPr>
              <w:spacing w:after="120" w:line="276" w:lineRule="auto"/>
              <w:rPr>
                <w:color w:val="000000"/>
                <w:kern w:val="28"/>
                <w:sz w:val="18"/>
                <w:szCs w:val="18"/>
                <w:lang w:val="pt-BR"/>
              </w:rPr>
            </w:pPr>
            <w:r>
              <w:rPr>
                <w:color w:val="000000"/>
                <w:kern w:val="28"/>
                <w:sz w:val="18"/>
                <w:szCs w:val="18"/>
                <w:lang w:val="pt-BR"/>
              </w:rPr>
              <w:t xml:space="preserve">Modificarea tarifului se va realiza obligatoriu în corelație cu actualizarea datelor privind generarea, colectarea separată, tratarea și valorificarea </w:t>
            </w:r>
            <w:r>
              <w:rPr>
                <w:color w:val="000000"/>
                <w:kern w:val="28"/>
                <w:sz w:val="18"/>
                <w:szCs w:val="18"/>
                <w:lang w:val="pt-BR"/>
              </w:rPr>
              <w:lastRenderedPageBreak/>
              <w:t>deseurilor și cu prevederile legislative în vigoare.</w:t>
            </w:r>
          </w:p>
        </w:tc>
      </w:tr>
      <w:tr>
        <w:trPr>
          <w:trHeight w:val="687"/>
        </w:trP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Fluctuația pieței valorificării energetice a subproduselor (RDF-ului)</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Costurile aferente transportului și preluării RDF pot fluctua corelat cu evolutia pieței și independent de performanța instalațiilor (in cazul operarii conforme).</w:t>
            </w:r>
          </w:p>
          <w:p>
            <w:pPr>
              <w:spacing w:after="240" w:line="276" w:lineRule="auto"/>
              <w:rPr>
                <w:color w:val="000000"/>
                <w:kern w:val="28"/>
                <w:sz w:val="18"/>
                <w:szCs w:val="18"/>
                <w:lang w:val="pt-BR"/>
              </w:rPr>
            </w:pPr>
          </w:p>
        </w:tc>
        <w:tc>
          <w:tcPr>
            <w:tcW w:w="1215" w:type="dxa"/>
            <w:vAlign w:val="center"/>
          </w:tcPr>
          <w:p>
            <w:pPr>
              <w:spacing w:after="240" w:line="276" w:lineRule="auto"/>
              <w:jc w:val="center"/>
              <w:rPr>
                <w:color w:val="000000"/>
                <w:kern w:val="28"/>
                <w:sz w:val="18"/>
                <w:szCs w:val="18"/>
                <w:lang w:val="pt-BR"/>
              </w:rPr>
            </w:pPr>
          </w:p>
        </w:tc>
        <w:tc>
          <w:tcPr>
            <w:tcW w:w="1169" w:type="dxa"/>
            <w:vAlign w:val="center"/>
          </w:tcPr>
          <w:p>
            <w:pPr>
              <w:spacing w:after="240" w:line="276" w:lineRule="auto"/>
              <w:jc w:val="center"/>
              <w:rPr>
                <w:color w:val="000000"/>
                <w:kern w:val="28"/>
                <w:sz w:val="18"/>
                <w:szCs w:val="18"/>
              </w:rPr>
            </w:pPr>
            <w:r>
              <w:rPr>
                <w:color w:val="000000"/>
                <w:kern w:val="28"/>
                <w:sz w:val="18"/>
                <w:szCs w:val="18"/>
              </w:rPr>
              <w:t>100%</w:t>
            </w:r>
          </w:p>
        </w:tc>
        <w:tc>
          <w:tcPr>
            <w:tcW w:w="3045" w:type="dxa"/>
            <w:vAlign w:val="center"/>
          </w:tcPr>
          <w:p>
            <w:pPr>
              <w:spacing w:after="240" w:line="276" w:lineRule="auto"/>
              <w:rPr>
                <w:bCs/>
                <w:color w:val="000000"/>
                <w:kern w:val="28"/>
                <w:sz w:val="18"/>
                <w:szCs w:val="18"/>
                <w:lang w:val="pt-BR"/>
              </w:rPr>
            </w:pPr>
            <w:r>
              <w:rPr>
                <w:color w:val="000000"/>
                <w:kern w:val="28"/>
                <w:sz w:val="18"/>
                <w:szCs w:val="18"/>
                <w:lang w:val="pt-BR"/>
              </w:rPr>
              <w:t>Costuri aferente transportului și preluării RDF produs mai mari pentru Operator</w:t>
            </w:r>
          </w:p>
        </w:tc>
        <w:tc>
          <w:tcPr>
            <w:tcW w:w="2910" w:type="dxa"/>
            <w:vAlign w:val="center"/>
          </w:tcPr>
          <w:p>
            <w:pPr>
              <w:spacing w:after="240" w:line="276" w:lineRule="auto"/>
              <w:rPr>
                <w:color w:val="000000"/>
                <w:kern w:val="28"/>
                <w:sz w:val="18"/>
                <w:szCs w:val="18"/>
                <w:lang w:val="pt-BR"/>
              </w:rPr>
            </w:pPr>
            <w:r>
              <w:rPr>
                <w:color w:val="000000"/>
                <w:kern w:val="28"/>
                <w:sz w:val="18"/>
                <w:szCs w:val="18"/>
                <w:lang w:val="pt-BR"/>
              </w:rPr>
              <w:t>Operatorul va fi obligat, prin contractul de delegare, să elaboreze o strategie de a identifica și alte instalații care să accepte RDF produs în instalație, la costuri cît mai bune.</w:t>
            </w:r>
          </w:p>
          <w:p>
            <w:pPr>
              <w:spacing w:after="240" w:line="276" w:lineRule="auto"/>
              <w:rPr>
                <w:color w:val="000000"/>
                <w:kern w:val="28"/>
                <w:sz w:val="18"/>
                <w:szCs w:val="18"/>
                <w:lang w:val="pt-BR"/>
              </w:rPr>
            </w:pPr>
            <w:r>
              <w:rPr>
                <w:color w:val="000000"/>
                <w:kern w:val="28"/>
                <w:sz w:val="18"/>
                <w:szCs w:val="18"/>
                <w:lang w:val="pt-BR"/>
              </w:rPr>
              <w:t>Dacă acest cost crește cu mai mult de 50%, Operatorul va putea solicita o modificare de tarif, numai pentru tarifele în care intervine acest cost și numai în urma prezentării unei documentări adecvate a solicitării sale.</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rPr>
            </w:pPr>
            <w:r>
              <w:rPr>
                <w:color w:val="000000"/>
                <w:kern w:val="28"/>
                <w:sz w:val="18"/>
                <w:szCs w:val="18"/>
              </w:rPr>
              <w:t>Furt, distrugerea /vandalizarea amplasamentelor</w:t>
            </w:r>
          </w:p>
        </w:tc>
        <w:tc>
          <w:tcPr>
            <w:tcW w:w="2684" w:type="dxa"/>
            <w:vAlign w:val="center"/>
          </w:tcPr>
          <w:p>
            <w:pPr>
              <w:spacing w:after="240" w:line="276" w:lineRule="auto"/>
              <w:rPr>
                <w:color w:val="000000"/>
                <w:kern w:val="28"/>
                <w:sz w:val="18"/>
                <w:szCs w:val="18"/>
                <w:lang w:val="pt-BR"/>
              </w:rPr>
            </w:pPr>
            <w:r>
              <w:rPr>
                <w:color w:val="000000"/>
                <w:kern w:val="28"/>
                <w:sz w:val="18"/>
                <w:szCs w:val="18"/>
              </w:rPr>
              <w:t xml:space="preserve">Operarea instalaţiilor de deseuri este asociată, în general, prezenței pe amplasament a unor echipamente/ bunuri și a unor cantități de deşeuri cu valoare de piaţă, ceea ce poate implica riscul prezenței în vecinatate a unor persoane interesate de acestea. </w:t>
            </w:r>
            <w:r>
              <w:rPr>
                <w:color w:val="000000"/>
                <w:kern w:val="28"/>
                <w:sz w:val="18"/>
                <w:szCs w:val="18"/>
                <w:lang w:val="pt-BR"/>
              </w:rPr>
              <w:t>O asemenea situație este inacceptabila, atât pe amplasament, cât şi în vecinatatea lui.</w:t>
            </w:r>
          </w:p>
        </w:tc>
        <w:tc>
          <w:tcPr>
            <w:tcW w:w="1215" w:type="dxa"/>
            <w:vAlign w:val="center"/>
          </w:tcPr>
          <w:p>
            <w:pPr>
              <w:spacing w:after="240" w:line="276" w:lineRule="auto"/>
              <w:jc w:val="center"/>
              <w:rPr>
                <w:color w:val="000000"/>
                <w:kern w:val="28"/>
                <w:sz w:val="18"/>
                <w:szCs w:val="18"/>
                <w:lang w:val="pt-BR"/>
              </w:rPr>
            </w:pPr>
          </w:p>
        </w:tc>
        <w:tc>
          <w:tcPr>
            <w:tcW w:w="1169" w:type="dxa"/>
            <w:vAlign w:val="center"/>
          </w:tcPr>
          <w:p>
            <w:pPr>
              <w:spacing w:after="240" w:line="276" w:lineRule="auto"/>
              <w:jc w:val="center"/>
              <w:rPr>
                <w:color w:val="000000"/>
                <w:kern w:val="28"/>
                <w:sz w:val="18"/>
                <w:szCs w:val="18"/>
              </w:rPr>
            </w:pPr>
            <w:r>
              <w:rPr>
                <w:color w:val="000000"/>
                <w:kern w:val="28"/>
                <w:sz w:val="18"/>
                <w:szCs w:val="18"/>
              </w:rPr>
              <w:t>100%</w:t>
            </w:r>
          </w:p>
        </w:tc>
        <w:tc>
          <w:tcPr>
            <w:tcW w:w="3045" w:type="dxa"/>
            <w:vAlign w:val="center"/>
          </w:tcPr>
          <w:p>
            <w:pPr>
              <w:spacing w:after="240" w:line="276" w:lineRule="auto"/>
              <w:rPr>
                <w:bCs/>
                <w:color w:val="000000"/>
                <w:kern w:val="28"/>
                <w:sz w:val="18"/>
                <w:szCs w:val="18"/>
              </w:rPr>
            </w:pPr>
            <w:r>
              <w:rPr>
                <w:bCs/>
                <w:color w:val="000000"/>
                <w:kern w:val="28"/>
                <w:sz w:val="18"/>
                <w:szCs w:val="18"/>
              </w:rPr>
              <w:t xml:space="preserve">Prejudicii aduse activelor CJ Galați date în operare. </w:t>
            </w:r>
          </w:p>
        </w:tc>
        <w:tc>
          <w:tcPr>
            <w:tcW w:w="2910" w:type="dxa"/>
            <w:vAlign w:val="center"/>
          </w:tcPr>
          <w:p>
            <w:pPr>
              <w:spacing w:after="240" w:line="276" w:lineRule="auto"/>
              <w:rPr>
                <w:color w:val="000000"/>
                <w:kern w:val="28"/>
                <w:sz w:val="18"/>
                <w:szCs w:val="18"/>
              </w:rPr>
            </w:pPr>
            <w:r>
              <w:rPr>
                <w:color w:val="000000"/>
                <w:kern w:val="28"/>
                <w:sz w:val="18"/>
                <w:szCs w:val="18"/>
              </w:rPr>
              <w:t>Operatorul este în totalitate responsabil de asigurarea pazei și integrității bunurilor în limita amplasamentului predat în operare.</w:t>
            </w:r>
          </w:p>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 xml:space="preserve">Operatorul e obligat să încheie asigurarea de bunuri, care trebuie să acopere parte din acest risc. </w:t>
            </w:r>
          </w:p>
          <w:p>
            <w:pPr>
              <w:spacing w:after="240" w:line="276" w:lineRule="auto"/>
              <w:rPr>
                <w:b/>
                <w:bCs/>
                <w:color w:val="000000"/>
                <w:kern w:val="28"/>
                <w:sz w:val="18"/>
                <w:szCs w:val="18"/>
              </w:rPr>
            </w:pPr>
          </w:p>
        </w:tc>
      </w:tr>
      <w:tr>
        <w:tc>
          <w:tcPr>
            <w:tcW w:w="526" w:type="dxa"/>
            <w:vAlign w:val="center"/>
          </w:tcPr>
          <w:p>
            <w:pPr>
              <w:numPr>
                <w:ilvl w:val="0"/>
                <w:numId w:val="26"/>
              </w:numPr>
              <w:spacing w:after="240" w:line="276" w:lineRule="auto"/>
              <w:ind w:left="0" w:firstLine="0"/>
              <w:jc w:val="center"/>
              <w:rPr>
                <w:b/>
                <w:bCs/>
                <w:kern w:val="28"/>
                <w:sz w:val="18"/>
                <w:szCs w:val="18"/>
              </w:rPr>
            </w:pPr>
          </w:p>
        </w:tc>
        <w:tc>
          <w:tcPr>
            <w:tcW w:w="2876" w:type="dxa"/>
            <w:vAlign w:val="center"/>
          </w:tcPr>
          <w:p>
            <w:pPr>
              <w:spacing w:after="240" w:line="276" w:lineRule="auto"/>
              <w:rPr>
                <w:color w:val="000000"/>
                <w:kern w:val="28"/>
                <w:sz w:val="18"/>
                <w:szCs w:val="18"/>
              </w:rPr>
            </w:pPr>
            <w:r>
              <w:rPr>
                <w:color w:val="000000"/>
                <w:kern w:val="28"/>
                <w:sz w:val="18"/>
                <w:szCs w:val="18"/>
              </w:rPr>
              <w:t xml:space="preserve">Operarea tehnologică a staţiilor </w:t>
            </w:r>
          </w:p>
        </w:tc>
        <w:tc>
          <w:tcPr>
            <w:tcW w:w="2684" w:type="dxa"/>
            <w:vAlign w:val="center"/>
          </w:tcPr>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 xml:space="preserve">Operatorul nu opereaza conform Manualului de operare și intretinere existent și conform actelor de reglementare emise de catre autoritatile competente. </w:t>
            </w:r>
          </w:p>
        </w:tc>
        <w:tc>
          <w:tcPr>
            <w:tcW w:w="1215" w:type="dxa"/>
            <w:vAlign w:val="center"/>
          </w:tcPr>
          <w:p>
            <w:pPr>
              <w:spacing w:after="240" w:line="276" w:lineRule="auto"/>
              <w:jc w:val="center"/>
              <w:rPr>
                <w:color w:val="000000"/>
                <w:kern w:val="28"/>
                <w:sz w:val="18"/>
                <w:szCs w:val="18"/>
              </w:rPr>
            </w:pPr>
          </w:p>
        </w:tc>
        <w:tc>
          <w:tcPr>
            <w:tcW w:w="1169" w:type="dxa"/>
            <w:vAlign w:val="center"/>
          </w:tcPr>
          <w:p>
            <w:pPr>
              <w:spacing w:after="240" w:line="276" w:lineRule="auto"/>
              <w:jc w:val="center"/>
              <w:rPr>
                <w:color w:val="000000"/>
                <w:kern w:val="28"/>
                <w:sz w:val="18"/>
                <w:szCs w:val="18"/>
              </w:rPr>
            </w:pPr>
            <w:r>
              <w:rPr>
                <w:color w:val="000000"/>
                <w:kern w:val="28"/>
                <w:sz w:val="18"/>
                <w:szCs w:val="18"/>
              </w:rPr>
              <w:t>100%</w:t>
            </w:r>
          </w:p>
        </w:tc>
        <w:tc>
          <w:tcPr>
            <w:tcW w:w="3045" w:type="dxa"/>
            <w:vAlign w:val="center"/>
          </w:tcPr>
          <w:p>
            <w:pPr>
              <w:pStyle w:val="Default"/>
              <w:spacing w:after="240" w:line="276" w:lineRule="auto"/>
              <w:rPr>
                <w:rFonts w:ascii="Times New Roman" w:hAnsi="Times New Roman" w:cs="Times New Roman"/>
                <w:bCs/>
                <w:kern w:val="28"/>
                <w:sz w:val="18"/>
                <w:szCs w:val="18"/>
              </w:rPr>
            </w:pPr>
            <w:r>
              <w:rPr>
                <w:rFonts w:ascii="Times New Roman" w:hAnsi="Times New Roman" w:cs="Times New Roman"/>
                <w:b/>
                <w:kern w:val="28"/>
                <w:sz w:val="18"/>
                <w:szCs w:val="18"/>
              </w:rPr>
              <w:t xml:space="preserve"> </w:t>
            </w:r>
            <w:r>
              <w:rPr>
                <w:rFonts w:ascii="Times New Roman" w:hAnsi="Times New Roman" w:cs="Times New Roman"/>
                <w:kern w:val="28"/>
                <w:sz w:val="18"/>
                <w:szCs w:val="18"/>
              </w:rPr>
              <w:t>Conformarea activității poate presupune costuri suplimentare din partea operatorului.</w:t>
            </w:r>
          </w:p>
        </w:tc>
        <w:tc>
          <w:tcPr>
            <w:tcW w:w="2910" w:type="dxa"/>
            <w:vAlign w:val="center"/>
          </w:tcPr>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Instalațiile sunt proiectate și realizate de către Operator și acest aspect nu ar trebui să apară.</w:t>
            </w:r>
          </w:p>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 xml:space="preserve">Operarea neconformă este constatată de actele de inspecție și control ale autorităților competente și de </w:t>
            </w:r>
            <w:r>
              <w:rPr>
                <w:rFonts w:ascii="Times New Roman" w:hAnsi="Times New Roman" w:cs="Times New Roman"/>
                <w:kern w:val="28"/>
                <w:sz w:val="18"/>
                <w:szCs w:val="18"/>
              </w:rPr>
              <w:lastRenderedPageBreak/>
              <w:t xml:space="preserve">auditurile de evaluare a conformității efectuate de Autoritatea Contractantă. </w:t>
            </w:r>
          </w:p>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 xml:space="preserve">Responsabilitatea și suportarea costurilor conformarii activitatii revine exclusiv Operatorului. </w:t>
            </w:r>
          </w:p>
          <w:p>
            <w:pPr>
              <w:spacing w:after="240" w:line="276" w:lineRule="auto"/>
              <w:rPr>
                <w:color w:val="000000"/>
                <w:kern w:val="28"/>
                <w:sz w:val="18"/>
                <w:szCs w:val="18"/>
                <w:lang w:val="ro-RO"/>
              </w:rPr>
            </w:pPr>
            <w:r>
              <w:rPr>
                <w:color w:val="000000"/>
                <w:kern w:val="28"/>
                <w:sz w:val="18"/>
                <w:szCs w:val="18"/>
                <w:lang w:val="ro-RO"/>
              </w:rPr>
              <w:t xml:space="preserve">Nu sunt îndreptățite solicitări de rambursare a cheltuielilor realizate în vederea conformării și nici solicitări de ajustare a tarifului, pentru conformare. </w:t>
            </w:r>
          </w:p>
        </w:tc>
      </w:tr>
      <w:tr>
        <w:tc>
          <w:tcPr>
            <w:tcW w:w="526" w:type="dxa"/>
            <w:vAlign w:val="center"/>
          </w:tcPr>
          <w:p>
            <w:pPr>
              <w:numPr>
                <w:ilvl w:val="0"/>
                <w:numId w:val="26"/>
              </w:numPr>
              <w:spacing w:after="240" w:line="276" w:lineRule="auto"/>
              <w:ind w:left="0" w:firstLine="0"/>
              <w:jc w:val="center"/>
              <w:rPr>
                <w:b/>
                <w:bCs/>
                <w:kern w:val="28"/>
                <w:sz w:val="18"/>
                <w:szCs w:val="18"/>
                <w:lang w:val="ro-RO"/>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Instalaţiile necesita, in opinia ofertantului, echipamente, utilaje și dispozitive suplimentare pentru creşterea randamentului operării</w:t>
            </w:r>
          </w:p>
        </w:tc>
        <w:tc>
          <w:tcPr>
            <w:tcW w:w="2684" w:type="dxa"/>
            <w:vAlign w:val="center"/>
          </w:tcPr>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Ofertantul considera ca sunt necesare echipamente suplimentare față de solicitările din Caietul de sarcini</w:t>
            </w:r>
          </w:p>
        </w:tc>
        <w:tc>
          <w:tcPr>
            <w:tcW w:w="1215" w:type="dxa"/>
            <w:vAlign w:val="center"/>
          </w:tcPr>
          <w:p>
            <w:pPr>
              <w:spacing w:after="240" w:line="276" w:lineRule="auto"/>
              <w:jc w:val="center"/>
              <w:rPr>
                <w:color w:val="000000"/>
                <w:kern w:val="28"/>
                <w:sz w:val="18"/>
                <w:szCs w:val="18"/>
                <w:lang w:val="pt-BR"/>
              </w:rPr>
            </w:pPr>
          </w:p>
        </w:tc>
        <w:tc>
          <w:tcPr>
            <w:tcW w:w="1169" w:type="dxa"/>
            <w:vAlign w:val="center"/>
          </w:tcPr>
          <w:p>
            <w:pPr>
              <w:spacing w:after="240" w:line="276" w:lineRule="auto"/>
              <w:jc w:val="center"/>
              <w:rPr>
                <w:color w:val="000000"/>
                <w:kern w:val="28"/>
                <w:sz w:val="18"/>
                <w:szCs w:val="18"/>
              </w:rPr>
            </w:pPr>
            <w:r>
              <w:rPr>
                <w:color w:val="000000"/>
                <w:kern w:val="28"/>
                <w:sz w:val="18"/>
                <w:szCs w:val="18"/>
              </w:rPr>
              <w:t>100%</w:t>
            </w:r>
          </w:p>
        </w:tc>
        <w:tc>
          <w:tcPr>
            <w:tcW w:w="3045" w:type="dxa"/>
            <w:vAlign w:val="center"/>
          </w:tcPr>
          <w:p>
            <w:pPr>
              <w:pStyle w:val="Default"/>
              <w:spacing w:after="240" w:line="276" w:lineRule="auto"/>
              <w:rPr>
                <w:rFonts w:ascii="Times New Roman" w:hAnsi="Times New Roman" w:cs="Times New Roman"/>
                <w:bCs/>
                <w:kern w:val="28"/>
                <w:sz w:val="18"/>
                <w:szCs w:val="18"/>
              </w:rPr>
            </w:pPr>
            <w:r>
              <w:rPr>
                <w:rFonts w:ascii="Times New Roman" w:hAnsi="Times New Roman" w:cs="Times New Roman"/>
                <w:bCs/>
                <w:kern w:val="28"/>
                <w:sz w:val="18"/>
                <w:szCs w:val="18"/>
              </w:rPr>
              <w:t>Achiziția și exploatarea echipamentelor suplimentare considerate necesare de către operator poate duce la creșterea costurilor acestuia.</w:t>
            </w:r>
          </w:p>
          <w:p>
            <w:pPr>
              <w:pStyle w:val="Default"/>
              <w:spacing w:after="240" w:line="276" w:lineRule="auto"/>
              <w:rPr>
                <w:rFonts w:ascii="Times New Roman" w:hAnsi="Times New Roman" w:cs="Times New Roman"/>
                <w:bCs/>
                <w:kern w:val="28"/>
                <w:sz w:val="18"/>
                <w:szCs w:val="18"/>
              </w:rPr>
            </w:pPr>
            <w:r>
              <w:rPr>
                <w:rFonts w:ascii="Times New Roman" w:hAnsi="Times New Roman" w:cs="Times New Roman"/>
                <w:bCs/>
                <w:kern w:val="28"/>
                <w:sz w:val="18"/>
                <w:szCs w:val="18"/>
              </w:rPr>
              <w:t>Acest aspect trebuie inclus de către Operator încă din oferta sa.</w:t>
            </w:r>
          </w:p>
        </w:tc>
        <w:tc>
          <w:tcPr>
            <w:tcW w:w="2910" w:type="dxa"/>
            <w:vAlign w:val="center"/>
          </w:tcPr>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 xml:space="preserve">Aceste aspecte trebuie rezolvate încă din faza de ofertare. </w:t>
            </w:r>
          </w:p>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 xml:space="preserve">În cazul în care Ofertantul consideră că sunt necesare utilaje, instalaţii, echipamente, dispozitive suplimentare față de cele solicitate în caietul de sarcni, pentru creşterea randamentului activităţii, acestea vor fi prezentate in mod distinct și justificat în oferta tehnică. Achiziția și instalarea acestora se va realiza prin grija și cu finantarea exclusivă a Ofertantului. Aceste cheltuieli nu vor putea face obiectul unei cereri de rambursare catre Autoritatea Contractanta și nici de modificare ulterioara a tarifului, toate cheltuielile urmand a fi incluse in tariful prestarii serviciului. </w:t>
            </w:r>
          </w:p>
        </w:tc>
      </w:tr>
      <w:tr>
        <w:tc>
          <w:tcPr>
            <w:tcW w:w="526" w:type="dxa"/>
            <w:vAlign w:val="center"/>
          </w:tcPr>
          <w:p>
            <w:pPr>
              <w:numPr>
                <w:ilvl w:val="0"/>
                <w:numId w:val="26"/>
              </w:numPr>
              <w:spacing w:after="240" w:line="276" w:lineRule="auto"/>
              <w:ind w:left="0" w:firstLine="0"/>
              <w:jc w:val="center"/>
              <w:rPr>
                <w:b/>
                <w:bCs/>
                <w:kern w:val="28"/>
                <w:sz w:val="18"/>
                <w:szCs w:val="18"/>
                <w:lang w:val="ro-RO"/>
              </w:rPr>
            </w:pPr>
          </w:p>
        </w:tc>
        <w:tc>
          <w:tcPr>
            <w:tcW w:w="2876" w:type="dxa"/>
            <w:vAlign w:val="center"/>
          </w:tcPr>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Resurse la intrare (necesare operării instalațiilor)</w:t>
            </w:r>
          </w:p>
        </w:tc>
        <w:tc>
          <w:tcPr>
            <w:tcW w:w="2684" w:type="dxa"/>
            <w:vAlign w:val="center"/>
          </w:tcPr>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Resursele necesare pentru operare costă mai mult decât estimarile inițiale, nu au calitate corespunzatoare sau sunt nu sunt disponibile în cantitatile necesare</w:t>
            </w:r>
          </w:p>
        </w:tc>
        <w:tc>
          <w:tcPr>
            <w:tcW w:w="1215" w:type="dxa"/>
            <w:vAlign w:val="center"/>
          </w:tcPr>
          <w:p>
            <w:pPr>
              <w:spacing w:after="240" w:line="276" w:lineRule="auto"/>
              <w:jc w:val="center"/>
              <w:rPr>
                <w:color w:val="000000"/>
                <w:kern w:val="28"/>
                <w:sz w:val="18"/>
                <w:szCs w:val="18"/>
                <w:lang w:val="ro-RO"/>
              </w:rPr>
            </w:pPr>
          </w:p>
        </w:tc>
        <w:tc>
          <w:tcPr>
            <w:tcW w:w="1169" w:type="dxa"/>
            <w:vAlign w:val="center"/>
          </w:tcPr>
          <w:p>
            <w:pPr>
              <w:spacing w:after="240" w:line="276" w:lineRule="auto"/>
              <w:jc w:val="center"/>
              <w:rPr>
                <w:color w:val="000000"/>
                <w:kern w:val="28"/>
                <w:sz w:val="18"/>
                <w:szCs w:val="18"/>
              </w:rPr>
            </w:pPr>
            <w:r>
              <w:rPr>
                <w:color w:val="000000"/>
                <w:kern w:val="28"/>
                <w:sz w:val="18"/>
                <w:szCs w:val="18"/>
              </w:rPr>
              <w:t>100%</w:t>
            </w:r>
          </w:p>
        </w:tc>
        <w:tc>
          <w:tcPr>
            <w:tcW w:w="3045" w:type="dxa"/>
            <w:vAlign w:val="center"/>
          </w:tcPr>
          <w:p>
            <w:pPr>
              <w:pStyle w:val="Default"/>
              <w:spacing w:after="240" w:line="276" w:lineRule="auto"/>
              <w:rPr>
                <w:rFonts w:ascii="Times New Roman" w:hAnsi="Times New Roman" w:cs="Times New Roman"/>
                <w:kern w:val="28"/>
                <w:sz w:val="18"/>
                <w:szCs w:val="18"/>
              </w:rPr>
            </w:pPr>
            <w:r>
              <w:rPr>
                <w:rFonts w:ascii="Times New Roman" w:hAnsi="Times New Roman" w:cs="Times New Roman"/>
                <w:kern w:val="28"/>
                <w:sz w:val="18"/>
                <w:szCs w:val="18"/>
              </w:rPr>
              <w:t>Creșteri de cost și, in unele cazuri, efecte negative asupra calității prestațiilor efectuate</w:t>
            </w:r>
          </w:p>
        </w:tc>
        <w:tc>
          <w:tcPr>
            <w:tcW w:w="2910" w:type="dxa"/>
            <w:vAlign w:val="center"/>
          </w:tcPr>
          <w:p>
            <w:pPr>
              <w:spacing w:after="120"/>
              <w:rPr>
                <w:sz w:val="18"/>
                <w:szCs w:val="18"/>
                <w:lang w:val="ro-RO"/>
              </w:rPr>
            </w:pPr>
            <w:r>
              <w:rPr>
                <w:color w:val="000000"/>
                <w:kern w:val="28"/>
                <w:sz w:val="18"/>
                <w:szCs w:val="18"/>
                <w:lang w:val="ro-RO"/>
              </w:rPr>
              <w:t>Operatorul trebuie să facă estimarea costurilor cât mai aproape de costurile reale, astfel încât să evite eventualele pierderi.</w:t>
            </w:r>
            <w:r>
              <w:rPr>
                <w:sz w:val="18"/>
                <w:szCs w:val="18"/>
                <w:lang w:val="ro-RO"/>
              </w:rPr>
              <w:t xml:space="preserve"> </w:t>
            </w:r>
          </w:p>
          <w:p>
            <w:pPr>
              <w:spacing w:after="120" w:line="276" w:lineRule="auto"/>
              <w:rPr>
                <w:color w:val="000000"/>
                <w:kern w:val="28"/>
                <w:sz w:val="18"/>
                <w:szCs w:val="18"/>
                <w:lang w:val="ro-RO"/>
              </w:rPr>
            </w:pPr>
            <w:r>
              <w:rPr>
                <w:color w:val="000000"/>
                <w:kern w:val="28"/>
                <w:sz w:val="18"/>
                <w:szCs w:val="18"/>
                <w:lang w:val="ro-RO"/>
              </w:rPr>
              <w:t>In cazul cresterii costurilor, operatorul este indreptăţit la recuperarea costurilor (dacă este cazul) și la modificarea tarifului.</w:t>
            </w:r>
          </w:p>
        </w:tc>
      </w:tr>
      <w:tr>
        <w:tc>
          <w:tcPr>
            <w:tcW w:w="526" w:type="dxa"/>
            <w:vAlign w:val="center"/>
          </w:tcPr>
          <w:p>
            <w:pPr>
              <w:numPr>
                <w:ilvl w:val="0"/>
                <w:numId w:val="26"/>
              </w:numPr>
              <w:spacing w:after="240" w:line="276" w:lineRule="auto"/>
              <w:ind w:left="0" w:firstLine="0"/>
              <w:jc w:val="center"/>
              <w:rPr>
                <w:b/>
                <w:bCs/>
                <w:kern w:val="28"/>
                <w:sz w:val="18"/>
                <w:szCs w:val="18"/>
                <w:lang w:val="ro-RO"/>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Cerinţe suplimentare privind reglementările de mediu – taxe</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Pe parcursul derulării contractului de operare actele de reglementare suportă modificări şi sunt introduse noi taxe aplicabile.</w:t>
            </w:r>
          </w:p>
          <w:p>
            <w:pPr>
              <w:spacing w:after="240" w:line="276" w:lineRule="auto"/>
              <w:rPr>
                <w:color w:val="000000"/>
                <w:kern w:val="28"/>
                <w:sz w:val="18"/>
                <w:szCs w:val="18"/>
                <w:lang w:val="pt-BR"/>
              </w:rPr>
            </w:pPr>
          </w:p>
        </w:tc>
        <w:tc>
          <w:tcPr>
            <w:tcW w:w="1215" w:type="dxa"/>
            <w:vAlign w:val="center"/>
          </w:tcPr>
          <w:p>
            <w:pPr>
              <w:spacing w:after="240" w:line="276" w:lineRule="auto"/>
              <w:jc w:val="center"/>
              <w:rPr>
                <w:color w:val="000000"/>
                <w:kern w:val="28"/>
                <w:sz w:val="18"/>
                <w:szCs w:val="18"/>
              </w:rPr>
            </w:pPr>
            <w:r>
              <w:rPr>
                <w:color w:val="000000"/>
                <w:kern w:val="28"/>
                <w:sz w:val="18"/>
                <w:szCs w:val="18"/>
              </w:rPr>
              <w:t>100%</w:t>
            </w:r>
          </w:p>
        </w:tc>
        <w:tc>
          <w:tcPr>
            <w:tcW w:w="1169" w:type="dxa"/>
            <w:vAlign w:val="center"/>
          </w:tcPr>
          <w:p>
            <w:pPr>
              <w:spacing w:after="240" w:line="276" w:lineRule="auto"/>
              <w:jc w:val="center"/>
              <w:rPr>
                <w:color w:val="000000"/>
                <w:kern w:val="28"/>
                <w:sz w:val="18"/>
                <w:szCs w:val="18"/>
              </w:rPr>
            </w:pPr>
          </w:p>
        </w:tc>
        <w:tc>
          <w:tcPr>
            <w:tcW w:w="3045" w:type="dxa"/>
            <w:vAlign w:val="center"/>
          </w:tcPr>
          <w:p>
            <w:pPr>
              <w:spacing w:after="240" w:line="276" w:lineRule="auto"/>
              <w:rPr>
                <w:bCs/>
                <w:color w:val="000000"/>
                <w:kern w:val="28"/>
                <w:sz w:val="18"/>
                <w:szCs w:val="18"/>
                <w:lang w:val="pt-BR"/>
              </w:rPr>
            </w:pPr>
            <w:r>
              <w:rPr>
                <w:color w:val="000000"/>
                <w:kern w:val="28"/>
                <w:sz w:val="18"/>
                <w:szCs w:val="18"/>
                <w:lang w:val="pt-BR"/>
              </w:rPr>
              <w:t>Orice taxă/impunere financiară nou aparută pe parcursul derulării contractului care se aplică Operatorului şi care nu a existat la momentul depunerii Ofertei, poate determina creșterea costurilor de operare.</w:t>
            </w:r>
          </w:p>
        </w:tc>
        <w:tc>
          <w:tcPr>
            <w:tcW w:w="2910" w:type="dxa"/>
            <w:vAlign w:val="center"/>
          </w:tcPr>
          <w:p>
            <w:pPr>
              <w:spacing w:after="120" w:line="276" w:lineRule="auto"/>
              <w:rPr>
                <w:color w:val="000000"/>
                <w:kern w:val="28"/>
                <w:sz w:val="18"/>
                <w:szCs w:val="18"/>
                <w:lang w:val="pt-BR"/>
              </w:rPr>
            </w:pPr>
            <w:r>
              <w:rPr>
                <w:color w:val="000000"/>
                <w:kern w:val="28"/>
                <w:sz w:val="18"/>
                <w:szCs w:val="18"/>
                <w:lang w:val="pt-BR"/>
              </w:rPr>
              <w:t>Pentru orice taxă/ impunere financiară nou aparută pe parcursul derulării contractului, care se aplică Operatorului şi care nu a existat la momentul depunerii Ofertei, Operatorul este îndreptățit la recuperarea costurilor și eventuala ajustare sau modificare a tarifului.</w:t>
            </w:r>
          </w:p>
          <w:p>
            <w:pPr>
              <w:spacing w:after="120" w:line="276" w:lineRule="auto"/>
              <w:rPr>
                <w:b/>
                <w:bCs/>
                <w:color w:val="000000"/>
                <w:kern w:val="28"/>
                <w:sz w:val="18"/>
                <w:szCs w:val="18"/>
                <w:lang w:val="pt-BR"/>
              </w:rPr>
            </w:pPr>
            <w:r>
              <w:rPr>
                <w:color w:val="000000"/>
                <w:kern w:val="28"/>
                <w:sz w:val="18"/>
                <w:szCs w:val="18"/>
                <w:lang w:val="pt-BR"/>
              </w:rPr>
              <w:t>Raţionamentul de mai sus se aplică exclusiv situaţiilor de operare conformă a serviciului. Orice situaţie de practică neconformă este în sarcina Operatorului.</w:t>
            </w:r>
            <w:r>
              <w:rPr>
                <w:b/>
                <w:bCs/>
                <w:color w:val="000000"/>
                <w:kern w:val="28"/>
                <w:sz w:val="18"/>
                <w:szCs w:val="18"/>
                <w:lang w:val="pt-BR"/>
              </w:rPr>
              <w:t xml:space="preserve"> </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color w:val="000000"/>
                <w:kern w:val="28"/>
                <w:sz w:val="18"/>
                <w:szCs w:val="18"/>
                <w:lang w:val="pt-BR"/>
              </w:rPr>
            </w:pPr>
            <w:r>
              <w:rPr>
                <w:color w:val="000000"/>
                <w:kern w:val="28"/>
                <w:sz w:val="18"/>
                <w:szCs w:val="18"/>
                <w:lang w:val="pt-BR"/>
              </w:rPr>
              <w:t>Cerinţe tehnice suplimentare privind reglementările de mediu</w:t>
            </w:r>
          </w:p>
        </w:tc>
        <w:tc>
          <w:tcPr>
            <w:tcW w:w="2684" w:type="dxa"/>
            <w:vAlign w:val="center"/>
          </w:tcPr>
          <w:p>
            <w:pPr>
              <w:spacing w:after="240" w:line="276" w:lineRule="auto"/>
              <w:rPr>
                <w:color w:val="000000"/>
                <w:kern w:val="28"/>
                <w:sz w:val="18"/>
                <w:szCs w:val="18"/>
                <w:lang w:val="pt-BR"/>
              </w:rPr>
            </w:pPr>
            <w:r>
              <w:rPr>
                <w:color w:val="000000"/>
                <w:kern w:val="28"/>
                <w:sz w:val="18"/>
                <w:szCs w:val="18"/>
                <w:lang w:val="pt-BR"/>
              </w:rPr>
              <w:t>Pe parcursul derulării contractului de operare, actele de reglementare suportă modificări şi sunt introduse noi cerinţe tehnice aplicabile.</w:t>
            </w:r>
          </w:p>
          <w:p>
            <w:pPr>
              <w:spacing w:after="240" w:line="276" w:lineRule="auto"/>
              <w:rPr>
                <w:color w:val="000000"/>
                <w:kern w:val="28"/>
                <w:sz w:val="18"/>
                <w:szCs w:val="18"/>
                <w:lang w:val="pt-BR"/>
              </w:rPr>
            </w:pPr>
          </w:p>
        </w:tc>
        <w:tc>
          <w:tcPr>
            <w:tcW w:w="1215" w:type="dxa"/>
            <w:vAlign w:val="center"/>
          </w:tcPr>
          <w:p>
            <w:pPr>
              <w:spacing w:after="240" w:line="276" w:lineRule="auto"/>
              <w:jc w:val="center"/>
              <w:rPr>
                <w:color w:val="000000"/>
                <w:kern w:val="28"/>
                <w:sz w:val="18"/>
                <w:szCs w:val="18"/>
              </w:rPr>
            </w:pPr>
            <w:r>
              <w:rPr>
                <w:color w:val="000000"/>
                <w:kern w:val="28"/>
                <w:sz w:val="18"/>
                <w:szCs w:val="18"/>
              </w:rPr>
              <w:t>50%</w:t>
            </w:r>
          </w:p>
        </w:tc>
        <w:tc>
          <w:tcPr>
            <w:tcW w:w="1169" w:type="dxa"/>
            <w:vAlign w:val="center"/>
          </w:tcPr>
          <w:p>
            <w:pPr>
              <w:spacing w:after="240" w:line="276" w:lineRule="auto"/>
              <w:jc w:val="center"/>
              <w:rPr>
                <w:color w:val="000000"/>
                <w:kern w:val="28"/>
                <w:sz w:val="18"/>
                <w:szCs w:val="18"/>
              </w:rPr>
            </w:pPr>
            <w:r>
              <w:rPr>
                <w:color w:val="000000"/>
                <w:kern w:val="28"/>
                <w:sz w:val="18"/>
                <w:szCs w:val="18"/>
              </w:rPr>
              <w:t>50%</w:t>
            </w:r>
          </w:p>
        </w:tc>
        <w:tc>
          <w:tcPr>
            <w:tcW w:w="3045" w:type="dxa"/>
            <w:vAlign w:val="center"/>
          </w:tcPr>
          <w:p>
            <w:pPr>
              <w:spacing w:after="240" w:line="276" w:lineRule="auto"/>
              <w:rPr>
                <w:bCs/>
                <w:color w:val="000000"/>
                <w:kern w:val="28"/>
                <w:sz w:val="18"/>
                <w:szCs w:val="18"/>
                <w:lang w:val="pt-BR"/>
              </w:rPr>
            </w:pPr>
            <w:r>
              <w:rPr>
                <w:color w:val="000000"/>
                <w:kern w:val="28"/>
                <w:sz w:val="18"/>
                <w:szCs w:val="18"/>
                <w:lang w:val="pt-BR"/>
              </w:rPr>
              <w:t>Orice cerinţă tehnică nou aparută pe parcursul derulării contractului, care se aplică Operatorului şi care nu a existat la momentul depunerii Ofertei, generează o creștere semnificativă în costurile operaționale ale acestuia și/sau necesitatea de a efectua cheltuieli de capital pentru a putea răspunde acestor cerințe suplimentare</w:t>
            </w:r>
          </w:p>
        </w:tc>
        <w:tc>
          <w:tcPr>
            <w:tcW w:w="2910" w:type="dxa"/>
            <w:vAlign w:val="center"/>
          </w:tcPr>
          <w:p>
            <w:pPr>
              <w:spacing w:after="120" w:line="276" w:lineRule="auto"/>
              <w:rPr>
                <w:color w:val="000000"/>
                <w:kern w:val="28"/>
                <w:sz w:val="18"/>
                <w:szCs w:val="18"/>
                <w:lang w:val="pt-BR"/>
              </w:rPr>
            </w:pPr>
            <w:r>
              <w:rPr>
                <w:color w:val="000000"/>
                <w:kern w:val="28"/>
                <w:sz w:val="18"/>
                <w:szCs w:val="18"/>
                <w:lang w:val="pt-BR"/>
              </w:rPr>
              <w:t>Orice cerinţă tehnică nou apărută pe parcursul derulării contractului, care se aplica Operatorului şi care nu a existat la momentul depunerii Ofertei, genereaza costuri suplimentare în activitatea acestuia.</w:t>
            </w:r>
          </w:p>
          <w:p>
            <w:pPr>
              <w:spacing w:after="120" w:line="276" w:lineRule="auto"/>
              <w:rPr>
                <w:color w:val="000000"/>
                <w:kern w:val="28"/>
                <w:sz w:val="18"/>
                <w:szCs w:val="18"/>
                <w:lang w:val="es-ES"/>
              </w:rPr>
            </w:pPr>
            <w:r>
              <w:rPr>
                <w:color w:val="000000"/>
                <w:kern w:val="28"/>
                <w:sz w:val="18"/>
                <w:szCs w:val="18"/>
                <w:lang w:val="es-ES"/>
              </w:rPr>
              <w:t>Operatorul este indreptăţit la recuperarea costurilor (dacă este cazul) și la modificarea tarifului.</w:t>
            </w:r>
          </w:p>
          <w:p>
            <w:pPr>
              <w:spacing w:after="120" w:line="276" w:lineRule="auto"/>
              <w:rPr>
                <w:color w:val="000000"/>
                <w:kern w:val="28"/>
                <w:sz w:val="18"/>
                <w:szCs w:val="18"/>
                <w:lang w:val="es-ES"/>
              </w:rPr>
            </w:pPr>
            <w:r>
              <w:rPr>
                <w:color w:val="000000"/>
                <w:kern w:val="28"/>
                <w:sz w:val="18"/>
                <w:szCs w:val="18"/>
                <w:lang w:val="es-ES"/>
              </w:rPr>
              <w:t xml:space="preserve">Raţionamentul de mai sus se aplică exclusiv situaţiilor de operare </w:t>
            </w:r>
            <w:r>
              <w:rPr>
                <w:color w:val="000000"/>
                <w:kern w:val="28"/>
                <w:sz w:val="18"/>
                <w:szCs w:val="18"/>
                <w:lang w:val="es-ES"/>
              </w:rPr>
              <w:lastRenderedPageBreak/>
              <w:t>conformă a serviciului. Orice situaţie de practică neconformă este în sarcina Operatorului.</w:t>
            </w:r>
          </w:p>
        </w:tc>
      </w:tr>
      <w:tr>
        <w:tc>
          <w:tcPr>
            <w:tcW w:w="526" w:type="dxa"/>
            <w:vAlign w:val="center"/>
          </w:tcPr>
          <w:p>
            <w:pPr>
              <w:numPr>
                <w:ilvl w:val="0"/>
                <w:numId w:val="26"/>
              </w:numPr>
              <w:spacing w:after="240" w:line="276" w:lineRule="auto"/>
              <w:ind w:left="0" w:firstLine="0"/>
              <w:jc w:val="center"/>
              <w:rPr>
                <w:b/>
                <w:bCs/>
                <w:kern w:val="28"/>
                <w:sz w:val="18"/>
                <w:szCs w:val="18"/>
                <w:lang w:val="es-ES"/>
              </w:rPr>
            </w:pPr>
          </w:p>
        </w:tc>
        <w:tc>
          <w:tcPr>
            <w:tcW w:w="2876" w:type="dxa"/>
            <w:vAlign w:val="center"/>
          </w:tcPr>
          <w:p>
            <w:pPr>
              <w:spacing w:after="240" w:line="276" w:lineRule="auto"/>
              <w:rPr>
                <w:kern w:val="28"/>
                <w:sz w:val="18"/>
                <w:szCs w:val="18"/>
                <w:lang w:val="pt-BR"/>
              </w:rPr>
            </w:pPr>
            <w:r>
              <w:rPr>
                <w:kern w:val="28"/>
                <w:sz w:val="18"/>
                <w:szCs w:val="18"/>
                <w:lang w:val="pt-BR"/>
              </w:rPr>
              <w:t xml:space="preserve">Contestarea activității de către populația rezidentă din vecinatăți </w:t>
            </w:r>
          </w:p>
        </w:tc>
        <w:tc>
          <w:tcPr>
            <w:tcW w:w="2684" w:type="dxa"/>
            <w:vAlign w:val="center"/>
          </w:tcPr>
          <w:p>
            <w:pPr>
              <w:spacing w:after="240" w:line="276" w:lineRule="auto"/>
              <w:rPr>
                <w:kern w:val="28"/>
                <w:sz w:val="18"/>
                <w:szCs w:val="18"/>
                <w:lang w:val="pt-BR"/>
              </w:rPr>
            </w:pPr>
            <w:r>
              <w:rPr>
                <w:kern w:val="28"/>
                <w:sz w:val="18"/>
                <w:szCs w:val="18"/>
                <w:lang w:val="pt-BR"/>
              </w:rPr>
              <w:t xml:space="preserve">Dupa punerea in exploatare a instalațiilor, poate apărea și se poate amplifica în timp nemulțumirea populației față de influențele activităților desfășurate asupra calității vieții. Acestea pot ajunge la situații conflictuale și litigii. </w:t>
            </w:r>
          </w:p>
          <w:p>
            <w:pPr>
              <w:spacing w:after="240" w:line="276" w:lineRule="auto"/>
              <w:rPr>
                <w:kern w:val="28"/>
                <w:sz w:val="18"/>
                <w:szCs w:val="18"/>
                <w:lang w:val="pt-BR"/>
              </w:rPr>
            </w:pPr>
            <w:r>
              <w:rPr>
                <w:kern w:val="28"/>
                <w:sz w:val="18"/>
                <w:szCs w:val="18"/>
                <w:lang w:val="pt-BR"/>
              </w:rPr>
              <w:t>Aceasta categorie de risc nu se referă la operarea neconformă a instalațiilor, situație în care Operatorul  devine responsabil.</w:t>
            </w:r>
          </w:p>
        </w:tc>
        <w:tc>
          <w:tcPr>
            <w:tcW w:w="1215" w:type="dxa"/>
            <w:vAlign w:val="center"/>
          </w:tcPr>
          <w:p>
            <w:pPr>
              <w:spacing w:after="240" w:line="276" w:lineRule="auto"/>
              <w:jc w:val="center"/>
              <w:rPr>
                <w:kern w:val="28"/>
                <w:sz w:val="18"/>
                <w:szCs w:val="18"/>
              </w:rPr>
            </w:pPr>
            <w:r>
              <w:rPr>
                <w:kern w:val="28"/>
                <w:sz w:val="18"/>
                <w:szCs w:val="18"/>
              </w:rPr>
              <w:t>50%</w:t>
            </w:r>
          </w:p>
        </w:tc>
        <w:tc>
          <w:tcPr>
            <w:tcW w:w="1169" w:type="dxa"/>
            <w:vAlign w:val="center"/>
          </w:tcPr>
          <w:p>
            <w:pPr>
              <w:spacing w:after="240" w:line="276" w:lineRule="auto"/>
              <w:jc w:val="center"/>
              <w:rPr>
                <w:kern w:val="28"/>
                <w:sz w:val="18"/>
                <w:szCs w:val="18"/>
              </w:rPr>
            </w:pPr>
            <w:r>
              <w:rPr>
                <w:kern w:val="28"/>
                <w:sz w:val="18"/>
                <w:szCs w:val="18"/>
              </w:rPr>
              <w:t>50%</w:t>
            </w:r>
          </w:p>
        </w:tc>
        <w:tc>
          <w:tcPr>
            <w:tcW w:w="3045" w:type="dxa"/>
            <w:vAlign w:val="center"/>
          </w:tcPr>
          <w:p>
            <w:pPr>
              <w:spacing w:after="240" w:line="276" w:lineRule="auto"/>
              <w:rPr>
                <w:kern w:val="28"/>
                <w:sz w:val="18"/>
                <w:szCs w:val="18"/>
              </w:rPr>
            </w:pPr>
            <w:r>
              <w:rPr>
                <w:kern w:val="28"/>
                <w:sz w:val="18"/>
                <w:szCs w:val="18"/>
              </w:rPr>
              <w:t>Operatorul  trebuie să asigure resursele necesare efectuării studiilor și expertizelor necesare, ca și pentru implementarea măsurilor necesare</w:t>
            </w:r>
          </w:p>
          <w:p>
            <w:pPr>
              <w:spacing w:after="240" w:line="276" w:lineRule="auto"/>
              <w:rPr>
                <w:bCs/>
                <w:kern w:val="28"/>
                <w:sz w:val="18"/>
                <w:szCs w:val="18"/>
              </w:rPr>
            </w:pPr>
          </w:p>
        </w:tc>
        <w:tc>
          <w:tcPr>
            <w:tcW w:w="2910" w:type="dxa"/>
            <w:vAlign w:val="center"/>
          </w:tcPr>
          <w:p>
            <w:pPr>
              <w:spacing w:after="120" w:line="276" w:lineRule="auto"/>
              <w:rPr>
                <w:kern w:val="28"/>
                <w:sz w:val="18"/>
                <w:szCs w:val="18"/>
              </w:rPr>
            </w:pPr>
            <w:r>
              <w:rPr>
                <w:kern w:val="28"/>
                <w:sz w:val="18"/>
                <w:szCs w:val="18"/>
              </w:rPr>
              <w:t>Orice masură de control/ eliminare/ minimizare a fenomenelor contestate va fi implementată doar cu acordul prealabil al Autoritatii contractante.</w:t>
            </w:r>
          </w:p>
          <w:p>
            <w:pPr>
              <w:spacing w:after="120" w:line="276" w:lineRule="auto"/>
              <w:rPr>
                <w:kern w:val="28"/>
                <w:sz w:val="18"/>
                <w:szCs w:val="18"/>
              </w:rPr>
            </w:pPr>
            <w:r>
              <w:rPr>
                <w:kern w:val="28"/>
                <w:sz w:val="18"/>
                <w:szCs w:val="18"/>
              </w:rPr>
              <w:t>Costurile vor fi recuperate în proportie de 50% de către operator, putând constitui un motiv de modificare a tarifului.</w:t>
            </w:r>
          </w:p>
          <w:p>
            <w:pPr>
              <w:spacing w:after="120" w:line="276" w:lineRule="auto"/>
              <w:rPr>
                <w:kern w:val="28"/>
                <w:sz w:val="18"/>
                <w:szCs w:val="18"/>
              </w:rPr>
            </w:pPr>
            <w:r>
              <w:rPr>
                <w:kern w:val="28"/>
                <w:sz w:val="18"/>
                <w:szCs w:val="18"/>
              </w:rPr>
              <w:t>Autoritatea Contractantă are dreptul de efectua periodic, dar cel mult 1 data/an un audit de conformitate privind modul de operare al instalațiilor.</w:t>
            </w:r>
          </w:p>
        </w:tc>
      </w:tr>
      <w:tr>
        <w:tc>
          <w:tcPr>
            <w:tcW w:w="14425" w:type="dxa"/>
            <w:gridSpan w:val="7"/>
            <w:vAlign w:val="center"/>
          </w:tcPr>
          <w:p>
            <w:pPr>
              <w:spacing w:after="240" w:line="276" w:lineRule="auto"/>
              <w:rPr>
                <w:b/>
                <w:bCs/>
                <w:i/>
                <w:kern w:val="28"/>
                <w:sz w:val="18"/>
                <w:szCs w:val="18"/>
              </w:rPr>
            </w:pPr>
            <w:r>
              <w:rPr>
                <w:b/>
                <w:bCs/>
                <w:i/>
                <w:kern w:val="28"/>
                <w:sz w:val="18"/>
                <w:szCs w:val="18"/>
              </w:rPr>
              <w:t>Riscuri generale</w:t>
            </w:r>
          </w:p>
        </w:tc>
      </w:tr>
      <w:tr>
        <w:tc>
          <w:tcPr>
            <w:tcW w:w="526" w:type="dxa"/>
            <w:vAlign w:val="center"/>
          </w:tcPr>
          <w:p>
            <w:pPr>
              <w:numPr>
                <w:ilvl w:val="0"/>
                <w:numId w:val="26"/>
              </w:numPr>
              <w:spacing w:after="240" w:line="276" w:lineRule="auto"/>
              <w:ind w:left="0" w:firstLine="0"/>
              <w:jc w:val="center"/>
              <w:rPr>
                <w:b/>
                <w:bCs/>
                <w:kern w:val="28"/>
                <w:sz w:val="18"/>
                <w:szCs w:val="18"/>
              </w:rPr>
            </w:pPr>
          </w:p>
        </w:tc>
        <w:tc>
          <w:tcPr>
            <w:tcW w:w="2876" w:type="dxa"/>
            <w:vAlign w:val="center"/>
          </w:tcPr>
          <w:p>
            <w:pPr>
              <w:spacing w:after="240" w:line="276" w:lineRule="auto"/>
              <w:rPr>
                <w:kern w:val="28"/>
                <w:sz w:val="18"/>
                <w:szCs w:val="18"/>
              </w:rPr>
            </w:pPr>
            <w:r>
              <w:rPr>
                <w:kern w:val="28"/>
                <w:sz w:val="18"/>
                <w:szCs w:val="18"/>
              </w:rPr>
              <w:t>Inflaţie mare</w:t>
            </w:r>
          </w:p>
        </w:tc>
        <w:tc>
          <w:tcPr>
            <w:tcW w:w="2684" w:type="dxa"/>
            <w:vAlign w:val="center"/>
          </w:tcPr>
          <w:p>
            <w:pPr>
              <w:spacing w:after="120" w:line="276" w:lineRule="auto"/>
              <w:rPr>
                <w:kern w:val="28"/>
                <w:sz w:val="18"/>
                <w:szCs w:val="18"/>
                <w:lang w:val="pt-BR"/>
              </w:rPr>
            </w:pPr>
            <w:r>
              <w:rPr>
                <w:kern w:val="28"/>
                <w:sz w:val="18"/>
                <w:szCs w:val="18"/>
                <w:lang w:val="pt-BR"/>
              </w:rPr>
              <w:t xml:space="preserve">Costurile cresc foarte mult şi brusc din cauza inflaţiei, fiind necesara ajustarea tarifului mai devreme de un an. </w:t>
            </w:r>
          </w:p>
        </w:tc>
        <w:tc>
          <w:tcPr>
            <w:tcW w:w="1215" w:type="dxa"/>
            <w:vAlign w:val="center"/>
          </w:tcPr>
          <w:p>
            <w:pPr>
              <w:spacing w:after="240" w:line="276" w:lineRule="auto"/>
              <w:jc w:val="center"/>
              <w:rPr>
                <w:kern w:val="28"/>
                <w:sz w:val="18"/>
                <w:szCs w:val="18"/>
              </w:rPr>
            </w:pPr>
            <w:r>
              <w:rPr>
                <w:kern w:val="28"/>
                <w:sz w:val="18"/>
                <w:szCs w:val="18"/>
              </w:rPr>
              <w:t>100%</w:t>
            </w:r>
          </w:p>
        </w:tc>
        <w:tc>
          <w:tcPr>
            <w:tcW w:w="1169" w:type="dxa"/>
            <w:vAlign w:val="center"/>
          </w:tcPr>
          <w:p>
            <w:pPr>
              <w:spacing w:after="240" w:line="276" w:lineRule="auto"/>
              <w:rPr>
                <w:kern w:val="28"/>
                <w:sz w:val="18"/>
                <w:szCs w:val="18"/>
              </w:rPr>
            </w:pPr>
          </w:p>
        </w:tc>
        <w:tc>
          <w:tcPr>
            <w:tcW w:w="3045" w:type="dxa"/>
            <w:vAlign w:val="center"/>
          </w:tcPr>
          <w:p>
            <w:pPr>
              <w:spacing w:after="240" w:line="276" w:lineRule="auto"/>
              <w:rPr>
                <w:bCs/>
                <w:kern w:val="28"/>
                <w:sz w:val="18"/>
                <w:szCs w:val="18"/>
                <w:lang w:val="pt-BR"/>
              </w:rPr>
            </w:pPr>
            <w:r>
              <w:rPr>
                <w:kern w:val="28"/>
                <w:sz w:val="18"/>
                <w:szCs w:val="18"/>
                <w:lang w:val="pt-BR"/>
              </w:rPr>
              <w:t>Costurile cresc foarte mult şi brusc din cauza inflaţiei, fiind necesara ajustarea tarifului mai devreme de un an.</w:t>
            </w:r>
          </w:p>
        </w:tc>
        <w:tc>
          <w:tcPr>
            <w:tcW w:w="2910" w:type="dxa"/>
            <w:vAlign w:val="center"/>
          </w:tcPr>
          <w:p>
            <w:pPr>
              <w:spacing w:after="120" w:line="276" w:lineRule="auto"/>
              <w:rPr>
                <w:kern w:val="28"/>
                <w:sz w:val="18"/>
                <w:szCs w:val="18"/>
                <w:lang w:val="pt-BR"/>
              </w:rPr>
            </w:pPr>
            <w:r>
              <w:rPr>
                <w:kern w:val="28"/>
                <w:sz w:val="18"/>
                <w:szCs w:val="18"/>
                <w:lang w:val="pt-BR"/>
              </w:rPr>
              <w:t>Operatorul are dreptul de a solicita ajustarea tarifelor, cu respectarea dispozițiilor Ordinului ANRSC 640/2022, în raport cu evoluția parametrului de ajustare.</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kern w:val="28"/>
                <w:sz w:val="18"/>
                <w:szCs w:val="18"/>
                <w:lang w:val="pt-BR"/>
              </w:rPr>
            </w:pPr>
            <w:r>
              <w:rPr>
                <w:kern w:val="28"/>
                <w:sz w:val="18"/>
                <w:szCs w:val="18"/>
                <w:lang w:val="pt-BR"/>
              </w:rPr>
              <w:t>Cresteri salariale generale ca urmare a aplicării unor politici publice</w:t>
            </w:r>
          </w:p>
        </w:tc>
        <w:tc>
          <w:tcPr>
            <w:tcW w:w="2684" w:type="dxa"/>
            <w:vAlign w:val="center"/>
          </w:tcPr>
          <w:p>
            <w:pPr>
              <w:spacing w:after="120" w:line="276" w:lineRule="auto"/>
              <w:rPr>
                <w:kern w:val="28"/>
                <w:sz w:val="18"/>
                <w:szCs w:val="18"/>
                <w:lang w:val="pt-BR"/>
              </w:rPr>
            </w:pPr>
            <w:r>
              <w:rPr>
                <w:kern w:val="28"/>
                <w:sz w:val="18"/>
                <w:szCs w:val="18"/>
                <w:lang w:val="pt-BR"/>
              </w:rPr>
              <w:t>Salariul minim pe economie creste foarte mult (mai mult de 10% pe an) datorită aplicării unor politici publice</w:t>
            </w:r>
          </w:p>
        </w:tc>
        <w:tc>
          <w:tcPr>
            <w:tcW w:w="1215" w:type="dxa"/>
            <w:vAlign w:val="center"/>
          </w:tcPr>
          <w:p>
            <w:pPr>
              <w:spacing w:after="240" w:line="276" w:lineRule="auto"/>
              <w:jc w:val="center"/>
              <w:rPr>
                <w:kern w:val="28"/>
                <w:sz w:val="18"/>
                <w:szCs w:val="18"/>
              </w:rPr>
            </w:pPr>
            <w:r>
              <w:rPr>
                <w:kern w:val="28"/>
                <w:sz w:val="18"/>
                <w:szCs w:val="18"/>
              </w:rPr>
              <w:t>100%</w:t>
            </w:r>
          </w:p>
        </w:tc>
        <w:tc>
          <w:tcPr>
            <w:tcW w:w="1169" w:type="dxa"/>
            <w:vAlign w:val="center"/>
          </w:tcPr>
          <w:p>
            <w:pPr>
              <w:spacing w:after="240" w:line="276" w:lineRule="auto"/>
              <w:jc w:val="center"/>
              <w:rPr>
                <w:kern w:val="28"/>
                <w:sz w:val="18"/>
                <w:szCs w:val="18"/>
              </w:rPr>
            </w:pPr>
          </w:p>
        </w:tc>
        <w:tc>
          <w:tcPr>
            <w:tcW w:w="3045" w:type="dxa"/>
            <w:vAlign w:val="center"/>
          </w:tcPr>
          <w:p>
            <w:pPr>
              <w:spacing w:after="240" w:line="276" w:lineRule="auto"/>
              <w:rPr>
                <w:bCs/>
                <w:kern w:val="28"/>
                <w:sz w:val="18"/>
                <w:szCs w:val="18"/>
                <w:lang w:val="pt-BR"/>
              </w:rPr>
            </w:pPr>
            <w:r>
              <w:rPr>
                <w:bCs/>
                <w:kern w:val="28"/>
                <w:sz w:val="18"/>
                <w:szCs w:val="18"/>
                <w:lang w:val="pt-BR"/>
              </w:rPr>
              <w:t>Costurile operării cresc foarte mult față de cele incluse în oferta tehnică</w:t>
            </w:r>
          </w:p>
        </w:tc>
        <w:tc>
          <w:tcPr>
            <w:tcW w:w="2910" w:type="dxa"/>
            <w:vAlign w:val="center"/>
          </w:tcPr>
          <w:p>
            <w:pPr>
              <w:spacing w:after="120" w:line="276" w:lineRule="auto"/>
              <w:rPr>
                <w:kern w:val="28"/>
                <w:sz w:val="18"/>
                <w:szCs w:val="18"/>
                <w:lang w:val="pt-BR"/>
              </w:rPr>
            </w:pPr>
            <w:r>
              <w:rPr>
                <w:kern w:val="28"/>
                <w:sz w:val="18"/>
                <w:szCs w:val="18"/>
                <w:lang w:val="pt-BR"/>
              </w:rPr>
              <w:t>Operatorul va avea dreptul de a solicita, după caz, ajustarea sau modificarea tarifelor, cu respectarea dispozițiilor Ordinului ANRSC 640/2022.</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kern w:val="28"/>
                <w:sz w:val="18"/>
                <w:szCs w:val="18"/>
                <w:lang w:val="es-ES"/>
              </w:rPr>
            </w:pPr>
            <w:r>
              <w:rPr>
                <w:kern w:val="28"/>
                <w:sz w:val="18"/>
                <w:szCs w:val="18"/>
                <w:lang w:val="es-ES"/>
              </w:rPr>
              <w:t>Cresteri de preț la carburanți din cauza unor evenimente externe neașteptate</w:t>
            </w:r>
          </w:p>
        </w:tc>
        <w:tc>
          <w:tcPr>
            <w:tcW w:w="2684" w:type="dxa"/>
            <w:vAlign w:val="center"/>
          </w:tcPr>
          <w:p>
            <w:pPr>
              <w:spacing w:after="120" w:line="276" w:lineRule="auto"/>
              <w:rPr>
                <w:kern w:val="28"/>
                <w:sz w:val="18"/>
                <w:szCs w:val="18"/>
                <w:lang w:val="es-ES"/>
              </w:rPr>
            </w:pPr>
            <w:r>
              <w:rPr>
                <w:kern w:val="28"/>
                <w:sz w:val="18"/>
                <w:szCs w:val="18"/>
                <w:lang w:val="es-ES"/>
              </w:rPr>
              <w:t xml:space="preserve">Preturile la carburanți cresc foarte mult din cauza aplicării unor politici fiscale sau din cauza unor </w:t>
            </w:r>
            <w:r>
              <w:rPr>
                <w:kern w:val="28"/>
                <w:sz w:val="18"/>
                <w:szCs w:val="18"/>
                <w:lang w:val="es-ES"/>
              </w:rPr>
              <w:lastRenderedPageBreak/>
              <w:t>evenimente internaționale neașteptate</w:t>
            </w:r>
          </w:p>
        </w:tc>
        <w:tc>
          <w:tcPr>
            <w:tcW w:w="1215" w:type="dxa"/>
            <w:vAlign w:val="center"/>
          </w:tcPr>
          <w:p>
            <w:pPr>
              <w:spacing w:after="240" w:line="276" w:lineRule="auto"/>
              <w:jc w:val="center"/>
              <w:rPr>
                <w:kern w:val="28"/>
                <w:sz w:val="18"/>
                <w:szCs w:val="18"/>
              </w:rPr>
            </w:pPr>
            <w:r>
              <w:rPr>
                <w:kern w:val="28"/>
                <w:sz w:val="18"/>
                <w:szCs w:val="18"/>
              </w:rPr>
              <w:lastRenderedPageBreak/>
              <w:t>100%</w:t>
            </w:r>
          </w:p>
        </w:tc>
        <w:tc>
          <w:tcPr>
            <w:tcW w:w="1169" w:type="dxa"/>
            <w:vAlign w:val="center"/>
          </w:tcPr>
          <w:p>
            <w:pPr>
              <w:spacing w:after="240" w:line="276" w:lineRule="auto"/>
              <w:jc w:val="center"/>
              <w:rPr>
                <w:kern w:val="28"/>
                <w:sz w:val="18"/>
                <w:szCs w:val="18"/>
              </w:rPr>
            </w:pPr>
          </w:p>
        </w:tc>
        <w:tc>
          <w:tcPr>
            <w:tcW w:w="3045" w:type="dxa"/>
            <w:vAlign w:val="center"/>
          </w:tcPr>
          <w:p>
            <w:pPr>
              <w:spacing w:after="240" w:line="276" w:lineRule="auto"/>
              <w:rPr>
                <w:bCs/>
                <w:kern w:val="28"/>
                <w:sz w:val="18"/>
                <w:szCs w:val="18"/>
                <w:lang w:val="pt-BR"/>
              </w:rPr>
            </w:pPr>
            <w:r>
              <w:rPr>
                <w:bCs/>
                <w:kern w:val="28"/>
                <w:sz w:val="18"/>
                <w:szCs w:val="18"/>
                <w:lang w:val="pt-BR"/>
              </w:rPr>
              <w:t>Costurile operării cresc foarte mult față de cele incluse în oferta tehnică</w:t>
            </w:r>
          </w:p>
        </w:tc>
        <w:tc>
          <w:tcPr>
            <w:tcW w:w="2910" w:type="dxa"/>
            <w:vAlign w:val="center"/>
          </w:tcPr>
          <w:p>
            <w:pPr>
              <w:spacing w:after="120" w:line="276" w:lineRule="auto"/>
              <w:rPr>
                <w:kern w:val="28"/>
                <w:sz w:val="18"/>
                <w:szCs w:val="18"/>
                <w:lang w:val="pt-BR"/>
              </w:rPr>
            </w:pPr>
            <w:r>
              <w:rPr>
                <w:kern w:val="28"/>
                <w:sz w:val="18"/>
                <w:szCs w:val="18"/>
                <w:lang w:val="pt-BR"/>
              </w:rPr>
              <w:t xml:space="preserve">Operatorul va avea dreptul de a solicita, după caz, ajustarea sau modificarea tarifelor, cu respectarea </w:t>
            </w:r>
            <w:r>
              <w:rPr>
                <w:kern w:val="28"/>
                <w:sz w:val="18"/>
                <w:szCs w:val="18"/>
                <w:lang w:val="pt-BR"/>
              </w:rPr>
              <w:lastRenderedPageBreak/>
              <w:t>dispozițiilor Ordinului ANRSC 640/2022.</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kern w:val="28"/>
                <w:sz w:val="18"/>
                <w:szCs w:val="18"/>
                <w:lang w:val="pt-BR"/>
              </w:rPr>
            </w:pPr>
            <w:r>
              <w:rPr>
                <w:kern w:val="28"/>
                <w:sz w:val="18"/>
                <w:szCs w:val="18"/>
                <w:lang w:val="pt-BR"/>
              </w:rPr>
              <w:t>Grad redus de recuperare a contravalorii serviciilor</w:t>
            </w:r>
          </w:p>
        </w:tc>
        <w:tc>
          <w:tcPr>
            <w:tcW w:w="2684" w:type="dxa"/>
            <w:vAlign w:val="center"/>
          </w:tcPr>
          <w:p>
            <w:pPr>
              <w:spacing w:after="240" w:line="276" w:lineRule="auto"/>
              <w:rPr>
                <w:kern w:val="28"/>
                <w:sz w:val="18"/>
                <w:szCs w:val="18"/>
                <w:lang w:val="pt-BR"/>
              </w:rPr>
            </w:pPr>
            <w:r>
              <w:rPr>
                <w:kern w:val="28"/>
                <w:sz w:val="18"/>
                <w:szCs w:val="18"/>
                <w:lang w:val="pt-BR"/>
              </w:rPr>
              <w:t>Riscul de neîncasare a tarifului de către operator</w:t>
            </w:r>
          </w:p>
        </w:tc>
        <w:tc>
          <w:tcPr>
            <w:tcW w:w="1215" w:type="dxa"/>
            <w:vAlign w:val="center"/>
          </w:tcPr>
          <w:p>
            <w:pPr>
              <w:spacing w:after="240" w:line="276" w:lineRule="auto"/>
              <w:jc w:val="center"/>
              <w:rPr>
                <w:kern w:val="28"/>
                <w:sz w:val="18"/>
                <w:szCs w:val="18"/>
                <w:lang w:val="pt-BR"/>
              </w:rPr>
            </w:pPr>
          </w:p>
        </w:tc>
        <w:tc>
          <w:tcPr>
            <w:tcW w:w="1169" w:type="dxa"/>
            <w:vAlign w:val="center"/>
          </w:tcPr>
          <w:p>
            <w:pPr>
              <w:spacing w:after="240" w:line="276" w:lineRule="auto"/>
              <w:jc w:val="center"/>
              <w:rPr>
                <w:kern w:val="28"/>
                <w:sz w:val="18"/>
                <w:szCs w:val="18"/>
              </w:rPr>
            </w:pPr>
            <w:r>
              <w:rPr>
                <w:kern w:val="28"/>
                <w:sz w:val="18"/>
                <w:szCs w:val="18"/>
              </w:rPr>
              <w:t>100%</w:t>
            </w:r>
          </w:p>
        </w:tc>
        <w:tc>
          <w:tcPr>
            <w:tcW w:w="3045" w:type="dxa"/>
            <w:vAlign w:val="center"/>
          </w:tcPr>
          <w:p>
            <w:pPr>
              <w:pStyle w:val="NormalWeb1"/>
              <w:spacing w:after="240" w:line="276" w:lineRule="auto"/>
              <w:rPr>
                <w:rFonts w:ascii="Times New Roman" w:hAnsi="Times New Roman" w:cs="Times New Roman"/>
                <w:bCs/>
                <w:color w:val="auto"/>
                <w:kern w:val="28"/>
                <w:sz w:val="18"/>
                <w:szCs w:val="18"/>
                <w:lang w:eastAsia="en-US"/>
              </w:rPr>
            </w:pPr>
            <w:r>
              <w:rPr>
                <w:rFonts w:ascii="Times New Roman" w:hAnsi="Times New Roman" w:cs="Times New Roman"/>
                <w:bCs/>
                <w:color w:val="auto"/>
                <w:kern w:val="28"/>
                <w:sz w:val="18"/>
                <w:szCs w:val="18"/>
                <w:lang w:eastAsia="en-US"/>
              </w:rPr>
              <w:t>Operatorul va putea ajunge în situații financiare delicate, char faliment</w:t>
            </w:r>
          </w:p>
        </w:tc>
        <w:tc>
          <w:tcPr>
            <w:tcW w:w="2910" w:type="dxa"/>
            <w:vAlign w:val="center"/>
          </w:tcPr>
          <w:p>
            <w:pPr>
              <w:pStyle w:val="NormalWeb1"/>
              <w:spacing w:after="240" w:line="276" w:lineRule="auto"/>
              <w:rPr>
                <w:rFonts w:ascii="Times New Roman" w:hAnsi="Times New Roman" w:cs="Times New Roman"/>
                <w:color w:val="auto"/>
                <w:kern w:val="28"/>
                <w:sz w:val="18"/>
                <w:szCs w:val="18"/>
                <w:lang w:eastAsia="en-US"/>
              </w:rPr>
            </w:pPr>
            <w:r>
              <w:rPr>
                <w:rFonts w:ascii="Times New Roman" w:hAnsi="Times New Roman" w:cs="Times New Roman"/>
                <w:color w:val="auto"/>
                <w:kern w:val="28"/>
                <w:sz w:val="18"/>
                <w:szCs w:val="18"/>
                <w:lang w:eastAsia="en-US"/>
              </w:rPr>
              <w:t>Cerințele privind capacitatea economică și financiară sunt stabilite de așa natură încât operatorul să poată susține activitatea și în condițiile unui număr de luni de neîncasare a tarifului</w:t>
            </w:r>
          </w:p>
        </w:tc>
      </w:tr>
      <w:tr>
        <w:tc>
          <w:tcPr>
            <w:tcW w:w="526" w:type="dxa"/>
            <w:vAlign w:val="center"/>
          </w:tcPr>
          <w:p>
            <w:pPr>
              <w:numPr>
                <w:ilvl w:val="0"/>
                <w:numId w:val="26"/>
              </w:numPr>
              <w:spacing w:after="240" w:line="276" w:lineRule="auto"/>
              <w:ind w:left="0" w:firstLine="0"/>
              <w:jc w:val="center"/>
              <w:rPr>
                <w:b/>
                <w:bCs/>
                <w:kern w:val="28"/>
                <w:sz w:val="18"/>
                <w:szCs w:val="18"/>
                <w:lang w:val="ro-RO"/>
              </w:rPr>
            </w:pPr>
          </w:p>
        </w:tc>
        <w:tc>
          <w:tcPr>
            <w:tcW w:w="2876" w:type="dxa"/>
            <w:vAlign w:val="center"/>
          </w:tcPr>
          <w:p>
            <w:pPr>
              <w:spacing w:after="240" w:line="276" w:lineRule="auto"/>
              <w:rPr>
                <w:kern w:val="28"/>
                <w:sz w:val="18"/>
                <w:szCs w:val="18"/>
              </w:rPr>
            </w:pPr>
            <w:r>
              <w:rPr>
                <w:kern w:val="28"/>
                <w:sz w:val="18"/>
                <w:szCs w:val="18"/>
              </w:rPr>
              <w:t>Falimentul Operatorului</w:t>
            </w:r>
          </w:p>
        </w:tc>
        <w:tc>
          <w:tcPr>
            <w:tcW w:w="2684" w:type="dxa"/>
            <w:vAlign w:val="center"/>
          </w:tcPr>
          <w:p>
            <w:pPr>
              <w:spacing w:after="240" w:line="276" w:lineRule="auto"/>
              <w:rPr>
                <w:kern w:val="28"/>
                <w:sz w:val="18"/>
                <w:szCs w:val="18"/>
                <w:lang w:val="pt-BR"/>
              </w:rPr>
            </w:pPr>
            <w:r>
              <w:rPr>
                <w:kern w:val="28"/>
                <w:sz w:val="18"/>
                <w:szCs w:val="18"/>
                <w:lang w:val="pt-BR"/>
              </w:rPr>
              <w:t>Constatarea intrării în incapacitate de plată a Operatorului. Serviciul nu mai poate fi prestat.</w:t>
            </w:r>
          </w:p>
        </w:tc>
        <w:tc>
          <w:tcPr>
            <w:tcW w:w="1215" w:type="dxa"/>
            <w:vAlign w:val="center"/>
          </w:tcPr>
          <w:p>
            <w:pPr>
              <w:spacing w:after="240" w:line="276" w:lineRule="auto"/>
              <w:jc w:val="center"/>
              <w:rPr>
                <w:kern w:val="28"/>
                <w:sz w:val="18"/>
                <w:szCs w:val="18"/>
              </w:rPr>
            </w:pPr>
            <w:r>
              <w:rPr>
                <w:kern w:val="28"/>
                <w:sz w:val="18"/>
                <w:szCs w:val="18"/>
              </w:rPr>
              <w:t>100%</w:t>
            </w:r>
          </w:p>
        </w:tc>
        <w:tc>
          <w:tcPr>
            <w:tcW w:w="1169" w:type="dxa"/>
            <w:vAlign w:val="center"/>
          </w:tcPr>
          <w:p>
            <w:pPr>
              <w:spacing w:after="240" w:line="276" w:lineRule="auto"/>
              <w:jc w:val="center"/>
              <w:rPr>
                <w:kern w:val="28"/>
                <w:sz w:val="18"/>
                <w:szCs w:val="18"/>
              </w:rPr>
            </w:pPr>
          </w:p>
        </w:tc>
        <w:tc>
          <w:tcPr>
            <w:tcW w:w="3045" w:type="dxa"/>
            <w:vAlign w:val="center"/>
          </w:tcPr>
          <w:p>
            <w:pPr>
              <w:pStyle w:val="NormalWeb1"/>
              <w:spacing w:after="240" w:line="276" w:lineRule="auto"/>
              <w:rPr>
                <w:rFonts w:ascii="Times New Roman" w:hAnsi="Times New Roman" w:cs="Times New Roman"/>
                <w:bCs/>
                <w:color w:val="auto"/>
                <w:kern w:val="28"/>
                <w:sz w:val="18"/>
                <w:szCs w:val="18"/>
                <w:lang w:eastAsia="en-US"/>
              </w:rPr>
            </w:pPr>
            <w:r>
              <w:rPr>
                <w:rFonts w:ascii="Times New Roman" w:hAnsi="Times New Roman" w:cs="Times New Roman"/>
                <w:bCs/>
                <w:color w:val="auto"/>
                <w:kern w:val="28"/>
                <w:sz w:val="18"/>
                <w:szCs w:val="18"/>
                <w:lang w:eastAsia="en-US"/>
              </w:rPr>
              <w:t>Imposibilitatea prestării serviciilor</w:t>
            </w:r>
          </w:p>
        </w:tc>
        <w:tc>
          <w:tcPr>
            <w:tcW w:w="2910" w:type="dxa"/>
            <w:vAlign w:val="center"/>
          </w:tcPr>
          <w:p>
            <w:pPr>
              <w:pStyle w:val="NormalWeb1"/>
              <w:spacing w:after="240" w:line="276" w:lineRule="auto"/>
              <w:rPr>
                <w:rFonts w:ascii="Times New Roman" w:hAnsi="Times New Roman" w:cs="Times New Roman"/>
                <w:color w:val="auto"/>
                <w:kern w:val="28"/>
                <w:sz w:val="18"/>
                <w:szCs w:val="18"/>
                <w:lang w:eastAsia="en-US"/>
              </w:rPr>
            </w:pPr>
            <w:r>
              <w:rPr>
                <w:rFonts w:ascii="Times New Roman" w:hAnsi="Times New Roman" w:cs="Times New Roman"/>
                <w:color w:val="auto"/>
                <w:kern w:val="28"/>
                <w:sz w:val="18"/>
                <w:szCs w:val="18"/>
                <w:lang w:eastAsia="en-US"/>
              </w:rPr>
              <w:t>Documentaţia de atribuire este întocmită de aşa natură  încât Operatorul identificat să fie solvabil.</w:t>
            </w:r>
          </w:p>
          <w:p>
            <w:pPr>
              <w:spacing w:after="240" w:line="276" w:lineRule="auto"/>
              <w:rPr>
                <w:kern w:val="28"/>
                <w:sz w:val="18"/>
                <w:szCs w:val="18"/>
                <w:lang w:val="ro-RO"/>
              </w:rPr>
            </w:pPr>
            <w:r>
              <w:rPr>
                <w:kern w:val="28"/>
                <w:sz w:val="18"/>
                <w:szCs w:val="18"/>
                <w:lang w:val="ro-RO"/>
              </w:rPr>
              <w:t>În cazul în care Operatorul intra in procedura de faliment, Contractul se va rezilia, iar AC va organiza o nouă licitatie.</w:t>
            </w:r>
          </w:p>
          <w:p>
            <w:pPr>
              <w:spacing w:after="240" w:line="276" w:lineRule="auto"/>
              <w:rPr>
                <w:b/>
                <w:bCs/>
                <w:kern w:val="28"/>
                <w:sz w:val="18"/>
                <w:szCs w:val="18"/>
                <w:lang w:val="pt-BR"/>
              </w:rPr>
            </w:pPr>
            <w:r>
              <w:rPr>
                <w:kern w:val="28"/>
                <w:sz w:val="18"/>
                <w:szCs w:val="18"/>
                <w:lang w:val="pt-BR"/>
              </w:rPr>
              <w:t>Pana la identificarea unui nou Operator se va asigura permanenţa și durabilitatea</w:t>
            </w:r>
            <w:r>
              <w:rPr>
                <w:b/>
                <w:bCs/>
                <w:kern w:val="28"/>
                <w:sz w:val="18"/>
                <w:szCs w:val="18"/>
                <w:lang w:val="pt-BR"/>
              </w:rPr>
              <w:t xml:space="preserve"> </w:t>
            </w:r>
            <w:r>
              <w:rPr>
                <w:kern w:val="28"/>
                <w:sz w:val="18"/>
                <w:szCs w:val="18"/>
                <w:lang w:val="pt-BR"/>
              </w:rPr>
              <w:t>serviciului, prin gestiune directă.</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tcPr>
          <w:p>
            <w:pPr>
              <w:spacing w:after="240" w:line="276" w:lineRule="auto"/>
              <w:rPr>
                <w:kern w:val="28"/>
                <w:sz w:val="18"/>
                <w:szCs w:val="18"/>
                <w:lang w:val="pt-BR"/>
              </w:rPr>
            </w:pPr>
            <w:r>
              <w:rPr>
                <w:sz w:val="18"/>
                <w:szCs w:val="18"/>
                <w:lang w:val="pt-BR"/>
              </w:rPr>
              <w:t xml:space="preserve">Modificarea cerințelor legale existente la momentul semnării </w:t>
            </w:r>
          </w:p>
        </w:tc>
        <w:tc>
          <w:tcPr>
            <w:tcW w:w="2684" w:type="dxa"/>
          </w:tcPr>
          <w:p>
            <w:pPr>
              <w:spacing w:after="240" w:line="276" w:lineRule="auto"/>
              <w:rPr>
                <w:kern w:val="28"/>
                <w:sz w:val="18"/>
                <w:szCs w:val="18"/>
                <w:lang w:val="pt-BR"/>
              </w:rPr>
            </w:pPr>
            <w:r>
              <w:rPr>
                <w:kern w:val="28"/>
                <w:sz w:val="18"/>
                <w:szCs w:val="18"/>
                <w:lang w:val="pt-BR"/>
              </w:rPr>
              <w:t xml:space="preserve">Modificări legislative (europene, naționale, locale sau la nivel de bazin hidrografic), inclusiv apariția unor standarde de mediu mai restrictive. </w:t>
            </w:r>
          </w:p>
        </w:tc>
        <w:tc>
          <w:tcPr>
            <w:tcW w:w="1215" w:type="dxa"/>
            <w:vAlign w:val="center"/>
          </w:tcPr>
          <w:p>
            <w:pPr>
              <w:spacing w:after="240" w:line="276" w:lineRule="auto"/>
              <w:jc w:val="center"/>
              <w:rPr>
                <w:kern w:val="28"/>
                <w:sz w:val="18"/>
                <w:szCs w:val="18"/>
              </w:rPr>
            </w:pPr>
            <w:r>
              <w:rPr>
                <w:kern w:val="28"/>
                <w:sz w:val="18"/>
                <w:szCs w:val="18"/>
              </w:rPr>
              <w:t>100%</w:t>
            </w:r>
          </w:p>
        </w:tc>
        <w:tc>
          <w:tcPr>
            <w:tcW w:w="1169" w:type="dxa"/>
            <w:vAlign w:val="center"/>
          </w:tcPr>
          <w:p>
            <w:pPr>
              <w:spacing w:after="240" w:line="276" w:lineRule="auto"/>
              <w:rPr>
                <w:kern w:val="28"/>
                <w:sz w:val="18"/>
                <w:szCs w:val="18"/>
              </w:rPr>
            </w:pPr>
          </w:p>
        </w:tc>
        <w:tc>
          <w:tcPr>
            <w:tcW w:w="3045" w:type="dxa"/>
            <w:vAlign w:val="center"/>
          </w:tcPr>
          <w:p>
            <w:pPr>
              <w:spacing w:after="240" w:line="276" w:lineRule="auto"/>
              <w:rPr>
                <w:kern w:val="28"/>
                <w:sz w:val="18"/>
                <w:szCs w:val="18"/>
                <w:lang w:val="es-ES"/>
              </w:rPr>
            </w:pPr>
            <w:r>
              <w:rPr>
                <w:kern w:val="28"/>
                <w:sz w:val="18"/>
                <w:szCs w:val="18"/>
                <w:lang w:val="es-ES"/>
              </w:rPr>
              <w:t>Aceste modificări pot duce la necesitatea unor investiții sau costuri suplimentare față de estimările inițiale.</w:t>
            </w:r>
          </w:p>
        </w:tc>
        <w:tc>
          <w:tcPr>
            <w:tcW w:w="2910" w:type="dxa"/>
            <w:vAlign w:val="center"/>
          </w:tcPr>
          <w:p>
            <w:pPr>
              <w:spacing w:after="240" w:line="276" w:lineRule="auto"/>
              <w:rPr>
                <w:kern w:val="28"/>
                <w:sz w:val="18"/>
                <w:szCs w:val="18"/>
                <w:lang w:val="pt-BR"/>
              </w:rPr>
            </w:pPr>
            <w:r>
              <w:rPr>
                <w:kern w:val="28"/>
                <w:sz w:val="18"/>
                <w:szCs w:val="18"/>
                <w:lang w:val="pt-BR"/>
              </w:rPr>
              <w:t>Delegatul va avea dreptul de a solicita modificarea tarifelor, cu respectarea dispozițiilor Ordinului ANRSC 640/2022.</w:t>
            </w:r>
          </w:p>
        </w:tc>
      </w:tr>
      <w:tr>
        <w:tc>
          <w:tcPr>
            <w:tcW w:w="526" w:type="dxa"/>
            <w:vAlign w:val="center"/>
          </w:tcPr>
          <w:p>
            <w:pPr>
              <w:numPr>
                <w:ilvl w:val="0"/>
                <w:numId w:val="26"/>
              </w:numPr>
              <w:spacing w:after="240" w:line="276" w:lineRule="auto"/>
              <w:ind w:left="0" w:firstLine="0"/>
              <w:jc w:val="center"/>
              <w:rPr>
                <w:b/>
                <w:bCs/>
                <w:kern w:val="28"/>
                <w:sz w:val="18"/>
                <w:szCs w:val="18"/>
                <w:lang w:val="pt-BR"/>
              </w:rPr>
            </w:pPr>
          </w:p>
        </w:tc>
        <w:tc>
          <w:tcPr>
            <w:tcW w:w="2876" w:type="dxa"/>
            <w:vAlign w:val="center"/>
          </w:tcPr>
          <w:p>
            <w:pPr>
              <w:spacing w:after="240" w:line="276" w:lineRule="auto"/>
              <w:rPr>
                <w:kern w:val="28"/>
                <w:sz w:val="18"/>
                <w:szCs w:val="18"/>
              </w:rPr>
            </w:pPr>
            <w:r>
              <w:rPr>
                <w:kern w:val="28"/>
                <w:sz w:val="18"/>
                <w:szCs w:val="18"/>
              </w:rPr>
              <w:t>Forţa majoră</w:t>
            </w:r>
          </w:p>
        </w:tc>
        <w:tc>
          <w:tcPr>
            <w:tcW w:w="2684" w:type="dxa"/>
            <w:vAlign w:val="center"/>
          </w:tcPr>
          <w:p>
            <w:pPr>
              <w:spacing w:after="240" w:line="276" w:lineRule="auto"/>
              <w:rPr>
                <w:kern w:val="28"/>
                <w:sz w:val="18"/>
                <w:szCs w:val="18"/>
                <w:lang w:val="pt-BR"/>
              </w:rPr>
            </w:pPr>
            <w:r>
              <w:rPr>
                <w:kern w:val="28"/>
                <w:sz w:val="18"/>
                <w:szCs w:val="18"/>
                <w:lang w:val="pt-BR"/>
              </w:rPr>
              <w:t>Forţa majoră, astfel cum este definită prin lege, împiedică realizarea contractului.</w:t>
            </w:r>
          </w:p>
        </w:tc>
        <w:tc>
          <w:tcPr>
            <w:tcW w:w="1215" w:type="dxa"/>
            <w:vAlign w:val="center"/>
          </w:tcPr>
          <w:p>
            <w:pPr>
              <w:spacing w:after="240" w:line="276" w:lineRule="auto"/>
              <w:jc w:val="center"/>
              <w:rPr>
                <w:kern w:val="28"/>
                <w:sz w:val="18"/>
                <w:szCs w:val="18"/>
              </w:rPr>
            </w:pPr>
            <w:r>
              <w:rPr>
                <w:kern w:val="28"/>
                <w:sz w:val="18"/>
                <w:szCs w:val="18"/>
              </w:rPr>
              <w:t>50%</w:t>
            </w:r>
          </w:p>
        </w:tc>
        <w:tc>
          <w:tcPr>
            <w:tcW w:w="1169" w:type="dxa"/>
            <w:vAlign w:val="center"/>
          </w:tcPr>
          <w:p>
            <w:pPr>
              <w:spacing w:after="240" w:line="276" w:lineRule="auto"/>
              <w:jc w:val="center"/>
              <w:rPr>
                <w:kern w:val="28"/>
                <w:sz w:val="18"/>
                <w:szCs w:val="18"/>
              </w:rPr>
            </w:pPr>
            <w:r>
              <w:rPr>
                <w:kern w:val="28"/>
                <w:sz w:val="18"/>
                <w:szCs w:val="18"/>
              </w:rPr>
              <w:t>50%</w:t>
            </w:r>
          </w:p>
        </w:tc>
        <w:tc>
          <w:tcPr>
            <w:tcW w:w="3045" w:type="dxa"/>
            <w:vAlign w:val="center"/>
          </w:tcPr>
          <w:p>
            <w:pPr>
              <w:spacing w:after="240" w:line="276" w:lineRule="auto"/>
              <w:rPr>
                <w:kern w:val="28"/>
                <w:sz w:val="18"/>
                <w:szCs w:val="18"/>
                <w:lang w:val="pt-BR"/>
              </w:rPr>
            </w:pPr>
            <w:r>
              <w:rPr>
                <w:kern w:val="28"/>
                <w:sz w:val="18"/>
                <w:szCs w:val="18"/>
                <w:lang w:val="pt-BR"/>
              </w:rPr>
              <w:t>Pierderea sau avarierea activelor proiectului şi pierderea/diminuarea posibilităţii de obţinere a veniturilor  preconizate.</w:t>
            </w:r>
          </w:p>
        </w:tc>
        <w:tc>
          <w:tcPr>
            <w:tcW w:w="2910" w:type="dxa"/>
            <w:vAlign w:val="center"/>
          </w:tcPr>
          <w:p>
            <w:pPr>
              <w:spacing w:after="240" w:line="276" w:lineRule="auto"/>
              <w:rPr>
                <w:kern w:val="28"/>
                <w:sz w:val="18"/>
                <w:szCs w:val="18"/>
              </w:rPr>
            </w:pPr>
            <w:r>
              <w:rPr>
                <w:kern w:val="28"/>
                <w:sz w:val="18"/>
                <w:szCs w:val="18"/>
              </w:rPr>
              <w:t>Bunurile mobile și imobile vor fi asigurate în baza viitorului contract.</w:t>
            </w:r>
          </w:p>
        </w:tc>
      </w:tr>
    </w:tbl>
    <w:p>
      <w:pPr>
        <w:rPr>
          <w:sz w:val="24"/>
          <w:szCs w:val="24"/>
          <w:lang w:val="ro-RO"/>
        </w:rPr>
        <w:sectPr>
          <w:footerReference w:type="default" r:id="rId10"/>
          <w:pgSz w:w="16840" w:h="11900" w:orient="landscape"/>
          <w:pgMar w:top="1100" w:right="1160" w:bottom="1000" w:left="1020" w:header="340" w:footer="808" w:gutter="0"/>
          <w:cols w:space="720"/>
        </w:sectPr>
      </w:pPr>
    </w:p>
    <w:p>
      <w:pPr>
        <w:pStyle w:val="ListParagraph"/>
        <w:spacing w:after="120" w:line="276" w:lineRule="auto"/>
        <w:ind w:left="0"/>
        <w:contextualSpacing w:val="0"/>
        <w:jc w:val="both"/>
        <w:rPr>
          <w:b/>
          <w:sz w:val="24"/>
          <w:szCs w:val="24"/>
          <w:lang w:val="es-ES"/>
        </w:rPr>
      </w:pPr>
      <w:r>
        <w:rPr>
          <w:b/>
          <w:sz w:val="24"/>
          <w:szCs w:val="24"/>
          <w:lang w:val="es-ES"/>
        </w:rPr>
        <w:lastRenderedPageBreak/>
        <w:t>Criteriile de calificare şi selecţie :</w:t>
      </w:r>
    </w:p>
    <w:p>
      <w:pPr>
        <w:pStyle w:val="ListParagraph"/>
        <w:spacing w:after="120" w:line="276" w:lineRule="auto"/>
        <w:ind w:left="0"/>
        <w:contextualSpacing w:val="0"/>
        <w:jc w:val="both"/>
        <w:rPr>
          <w:b/>
          <w:sz w:val="24"/>
          <w:szCs w:val="24"/>
          <w:lang w:val="es-ES"/>
        </w:rPr>
      </w:pPr>
    </w:p>
    <w:p>
      <w:pPr>
        <w:spacing w:after="120" w:line="276" w:lineRule="auto"/>
        <w:jc w:val="both"/>
        <w:rPr>
          <w:b/>
          <w:sz w:val="24"/>
          <w:szCs w:val="24"/>
          <w:u w:val="single"/>
          <w:lang w:val="es-ES"/>
        </w:rPr>
      </w:pPr>
      <w:r>
        <w:rPr>
          <w:b/>
          <w:sz w:val="24"/>
          <w:szCs w:val="24"/>
          <w:u w:val="single"/>
          <w:lang w:val="es-ES"/>
        </w:rPr>
        <w:t>Situatia personală a ofertantului :</w:t>
      </w:r>
    </w:p>
    <w:p>
      <w:pPr>
        <w:spacing w:after="120" w:line="276" w:lineRule="auto"/>
        <w:jc w:val="both"/>
        <w:rPr>
          <w:sz w:val="24"/>
          <w:szCs w:val="24"/>
          <w:lang w:val="es-ES"/>
        </w:rPr>
      </w:pPr>
      <w:r>
        <w:rPr>
          <w:sz w:val="24"/>
          <w:szCs w:val="24"/>
          <w:lang w:val="es-ES"/>
        </w:rPr>
        <w:t xml:space="preserve">Ofertanții/ofertanții asociați, terții susținători și subcontractanții nu trebuie să se regăsească în situațiile prevăzute la art. 59 – 60, 164, 165, 167 din Legea nr. 98/2016 </w:t>
      </w:r>
    </w:p>
    <w:p>
      <w:pPr>
        <w:spacing w:after="120" w:line="276" w:lineRule="auto"/>
        <w:jc w:val="both"/>
        <w:rPr>
          <w:b/>
          <w:i/>
          <w:sz w:val="24"/>
          <w:szCs w:val="24"/>
          <w:lang w:val="es-ES"/>
        </w:rPr>
      </w:pPr>
      <w:r>
        <w:rPr>
          <w:sz w:val="24"/>
          <w:szCs w:val="24"/>
          <w:lang w:val="es-ES"/>
        </w:rPr>
        <w:t>Persoanele cu functie de decizie din cadrul autoritatii contractante, in ceea ce priveste organizarea, derularea și finalizarea procedurii de atribuire, sunt: FOTEA Costel - Presedinte, CUCU Doina - Vicepresedinte, Mitica SANDU - Vicepresedinte, Camelia EPURE (Administrator Public), SIMION Paula Elena (Sef Serviciu Licitatii), STOICA George (Director executiv Directia economie și finante), Radu MACIUCA (Director Directia Tehnica), Andreea Noemi ILIE (consilier Serviciul Licitatii), Carmen Daniela BOTEZ (consilier Serviciul Licitatii), CHIRIAC Florina Roxana (consilier Serviciul Licitatii) și consilierii judeteni-membri ai comisiei buget-finante din cadrul Consiliului Judetean Galati: STAN Ionel, GROSU Elena, CHIRIAC Elena Corina, PATEA Carmen, GHIORGHE Aurelian-Cristinel, DIMA Cristian, TONIŢĂ Marian.</w:t>
      </w:r>
    </w:p>
    <w:p>
      <w:pPr>
        <w:spacing w:after="120" w:line="276" w:lineRule="auto"/>
        <w:jc w:val="both"/>
        <w:rPr>
          <w:sz w:val="24"/>
          <w:szCs w:val="24"/>
          <w:lang w:val="es-ES"/>
        </w:rPr>
      </w:pPr>
      <w:r>
        <w:rPr>
          <w:sz w:val="24"/>
          <w:szCs w:val="24"/>
          <w:lang w:val="es-ES"/>
        </w:rPr>
        <w:t>Participantii la procedura vor completa DUAE, iar ofertantul clasat pe primul loc dupa aplicarea criteriului de atribuire asupra ofertelor admisibile va face dovada neincadrarii in situatiile de excludere, prin prezentarea, la solicitarea AC, a urmatoarelor informatii și documente: va prezenta pentru sediul principal documente din care sa reiasa neincadrarea in prevederile art. 165 alin (1), iar pentru sediile secundare/ punctele de lucru, o declaratie pe propria raspundere privind indeplinirea obligatiilor de plata a impozitelor, taxelor sau contributiilor la bugetul general consolidat datorate; cazierul judiciar al operatorului economic și al membrilor organului de administrare, de conducere sau de supraveghere al respectivului operator economic, sau a celor ce au putere de reprezentare, de decizie sau de control in cadrul acestuia, asa cum rezulta din certificatul constatator emis de ONRC/ actul constitutiv; dupa caz, documente prin care se demonstreaza faptul ca operatorul economic poate beneficia de derogarile prevazute la art. 166 alin.(2), art. 167 alin. (2), art. 171 din Legea 98/2016 privind achizitiile publice; alte documente edificatoare, dupa caz.</w:t>
      </w:r>
    </w:p>
    <w:p>
      <w:pPr>
        <w:spacing w:after="120" w:line="276" w:lineRule="auto"/>
        <w:jc w:val="both"/>
        <w:rPr>
          <w:sz w:val="24"/>
          <w:szCs w:val="24"/>
          <w:lang w:val="es-ES"/>
        </w:rPr>
      </w:pPr>
      <w:r>
        <w:rPr>
          <w:sz w:val="24"/>
          <w:szCs w:val="24"/>
          <w:lang w:val="es-ES"/>
        </w:rPr>
        <w:t xml:space="preserve">Persoanele juridice / fizice straine vor prezenta orice documente edificatoare, eliberate de autoritati competente din tara in care acestia sunt rezidenti, prin care sa doveseasca ca si-au indeplinit obligatiile de plata a impozitelor, taxelor și contributiilor de asigurari sociale catre bugetele componente ale bugetului general consolidat, in conformitate cu prevederile legale in vigoare in tara de rezidenta. </w:t>
      </w:r>
    </w:p>
    <w:p>
      <w:pPr>
        <w:spacing w:after="120" w:line="276" w:lineRule="auto"/>
        <w:jc w:val="both"/>
        <w:rPr>
          <w:sz w:val="24"/>
          <w:szCs w:val="24"/>
          <w:lang w:val="es-ES"/>
        </w:rPr>
      </w:pPr>
      <w:r>
        <w:rPr>
          <w:sz w:val="24"/>
          <w:szCs w:val="24"/>
          <w:lang w:val="es-ES"/>
        </w:rPr>
        <w:t>Documentele vor fi prezentate in limba romana, cu mentiunea „conform cu originalul”. Documentele prezentate intr-o alta limba decat limba romana, vor fi insotite de traducere autorizata în limba română.</w:t>
      </w:r>
    </w:p>
    <w:p>
      <w:pPr>
        <w:pStyle w:val="ListParagraph"/>
        <w:numPr>
          <w:ilvl w:val="0"/>
          <w:numId w:val="2"/>
        </w:numPr>
        <w:spacing w:after="120" w:line="276" w:lineRule="auto"/>
        <w:contextualSpacing w:val="0"/>
        <w:jc w:val="both"/>
        <w:rPr>
          <w:sz w:val="24"/>
          <w:szCs w:val="24"/>
          <w:lang w:val="pt-BR"/>
        </w:rPr>
      </w:pPr>
      <w:r>
        <w:rPr>
          <w:sz w:val="24"/>
          <w:szCs w:val="24"/>
          <w:lang w:val="pt-BR"/>
        </w:rPr>
        <w:t>Nedepunerea DUAE odata cu oferta (inclusiv pentru asociat/tert sustinator, subcontractant) atrage respingerea acesteia ca inacceptabila.</w:t>
      </w:r>
    </w:p>
    <w:p>
      <w:pPr>
        <w:pStyle w:val="ListParagraph"/>
        <w:numPr>
          <w:ilvl w:val="0"/>
          <w:numId w:val="2"/>
        </w:numPr>
        <w:spacing w:after="120" w:line="276" w:lineRule="auto"/>
        <w:contextualSpacing w:val="0"/>
        <w:jc w:val="both"/>
        <w:rPr>
          <w:sz w:val="24"/>
          <w:szCs w:val="24"/>
          <w:lang w:val="pt-BR"/>
        </w:rPr>
      </w:pPr>
      <w:r>
        <w:rPr>
          <w:sz w:val="24"/>
          <w:szCs w:val="24"/>
          <w:lang w:val="pt-BR"/>
        </w:rPr>
        <w:t>Dacă este cazul, se vor depune, odata cu DUAE, urmatoarele documente: angajamentul ferm al tertului sustinator din care rezulta modul efectiv in care se va materializa sustinerea acestuia, acord de subcontractare si/ sau acord de asociere, dupa caz. Nedepunerea acestora odata cu DUAE atrage respingerea acesteia ca inacceptabila.</w:t>
      </w:r>
    </w:p>
    <w:p>
      <w:pPr>
        <w:pStyle w:val="ListParagraph"/>
        <w:spacing w:after="120" w:line="276" w:lineRule="auto"/>
        <w:ind w:left="0"/>
        <w:contextualSpacing w:val="0"/>
        <w:jc w:val="both"/>
        <w:rPr>
          <w:sz w:val="24"/>
          <w:szCs w:val="24"/>
          <w:lang w:val="pt-BR"/>
        </w:rPr>
      </w:pPr>
      <w:r>
        <w:rPr>
          <w:sz w:val="24"/>
          <w:szCs w:val="24"/>
          <w:lang w:val="pt-BR"/>
        </w:rPr>
        <w:t xml:space="preserve">  </w:t>
      </w:r>
    </w:p>
    <w:p>
      <w:pPr>
        <w:pStyle w:val="ListParagraph"/>
        <w:spacing w:after="120" w:line="276" w:lineRule="auto"/>
        <w:ind w:left="0"/>
        <w:contextualSpacing w:val="0"/>
        <w:jc w:val="both"/>
        <w:rPr>
          <w:sz w:val="24"/>
          <w:szCs w:val="24"/>
          <w:lang w:val="pt-BR"/>
        </w:rPr>
      </w:pPr>
    </w:p>
    <w:p>
      <w:pPr>
        <w:pStyle w:val="ListParagraph"/>
        <w:spacing w:after="120" w:line="276" w:lineRule="auto"/>
        <w:ind w:left="0"/>
        <w:contextualSpacing w:val="0"/>
        <w:jc w:val="both"/>
        <w:rPr>
          <w:sz w:val="24"/>
          <w:szCs w:val="24"/>
          <w:lang w:val="pt-BR"/>
        </w:rPr>
      </w:pPr>
    </w:p>
    <w:p>
      <w:pPr>
        <w:pStyle w:val="ListParagraph"/>
        <w:spacing w:after="120" w:line="276" w:lineRule="auto"/>
        <w:ind w:left="0"/>
        <w:contextualSpacing w:val="0"/>
        <w:jc w:val="both"/>
        <w:rPr>
          <w:b/>
          <w:sz w:val="24"/>
          <w:szCs w:val="24"/>
          <w:u w:val="single"/>
          <w:lang w:val="ro-RO"/>
        </w:rPr>
      </w:pPr>
      <w:r>
        <w:rPr>
          <w:b/>
          <w:sz w:val="24"/>
          <w:szCs w:val="24"/>
          <w:u w:val="single"/>
          <w:lang w:val="fr-FR"/>
        </w:rPr>
        <w:lastRenderedPageBreak/>
        <w:t>Capacitatea de exercitare a activităţii profesionale (înregistrare):</w:t>
      </w:r>
    </w:p>
    <w:p>
      <w:pPr>
        <w:spacing w:after="120" w:line="276" w:lineRule="auto"/>
        <w:jc w:val="both"/>
        <w:rPr>
          <w:sz w:val="24"/>
          <w:szCs w:val="24"/>
          <w:lang w:val="fr-FR"/>
        </w:rPr>
      </w:pPr>
      <w:r>
        <w:rPr>
          <w:b/>
          <w:sz w:val="24"/>
          <w:szCs w:val="24"/>
          <w:lang w:val="fr-FR"/>
        </w:rPr>
        <w:t>Cerinta 1:</w:t>
      </w:r>
      <w:r>
        <w:rPr>
          <w:sz w:val="24"/>
          <w:szCs w:val="24"/>
          <w:lang w:val="fr-FR"/>
        </w:rPr>
        <w:t xml:space="preserve">  Operatorii economici care depun ofertă trebuie să dovedească o formă de înregistrare în condiţiile legii din ţara de rezidenţă, să reiasă că operatorul economic este legal constituit, că nu se află în niciuna dintre situaţiile de anulare a constituirii precum și faptul că are capacitatea profesională de a realiza activităţile care fac obiectul contractului. Ofertantul va face dovada că activitătile cuprinse în Certificatul constatator (în concordanţă cu obiectul contractului), sunt autorizate de către ONRC.</w:t>
      </w:r>
    </w:p>
    <w:p>
      <w:pPr>
        <w:spacing w:after="120" w:line="276" w:lineRule="auto"/>
        <w:jc w:val="both"/>
        <w:rPr>
          <w:sz w:val="24"/>
          <w:szCs w:val="24"/>
          <w:lang w:val="fr-FR"/>
        </w:rPr>
      </w:pPr>
      <w:r>
        <w:rPr>
          <w:sz w:val="24"/>
          <w:szCs w:val="24"/>
          <w:u w:val="single"/>
          <w:lang w:val="fr-FR"/>
        </w:rPr>
        <w:t>Modalitate de îmdeplinire</w:t>
      </w:r>
      <w:r>
        <w:rPr>
          <w:sz w:val="24"/>
          <w:szCs w:val="24"/>
          <w:lang w:val="fr-FR"/>
        </w:rPr>
        <w:t>: operatorii economici participanți la procedura de atribuire vor completa DUAE cu informațiile aferente situației lor. Documentele justificative care probează îndeplinirea celor asumate prin completarea DUAE, respectiv certificat constatator emis de ONRC, sau în cazul ofertanților străini, documente echivalente emise în țara de rezidență, urmează să fie prezentate, la solicitarea autorității contractante, doar de către ofertantul clasat pe locul I în clasamentul intermediar întocmit la finalizarea evaluării ofertelor.</w:t>
      </w:r>
    </w:p>
    <w:p>
      <w:pPr>
        <w:spacing w:after="120" w:line="276" w:lineRule="auto"/>
        <w:jc w:val="both"/>
        <w:rPr>
          <w:b/>
          <w:sz w:val="24"/>
          <w:szCs w:val="24"/>
          <w:lang w:val="fr-FR"/>
        </w:rPr>
      </w:pPr>
    </w:p>
    <w:p>
      <w:pPr>
        <w:spacing w:after="120" w:line="276" w:lineRule="auto"/>
        <w:jc w:val="both"/>
        <w:rPr>
          <w:b/>
          <w:sz w:val="24"/>
          <w:szCs w:val="24"/>
          <w:u w:val="single"/>
          <w:lang w:val="fr-FR"/>
        </w:rPr>
      </w:pPr>
      <w:r>
        <w:rPr>
          <w:b/>
          <w:sz w:val="24"/>
          <w:szCs w:val="24"/>
          <w:u w:val="single"/>
          <w:lang w:val="fr-FR"/>
        </w:rPr>
        <w:t>Capacitatea economica și financiara:</w:t>
      </w:r>
    </w:p>
    <w:p>
      <w:pPr>
        <w:spacing w:after="120" w:line="276" w:lineRule="auto"/>
        <w:jc w:val="both"/>
        <w:rPr>
          <w:bCs/>
          <w:sz w:val="24"/>
          <w:szCs w:val="24"/>
          <w:lang w:val="ro-RO"/>
        </w:rPr>
      </w:pPr>
      <w:r>
        <w:rPr>
          <w:bCs/>
          <w:sz w:val="24"/>
          <w:szCs w:val="24"/>
          <w:lang w:val="ro-RO"/>
        </w:rPr>
        <w:t xml:space="preserve">Media cifrei de afaceri a ofertantului, calculată pe ultimii trei ani financiari (2023, 2024, 2025), trebuie să fie cel puțin </w:t>
      </w:r>
      <w:r>
        <w:rPr>
          <w:b/>
          <w:sz w:val="24"/>
          <w:szCs w:val="24"/>
          <w:lang w:val="ro-RO"/>
        </w:rPr>
        <w:t>295.000.000 lei</w:t>
      </w:r>
      <w:r>
        <w:rPr>
          <w:bCs/>
          <w:sz w:val="24"/>
          <w:szCs w:val="24"/>
          <w:lang w:val="ro-RO"/>
        </w:rPr>
        <w:t xml:space="preserve"> (sau echivalent).</w:t>
      </w:r>
    </w:p>
    <w:p>
      <w:pPr>
        <w:spacing w:after="120" w:line="276" w:lineRule="auto"/>
        <w:jc w:val="both"/>
        <w:rPr>
          <w:sz w:val="24"/>
          <w:szCs w:val="24"/>
          <w:lang w:val="ro-RO"/>
        </w:rPr>
      </w:pPr>
      <w:r>
        <w:rPr>
          <w:bCs/>
          <w:sz w:val="24"/>
          <w:szCs w:val="24"/>
          <w:lang w:val="ro-RO"/>
        </w:rPr>
        <w:t>În cazul în care un grup de operatori economici depune oferta comună, atunci îndeplinirea cerinței privind "cifra de afaceri” se demonstrează prin luarea în considerare a resurselor tuturor membrilor grupului. În acest caz, fiecare asociat este obligat să prezinte documentele doveditoare.</w:t>
      </w:r>
    </w:p>
    <w:p>
      <w:pPr>
        <w:spacing w:after="120" w:line="276" w:lineRule="auto"/>
        <w:jc w:val="both"/>
        <w:rPr>
          <w:sz w:val="24"/>
          <w:szCs w:val="24"/>
          <w:lang w:val="ro-RO"/>
        </w:rPr>
      </w:pPr>
      <w:r>
        <w:rPr>
          <w:sz w:val="24"/>
          <w:szCs w:val="24"/>
          <w:lang w:val="ro-RO"/>
        </w:rPr>
        <w:t>Pentru calculul echivalenţei cifrei de afaceri globale pe ultimii 3 ani se va aplica cursul mediu anual lei/ valuta comunicat de BNR pentru fiecare an in parte.</w:t>
      </w:r>
    </w:p>
    <w:p>
      <w:pPr>
        <w:spacing w:after="120" w:line="276" w:lineRule="auto"/>
        <w:jc w:val="both"/>
        <w:rPr>
          <w:sz w:val="24"/>
          <w:szCs w:val="24"/>
          <w:lang w:val="hr-BA"/>
        </w:rPr>
      </w:pPr>
      <w:r>
        <w:rPr>
          <w:sz w:val="24"/>
          <w:szCs w:val="24"/>
          <w:u w:val="single"/>
          <w:lang w:val="ro-RO"/>
        </w:rPr>
        <w:t>Modalitate de indeplinire</w:t>
      </w:r>
      <w:r>
        <w:rPr>
          <w:sz w:val="24"/>
          <w:szCs w:val="24"/>
          <w:lang w:val="ro-RO"/>
        </w:rPr>
        <w:t xml:space="preserve">: </w:t>
      </w:r>
      <w:r>
        <w:rPr>
          <w:sz w:val="24"/>
          <w:szCs w:val="24"/>
          <w:lang w:val="hr-BA" w:eastAsia="ro-RO"/>
        </w:rPr>
        <w:t xml:space="preserve">Se va completa și prezenta DUAE - "Criterii de selectie" </w:t>
      </w:r>
      <w:r>
        <w:rPr>
          <w:sz w:val="24"/>
          <w:szCs w:val="24"/>
          <w:lang w:val="hr-BA"/>
        </w:rPr>
        <w:t>– Sectiunea B. Capacitatea economica și financiara – Subsectiunea „</w:t>
      </w:r>
      <w:r>
        <w:rPr>
          <w:i/>
          <w:iCs/>
          <w:sz w:val="24"/>
          <w:szCs w:val="24"/>
          <w:lang w:val="hr-BA"/>
        </w:rPr>
        <w:t>Cifra de afaceri medie anuala</w:t>
      </w:r>
      <w:r>
        <w:rPr>
          <w:sz w:val="24"/>
          <w:szCs w:val="24"/>
          <w:lang w:val="hr-BA"/>
        </w:rPr>
        <w:t>”</w:t>
      </w:r>
    </w:p>
    <w:p>
      <w:pPr>
        <w:spacing w:after="120" w:line="276" w:lineRule="auto"/>
        <w:jc w:val="both"/>
        <w:rPr>
          <w:sz w:val="24"/>
          <w:szCs w:val="24"/>
          <w:lang w:val="hr-BA" w:eastAsia="ro-RO"/>
        </w:rPr>
      </w:pPr>
      <w:r>
        <w:rPr>
          <w:sz w:val="24"/>
          <w:szCs w:val="24"/>
          <w:lang w:val="hr-BA" w:eastAsia="ro-RO"/>
        </w:rPr>
        <w:t>Operatorii economici care depun oferta in asociere vor depune câte un DUAE pentru fiecare dintre membrii asocierii.</w:t>
      </w:r>
    </w:p>
    <w:p>
      <w:pPr>
        <w:spacing w:after="120" w:line="276" w:lineRule="auto"/>
        <w:jc w:val="both"/>
        <w:rPr>
          <w:sz w:val="24"/>
          <w:szCs w:val="24"/>
          <w:lang w:val="hr-BA" w:eastAsia="ro-RO"/>
        </w:rPr>
      </w:pPr>
      <w:r>
        <w:rPr>
          <w:sz w:val="24"/>
          <w:szCs w:val="24"/>
          <w:lang w:val="hr-BA" w:eastAsia="ro-RO"/>
        </w:rPr>
        <w:t xml:space="preserve">Operatorii economici care se bazeaza pe capacitatile altor entitati (terti sustinatori) vor completa un DUAE propriu și câte un DUAE separat pentru fiecare dintre entitatile pe care se bazeaza. </w:t>
      </w:r>
    </w:p>
    <w:p>
      <w:pPr>
        <w:spacing w:after="120" w:line="276" w:lineRule="auto"/>
        <w:jc w:val="both"/>
        <w:rPr>
          <w:sz w:val="24"/>
          <w:szCs w:val="24"/>
          <w:lang w:val="hr-BA" w:eastAsia="ro-RO"/>
        </w:rPr>
      </w:pPr>
      <w:r>
        <w:rPr>
          <w:sz w:val="24"/>
          <w:szCs w:val="24"/>
          <w:lang w:val="hr-BA" w:eastAsia="ro-RO"/>
        </w:rPr>
        <w:t>La solicitarea entitatii contractante, ofertantul situat pe primul loc în clasamentul realizat dupa evaluarea tuturor ofertelor depuse, conform criteriului de atribuire, va prezenta, in vederea probarii celor asumate prin DUAE, urmatoarele documente doveditoare:</w:t>
      </w:r>
    </w:p>
    <w:p>
      <w:pPr>
        <w:spacing w:after="120" w:line="276" w:lineRule="auto"/>
        <w:jc w:val="both"/>
        <w:rPr>
          <w:sz w:val="24"/>
          <w:szCs w:val="24"/>
          <w:lang w:val="hr-BA" w:eastAsia="ro-RO"/>
        </w:rPr>
      </w:pPr>
      <w:r>
        <w:rPr>
          <w:sz w:val="24"/>
          <w:szCs w:val="24"/>
          <w:lang w:val="hr-BA" w:eastAsia="ro-RO"/>
        </w:rPr>
        <w:t>- Bilanturile contabile aferente exercitiilor financiare incheiate pe ultimii 3 ani (2023, 2024, 2025) sau extrase de bilant, inregistrate la organele competente, din care sa rezulte cifra de afaceri medie globala, sau alte documente edificatoare (de ex. rapoarte de audit) din care sa rezulte informatiile solicitate.</w:t>
      </w:r>
    </w:p>
    <w:p>
      <w:pPr>
        <w:spacing w:after="120" w:line="276" w:lineRule="auto"/>
        <w:jc w:val="both"/>
        <w:rPr>
          <w:sz w:val="24"/>
          <w:szCs w:val="24"/>
          <w:lang w:val="hr-BA" w:eastAsia="ro-RO"/>
        </w:rPr>
      </w:pPr>
      <w:r>
        <w:rPr>
          <w:sz w:val="24"/>
          <w:szCs w:val="24"/>
          <w:lang w:val="hr-BA" w:eastAsia="ro-RO"/>
        </w:rPr>
        <w:t xml:space="preserve">Pentru operatorii economici nerezidenti, în masura în care publicarea bilanturilor contabile nu este prevazuta de legislatia tarii de origine/tarii în care este stabilit operatorul economic, atunci acesta va prezenta alte documente edificatoare care sa reflecte o imagine fidela a situatiei sale economice și financiare. </w:t>
      </w:r>
    </w:p>
    <w:p>
      <w:pPr>
        <w:spacing w:after="120" w:line="276" w:lineRule="auto"/>
        <w:jc w:val="both"/>
        <w:rPr>
          <w:sz w:val="24"/>
          <w:szCs w:val="24"/>
          <w:lang w:val="hr-BA" w:eastAsia="ro-RO"/>
        </w:rPr>
      </w:pPr>
      <w:r>
        <w:rPr>
          <w:sz w:val="24"/>
          <w:szCs w:val="24"/>
          <w:lang w:val="hr-BA" w:eastAsia="ro-RO"/>
        </w:rPr>
        <w:t>Documentele doveditoare vor fi însotite, daca este cazul, de traducerea autorizata în limba româna.</w:t>
      </w:r>
    </w:p>
    <w:p>
      <w:pPr>
        <w:spacing w:after="120" w:line="276" w:lineRule="auto"/>
        <w:jc w:val="both"/>
        <w:rPr>
          <w:sz w:val="24"/>
          <w:szCs w:val="24"/>
          <w:lang w:val="hr-BA" w:eastAsia="ro-RO"/>
        </w:rPr>
      </w:pPr>
      <w:r>
        <w:rPr>
          <w:sz w:val="24"/>
          <w:szCs w:val="24"/>
          <w:lang w:val="hr-BA" w:eastAsia="ro-RO"/>
        </w:rPr>
        <w:t xml:space="preserve">In cazul in care ofertantul isi demonstreaza situatia economica și financiara invocand și sustinerea acordata de catre o alta entitate, conform art. 182 din Legea 98/2016, atunci are obligatia de a dovedi </w:t>
      </w:r>
      <w:r>
        <w:rPr>
          <w:sz w:val="24"/>
          <w:szCs w:val="24"/>
          <w:lang w:val="hr-BA" w:eastAsia="ro-RO"/>
        </w:rPr>
        <w:lastRenderedPageBreak/>
        <w:t xml:space="preserve">sustinerea de care beneficiaza, prin prezentarea unui angajament ferm al entitatii respective, completat conform </w:t>
      </w:r>
      <w:r>
        <w:rPr>
          <w:b/>
          <w:bCs/>
          <w:sz w:val="24"/>
          <w:szCs w:val="24"/>
          <w:lang w:val="hr-BA" w:eastAsia="ro-RO"/>
        </w:rPr>
        <w:t>Formularului nr. 7- Angajament privind sustinerea economico-financiara</w:t>
      </w:r>
      <w:r>
        <w:rPr>
          <w:sz w:val="24"/>
          <w:szCs w:val="24"/>
          <w:lang w:val="hr-BA" w:eastAsia="ro-RO"/>
        </w:rPr>
        <w:t>, din care trebuie sa rezulte modul efectiv în care se va asigura îndeplinirea angajamentului, prin care entitatea respectivă confirma faptul ca va pune la dispozitie ofertantului resursele financiare invocate, tinand cont de prevederile art.50 din HG 395/2016.</w:t>
      </w:r>
    </w:p>
    <w:p>
      <w:pPr>
        <w:spacing w:after="120" w:line="276" w:lineRule="auto"/>
        <w:jc w:val="both"/>
        <w:rPr>
          <w:sz w:val="24"/>
          <w:szCs w:val="24"/>
          <w:lang w:val="hr-BA" w:eastAsia="ro-RO"/>
        </w:rPr>
      </w:pPr>
      <w:r>
        <w:rPr>
          <w:sz w:val="24"/>
          <w:szCs w:val="24"/>
          <w:lang w:val="hr-BA" w:eastAsia="ro-RO"/>
        </w:rPr>
        <w:t>Persoana care asigura sustinerea financiara nu trebuie sa se afle in situatii care determina excluderea din procedura de atribuire conform prevederilor art. 164, art. 165 și art. 167 din Legea nr. 98/2016.</w:t>
      </w:r>
    </w:p>
    <w:p>
      <w:pPr>
        <w:spacing w:after="120" w:line="276" w:lineRule="auto"/>
        <w:jc w:val="both"/>
        <w:rPr>
          <w:sz w:val="24"/>
          <w:szCs w:val="24"/>
          <w:lang w:val="hr-BA" w:eastAsia="ro-RO"/>
        </w:rPr>
      </w:pPr>
      <w:r>
        <w:rPr>
          <w:sz w:val="24"/>
          <w:szCs w:val="24"/>
          <w:lang w:val="hr-BA" w:eastAsia="ro-RO"/>
        </w:rPr>
        <w:t>Odata cu depunerea DUAE, operatorii economici vor prezenta angajamentul tertului sustinator (impreuna cu documentele anexe la angajament, transmise acestora de catre terțul susinator, cat și documente edificatoare cu privire la resursele economico-financiare care urmează a fi efectiv puse la dispoziţia ofertantului, pentru îndeplinirea contractului de achiziţie sectoriala, din care sa rezulte modul efectiv in care se va materializa sustinerea acestuia).</w:t>
      </w:r>
    </w:p>
    <w:p>
      <w:pPr>
        <w:spacing w:after="120" w:line="276" w:lineRule="auto"/>
        <w:jc w:val="both"/>
        <w:rPr>
          <w:sz w:val="24"/>
          <w:szCs w:val="24"/>
          <w:lang w:val="hr-BA"/>
        </w:rPr>
      </w:pPr>
      <w:r>
        <w:rPr>
          <w:rFonts w:eastAsia="Calibri"/>
          <w:sz w:val="24"/>
          <w:szCs w:val="24"/>
          <w:lang w:val="hr-BA"/>
        </w:rPr>
        <w:t>Prin angajamentul ferm (</w:t>
      </w:r>
      <w:r>
        <w:rPr>
          <w:b/>
          <w:bCs/>
          <w:sz w:val="24"/>
          <w:szCs w:val="24"/>
          <w:lang w:val="hr-BA" w:eastAsia="ro-RO"/>
        </w:rPr>
        <w:t>Formularul nr. 7</w:t>
      </w:r>
      <w:r>
        <w:rPr>
          <w:rFonts w:eastAsia="Calibri"/>
          <w:sz w:val="24"/>
          <w:szCs w:val="24"/>
          <w:lang w:val="hr-BA"/>
        </w:rPr>
        <w:t>), fiecare terț susținător va confirma faptul că va sprijini ofertantul în vederea îndeplinirii obligațiilor contractuale, prin precizarea modului în care va interveni concret pentru a duce la îndeplinire obligațiile pentru care a acordat susținerea și prin indicarea resurselor financiare pe care le va pune la dispoziție ofertantului. Tertul sustinator va raspunde in mod solidar cu ofertantul, in mod neconditionat, față de entitatea contractantă, pentru neexecutarea oricarei obligatii asumate de ofertant, in baza contractului sectorial, și pentru care acesta din urma a primit sustinerea economica și financiara conform angajamentului sus menționat, renuntand in acest sens, definitiv și irevocabil, la invocarea beneficiului de diviziune și discutiune.</w:t>
      </w:r>
    </w:p>
    <w:p>
      <w:pPr>
        <w:spacing w:after="120" w:line="276" w:lineRule="auto"/>
        <w:jc w:val="both"/>
        <w:rPr>
          <w:b/>
          <w:sz w:val="24"/>
          <w:szCs w:val="24"/>
          <w:lang w:val="it-IT"/>
        </w:rPr>
      </w:pPr>
    </w:p>
    <w:p>
      <w:pPr>
        <w:spacing w:after="120" w:line="276" w:lineRule="auto"/>
        <w:jc w:val="both"/>
        <w:rPr>
          <w:sz w:val="24"/>
          <w:szCs w:val="24"/>
          <w:lang w:val="it-IT"/>
        </w:rPr>
      </w:pPr>
      <w:r>
        <w:rPr>
          <w:b/>
          <w:sz w:val="24"/>
          <w:szCs w:val="24"/>
          <w:lang w:val="it-IT"/>
        </w:rPr>
        <w:t>Justificare:</w:t>
      </w:r>
      <w:r>
        <w:rPr>
          <w:sz w:val="24"/>
          <w:szCs w:val="24"/>
          <w:lang w:val="it-IT"/>
        </w:rPr>
        <w:t xml:space="preserve"> </w:t>
      </w:r>
    </w:p>
    <w:p>
      <w:pPr>
        <w:spacing w:after="120" w:line="276" w:lineRule="auto"/>
        <w:jc w:val="both"/>
        <w:rPr>
          <w:sz w:val="24"/>
          <w:szCs w:val="24"/>
          <w:lang w:val="es-ES"/>
        </w:rPr>
      </w:pPr>
      <w:r>
        <w:rPr>
          <w:sz w:val="24"/>
          <w:szCs w:val="24"/>
          <w:lang w:val="pt-BR"/>
        </w:rPr>
        <w:t xml:space="preserve">S-a solicitat pentru a avea o imagine fidela asupra evolutiei financiare a ofertantului in ultimii trei ani (2023, 2024, 2025). </w:t>
      </w:r>
      <w:r>
        <w:rPr>
          <w:sz w:val="24"/>
          <w:szCs w:val="24"/>
          <w:lang w:val="es-ES"/>
        </w:rPr>
        <w:t>Pentru cifra de afaceri medie anuală se solicită la un nivel care să ateste o capabilitate financiară solidă. Totodata, s-au solicitat, ca documente doveditoare, bilanţurile contabile încheiate, intrucît potrivit legii contabilităţii, bilanţul contabil este documentul care prezintă situaţia patrimonială și rezultatele fluxurilor financiare la finele fiecărui an.</w:t>
      </w:r>
    </w:p>
    <w:p>
      <w:pPr>
        <w:spacing w:after="120" w:line="276" w:lineRule="auto"/>
        <w:jc w:val="both"/>
        <w:rPr>
          <w:sz w:val="24"/>
          <w:szCs w:val="24"/>
          <w:lang w:val="es-ES"/>
        </w:rPr>
      </w:pPr>
      <w:r>
        <w:rPr>
          <w:sz w:val="24"/>
          <w:szCs w:val="24"/>
          <w:lang w:val="es-ES"/>
        </w:rPr>
        <w:t>În opinia autorității contractante, atât condițiile pieții actuale în domeniul construcțiilor, respectiv al gestionării deșeurilor, cât și condițiile în care este asigurată finanțarea contractului, precum și durata relativ îndelungată a contractului, expun Antreprenorul (și Autoritatea contractantă) unor riscuri reale de natură economico-financiară.</w:t>
      </w:r>
    </w:p>
    <w:p>
      <w:pPr>
        <w:spacing w:after="120" w:line="276" w:lineRule="auto"/>
        <w:jc w:val="both"/>
        <w:rPr>
          <w:sz w:val="24"/>
          <w:szCs w:val="24"/>
          <w:lang w:val="es-ES"/>
        </w:rPr>
      </w:pPr>
      <w:r>
        <w:rPr>
          <w:sz w:val="24"/>
          <w:szCs w:val="24"/>
          <w:lang w:val="es-ES"/>
        </w:rPr>
        <w:t>În contextul celor de mai sus, avantajul obținut de autoritatea contractantă prin impunerea unui nivel minim al cifrei de afaceri rezidă tocmai în diminuarea considerabilă a riscului de neîndeplinire a contractului.</w:t>
      </w:r>
    </w:p>
    <w:p>
      <w:pPr>
        <w:spacing w:after="120" w:line="276" w:lineRule="auto"/>
        <w:jc w:val="both"/>
        <w:rPr>
          <w:sz w:val="24"/>
          <w:szCs w:val="24"/>
          <w:lang w:val="es-ES"/>
        </w:rPr>
      </w:pPr>
      <w:r>
        <w:rPr>
          <w:sz w:val="24"/>
          <w:szCs w:val="24"/>
          <w:lang w:val="es-ES"/>
        </w:rPr>
        <w:t>S-a optat pentru formularea cerinţei de calificare prin raportare la (i) cifra de afaceri generală a operatorului economic, respectiv la (ii) media pe ultimii trei ani financiari, din considerente de evitare a restricţionării accesului operatorilor economici la procedura de atribuire şi de stabilire a unei corespondenţe cu perioada pentru care se solicită demonstrarea experienţei similare, conform prevederilor legale în vigoare.</w:t>
      </w:r>
    </w:p>
    <w:p>
      <w:pPr>
        <w:spacing w:after="120" w:line="276" w:lineRule="auto"/>
        <w:jc w:val="both"/>
        <w:rPr>
          <w:sz w:val="24"/>
          <w:szCs w:val="24"/>
          <w:lang w:val="es-ES"/>
        </w:rPr>
      </w:pPr>
      <w:r>
        <w:rPr>
          <w:sz w:val="24"/>
          <w:szCs w:val="24"/>
          <w:lang w:val="es-ES"/>
        </w:rPr>
        <w:t>La stabilirea nivelului minim solicitat, autoritatea contractantă a avut în vedere dispozițiile art.175, alin.(2) lit.a) din Legea nr. 98/2016, conform cărora: “</w:t>
      </w:r>
      <w:r>
        <w:rPr>
          <w:i/>
          <w:iCs/>
          <w:sz w:val="24"/>
          <w:szCs w:val="24"/>
          <w:lang w:val="es-ES"/>
        </w:rPr>
        <w:t>cifra de afaceri minimă anuală impusă operatorilor economici nu trebuie să depăşească de două ori valoarea estimată a contractului de achiziţie publică</w:t>
      </w:r>
      <w:r>
        <w:rPr>
          <w:sz w:val="24"/>
          <w:szCs w:val="24"/>
          <w:lang w:val="es-ES"/>
        </w:rPr>
        <w:t>”.</w:t>
      </w:r>
    </w:p>
    <w:p>
      <w:pPr>
        <w:spacing w:after="120" w:line="276" w:lineRule="auto"/>
        <w:jc w:val="both"/>
        <w:rPr>
          <w:sz w:val="24"/>
          <w:szCs w:val="24"/>
          <w:lang w:val="es-ES"/>
        </w:rPr>
      </w:pPr>
      <w:r>
        <w:rPr>
          <w:sz w:val="24"/>
          <w:szCs w:val="24"/>
          <w:lang w:val="es-ES"/>
        </w:rPr>
        <w:lastRenderedPageBreak/>
        <w:t xml:space="preserve">Se are în vedere faptul că valoarea totală estimată a contractului de achiziție publică este de </w:t>
      </w:r>
      <w:r>
        <w:rPr>
          <w:b/>
          <w:bCs/>
          <w:sz w:val="24"/>
          <w:szCs w:val="24"/>
          <w:lang w:val="ro-RO"/>
        </w:rPr>
        <w:t xml:space="preserve">948.361.921,30 </w:t>
      </w:r>
      <w:r>
        <w:rPr>
          <w:b/>
          <w:sz w:val="24"/>
          <w:szCs w:val="24"/>
          <w:lang w:val="ro-RO"/>
        </w:rPr>
        <w:t xml:space="preserve"> </w:t>
      </w:r>
      <w:r>
        <w:rPr>
          <w:sz w:val="24"/>
          <w:szCs w:val="24"/>
          <w:lang w:val="es-ES"/>
        </w:rPr>
        <w:t>lei, fără TVA, pentru o perioadă de 158 de luni, din care:</w:t>
      </w:r>
    </w:p>
    <w:p>
      <w:pPr>
        <w:spacing w:after="120" w:line="276" w:lineRule="auto"/>
        <w:jc w:val="both"/>
        <w:rPr>
          <w:sz w:val="24"/>
          <w:szCs w:val="24"/>
          <w:lang w:val="ro-RO"/>
        </w:rPr>
      </w:pPr>
      <w:r>
        <w:rPr>
          <w:sz w:val="24"/>
          <w:szCs w:val="24"/>
          <w:lang w:val="pt-BR"/>
        </w:rPr>
        <w:t xml:space="preserve">- </w:t>
      </w:r>
      <w:r>
        <w:rPr>
          <w:sz w:val="24"/>
          <w:szCs w:val="24"/>
          <w:lang w:val="ro-RO"/>
        </w:rPr>
        <w:t>12.860.634,51 lei, fără TVA, pentru proiectare,</w:t>
      </w:r>
    </w:p>
    <w:p>
      <w:pPr>
        <w:spacing w:after="120" w:line="276" w:lineRule="auto"/>
        <w:jc w:val="both"/>
        <w:rPr>
          <w:sz w:val="24"/>
          <w:szCs w:val="24"/>
          <w:lang w:val="ro-RO"/>
        </w:rPr>
      </w:pPr>
      <w:r>
        <w:rPr>
          <w:sz w:val="24"/>
          <w:szCs w:val="24"/>
          <w:lang w:val="ro-RO"/>
        </w:rPr>
        <w:t xml:space="preserve">- </w:t>
      </w:r>
      <w:r>
        <w:rPr>
          <w:bCs/>
          <w:sz w:val="24"/>
          <w:szCs w:val="24"/>
          <w:lang w:val="ro-RO"/>
        </w:rPr>
        <w:t>292.578.170,31</w:t>
      </w:r>
      <w:r>
        <w:rPr>
          <w:b/>
          <w:sz w:val="24"/>
          <w:szCs w:val="24"/>
          <w:lang w:val="ro-RO"/>
        </w:rPr>
        <w:t xml:space="preserve"> </w:t>
      </w:r>
      <w:r>
        <w:rPr>
          <w:sz w:val="24"/>
          <w:szCs w:val="24"/>
          <w:lang w:val="ro-RO"/>
        </w:rPr>
        <w:t>lei, fără TVA, pentru execuție,</w:t>
      </w:r>
    </w:p>
    <w:p>
      <w:pPr>
        <w:spacing w:after="120" w:line="276" w:lineRule="auto"/>
        <w:jc w:val="both"/>
        <w:rPr>
          <w:sz w:val="24"/>
          <w:szCs w:val="24"/>
          <w:lang w:val="pt-BR"/>
        </w:rPr>
      </w:pPr>
      <w:r>
        <w:rPr>
          <w:sz w:val="24"/>
          <w:szCs w:val="24"/>
          <w:lang w:val="ro-RO"/>
        </w:rPr>
        <w:t>- 642.923.116,48 lei, fără TVA, pentru 10 ani de operare (însemnând o valoare medie anuală de 64.292.311,65  lei, fără TVA)</w:t>
      </w:r>
      <w:r>
        <w:rPr>
          <w:sz w:val="24"/>
          <w:szCs w:val="24"/>
          <w:lang w:val="pt-BR"/>
        </w:rPr>
        <w:t>.</w:t>
      </w:r>
    </w:p>
    <w:p>
      <w:pPr>
        <w:spacing w:after="120" w:line="276" w:lineRule="auto"/>
        <w:jc w:val="both"/>
        <w:rPr>
          <w:sz w:val="24"/>
          <w:szCs w:val="24"/>
          <w:lang w:val="pt-BR"/>
        </w:rPr>
      </w:pPr>
      <w:r>
        <w:rPr>
          <w:sz w:val="24"/>
          <w:szCs w:val="24"/>
          <w:lang w:val="pt-BR"/>
        </w:rPr>
        <w:t>Ținând cont de specificul contractului, care include o perioadă de operare de 10 ani, în care serviciile prestate în cadrul contractului sunt aceleaşi în fiecare an, de mecanismul de finanțare avut în vedere pentru etapa de operare, precum și din considerente de evitare a impunerii unor condiţii care ar restricţiona în mod artificial participarea operatorilor economici la procedura de atribuire (în cazul în care nivelul minim solicitat ar fi fost stabilit prin raportare la valoarea totală estimată a contractului, pe întreaga durată de 12,5 ani), nivelul minim asociat cerinței de calificare privind cifra de afaceri este stabilit prin raportare la perioada primilor 3 ani de derulare a contractului, respectiv la valoarea estimată a (i) serviciilor de proiectare, (ii) execuției lucrărilor și (iii) serviciilor de operare în primul an de operare.</w:t>
      </w:r>
    </w:p>
    <w:p>
      <w:pPr>
        <w:spacing w:after="120" w:line="276" w:lineRule="auto"/>
        <w:jc w:val="both"/>
        <w:rPr>
          <w:sz w:val="24"/>
          <w:szCs w:val="24"/>
          <w:lang w:val="pt-BR"/>
        </w:rPr>
      </w:pPr>
      <w:r>
        <w:rPr>
          <w:sz w:val="24"/>
          <w:szCs w:val="24"/>
          <w:lang w:val="pt-BR"/>
        </w:rPr>
        <w:t>Prin urmare, se solicită un nivel minim al mediei cifrei de afaceri generale pe ultimii 3 ani financiari de 295.000.000 RON, valoare care este:</w:t>
      </w:r>
    </w:p>
    <w:p>
      <w:pPr>
        <w:spacing w:after="120" w:line="276" w:lineRule="auto"/>
        <w:jc w:val="both"/>
        <w:rPr>
          <w:sz w:val="24"/>
          <w:szCs w:val="24"/>
          <w:lang w:val="ro-RO"/>
        </w:rPr>
      </w:pPr>
      <w:r>
        <w:rPr>
          <w:sz w:val="24"/>
          <w:szCs w:val="24"/>
          <w:lang w:val="pt-BR"/>
        </w:rPr>
        <w:t xml:space="preserve">- </w:t>
      </w:r>
      <w:r>
        <w:rPr>
          <w:sz w:val="24"/>
          <w:szCs w:val="24"/>
          <w:lang w:val="ro-RO"/>
        </w:rPr>
        <w:t>de același ordin de mărime cu valoarea estimată a serviciilor de proiectare, execuției lucrărilor și serviciilor de operare în primul an de operare (367.731.523 lei fără TVA), însă mai redusă, reprezentând aproximativ 80% din această valoare; și</w:t>
      </w:r>
    </w:p>
    <w:p>
      <w:pPr>
        <w:spacing w:after="120" w:line="276" w:lineRule="auto"/>
        <w:jc w:val="both"/>
        <w:rPr>
          <w:sz w:val="24"/>
          <w:szCs w:val="24"/>
          <w:lang w:val="ro-RO"/>
        </w:rPr>
      </w:pPr>
      <w:r>
        <w:rPr>
          <w:sz w:val="24"/>
          <w:szCs w:val="24"/>
          <w:lang w:val="ro-RO"/>
        </w:rPr>
        <w:t xml:space="preserve">- de valoare considerabil mai mică (15%) decât dublul valorii estimate a contractului (2 x 948.361.921,30 </w:t>
      </w:r>
      <w:r>
        <w:rPr>
          <w:bCs/>
          <w:sz w:val="24"/>
          <w:szCs w:val="24"/>
          <w:lang w:val="ro-RO"/>
        </w:rPr>
        <w:t>= 1.896.723.842,61 lei fără TVA</w:t>
      </w:r>
      <w:r>
        <w:rPr>
          <w:sz w:val="24"/>
          <w:szCs w:val="24"/>
          <w:lang w:val="ro-RO"/>
        </w:rPr>
        <w:t>).</w:t>
      </w:r>
    </w:p>
    <w:p>
      <w:pPr>
        <w:spacing w:after="120" w:line="276" w:lineRule="auto"/>
        <w:jc w:val="both"/>
        <w:rPr>
          <w:sz w:val="24"/>
          <w:szCs w:val="24"/>
          <w:lang w:val="ro-RO"/>
        </w:rPr>
      </w:pPr>
      <w:r>
        <w:rPr>
          <w:sz w:val="24"/>
          <w:szCs w:val="24"/>
          <w:lang w:val="ro-RO"/>
        </w:rPr>
        <w:t>Astfel, din considerente de evitare a restricționării competiției, autoritatea contractantă stabilește un nivel minim al cifrei de afaceri solicitate considerabil mai scăzut decât plafonul permis de legislația în vigoare, însă care este raportat la condițiile reale ale contractului supus achiziției și pe care îl consideră suficient de ridicat pentru a diminua în mod satisfăcător riscul de neîndeplinire a contractului asociat unor potențiale probleme de natură economico-financiară care pot surveni pe parcursul derulării contractului de achiziție publică, în particular în etapa de proiectare și execuție, dar și în faza inițială a etapei de operare.</w:t>
      </w:r>
    </w:p>
    <w:p>
      <w:pPr>
        <w:spacing w:after="120" w:line="276" w:lineRule="auto"/>
        <w:jc w:val="both"/>
        <w:rPr>
          <w:b/>
          <w:sz w:val="24"/>
          <w:szCs w:val="24"/>
          <w:lang w:val="ro-RO"/>
        </w:rPr>
      </w:pPr>
    </w:p>
    <w:p>
      <w:pPr>
        <w:spacing w:after="120" w:line="276" w:lineRule="auto"/>
        <w:jc w:val="both"/>
        <w:rPr>
          <w:b/>
          <w:sz w:val="24"/>
          <w:szCs w:val="24"/>
          <w:u w:val="single"/>
          <w:lang w:val="es-ES"/>
        </w:rPr>
      </w:pPr>
      <w:r>
        <w:rPr>
          <w:b/>
          <w:sz w:val="24"/>
          <w:szCs w:val="24"/>
          <w:u w:val="single"/>
          <w:lang w:val="es-ES"/>
        </w:rPr>
        <w:t>Capacitatea tehnică şi/sau profesională:</w:t>
      </w:r>
    </w:p>
    <w:p>
      <w:pPr>
        <w:spacing w:after="120" w:line="276" w:lineRule="auto"/>
        <w:jc w:val="both"/>
        <w:rPr>
          <w:sz w:val="24"/>
          <w:szCs w:val="24"/>
          <w:lang w:val="it-IT"/>
        </w:rPr>
      </w:pPr>
      <w:r>
        <w:rPr>
          <w:b/>
          <w:bCs/>
          <w:sz w:val="24"/>
          <w:szCs w:val="24"/>
          <w:lang w:val="it-IT"/>
        </w:rPr>
        <w:t>Cerinţa 1:</w:t>
      </w:r>
      <w:r>
        <w:rPr>
          <w:sz w:val="24"/>
          <w:szCs w:val="24"/>
          <w:lang w:val="it-IT"/>
        </w:rPr>
        <w:t xml:space="preserve"> Experienţa similară - Proiectare: </w:t>
      </w:r>
    </w:p>
    <w:p>
      <w:pPr>
        <w:spacing w:after="120" w:line="276" w:lineRule="auto"/>
        <w:jc w:val="both"/>
        <w:rPr>
          <w:bCs/>
          <w:sz w:val="24"/>
          <w:szCs w:val="24"/>
          <w:lang w:val="ro-RO"/>
        </w:rPr>
      </w:pPr>
      <w:r>
        <w:rPr>
          <w:bCs/>
          <w:sz w:val="24"/>
          <w:szCs w:val="24"/>
          <w:lang w:val="ro-RO"/>
        </w:rPr>
        <w:t xml:space="preserve">Ofertanții trebuie să demonstreze că au prestat în mod corespunzător şi au dus la bun sfârşit, în ultimii 3 ani, împliniți la data termenului-limită de depunere a ofertelor, </w:t>
      </w:r>
      <w:r>
        <w:rPr>
          <w:b/>
          <w:bCs/>
          <w:sz w:val="24"/>
          <w:szCs w:val="24"/>
          <w:lang w:val="ro-RO"/>
        </w:rPr>
        <w:t>servicii de proiectare privind instalaţii de tratare/gestionare a deşeurilor</w:t>
      </w:r>
      <w:r>
        <w:rPr>
          <w:bCs/>
          <w:sz w:val="24"/>
          <w:szCs w:val="24"/>
          <w:lang w:val="ro-RO"/>
        </w:rPr>
        <w:t xml:space="preserve"> cu o valoare cumulată de minimum 9.500.000 RON, fără TVA, la nivelul a maximum </w:t>
      </w:r>
      <w:r>
        <w:rPr>
          <w:sz w:val="24"/>
          <w:szCs w:val="24"/>
          <w:lang w:val="ro-RO"/>
        </w:rPr>
        <w:t xml:space="preserve">5 </w:t>
      </w:r>
      <w:r>
        <w:rPr>
          <w:bCs/>
          <w:sz w:val="24"/>
          <w:szCs w:val="24"/>
          <w:lang w:val="ro-RO"/>
        </w:rPr>
        <w:t>contracte.</w:t>
      </w:r>
    </w:p>
    <w:p>
      <w:pPr>
        <w:spacing w:after="120" w:line="276" w:lineRule="auto"/>
        <w:jc w:val="both"/>
        <w:rPr>
          <w:sz w:val="24"/>
          <w:szCs w:val="24"/>
          <w:lang w:val="ro-RO"/>
        </w:rPr>
      </w:pPr>
      <w:r>
        <w:rPr>
          <w:bCs/>
          <w:sz w:val="24"/>
          <w:szCs w:val="24"/>
          <w:lang w:val="ro-RO"/>
        </w:rPr>
        <w:t xml:space="preserve">Ofertanții trebuie să demonstreze că au prestat în mod corespunzător şi au dus la bun sfârşit, în ultimii 3 ani, împliniți la data termenului-limită de depunere a ofertelor, </w:t>
      </w:r>
      <w:r>
        <w:rPr>
          <w:b/>
          <w:bCs/>
          <w:sz w:val="24"/>
          <w:szCs w:val="24"/>
          <w:lang w:val="ro-RO"/>
        </w:rPr>
        <w:t>servicii de proiectare</w:t>
      </w:r>
      <w:r>
        <w:rPr>
          <w:bCs/>
          <w:sz w:val="24"/>
          <w:szCs w:val="24"/>
          <w:lang w:val="ro-RO"/>
        </w:rPr>
        <w:t xml:space="preserve"> privind:</w:t>
      </w:r>
    </w:p>
    <w:p>
      <w:pPr>
        <w:numPr>
          <w:ilvl w:val="0"/>
          <w:numId w:val="7"/>
        </w:numPr>
        <w:spacing w:after="120" w:line="276" w:lineRule="auto"/>
        <w:jc w:val="both"/>
        <w:rPr>
          <w:bCs/>
          <w:sz w:val="24"/>
          <w:szCs w:val="24"/>
          <w:lang w:val="ro-RO"/>
        </w:rPr>
      </w:pPr>
      <w:r>
        <w:rPr>
          <w:b/>
          <w:bCs/>
          <w:sz w:val="24"/>
          <w:szCs w:val="24"/>
          <w:lang w:val="ro-RO"/>
        </w:rPr>
        <w:t>cel puţin o instalaţie de tratare mecanică a deşeurilor reciclabite colectate separat şi/sau a deşeurilor reziduale</w:t>
      </w:r>
      <w:r>
        <w:rPr>
          <w:bCs/>
          <w:sz w:val="24"/>
          <w:szCs w:val="24"/>
          <w:lang w:val="ro-RO"/>
        </w:rPr>
        <w:t>, având o complexitate similară instalaţiei ce face obiectul procedurii de atribuire. În acest sens, următoarele instalaţii sunt considerate a avea un nivel de complexitate similar cu cel al instalaţiei care face obiectul procedurii de atribuire:</w:t>
      </w:r>
    </w:p>
    <w:p>
      <w:pPr>
        <w:numPr>
          <w:ilvl w:val="0"/>
          <w:numId w:val="6"/>
        </w:numPr>
        <w:spacing w:after="120" w:line="276" w:lineRule="auto"/>
        <w:jc w:val="both"/>
        <w:rPr>
          <w:bCs/>
          <w:sz w:val="24"/>
          <w:szCs w:val="24"/>
          <w:lang w:val="ro-RO"/>
        </w:rPr>
      </w:pPr>
      <w:r>
        <w:rPr>
          <w:bCs/>
          <w:sz w:val="24"/>
          <w:szCs w:val="24"/>
          <w:lang w:val="ro-RO"/>
        </w:rPr>
        <w:lastRenderedPageBreak/>
        <w:t>în cazul instalaţiilor de tratare mecanică a deşeurilor reciclabile colectate separat, acele instalaţii care includ tehnologii de sortare prin mijloace optice/inteligenţă artificială și care au o eficienţă proiectată de sortare mai mare de 80% din totalul intrărilor;</w:t>
      </w:r>
    </w:p>
    <w:p>
      <w:pPr>
        <w:numPr>
          <w:ilvl w:val="0"/>
          <w:numId w:val="6"/>
        </w:numPr>
        <w:spacing w:after="120" w:line="276" w:lineRule="auto"/>
        <w:jc w:val="both"/>
        <w:rPr>
          <w:bCs/>
          <w:sz w:val="24"/>
          <w:szCs w:val="24"/>
          <w:lang w:val="ro-RO"/>
        </w:rPr>
      </w:pPr>
      <w:r>
        <w:rPr>
          <w:bCs/>
          <w:sz w:val="24"/>
          <w:szCs w:val="24"/>
          <w:lang w:val="ro-RO"/>
        </w:rPr>
        <w:t>în cazul instalaţiilor de tratare mecanică a deşeurilor reziduale, acele instalaţii care includ tehnologii de sortare prin mijloace optice/inteligenţă artificială și care au o eficienţă proiectată de sortare a deşeurilor reciclabile mai mare de 10% din totalul intrărilor;</w:t>
      </w:r>
    </w:p>
    <w:p>
      <w:pPr>
        <w:spacing w:after="120" w:line="276" w:lineRule="auto"/>
        <w:jc w:val="both"/>
        <w:rPr>
          <w:bCs/>
          <w:sz w:val="24"/>
          <w:szCs w:val="24"/>
          <w:lang w:val="ro-RO"/>
        </w:rPr>
      </w:pPr>
      <w:r>
        <w:rPr>
          <w:bCs/>
          <w:sz w:val="24"/>
          <w:szCs w:val="24"/>
          <w:lang w:val="ro-RO"/>
        </w:rPr>
        <w:t>SAU</w:t>
      </w:r>
    </w:p>
    <w:p>
      <w:pPr>
        <w:spacing w:after="120" w:line="276" w:lineRule="auto"/>
        <w:jc w:val="both"/>
        <w:rPr>
          <w:sz w:val="24"/>
          <w:szCs w:val="24"/>
          <w:lang w:val="ro-RO"/>
        </w:rPr>
      </w:pPr>
      <w:r>
        <w:rPr>
          <w:bCs/>
          <w:sz w:val="24"/>
          <w:szCs w:val="24"/>
          <w:lang w:val="ro-RO"/>
        </w:rPr>
        <w:t xml:space="preserve">-  </w:t>
      </w:r>
      <w:r>
        <w:rPr>
          <w:b/>
          <w:bCs/>
          <w:sz w:val="24"/>
          <w:szCs w:val="24"/>
          <w:lang w:val="ro-RO"/>
        </w:rPr>
        <w:t xml:space="preserve">cel puţin o instalaţie de tratare anaerobă a </w:t>
      </w:r>
      <w:r>
        <w:rPr>
          <w:sz w:val="24"/>
          <w:szCs w:val="24"/>
          <w:lang w:val="ro-RO"/>
        </w:rPr>
        <w:t xml:space="preserve"> </w:t>
      </w:r>
      <w:r>
        <w:rPr>
          <w:b/>
          <w:bCs/>
          <w:sz w:val="24"/>
          <w:szCs w:val="24"/>
          <w:lang w:val="ro-RO"/>
        </w:rPr>
        <w:t>bio-deşeurilor colectate separat şi/sau a bio-deşeurilor din deşeurile reziduale</w:t>
      </w:r>
      <w:r>
        <w:rPr>
          <w:bCs/>
          <w:sz w:val="24"/>
          <w:szCs w:val="24"/>
          <w:lang w:val="ro-RO"/>
        </w:rPr>
        <w:t>.</w:t>
      </w:r>
    </w:p>
    <w:p>
      <w:pPr>
        <w:spacing w:after="120" w:line="276" w:lineRule="auto"/>
        <w:jc w:val="both"/>
        <w:rPr>
          <w:sz w:val="24"/>
          <w:szCs w:val="24"/>
          <w:lang w:val="ro-RO"/>
        </w:rPr>
      </w:pPr>
    </w:p>
    <w:p>
      <w:pPr>
        <w:spacing w:after="120" w:line="276" w:lineRule="auto"/>
        <w:jc w:val="both"/>
        <w:rPr>
          <w:sz w:val="24"/>
          <w:szCs w:val="24"/>
          <w:lang w:val="ro-RO"/>
        </w:rPr>
      </w:pPr>
      <w:r>
        <w:rPr>
          <w:sz w:val="24"/>
          <w:szCs w:val="24"/>
          <w:lang w:val="ro-RO"/>
        </w:rPr>
        <w:t>Prin servicii duse la bun sfarsit in cadrul perioadei de 3 ani se intelege: -servicii receptionate partial, cu conditia ca specificul contractului/ activitatilor ce reprezinta experienta similara sa permita elaborarea unui livrabil care sa poata fi utilizat de beneficiar ca rezultat independent; -servicii receptionate la sfarsitul prestarii; sfarsitul prestarii nu presupune expirarea perioadei de garantie, respectiv a perioadei de notificare a defectelor in cadrul contractelor de tip FIDIC.</w:t>
      </w:r>
    </w:p>
    <w:p>
      <w:pPr>
        <w:spacing w:after="120" w:line="276" w:lineRule="auto"/>
        <w:jc w:val="both"/>
        <w:rPr>
          <w:sz w:val="24"/>
          <w:szCs w:val="24"/>
          <w:lang w:val="ro-RO"/>
        </w:rPr>
      </w:pPr>
      <w:r>
        <w:rPr>
          <w:sz w:val="24"/>
          <w:szCs w:val="24"/>
          <w:lang w:val="ro-RO"/>
        </w:rPr>
        <w:t xml:space="preserve">In situatia in care se decaleaza data limita de depunere a ofertelor și se stabilește un nou termen limita, prin publicarea unui anunt de schimbare, în SEAP, limita inferioara a perioadei de 3 ani se extinde cu perioada de timp aferenta decalarii, urmand a fi considerata indeplinita cerinta pentru toti operatorii economici care au prezentat dovada finalizarii contractului de experienta similara in intervalul de timp nou rezultat. </w:t>
      </w:r>
    </w:p>
    <w:p>
      <w:pPr>
        <w:spacing w:after="120" w:line="276" w:lineRule="auto"/>
        <w:jc w:val="both"/>
        <w:rPr>
          <w:sz w:val="24"/>
          <w:szCs w:val="24"/>
          <w:lang w:val="ro-RO"/>
        </w:rPr>
      </w:pPr>
      <w:r>
        <w:rPr>
          <w:sz w:val="24"/>
          <w:szCs w:val="24"/>
          <w:u w:val="single"/>
          <w:lang w:val="ro-RO"/>
        </w:rPr>
        <w:t>Modalitate de indeplinire</w:t>
      </w:r>
      <w:r>
        <w:rPr>
          <w:sz w:val="24"/>
          <w:szCs w:val="24"/>
          <w:lang w:val="ro-RO"/>
        </w:rPr>
        <w:t xml:space="preserve">: Se va completa și prezenta DUAE - "Criterii de selectie" - Sectiunea C. Capacitatea tehnica și profesionala. - Ofertantul va completa datele privind indeplinirea cerintei de experienta similara in formularul DUAE din SEAP. </w:t>
      </w:r>
    </w:p>
    <w:p>
      <w:pPr>
        <w:spacing w:after="120" w:line="276" w:lineRule="auto"/>
        <w:jc w:val="both"/>
        <w:rPr>
          <w:sz w:val="24"/>
          <w:szCs w:val="24"/>
          <w:lang w:val="ro-RO"/>
        </w:rPr>
      </w:pPr>
      <w:r>
        <w:rPr>
          <w:sz w:val="24"/>
          <w:szCs w:val="24"/>
          <w:lang w:val="ro-RO"/>
        </w:rPr>
        <w:t xml:space="preserve">Operatorii economici participanți la procedura de atribuire vor completa DUAE cu informațiile ce descriu nivelul lor de experiență, prin raportare la contractele executate în trecut, corespunzător cerințelor autorității contractante. </w:t>
      </w:r>
    </w:p>
    <w:p>
      <w:pPr>
        <w:spacing w:after="120" w:line="276" w:lineRule="auto"/>
        <w:jc w:val="both"/>
        <w:rPr>
          <w:sz w:val="24"/>
          <w:szCs w:val="24"/>
          <w:lang w:val="es-ES"/>
        </w:rPr>
      </w:pPr>
      <w:r>
        <w:rPr>
          <w:sz w:val="24"/>
          <w:szCs w:val="24"/>
          <w:lang w:val="es-ES"/>
        </w:rPr>
        <w:t>Operatorii economici care depun oferta in asociere vor depune câte un DUAE pentru fiecare dintre membrii asocierii.</w:t>
      </w:r>
    </w:p>
    <w:p>
      <w:pPr>
        <w:spacing w:after="120" w:line="276" w:lineRule="auto"/>
        <w:jc w:val="both"/>
        <w:rPr>
          <w:sz w:val="24"/>
          <w:szCs w:val="24"/>
          <w:lang w:val="es-ES"/>
        </w:rPr>
      </w:pPr>
      <w:r>
        <w:rPr>
          <w:sz w:val="24"/>
          <w:szCs w:val="24"/>
          <w:lang w:val="es-ES"/>
        </w:rPr>
        <w:t xml:space="preserve">In cadrul DUAE, va fi prezentata lista serviciilor similare prestate, ce va cuprinde urmatoarele informatii: -Obiectul, numarul și data semnarii contractului de servicii invocat drept experienta similara, -Beneficiarul contractului și datele de contact ale acestuia, -Valoarea fara TVA a contractului, -Valoarea fara TVA a serviciilor din cadrul contractului ce sunt invocate drept experienta similara, in cazul in care obiectul contractului invocat excede serviciilor similare obiectului procedurii de achizitie, dupa caz, -Ponderea pentru care operatorul economic a fost responsabil in cadrul contractului invocat, dupa caz, -Numarul și data documentului care confirma receptionarea de către beneficiar a serviciilor invocate drept experienta similara, in perioada de referinta. </w:t>
      </w:r>
    </w:p>
    <w:p>
      <w:pPr>
        <w:spacing w:after="120" w:line="276" w:lineRule="auto"/>
        <w:jc w:val="both"/>
        <w:rPr>
          <w:sz w:val="24"/>
          <w:szCs w:val="24"/>
          <w:lang w:val="es-ES"/>
        </w:rPr>
      </w:pPr>
      <w:r>
        <w:rPr>
          <w:sz w:val="24"/>
          <w:szCs w:val="24"/>
          <w:lang w:val="es-ES"/>
        </w:rPr>
        <w:t xml:space="preserve">Pentru conversia din alte valute se va aplica cursul mediu anual leu/valuta comunicat de BNR pentru anul in care a fost incheiat contractul invocat ca experienta similara. </w:t>
      </w:r>
    </w:p>
    <w:p>
      <w:pPr>
        <w:spacing w:after="120" w:line="276" w:lineRule="auto"/>
        <w:jc w:val="both"/>
        <w:rPr>
          <w:sz w:val="24"/>
          <w:szCs w:val="24"/>
          <w:lang w:val="hr-BA" w:eastAsia="ro-RO"/>
        </w:rPr>
      </w:pPr>
      <w:r>
        <w:rPr>
          <w:sz w:val="24"/>
          <w:szCs w:val="24"/>
          <w:lang w:val="it-IT"/>
        </w:rPr>
        <w:t xml:space="preserve">Următoarele documente justificative care probează îndeplinirea cerinței vor fi prezentate, la solicitarea autorității contractante, doar de către ofertantul clasat pe primul loc în clasamentul intermediar întocmit </w:t>
      </w:r>
      <w:r>
        <w:rPr>
          <w:sz w:val="24"/>
          <w:szCs w:val="24"/>
          <w:lang w:val="it-IT"/>
        </w:rPr>
        <w:lastRenderedPageBreak/>
        <w:t>la finalizarea evaluării ofertelor:</w:t>
      </w:r>
      <w:r>
        <w:rPr>
          <w:sz w:val="24"/>
          <w:szCs w:val="24"/>
          <w:lang w:val="es-ES"/>
        </w:rPr>
        <w:t xml:space="preserve"> -Copii dupa parti relevante ale contractelor indeplinite; -certificate de predare-primire -Documente care sa demonstreze ca ofertantul a prestat serviciile similare din cadrul contractelor invocate, cum ar fi: -Procese verbale de receptie,  certificate constatatoare, Recomandari </w:t>
      </w:r>
      <w:r>
        <w:rPr>
          <w:sz w:val="24"/>
          <w:szCs w:val="24"/>
          <w:lang w:val="it-IT"/>
        </w:rPr>
        <w:t xml:space="preserve">sau alte documente din care să reiasă următoarele informații: beneficiarul, cantitatea/valoarea, perioada și locul prestarii. </w:t>
      </w:r>
      <w:r>
        <w:rPr>
          <w:sz w:val="24"/>
          <w:szCs w:val="24"/>
          <w:lang w:val="hr-BA" w:eastAsia="ro-RO"/>
        </w:rPr>
        <w:t>Documentele doveditoare vor fi însotite, daca este cazul, de traducerea autorizata în limba româna.</w:t>
      </w:r>
    </w:p>
    <w:p>
      <w:pPr>
        <w:spacing w:after="120" w:line="276" w:lineRule="auto"/>
        <w:jc w:val="both"/>
        <w:rPr>
          <w:sz w:val="24"/>
          <w:szCs w:val="24"/>
          <w:lang w:val="it-IT"/>
        </w:rPr>
      </w:pPr>
    </w:p>
    <w:p>
      <w:pPr>
        <w:spacing w:after="120" w:line="276" w:lineRule="auto"/>
        <w:jc w:val="both"/>
        <w:rPr>
          <w:sz w:val="24"/>
          <w:szCs w:val="24"/>
          <w:lang w:val="it-IT"/>
        </w:rPr>
      </w:pPr>
      <w:r>
        <w:rPr>
          <w:b/>
          <w:sz w:val="24"/>
          <w:szCs w:val="24"/>
          <w:lang w:val="it-IT"/>
        </w:rPr>
        <w:t>Justificare</w:t>
      </w:r>
      <w:r>
        <w:rPr>
          <w:sz w:val="24"/>
          <w:szCs w:val="24"/>
          <w:lang w:val="it-IT"/>
        </w:rPr>
        <w:t xml:space="preserve">: </w:t>
      </w:r>
    </w:p>
    <w:p>
      <w:pPr>
        <w:spacing w:after="120" w:line="276" w:lineRule="auto"/>
        <w:jc w:val="both"/>
        <w:rPr>
          <w:sz w:val="24"/>
          <w:szCs w:val="24"/>
          <w:lang w:val="it-IT"/>
        </w:rPr>
      </w:pPr>
      <w:r>
        <w:rPr>
          <w:sz w:val="24"/>
          <w:szCs w:val="24"/>
          <w:lang w:val="it-IT"/>
        </w:rPr>
        <w:t xml:space="preserve">Avand in vedere necesitatea probării unei experienţe anterioare, nivelul valoric al cerinței a fost stabilit în raport cu valoarea estimată a componentei de proiectare din cadrul contractului, astfel încît aceasta să nu fie depăşită, însă nivelul valoric impus să reprezinte o asigurare suplimentară privind capacitatea ofertantului (aprox. 75% din valoarea componentei de proiectare din cadrul contractului care urmează să fie atribuit). S-a solicitat pentru ca autoritatea contractantă să se asigure că ofertantul a mai desfasurat activitati similare și are capacitatea și mijloacele tehnice necesare pentru indeplinirea cu succes a contractului care urmeaza a fi atribuit. </w:t>
      </w:r>
    </w:p>
    <w:p>
      <w:pPr>
        <w:spacing w:after="120" w:line="276" w:lineRule="auto"/>
        <w:jc w:val="both"/>
        <w:rPr>
          <w:sz w:val="24"/>
          <w:szCs w:val="24"/>
          <w:lang w:val="it-IT"/>
        </w:rPr>
      </w:pPr>
      <w:r>
        <w:rPr>
          <w:sz w:val="24"/>
          <w:szCs w:val="24"/>
          <w:lang w:val="it-IT"/>
        </w:rPr>
        <w:t>Autoritatea contractanta a solicitat ca operatorul economic să demonstreze experiența în proiectare in cadrul a maxim 5 contracte in care a prestat servicii similare, deoarece ofera autoritatii contractante garantia ca operatorul economic are atat experienta, cat și capacitatea de a gestiona contracte de dimensiunea celui care urmează să fie atribuit. Cerinta este formulata in concordanta cu art. 178 alin. 2, art. 179 lit. a) din Legea 98/2016, prin raportare la valoarea estimata a componentei de proiectare din cadrul contractului ce urmează să fie atribuit.</w:t>
      </w:r>
    </w:p>
    <w:p>
      <w:pPr>
        <w:spacing w:after="120" w:line="276" w:lineRule="auto"/>
        <w:jc w:val="both"/>
        <w:rPr>
          <w:sz w:val="24"/>
          <w:szCs w:val="24"/>
          <w:lang w:val="ro-RO"/>
        </w:rPr>
      </w:pPr>
    </w:p>
    <w:p>
      <w:pPr>
        <w:spacing w:after="120" w:line="276" w:lineRule="auto"/>
        <w:jc w:val="both"/>
        <w:rPr>
          <w:sz w:val="24"/>
          <w:szCs w:val="24"/>
          <w:lang w:val="it-IT"/>
        </w:rPr>
      </w:pPr>
      <w:r>
        <w:rPr>
          <w:b/>
          <w:bCs/>
          <w:sz w:val="24"/>
          <w:szCs w:val="24"/>
          <w:lang w:val="it-IT"/>
        </w:rPr>
        <w:t xml:space="preserve">Cerinţa 2: </w:t>
      </w:r>
      <w:r>
        <w:rPr>
          <w:sz w:val="24"/>
          <w:szCs w:val="24"/>
          <w:lang w:val="it-IT"/>
        </w:rPr>
        <w:t>Experienţa similară – Execuție lucrări:</w:t>
      </w:r>
    </w:p>
    <w:p>
      <w:pPr>
        <w:spacing w:after="120" w:line="276" w:lineRule="auto"/>
        <w:jc w:val="both"/>
        <w:rPr>
          <w:bCs/>
          <w:sz w:val="24"/>
          <w:szCs w:val="24"/>
          <w:lang w:val="ro-RO"/>
        </w:rPr>
      </w:pPr>
      <w:r>
        <w:rPr>
          <w:bCs/>
          <w:sz w:val="24"/>
          <w:szCs w:val="24"/>
          <w:lang w:val="ro-RO"/>
        </w:rPr>
        <w:t xml:space="preserve">Ofertanții trebuie să demonstreze că au executat în mod corespunzător şi au dus la bun sfârşit, în ultimii 7 ani, împliniți la data termenului-limită de depunere a ofertelor, </w:t>
      </w:r>
      <w:r>
        <w:rPr>
          <w:b/>
          <w:bCs/>
          <w:sz w:val="24"/>
          <w:szCs w:val="24"/>
          <w:lang w:val="ro-RO"/>
        </w:rPr>
        <w:t>lucrări de construcţie privind instalaţii de tratare/gestionare a deşeurilor</w:t>
      </w:r>
      <w:r>
        <w:rPr>
          <w:bCs/>
          <w:sz w:val="24"/>
          <w:szCs w:val="24"/>
          <w:lang w:val="ro-RO"/>
        </w:rPr>
        <w:t xml:space="preserve"> cu o valoare cumulată de minimum 235.000.000 RON, fără TVA, la nivelul a maximum 5 contracte</w:t>
      </w:r>
      <w:r>
        <w:rPr>
          <w:sz w:val="24"/>
          <w:szCs w:val="24"/>
          <w:lang w:val="it-IT"/>
        </w:rPr>
        <w:t xml:space="preserve">. </w:t>
      </w:r>
      <w:r>
        <w:rPr>
          <w:bCs/>
          <w:sz w:val="24"/>
          <w:szCs w:val="24"/>
          <w:lang w:val="ro-RO"/>
        </w:rPr>
        <w:t xml:space="preserve">Ofertanții trebuie să demonstreze că au executat în mod corespunzător şi au dus la bun sfârşit, în ultimii 7 ani, împliniți la data termenului-limită de depunere a ofertelor, </w:t>
      </w:r>
      <w:r>
        <w:rPr>
          <w:b/>
          <w:bCs/>
          <w:sz w:val="24"/>
          <w:szCs w:val="24"/>
          <w:lang w:val="ro-RO"/>
        </w:rPr>
        <w:t>lucrări de construcţie</w:t>
      </w:r>
      <w:r>
        <w:rPr>
          <w:bCs/>
          <w:sz w:val="24"/>
          <w:szCs w:val="24"/>
          <w:lang w:val="ro-RO"/>
        </w:rPr>
        <w:t xml:space="preserve"> privind:</w:t>
      </w:r>
    </w:p>
    <w:p>
      <w:pPr>
        <w:spacing w:after="120" w:line="276" w:lineRule="auto"/>
        <w:jc w:val="both"/>
        <w:rPr>
          <w:bCs/>
          <w:sz w:val="24"/>
          <w:szCs w:val="24"/>
          <w:lang w:val="ro-RO"/>
        </w:rPr>
      </w:pPr>
      <w:r>
        <w:rPr>
          <w:bCs/>
          <w:sz w:val="24"/>
          <w:szCs w:val="24"/>
          <w:lang w:val="ro-RO"/>
        </w:rPr>
        <w:t xml:space="preserve">- </w:t>
      </w:r>
      <w:r>
        <w:rPr>
          <w:b/>
          <w:bCs/>
          <w:sz w:val="24"/>
          <w:szCs w:val="24"/>
          <w:lang w:val="ro-RO"/>
        </w:rPr>
        <w:t>cel puţin o instalaţie de tratare mecanică deşeurilor reciclabile colectate separat şi/sau a deşeurilor reziduale</w:t>
      </w:r>
      <w:r>
        <w:rPr>
          <w:bCs/>
          <w:sz w:val="24"/>
          <w:szCs w:val="24"/>
          <w:lang w:val="ro-RO"/>
        </w:rPr>
        <w:t>, având o complexitate similară instalaţiei ce face obiectul procedurii de atribuire. În acest sens, următoarele instalaţii sunt considerate a avea un nivel de complexitate similar cu cel al instalaţiei ce face obiectul procedurii de atribuire:</w:t>
      </w:r>
    </w:p>
    <w:p>
      <w:pPr>
        <w:numPr>
          <w:ilvl w:val="0"/>
          <w:numId w:val="8"/>
        </w:numPr>
        <w:spacing w:after="120" w:line="276" w:lineRule="auto"/>
        <w:jc w:val="both"/>
        <w:rPr>
          <w:bCs/>
          <w:sz w:val="24"/>
          <w:szCs w:val="24"/>
          <w:lang w:val="ro-RO"/>
        </w:rPr>
      </w:pPr>
      <w:r>
        <w:rPr>
          <w:bCs/>
          <w:sz w:val="24"/>
          <w:szCs w:val="24"/>
          <w:lang w:val="ro-RO"/>
        </w:rPr>
        <w:t>în cazul instalaţiilor de tratare mecanică a deşeurilor reciclabile colectate separat, acele instalaţii care includ tehnologii de sortare prin mijloace optice/inteligenţă artificială și care au o eficienţă proiectată de sortare mai mare de 80% din totalul intrărilor;</w:t>
      </w:r>
    </w:p>
    <w:p>
      <w:pPr>
        <w:numPr>
          <w:ilvl w:val="0"/>
          <w:numId w:val="8"/>
        </w:numPr>
        <w:spacing w:after="120" w:line="276" w:lineRule="auto"/>
        <w:jc w:val="both"/>
        <w:rPr>
          <w:bCs/>
          <w:sz w:val="24"/>
          <w:szCs w:val="24"/>
          <w:lang w:val="ro-RO"/>
        </w:rPr>
      </w:pPr>
      <w:r>
        <w:rPr>
          <w:bCs/>
          <w:sz w:val="24"/>
          <w:szCs w:val="24"/>
          <w:lang w:val="ro-RO"/>
        </w:rPr>
        <w:t>în cazul instalaţiilor de tratare mecanică a deşeurilor reziduale, acele instalaţii care includ tehnologii de sortare prin mijloace optice/inteligenţă artificială și care au o eficienţă proiectată de sortare a deşeurilor reciclabile mai mare de 10% din totalul intrărilor;</w:t>
      </w:r>
    </w:p>
    <w:p>
      <w:pPr>
        <w:spacing w:after="120" w:line="276" w:lineRule="auto"/>
        <w:jc w:val="both"/>
        <w:rPr>
          <w:bCs/>
          <w:sz w:val="24"/>
          <w:szCs w:val="24"/>
          <w:lang w:val="ro-RO"/>
        </w:rPr>
      </w:pPr>
      <w:r>
        <w:rPr>
          <w:bCs/>
          <w:sz w:val="24"/>
          <w:szCs w:val="24"/>
          <w:lang w:val="ro-RO"/>
        </w:rPr>
        <w:t>SAU</w:t>
      </w:r>
    </w:p>
    <w:p>
      <w:pPr>
        <w:spacing w:after="120" w:line="276" w:lineRule="auto"/>
        <w:jc w:val="both"/>
        <w:rPr>
          <w:bCs/>
          <w:sz w:val="24"/>
          <w:szCs w:val="24"/>
          <w:lang w:val="ro-RO"/>
        </w:rPr>
      </w:pPr>
      <w:r>
        <w:rPr>
          <w:bCs/>
          <w:sz w:val="24"/>
          <w:szCs w:val="24"/>
          <w:lang w:val="ro-RO"/>
        </w:rPr>
        <w:lastRenderedPageBreak/>
        <w:t>-</w:t>
      </w:r>
      <w:r>
        <w:rPr>
          <w:sz w:val="24"/>
          <w:szCs w:val="24"/>
          <w:lang w:val="ro-RO"/>
        </w:rPr>
        <w:tab/>
      </w:r>
      <w:r>
        <w:rPr>
          <w:b/>
          <w:bCs/>
          <w:sz w:val="24"/>
          <w:szCs w:val="24"/>
          <w:lang w:val="ro-RO"/>
        </w:rPr>
        <w:t>cel puţin o instalaţie de tratare anaerobă a bio-deşeurilor colectate separat şi/sau a bio-deşeurilor din deşeurile reziduale</w:t>
      </w:r>
      <w:r>
        <w:rPr>
          <w:bCs/>
          <w:sz w:val="24"/>
          <w:szCs w:val="24"/>
          <w:lang w:val="ro-RO"/>
        </w:rPr>
        <w:t>.</w:t>
      </w:r>
    </w:p>
    <w:p>
      <w:pPr>
        <w:spacing w:after="120" w:line="276" w:lineRule="auto"/>
        <w:jc w:val="both"/>
        <w:rPr>
          <w:sz w:val="24"/>
          <w:szCs w:val="24"/>
          <w:lang w:val="ro-RO"/>
        </w:rPr>
      </w:pPr>
      <w:r>
        <w:rPr>
          <w:sz w:val="24"/>
          <w:szCs w:val="24"/>
          <w:lang w:val="ro-RO"/>
        </w:rPr>
        <w:t>Prin lucrari duse la bun sfarsit in cadrul perioadei de 7 ani se intelege: -lucrari receptionate pe obiecte, care sunt insotite de proces verbal de receptie intocmit in conformitate cu prevederile legale și tehnice din domeniul ăn care se încadrează obiectul contractului; sau -lucrari receptionate insotite de proces-verbal la terminarea lucrarilor; sau -lucrari receptionate insotite de proces-verbal de receptie finala.</w:t>
      </w:r>
    </w:p>
    <w:p>
      <w:pPr>
        <w:spacing w:after="120" w:line="276" w:lineRule="auto"/>
        <w:jc w:val="both"/>
        <w:rPr>
          <w:sz w:val="24"/>
          <w:szCs w:val="24"/>
          <w:lang w:val="ro-RO"/>
        </w:rPr>
      </w:pPr>
      <w:r>
        <w:rPr>
          <w:sz w:val="24"/>
          <w:szCs w:val="24"/>
          <w:lang w:val="ro-RO"/>
        </w:rPr>
        <w:t xml:space="preserve">In situatia in care se decaleaza data limita de depunere a ofertelor și se stabilește un nou termen limita, prin publicarea unui anunt de schimbare, în SEAP, limita inferioara a perioadei de 7 ani se extinde cu perioada de timp aferenta decalarii, urmand a fi considerata indeplinita cerinta pentru toti operatorii economici care au prezentat dovada finalizarii contractului de experienta similara in intervalul de timp nou rezultat. </w:t>
      </w:r>
    </w:p>
    <w:p>
      <w:pPr>
        <w:spacing w:after="120" w:line="276" w:lineRule="auto"/>
        <w:jc w:val="both"/>
        <w:rPr>
          <w:sz w:val="24"/>
          <w:szCs w:val="24"/>
          <w:lang w:val="ro-RO"/>
        </w:rPr>
      </w:pPr>
      <w:r>
        <w:rPr>
          <w:sz w:val="24"/>
          <w:szCs w:val="24"/>
          <w:u w:val="single"/>
          <w:lang w:val="ro-RO"/>
        </w:rPr>
        <w:t>Modalitate de indeplinire:</w:t>
      </w:r>
      <w:r>
        <w:rPr>
          <w:sz w:val="24"/>
          <w:szCs w:val="24"/>
          <w:lang w:val="ro-RO"/>
        </w:rPr>
        <w:t xml:space="preserve"> Se va completa și prezenta DUAE - "Criterii de selectie" - Sectiunea C. Capacitatea tehnica și profesionala. - Ofertantul va completa datele privind indeplinirea cerintei de experienta similara in formularul DUAE din SEAP. </w:t>
      </w:r>
    </w:p>
    <w:p>
      <w:pPr>
        <w:spacing w:after="120" w:line="276" w:lineRule="auto"/>
        <w:jc w:val="both"/>
        <w:rPr>
          <w:sz w:val="24"/>
          <w:szCs w:val="24"/>
          <w:lang w:val="ro-RO"/>
        </w:rPr>
      </w:pPr>
      <w:r>
        <w:rPr>
          <w:sz w:val="24"/>
          <w:szCs w:val="24"/>
          <w:lang w:val="ro-RO"/>
        </w:rPr>
        <w:t xml:space="preserve">Operatorii economici participanți la procedura de atribuire vor completa DUAE cu informațiile ce descriu nivelul lor de experiență, prin raportare la contractele executate în trecut, corespunzător cerințelor autorității contractante. </w:t>
      </w:r>
    </w:p>
    <w:p>
      <w:pPr>
        <w:spacing w:after="120" w:line="276" w:lineRule="auto"/>
        <w:jc w:val="both"/>
        <w:rPr>
          <w:sz w:val="24"/>
          <w:szCs w:val="24"/>
          <w:lang w:val="es-ES"/>
        </w:rPr>
      </w:pPr>
      <w:r>
        <w:rPr>
          <w:sz w:val="24"/>
          <w:szCs w:val="24"/>
          <w:lang w:val="es-ES"/>
        </w:rPr>
        <w:t>Operatorii economici care depun oferta in asociere vor depune câte un DUAE pentru fiecare dintre membrii asocierii.</w:t>
      </w:r>
    </w:p>
    <w:p>
      <w:pPr>
        <w:spacing w:after="120" w:line="276" w:lineRule="auto"/>
        <w:jc w:val="both"/>
        <w:rPr>
          <w:sz w:val="24"/>
          <w:szCs w:val="24"/>
          <w:lang w:val="pt-BR"/>
        </w:rPr>
      </w:pPr>
      <w:r>
        <w:rPr>
          <w:sz w:val="24"/>
          <w:szCs w:val="24"/>
          <w:lang w:val="pt-BR"/>
        </w:rPr>
        <w:t xml:space="preserve">In cadrul DUAE, va fi prezentata lista lucrarilor similare executate, care va cuprinde urmatoarele informatii: -Obiectul, numarul și data semnarii contractului de lucrari invocat drept experienta similara, -Beneficiarul contractului și datele de contact ale acestuia, -Valoarea fara TVA a contractului, -Ponderea pentru care operatorul economic a fost responsabil in cadrul contractului invocat, dupa caz, -Numarul și data documentului care confirma receptionarea lucrarilor invocate drept experienta similara, in perioada de referinta. </w:t>
      </w:r>
    </w:p>
    <w:p>
      <w:pPr>
        <w:spacing w:after="120" w:line="276" w:lineRule="auto"/>
        <w:jc w:val="both"/>
        <w:rPr>
          <w:sz w:val="24"/>
          <w:szCs w:val="24"/>
          <w:lang w:val="pt-BR"/>
        </w:rPr>
      </w:pPr>
      <w:r>
        <w:rPr>
          <w:sz w:val="24"/>
          <w:szCs w:val="24"/>
          <w:lang w:val="pt-BR"/>
        </w:rPr>
        <w:t xml:space="preserve">Pentru conversia din alte valute se va aplica cursul mediu anual leu/valuta comunicat de BNR pentru anul in care a fost incheiat contractul invocat ca experienta similara. </w:t>
      </w:r>
    </w:p>
    <w:p>
      <w:pPr>
        <w:spacing w:after="120" w:line="276" w:lineRule="auto"/>
        <w:jc w:val="both"/>
        <w:rPr>
          <w:sz w:val="24"/>
          <w:szCs w:val="24"/>
          <w:lang w:val="pt-BR"/>
        </w:rPr>
      </w:pPr>
      <w:r>
        <w:rPr>
          <w:sz w:val="24"/>
          <w:szCs w:val="24"/>
          <w:lang w:val="pt-BR"/>
        </w:rPr>
        <w:t>Următoarele documente justificative care probează îndeplinirea cerinței vor fi prezentate, la solicitarea autorității contractante, doar de către ofertantul clasat pe primul loc în clasamentul intermediar întocmit la finalizarea evaluării ofertelor: -Copii dupa parti relevante ale contractelor declarate, care sa cuprinda cel putin informatiile completate in DUAE;</w:t>
      </w:r>
      <w:r>
        <w:rPr>
          <w:sz w:val="24"/>
          <w:szCs w:val="24"/>
          <w:lang w:val="fr-FR"/>
        </w:rPr>
        <w:t xml:space="preserve"> -proces-verbal de recepție finală/proces-verbal de recepție la terminarea lucrărilor/proces-verbal de recepție pe obiect, întocmite în condițiile actelor normative care reglementează recepția lucrărilor, care să ateste faptul că lucrările au fost executate în conformitate cu normele legale în domeniu și că au fost duse la bun sfârșit </w:t>
      </w:r>
      <w:r>
        <w:rPr>
          <w:sz w:val="24"/>
          <w:szCs w:val="24"/>
          <w:lang w:val="pt-BR"/>
        </w:rPr>
        <w:t xml:space="preserve">și receptionate in perioada de referinta (ultimii 7 ani, </w:t>
      </w:r>
      <w:r>
        <w:rPr>
          <w:bCs/>
          <w:sz w:val="24"/>
          <w:szCs w:val="24"/>
          <w:lang w:val="ro-RO"/>
        </w:rPr>
        <w:t>împliniți la data termenului-limită de depunere a ofertelor</w:t>
      </w:r>
      <w:r>
        <w:rPr>
          <w:sz w:val="24"/>
          <w:szCs w:val="24"/>
          <w:lang w:val="pt-BR"/>
        </w:rPr>
        <w:t xml:space="preserve">) </w:t>
      </w:r>
      <w:r>
        <w:rPr>
          <w:sz w:val="24"/>
          <w:szCs w:val="24"/>
          <w:lang w:val="fr-FR"/>
        </w:rPr>
        <w:t>și/sau alte documente (</w:t>
      </w:r>
      <w:r>
        <w:rPr>
          <w:sz w:val="24"/>
          <w:szCs w:val="24"/>
          <w:lang w:val="pt-BR"/>
        </w:rPr>
        <w:t xml:space="preserve">certificari de buna executie; -certificate constatatoare; -Recomandari din partea beneficiarilor) </w:t>
      </w:r>
      <w:r>
        <w:rPr>
          <w:sz w:val="24"/>
          <w:szCs w:val="24"/>
          <w:lang w:val="fr-FR"/>
        </w:rPr>
        <w:t>din care sa reiasă următoarele</w:t>
      </w:r>
      <w:r>
        <w:rPr>
          <w:sz w:val="24"/>
          <w:szCs w:val="24"/>
          <w:lang w:val="pt-BR"/>
        </w:rPr>
        <w:t xml:space="preserve"> informații: beneficiarul, </w:t>
      </w:r>
      <w:r>
        <w:rPr>
          <w:sz w:val="24"/>
          <w:szCs w:val="24"/>
          <w:lang w:val="fr-FR"/>
        </w:rPr>
        <w:t>cantitatea (indicatori tehnici ce caracterizează obiectul lucrării)</w:t>
      </w:r>
      <w:r>
        <w:rPr>
          <w:sz w:val="24"/>
          <w:szCs w:val="24"/>
          <w:lang w:val="pt-BR"/>
        </w:rPr>
        <w:t xml:space="preserve">, valoarea, perioada </w:t>
      </w:r>
      <w:r>
        <w:rPr>
          <w:sz w:val="24"/>
          <w:szCs w:val="24"/>
          <w:lang w:val="fr-FR"/>
        </w:rPr>
        <w:t xml:space="preserve">(inclusiv data încheierii contractului) </w:t>
      </w:r>
      <w:r>
        <w:rPr>
          <w:sz w:val="24"/>
          <w:szCs w:val="24"/>
          <w:lang w:val="pt-BR"/>
        </w:rPr>
        <w:t>și locul execuției lucrărilor. Documentele doveditoare vor fi însotite, daca este cazul, de traducerea autorizata în limba româna.</w:t>
      </w:r>
    </w:p>
    <w:p>
      <w:pPr>
        <w:spacing w:after="120" w:line="276" w:lineRule="auto"/>
        <w:jc w:val="both"/>
        <w:rPr>
          <w:sz w:val="24"/>
          <w:szCs w:val="24"/>
          <w:lang w:val="fr-FR"/>
        </w:rPr>
      </w:pPr>
    </w:p>
    <w:p>
      <w:pPr>
        <w:spacing w:after="120" w:line="276" w:lineRule="auto"/>
        <w:jc w:val="both"/>
        <w:rPr>
          <w:sz w:val="24"/>
          <w:szCs w:val="24"/>
          <w:lang w:val="fr-FR"/>
        </w:rPr>
      </w:pPr>
    </w:p>
    <w:p>
      <w:pPr>
        <w:spacing w:after="120" w:line="276" w:lineRule="auto"/>
        <w:jc w:val="both"/>
        <w:rPr>
          <w:sz w:val="24"/>
          <w:szCs w:val="24"/>
          <w:lang w:val="fr-FR"/>
        </w:rPr>
      </w:pPr>
      <w:r>
        <w:rPr>
          <w:b/>
          <w:sz w:val="24"/>
          <w:szCs w:val="24"/>
          <w:lang w:val="fr-FR"/>
        </w:rPr>
        <w:lastRenderedPageBreak/>
        <w:t>Justificare:</w:t>
      </w:r>
      <w:r>
        <w:rPr>
          <w:sz w:val="24"/>
          <w:szCs w:val="24"/>
          <w:lang w:val="fr-FR"/>
        </w:rPr>
        <w:t xml:space="preserve"> </w:t>
      </w:r>
    </w:p>
    <w:p>
      <w:pPr>
        <w:spacing w:after="120" w:line="276" w:lineRule="auto"/>
        <w:jc w:val="both"/>
        <w:rPr>
          <w:sz w:val="24"/>
          <w:szCs w:val="24"/>
          <w:lang w:val="ro-RO"/>
        </w:rPr>
      </w:pPr>
      <w:r>
        <w:rPr>
          <w:sz w:val="24"/>
          <w:szCs w:val="24"/>
          <w:lang w:val="ro-RO"/>
        </w:rPr>
        <w:t xml:space="preserve">Perioada la care se raportează demonstrarea experienței similare în  execuția de lucrări este de </w:t>
      </w:r>
      <w:r>
        <w:rPr>
          <w:b/>
          <w:bCs/>
          <w:sz w:val="24"/>
          <w:szCs w:val="24"/>
          <w:lang w:val="ro-RO"/>
        </w:rPr>
        <w:t>7 ani</w:t>
      </w:r>
      <w:r>
        <w:rPr>
          <w:sz w:val="24"/>
          <w:szCs w:val="24"/>
          <w:lang w:val="ro-RO"/>
        </w:rPr>
        <w:t xml:space="preserve">, împliniți la data termenului limită de depunere a ofertelor, stabilită în conformitate cu (i) dispozițiile art. 179 lit. a) din Legea nr. 98/2016 și (ii) Instrucţiunea preşedintelui ANAP nr. 2/2017, emisă în aplicarea prevederilor art. 178 şi art. 179 lit. a) și b) din Legea nr. 98/2016 privind achiziţiile publice. </w:t>
      </w:r>
    </w:p>
    <w:p>
      <w:pPr>
        <w:spacing w:after="120" w:line="276" w:lineRule="auto"/>
        <w:jc w:val="both"/>
        <w:rPr>
          <w:sz w:val="24"/>
          <w:szCs w:val="24"/>
          <w:lang w:val="ro-RO"/>
        </w:rPr>
      </w:pPr>
      <w:r>
        <w:rPr>
          <w:sz w:val="24"/>
          <w:szCs w:val="24"/>
          <w:lang w:val="ro-RO"/>
        </w:rPr>
        <w:t>Față de perioada de referință uzuală, de 5 ani, reglementată de art. 179 lit. a) din Legea nr. 98/2016, autoritatea contractantă apreciază că sunt incidente prevederile art. 9 alin. (4) și art. 11 alin. (4) din Instrucţiunea preşedintelui ANAP nr. 2/2017, considerând că se justifică extinderea perioadei de referință, prin luarea în considerare a unor lucrări relevante executate cu mai mult de 7 ani în urmă, posibilitate admisă de actul normativ sus-menționat, din următoarele motive:</w:t>
      </w:r>
    </w:p>
    <w:p>
      <w:pPr>
        <w:numPr>
          <w:ilvl w:val="0"/>
          <w:numId w:val="25"/>
        </w:numPr>
        <w:spacing w:after="120" w:line="276" w:lineRule="auto"/>
        <w:jc w:val="both"/>
        <w:rPr>
          <w:sz w:val="24"/>
          <w:szCs w:val="24"/>
          <w:lang w:val="ro-RO"/>
        </w:rPr>
      </w:pPr>
      <w:r>
        <w:rPr>
          <w:sz w:val="24"/>
          <w:szCs w:val="24"/>
          <w:lang w:val="ro-RO"/>
        </w:rPr>
        <w:t>lucrările a căror execuție face obiectul contractului ce urmează să fie atribuit, respectiv lucrări la instalații de tratare a deșeurilor prin metode mecano-biologice, sunt de o anumită specificitate, înscriindu-se într-un domeniu caracterizat de investiții punctuale și cu un volum de investiții redus comparativ cu alte domenii de infrastructură;</w:t>
      </w:r>
    </w:p>
    <w:p>
      <w:pPr>
        <w:numPr>
          <w:ilvl w:val="0"/>
          <w:numId w:val="25"/>
        </w:numPr>
        <w:spacing w:after="120" w:line="276" w:lineRule="auto"/>
        <w:jc w:val="both"/>
        <w:rPr>
          <w:sz w:val="24"/>
          <w:szCs w:val="24"/>
          <w:lang w:val="ro-RO"/>
        </w:rPr>
      </w:pPr>
      <w:r>
        <w:rPr>
          <w:sz w:val="24"/>
          <w:szCs w:val="24"/>
          <w:lang w:val="ro-RO"/>
        </w:rPr>
        <w:t>la nivelul pieței de profil relevante, cererea pentru tipul de lucrări solicitate ca experiență similară este redusă și apare la intervale mari de timp, din cauza specificului obiectului contractului, ce presupune o complexitate ridicată a procesului de implementare, care necesită etape succesive și, deci, timp îndelungat de realizare;</w:t>
      </w:r>
    </w:p>
    <w:p>
      <w:pPr>
        <w:numPr>
          <w:ilvl w:val="0"/>
          <w:numId w:val="25"/>
        </w:numPr>
        <w:spacing w:after="120" w:line="276" w:lineRule="auto"/>
        <w:jc w:val="both"/>
        <w:rPr>
          <w:sz w:val="24"/>
          <w:szCs w:val="24"/>
          <w:lang w:val="ro-RO"/>
        </w:rPr>
      </w:pPr>
      <w:r>
        <w:rPr>
          <w:sz w:val="24"/>
          <w:szCs w:val="24"/>
          <w:lang w:val="ro-RO"/>
        </w:rPr>
        <w:t>extinderea perioadei de referință este justificată și de impactul pe care l-a avut pandemia SARS-CoV-2 asupra evoluției pieței de profil, la nivel comunitar (în speță, amânarea deciziilor de demarare de noi investiții, inclusiv în infrastructura de gestionare a deșeurilor, limitând astfel oportunitățile pentru execuția de lucrări de construcție privind instalații similare celei care face obiectul contractului ce urmează să fie atribuit).</w:t>
      </w:r>
    </w:p>
    <w:p>
      <w:pPr>
        <w:spacing w:after="120" w:line="276" w:lineRule="auto"/>
        <w:jc w:val="both"/>
        <w:rPr>
          <w:sz w:val="24"/>
          <w:szCs w:val="24"/>
          <w:lang w:val="fr-FR"/>
        </w:rPr>
      </w:pPr>
      <w:r>
        <w:rPr>
          <w:sz w:val="24"/>
          <w:szCs w:val="24"/>
          <w:lang w:val="fr-FR"/>
        </w:rPr>
        <w:t xml:space="preserve">Avand in vedere necesitatea probării unei experienţe anterioare, nivelul cerinței </w:t>
      </w:r>
      <w:r>
        <w:rPr>
          <w:sz w:val="24"/>
          <w:szCs w:val="24"/>
          <w:lang w:val="it-IT"/>
        </w:rPr>
        <w:t xml:space="preserve">(aprox. 80% din valoarea componentei de execuție lucrări din cadrul contractului care urmează să fie atribuit) </w:t>
      </w:r>
      <w:r>
        <w:rPr>
          <w:sz w:val="24"/>
          <w:szCs w:val="24"/>
          <w:lang w:val="fr-FR"/>
        </w:rPr>
        <w:t xml:space="preserve">a fost stabilit în raport cu valoarea estimată a activitatilor similare și complexitatea contractului, astfel încît aceasta să nu fie depăşită, dar sa reprezinte o asigurare suplimentară privind capacitatea ofertantului. S-a solicitat pentru ca autoritatea contractantă să se asigure că ofertantul a mai desfasurat activitati similare și are mijloacele tehnice necesare pentru indeplinirea cu succes a contractului care urmeaza a fi atribuit. </w:t>
      </w:r>
    </w:p>
    <w:p>
      <w:pPr>
        <w:spacing w:after="120" w:line="276" w:lineRule="auto"/>
        <w:jc w:val="both"/>
        <w:rPr>
          <w:sz w:val="24"/>
          <w:szCs w:val="24"/>
          <w:lang w:val="fr-FR"/>
        </w:rPr>
      </w:pPr>
      <w:r>
        <w:rPr>
          <w:sz w:val="24"/>
          <w:szCs w:val="24"/>
          <w:lang w:val="fr-FR"/>
        </w:rPr>
        <w:t xml:space="preserve">Autoritatea contractanta a solicitat ca ofertantul sa prezinte dovada executiei unor lucrari similare, deoarece ofera autoritatii contractante garantia ca ofertantul are atat experienta, cat și capacitatea de a gestiona contracte de asemenea dimensiuni, cu respectarea cerintelor de calitate și cu incadrarea in termenele de executie stabilite. Cerinta este formulata in concordanta cu art. 178 alin. 2, art. 179 lit. a) din Legea nr. 98/2016, prin raportare la valoarea estimata a activitatilor relevante. </w:t>
      </w:r>
    </w:p>
    <w:p>
      <w:pPr>
        <w:spacing w:after="120" w:line="276" w:lineRule="auto"/>
        <w:jc w:val="both"/>
        <w:rPr>
          <w:sz w:val="24"/>
          <w:szCs w:val="24"/>
          <w:lang w:val="fr-FR"/>
        </w:rPr>
      </w:pPr>
      <w:r>
        <w:rPr>
          <w:sz w:val="24"/>
          <w:szCs w:val="24"/>
          <w:lang w:val="fr-FR"/>
        </w:rPr>
        <w:t xml:space="preserve">Pentru a asigura respectarea principiului promovarii concurentei, se permite ca pragul valoric solicitat pentru lucrarile similare sa fie indeplinit prin prezentarea mai mult contracte a caror valoare va putea fi cumulata. Totusi, limitarea numarului maxim de contracte prin care se poate demonstra indeplinirea cerintei este menita sa asigure autoritatea contractanta ca va selecta un operator economic cu o capacitate adecvată de a gestiona sarcini complexe, similare cu cele care vor face obiectul contractului ce va fi atribuit în urma prezentei proceduri. Limitarea numarului de contracte este relevanta și din perspectiva necesitatii de a verifica abilitatea unui ofertant de a corela și coordona activitatile multiple aferente unor lucrari complexe, intr-o perioada relativ scurta de timp. Astfel, indiferent de dimensionarea resurselor tehnice și umane, in lucrarile care presupun achizitia, transportul și punerea in opera a unor cantitati </w:t>
      </w:r>
      <w:r>
        <w:rPr>
          <w:sz w:val="24"/>
          <w:szCs w:val="24"/>
          <w:lang w:val="fr-FR"/>
        </w:rPr>
        <w:lastRenderedPageBreak/>
        <w:t>considerabile de materiale și echipamente, este util know-how- ul operatorului economic de a gestiona simultan sau in succesiune rapida implicarea respectivelor resurse, astfel incat sa fie respectate termenele contractuale asumate și nivelul de calitate impus.</w:t>
      </w:r>
    </w:p>
    <w:p>
      <w:pPr>
        <w:spacing w:after="120" w:line="276" w:lineRule="auto"/>
        <w:jc w:val="both"/>
        <w:rPr>
          <w:sz w:val="24"/>
          <w:szCs w:val="24"/>
          <w:lang w:val="it-IT"/>
        </w:rPr>
      </w:pPr>
      <w:r>
        <w:rPr>
          <w:sz w:val="24"/>
          <w:szCs w:val="24"/>
          <w:lang w:val="fr-FR"/>
        </w:rPr>
        <w:t xml:space="preserve">Astfel, in cazul experientei similare in executia de lucrari, se considera relevant și proportional un numar de maxim 5 contracte, a caror valoare cumulata sa atinga nivelul valoric solicitat, de </w:t>
      </w:r>
      <w:r>
        <w:rPr>
          <w:bCs/>
          <w:sz w:val="24"/>
          <w:szCs w:val="24"/>
          <w:lang w:val="ro-RO"/>
        </w:rPr>
        <w:t>235.000.000</w:t>
      </w:r>
      <w:r>
        <w:rPr>
          <w:sz w:val="24"/>
          <w:szCs w:val="24"/>
          <w:lang w:val="fr-FR"/>
        </w:rPr>
        <w:t xml:space="preserve"> lei.</w:t>
      </w:r>
    </w:p>
    <w:p>
      <w:pPr>
        <w:spacing w:after="120" w:line="276" w:lineRule="auto"/>
        <w:jc w:val="both"/>
        <w:rPr>
          <w:sz w:val="24"/>
          <w:szCs w:val="24"/>
          <w:lang w:val="it-IT"/>
        </w:rPr>
      </w:pPr>
      <w:r>
        <w:rPr>
          <w:sz w:val="24"/>
          <w:szCs w:val="24"/>
          <w:lang w:val="it-IT"/>
        </w:rPr>
        <w:t>Cerinta este formulata in concordanta cu art. 178 alin. 2, art. 179 lit. a) din Legea 98/2016, prin raportare la valoarea estimata a componentei de execuție lucrări din cadrul contractului ce urmează să fie atribuit.</w:t>
      </w:r>
    </w:p>
    <w:p>
      <w:pPr>
        <w:spacing w:after="120" w:line="276" w:lineRule="auto"/>
        <w:jc w:val="both"/>
        <w:rPr>
          <w:b/>
          <w:sz w:val="24"/>
          <w:szCs w:val="24"/>
          <w:lang w:val="it-IT"/>
        </w:rPr>
      </w:pPr>
    </w:p>
    <w:p>
      <w:pPr>
        <w:spacing w:after="120" w:line="276" w:lineRule="auto"/>
        <w:jc w:val="both"/>
        <w:rPr>
          <w:b/>
          <w:sz w:val="24"/>
          <w:szCs w:val="24"/>
          <w:lang w:val="it-IT"/>
        </w:rPr>
      </w:pPr>
      <w:r>
        <w:rPr>
          <w:b/>
          <w:sz w:val="24"/>
          <w:szCs w:val="24"/>
          <w:lang w:val="it-IT"/>
        </w:rPr>
        <w:t xml:space="preserve">Cerința 3: </w:t>
      </w:r>
      <w:r>
        <w:rPr>
          <w:bCs/>
          <w:sz w:val="24"/>
          <w:szCs w:val="24"/>
          <w:lang w:val="it-IT"/>
        </w:rPr>
        <w:t>Experiență similară – Operare instalații</w:t>
      </w:r>
    </w:p>
    <w:p>
      <w:pPr>
        <w:spacing w:after="120" w:line="276" w:lineRule="auto"/>
        <w:jc w:val="both"/>
        <w:rPr>
          <w:sz w:val="24"/>
          <w:szCs w:val="24"/>
          <w:lang w:val="it-IT"/>
        </w:rPr>
      </w:pPr>
      <w:r>
        <w:rPr>
          <w:bCs/>
          <w:sz w:val="24"/>
          <w:szCs w:val="24"/>
          <w:lang w:val="ro-RO"/>
        </w:rPr>
        <w:t xml:space="preserve">Ofertanții trebuie să demonstreze că au prestat în mod corespunzător şi au dus la bun sfârşit, în ultimii 3 ani, împliniți la data termenului-limită pentru depunerea ofertelor, </w:t>
      </w:r>
      <w:r>
        <w:rPr>
          <w:b/>
          <w:bCs/>
          <w:sz w:val="24"/>
          <w:szCs w:val="24"/>
          <w:lang w:val="ro-RO"/>
        </w:rPr>
        <w:t>servicii de operare privind instalaţii de tratare/gestionare a deşeurilor,</w:t>
      </w:r>
      <w:r>
        <w:rPr>
          <w:bCs/>
          <w:sz w:val="24"/>
          <w:szCs w:val="24"/>
          <w:lang w:val="ro-RO"/>
        </w:rPr>
        <w:t xml:space="preserve"> cu o</w:t>
      </w:r>
      <w:r>
        <w:rPr>
          <w:sz w:val="24"/>
          <w:szCs w:val="24"/>
          <w:lang w:val="ro-RO"/>
        </w:rPr>
        <w:t xml:space="preserve"> </w:t>
      </w:r>
      <w:r>
        <w:rPr>
          <w:bCs/>
          <w:sz w:val="24"/>
          <w:szCs w:val="24"/>
          <w:lang w:val="ro-RO"/>
        </w:rPr>
        <w:t>valoare cumulată de minimum 175.000.000 RON, fără TVA, la nivelul a maximum 3 contracte.</w:t>
      </w:r>
    </w:p>
    <w:p>
      <w:pPr>
        <w:spacing w:after="120" w:line="276" w:lineRule="auto"/>
        <w:jc w:val="both"/>
        <w:rPr>
          <w:bCs/>
          <w:sz w:val="24"/>
          <w:szCs w:val="24"/>
          <w:lang w:val="ro-RO"/>
        </w:rPr>
      </w:pPr>
      <w:r>
        <w:rPr>
          <w:bCs/>
          <w:sz w:val="24"/>
          <w:szCs w:val="24"/>
          <w:lang w:val="ro-RO"/>
        </w:rPr>
        <w:t xml:space="preserve">Ofertanții trebuie să demonstreze că au prestat în mod corespunzător şi au dus la bun sfârşit, în ultimii 3 ani, împliniți la data termenului-limită pentru depunerea ofertelor, următoarele </w:t>
      </w:r>
      <w:r>
        <w:rPr>
          <w:b/>
          <w:bCs/>
          <w:sz w:val="24"/>
          <w:szCs w:val="24"/>
          <w:lang w:val="ro-RO"/>
        </w:rPr>
        <w:t>servicii de operare</w:t>
      </w:r>
      <w:r>
        <w:rPr>
          <w:bCs/>
          <w:sz w:val="24"/>
          <w:szCs w:val="24"/>
          <w:lang w:val="ro-RO"/>
        </w:rPr>
        <w:t>:</w:t>
      </w:r>
    </w:p>
    <w:p>
      <w:pPr>
        <w:spacing w:after="120" w:line="276" w:lineRule="auto"/>
        <w:jc w:val="both"/>
        <w:rPr>
          <w:bCs/>
          <w:sz w:val="24"/>
          <w:szCs w:val="24"/>
          <w:lang w:val="ro-RO"/>
        </w:rPr>
      </w:pPr>
      <w:r>
        <w:rPr>
          <w:bCs/>
          <w:sz w:val="24"/>
          <w:szCs w:val="24"/>
          <w:lang w:val="ro-RO"/>
        </w:rPr>
        <w:t>-</w:t>
      </w:r>
      <w:r>
        <w:rPr>
          <w:sz w:val="24"/>
          <w:szCs w:val="24"/>
          <w:lang w:val="ro-RO"/>
        </w:rPr>
        <w:tab/>
      </w:r>
      <w:r>
        <w:rPr>
          <w:b/>
          <w:bCs/>
          <w:sz w:val="24"/>
          <w:szCs w:val="24"/>
          <w:lang w:val="ro-RO"/>
        </w:rPr>
        <w:t>operarea, pe o perioadă de cel puţin un an, a unei instalaţii de tratare mecanică a deşeurilor reciclabile colectate separat şi/sau a deşeurilor reziduale</w:t>
      </w:r>
      <w:r>
        <w:rPr>
          <w:bCs/>
          <w:sz w:val="24"/>
          <w:szCs w:val="24"/>
          <w:lang w:val="ro-RO"/>
        </w:rPr>
        <w:t>, având o complexitate similară instalaţiei ce face obiectul procedurii de atribuire. În acest sens, următoarele instalaţii sunt considerate a avea un nivel de complexitate similar cu cel al instalaţiei ce face obiectul procedurii de atribuire:</w:t>
      </w:r>
    </w:p>
    <w:p>
      <w:pPr>
        <w:numPr>
          <w:ilvl w:val="0"/>
          <w:numId w:val="9"/>
        </w:numPr>
        <w:spacing w:after="120" w:line="276" w:lineRule="auto"/>
        <w:jc w:val="both"/>
        <w:rPr>
          <w:bCs/>
          <w:sz w:val="24"/>
          <w:szCs w:val="24"/>
          <w:lang w:val="ro-RO"/>
        </w:rPr>
      </w:pPr>
      <w:r>
        <w:rPr>
          <w:bCs/>
          <w:sz w:val="24"/>
          <w:szCs w:val="24"/>
          <w:lang w:val="ro-RO"/>
        </w:rPr>
        <w:t>în cazul instalaţiilor de tratare mecanică a deşeurilor reciclabile colectate separat, acele instalaţii care includ tehnologii de sortare prin mijloace optice/inteligenţă artificială și care au o eficienţă proiectată de sortare mai mare de 80% din totalul intrărilor;</w:t>
      </w:r>
    </w:p>
    <w:p>
      <w:pPr>
        <w:numPr>
          <w:ilvl w:val="0"/>
          <w:numId w:val="9"/>
        </w:numPr>
        <w:spacing w:after="120" w:line="276" w:lineRule="auto"/>
        <w:jc w:val="both"/>
        <w:rPr>
          <w:bCs/>
          <w:sz w:val="24"/>
          <w:szCs w:val="24"/>
          <w:lang w:val="ro-RO"/>
        </w:rPr>
      </w:pPr>
      <w:r>
        <w:rPr>
          <w:bCs/>
          <w:sz w:val="24"/>
          <w:szCs w:val="24"/>
          <w:lang w:val="ro-RO"/>
        </w:rPr>
        <w:t>în cazul instalaţiilor de tratare mecanică a deşeurilor reziduale, acele instalaţii care includ tehnologii de sortare prin mijloace optice/inteligenţă artificială și care au o eficienţă proiectată de sortare a deşeurilor reciclabile mai mare de 10% din totalul intrărilor;</w:t>
      </w:r>
    </w:p>
    <w:p>
      <w:pPr>
        <w:spacing w:after="120" w:line="276" w:lineRule="auto"/>
        <w:jc w:val="both"/>
        <w:rPr>
          <w:bCs/>
          <w:sz w:val="24"/>
          <w:szCs w:val="24"/>
          <w:lang w:val="ro-RO"/>
        </w:rPr>
      </w:pPr>
      <w:r>
        <w:rPr>
          <w:bCs/>
          <w:sz w:val="24"/>
          <w:szCs w:val="24"/>
          <w:lang w:val="ro-RO"/>
        </w:rPr>
        <w:t>SAU</w:t>
      </w:r>
    </w:p>
    <w:p>
      <w:pPr>
        <w:spacing w:after="120" w:line="276" w:lineRule="auto"/>
        <w:jc w:val="both"/>
        <w:rPr>
          <w:bCs/>
          <w:sz w:val="24"/>
          <w:szCs w:val="24"/>
          <w:lang w:val="ro-RO"/>
        </w:rPr>
      </w:pPr>
      <w:r>
        <w:rPr>
          <w:bCs/>
          <w:sz w:val="24"/>
          <w:szCs w:val="24"/>
          <w:lang w:val="ro-RO"/>
        </w:rPr>
        <w:t>-</w:t>
      </w:r>
      <w:r>
        <w:rPr>
          <w:sz w:val="24"/>
          <w:szCs w:val="24"/>
          <w:lang w:val="ro-RO"/>
        </w:rPr>
        <w:tab/>
      </w:r>
      <w:r>
        <w:rPr>
          <w:b/>
          <w:bCs/>
          <w:sz w:val="24"/>
          <w:szCs w:val="24"/>
          <w:lang w:val="ro-RO"/>
        </w:rPr>
        <w:t>operarea, pe o perioadă de cel puţin un an, a unei instalaţii de tratare anaerobă a bio-deşeurilor colectate separat şi/sau a bio-deşeurilor din deşeurile reziduale</w:t>
      </w:r>
      <w:r>
        <w:rPr>
          <w:bCs/>
          <w:sz w:val="24"/>
          <w:szCs w:val="24"/>
          <w:lang w:val="ro-RO"/>
        </w:rPr>
        <w:t>.</w:t>
      </w:r>
    </w:p>
    <w:p>
      <w:pPr>
        <w:spacing w:after="120" w:line="276" w:lineRule="auto"/>
        <w:jc w:val="both"/>
        <w:rPr>
          <w:sz w:val="24"/>
          <w:szCs w:val="24"/>
          <w:lang w:val="it-IT"/>
        </w:rPr>
      </w:pPr>
      <w:r>
        <w:rPr>
          <w:sz w:val="24"/>
          <w:szCs w:val="24"/>
          <w:lang w:val="ro-RO"/>
        </w:rPr>
        <w:t>Prin servicii duse la bun sfarsit in cadrul perioadei de 3 ani se intelege: -servicii receptionate partial, cu conditia ca specificul contractului/ activitatilor ce reprezinta experienta similara sa permita elaborarea unui livrabil care sa poata fi utilizat de beneficiar ca rezultat independent; -servicii receptionate la sfarsitul prestarii.</w:t>
      </w:r>
    </w:p>
    <w:p>
      <w:pPr>
        <w:spacing w:after="120" w:line="276" w:lineRule="auto"/>
        <w:jc w:val="both"/>
        <w:rPr>
          <w:sz w:val="24"/>
          <w:szCs w:val="24"/>
          <w:lang w:val="it-IT"/>
        </w:rPr>
      </w:pPr>
      <w:r>
        <w:rPr>
          <w:sz w:val="24"/>
          <w:szCs w:val="24"/>
          <w:lang w:val="it-IT"/>
        </w:rPr>
        <w:t xml:space="preserve">In situatia in care se decaleaza data limita de depunere a ofertelor și se stabilește un nou termen limita, prin publicarea unui anunt de schimbare, în SEAP, limita inferioara a perioadei de 3 ani se extinde cu perioada de timp aferenta decalarii, urmand a fi considerata indeplinita cerinta pentru toti operatorii economici care au prezentat dovada finalizarii contractului de experienta similara in intervalul de timp nou rezultat. </w:t>
      </w:r>
    </w:p>
    <w:p>
      <w:pPr>
        <w:spacing w:after="120" w:line="276" w:lineRule="auto"/>
        <w:jc w:val="both"/>
        <w:rPr>
          <w:sz w:val="24"/>
          <w:szCs w:val="24"/>
          <w:lang w:val="it-IT"/>
        </w:rPr>
      </w:pPr>
    </w:p>
    <w:p>
      <w:pPr>
        <w:spacing w:after="120" w:line="276" w:lineRule="auto"/>
        <w:jc w:val="both"/>
        <w:rPr>
          <w:sz w:val="24"/>
          <w:szCs w:val="24"/>
          <w:lang w:val="it-IT"/>
        </w:rPr>
      </w:pPr>
      <w:r>
        <w:rPr>
          <w:sz w:val="24"/>
          <w:szCs w:val="24"/>
          <w:u w:val="single"/>
          <w:lang w:val="it-IT"/>
        </w:rPr>
        <w:lastRenderedPageBreak/>
        <w:t>Modalitate de indeplinire</w:t>
      </w:r>
      <w:r>
        <w:rPr>
          <w:sz w:val="24"/>
          <w:szCs w:val="24"/>
          <w:lang w:val="it-IT"/>
        </w:rPr>
        <w:t xml:space="preserve">: Se va completa și prezenta DUAE - "Criterii de selectie" - Sectiunea C. Capacitatea tehnica și profesionala. - Ofertantul va completa datele privind indeplinirea cerintei de experienta similara in formularul DUAE din SEAP. </w:t>
      </w:r>
    </w:p>
    <w:p>
      <w:pPr>
        <w:spacing w:after="120" w:line="276" w:lineRule="auto"/>
        <w:jc w:val="both"/>
        <w:rPr>
          <w:sz w:val="24"/>
          <w:szCs w:val="24"/>
          <w:lang w:val="it-IT"/>
        </w:rPr>
      </w:pPr>
      <w:r>
        <w:rPr>
          <w:sz w:val="24"/>
          <w:szCs w:val="24"/>
          <w:lang w:val="it-IT"/>
        </w:rPr>
        <w:t xml:space="preserve">Operatorii economici participanți la procedura de atribuire vor completa DUAE cu informațiile ce descriu nivelul lor de experiență, prin raportare la contractele executate în trecut, corespunzător cerințelor autorității contractante. </w:t>
      </w:r>
    </w:p>
    <w:p>
      <w:pPr>
        <w:spacing w:after="120" w:line="276" w:lineRule="auto"/>
        <w:jc w:val="both"/>
        <w:rPr>
          <w:sz w:val="24"/>
          <w:szCs w:val="24"/>
          <w:lang w:val="es-ES"/>
        </w:rPr>
      </w:pPr>
      <w:r>
        <w:rPr>
          <w:sz w:val="24"/>
          <w:szCs w:val="24"/>
          <w:lang w:val="es-ES"/>
        </w:rPr>
        <w:t>Operatorii economici care depun oferta in asociere vor depune câte un DUAE pentru fiecare dintre membrii asocierii.</w:t>
      </w:r>
    </w:p>
    <w:p>
      <w:pPr>
        <w:spacing w:after="120" w:line="276" w:lineRule="auto"/>
        <w:jc w:val="both"/>
        <w:rPr>
          <w:sz w:val="24"/>
          <w:szCs w:val="24"/>
          <w:lang w:val="es-ES"/>
        </w:rPr>
      </w:pPr>
      <w:r>
        <w:rPr>
          <w:sz w:val="24"/>
          <w:szCs w:val="24"/>
          <w:lang w:val="es-ES"/>
        </w:rPr>
        <w:t>In cadrul DUAE, va fi prezentata lista serviciilor similare prestate, care va cuprinde urmatoarele informatii: -Obiectul, numarul și data semnarii contractului de servicii invocat drept experienta similara, -Beneficiarul contractului și datele de contact ale acestuia, -T</w:t>
      </w:r>
      <w:r>
        <w:rPr>
          <w:sz w:val="24"/>
          <w:szCs w:val="24"/>
          <w:lang w:val="it-IT"/>
        </w:rPr>
        <w:t xml:space="preserve">ipul/categoriile de servicii prestate, </w:t>
      </w:r>
      <w:r>
        <w:rPr>
          <w:sz w:val="24"/>
          <w:szCs w:val="24"/>
          <w:lang w:val="es-ES"/>
        </w:rPr>
        <w:t xml:space="preserve"> -Valoarea fara TVA a contractului, -Valoarea fara TVA a serviciilor din cadrul contractului, ce sunt invocate drept experienta similara, in cazul in care obiectul contractului invocat excede serviciilor similare obiectului procedurii de achizitie, dupa caz, -Ponderea pentru care operatorul economic a fost responsabil in cadrul contractului invocat, dupa caz, -Numarul și data documentului care confirma receptionarea serviciilor invocate drept experienta similara in perioada de referinta. </w:t>
      </w:r>
    </w:p>
    <w:p>
      <w:pPr>
        <w:spacing w:after="120" w:line="276" w:lineRule="auto"/>
        <w:jc w:val="both"/>
        <w:rPr>
          <w:sz w:val="24"/>
          <w:szCs w:val="24"/>
          <w:lang w:val="es-ES"/>
        </w:rPr>
      </w:pPr>
      <w:r>
        <w:rPr>
          <w:sz w:val="24"/>
          <w:szCs w:val="24"/>
          <w:lang w:val="es-ES"/>
        </w:rPr>
        <w:t xml:space="preserve">Pentru conversia din alte valute se va aplica cursul mediu anual leu/valuta comunicat de BNR pentru anul in care a fost incheiat contractul invocat ca experienta similara. </w:t>
      </w:r>
    </w:p>
    <w:p>
      <w:pPr>
        <w:spacing w:after="120" w:line="276" w:lineRule="auto"/>
        <w:jc w:val="both"/>
        <w:rPr>
          <w:sz w:val="24"/>
          <w:szCs w:val="24"/>
          <w:lang w:val="it-IT"/>
        </w:rPr>
      </w:pPr>
      <w:r>
        <w:rPr>
          <w:sz w:val="24"/>
          <w:szCs w:val="24"/>
          <w:lang w:val="it-IT"/>
        </w:rPr>
        <w:t>Următoarele documente justificative care probează îndeplinirea cerinței vor fi prezentate, la solicitarea autorității contractante, doar de către ofertantul clasat pe primul loc, în clasamentul intermediar întocmit la finalizarea evaluării ofertelor:</w:t>
      </w:r>
      <w:r>
        <w:rPr>
          <w:sz w:val="24"/>
          <w:szCs w:val="24"/>
          <w:lang w:val="es-ES"/>
        </w:rPr>
        <w:t xml:space="preserve"> -Copii dupa parti relevante ale contractelor indeplinite: -certificate de predare-primire -Documente care demonstrează că ofertantul a prestat serviciile similare din cadrul contractelor invocate, cum ar fi: -Procese verbale de receptie, -certificate constatatoare –Recomandari </w:t>
      </w:r>
      <w:r>
        <w:rPr>
          <w:sz w:val="24"/>
          <w:szCs w:val="24"/>
          <w:lang w:val="it-IT"/>
        </w:rPr>
        <w:t>sau alte documente din care să reiasă următoarele informații: beneficiarul, cantitatea/valoarea, perioada și locul prestarii serviciilor. Documentele doveditoare vor fi însotite, daca este cazul, de traducerea autorizata în limba româna.</w:t>
      </w:r>
    </w:p>
    <w:p>
      <w:pPr>
        <w:spacing w:after="120" w:line="276" w:lineRule="auto"/>
        <w:jc w:val="both"/>
        <w:rPr>
          <w:b/>
          <w:sz w:val="24"/>
          <w:szCs w:val="24"/>
          <w:lang w:val="it-IT"/>
        </w:rPr>
      </w:pPr>
    </w:p>
    <w:p>
      <w:pPr>
        <w:spacing w:after="120" w:line="276" w:lineRule="auto"/>
        <w:jc w:val="both"/>
        <w:rPr>
          <w:b/>
          <w:sz w:val="24"/>
          <w:szCs w:val="24"/>
          <w:lang w:val="it-IT"/>
        </w:rPr>
      </w:pPr>
    </w:p>
    <w:p>
      <w:pPr>
        <w:spacing w:after="120" w:line="276" w:lineRule="auto"/>
        <w:jc w:val="both"/>
        <w:rPr>
          <w:sz w:val="24"/>
          <w:szCs w:val="24"/>
          <w:lang w:val="it-IT"/>
        </w:rPr>
      </w:pPr>
      <w:r>
        <w:rPr>
          <w:b/>
          <w:sz w:val="24"/>
          <w:szCs w:val="24"/>
          <w:lang w:val="it-IT"/>
        </w:rPr>
        <w:t>Justificare</w:t>
      </w:r>
      <w:r>
        <w:rPr>
          <w:sz w:val="24"/>
          <w:szCs w:val="24"/>
          <w:lang w:val="it-IT"/>
        </w:rPr>
        <w:t xml:space="preserve">: </w:t>
      </w:r>
    </w:p>
    <w:p>
      <w:pPr>
        <w:spacing w:after="120" w:line="276" w:lineRule="auto"/>
        <w:jc w:val="both"/>
        <w:rPr>
          <w:sz w:val="24"/>
          <w:szCs w:val="24"/>
          <w:lang w:val="it-IT"/>
        </w:rPr>
      </w:pPr>
      <w:r>
        <w:rPr>
          <w:sz w:val="24"/>
          <w:szCs w:val="24"/>
          <w:lang w:val="it-IT"/>
        </w:rPr>
        <w:t xml:space="preserve">Avand in vedere necesitatea probării unei experienţe anterioare, nivelul valoric a fost stabilit în raport cu valoarea estimată a componetei de operare din cadrul contractului ce urmează să fie atribuit (pentru perioada primilor 3 ani), astfel încît aceasta să nu fie depăşită, dar nivelul valoric impus (aprox. 90% din valoarea estimată a serviciilor de operare în primii 3 ani de operare din cadrul contractului care urmează să fie atribuit) să reprezinte o asigurare suplimentară privind capacitatea ofertantului. S-a solicitat pentru ca aurtoritatea contractantă să se asigure ca ofertantul a mai desfasurat activitati similare și are capacitatea și mijloacele tehnice necesare pentru indeplinirea cu succes a contractului care urmeaza a fi atribuit. </w:t>
      </w:r>
    </w:p>
    <w:p>
      <w:pPr>
        <w:spacing w:after="120" w:line="276" w:lineRule="auto"/>
        <w:jc w:val="both"/>
        <w:rPr>
          <w:sz w:val="24"/>
          <w:szCs w:val="24"/>
          <w:lang w:val="ro-RO"/>
        </w:rPr>
      </w:pPr>
      <w:r>
        <w:rPr>
          <w:sz w:val="24"/>
          <w:szCs w:val="24"/>
          <w:lang w:val="ro-RO"/>
        </w:rPr>
        <w:t>Prin impunerea cerinței de calificare privind experiența similară în domeniul operării de instalații de tratare/gestionare a deșeurilor, autoritatea contractantă urmărește demonstrarea de către operatorii economici participanți a faptului că au experiență in administrarea și operarea unor instalații similare ca domeniu de utilizare și complexitate, precum și evidențierea de către aceștia a faptului că dețin potențialul organizatoric, tehnic și financiar de a presta și duce la bun sfârșit serviciile de operare aferente contractului, la nivelul calitativ impus.</w:t>
      </w:r>
    </w:p>
    <w:p>
      <w:pPr>
        <w:spacing w:after="120" w:line="276" w:lineRule="auto"/>
        <w:jc w:val="both"/>
        <w:rPr>
          <w:sz w:val="24"/>
          <w:szCs w:val="24"/>
          <w:lang w:val="ro-RO"/>
        </w:rPr>
      </w:pPr>
      <w:r>
        <w:rPr>
          <w:sz w:val="24"/>
          <w:szCs w:val="24"/>
          <w:lang w:val="ro-RO"/>
        </w:rPr>
        <w:lastRenderedPageBreak/>
        <w:t>Prin experiența dobândită prin participarea anterioară la operarea unor instalații similare, ofertantul poate dovedi că este capabil să asigure organizarea optimă și realizarea la un nivel corespunzător a operării instalațiilor construite în cadrul contractului ce urmează a fi atribuit.</w:t>
      </w:r>
    </w:p>
    <w:p>
      <w:pPr>
        <w:spacing w:after="120" w:line="276" w:lineRule="auto"/>
        <w:jc w:val="both"/>
        <w:rPr>
          <w:sz w:val="24"/>
          <w:szCs w:val="24"/>
          <w:lang w:val="ro-RO"/>
        </w:rPr>
      </w:pPr>
      <w:r>
        <w:rPr>
          <w:sz w:val="24"/>
          <w:szCs w:val="24"/>
          <w:lang w:val="ro-RO"/>
        </w:rPr>
        <w:t>Este în avantajul autorității contractante să atribuie contractul unui Contractant cu experiență demonstrată în administrarea și operarea unor instalații de tipul celor care fac obiectul prezentei achiziții, întrucât un operator de instalații aferente infrastructurii de gestionare a deșeurilor cunoaște în detaliu particularitățile domeniului salubrității, respectiv ale administrării acestui tip de instalații, fiind astfel în măsură să facă față constrângerilor specifice domeniului.</w:t>
      </w:r>
    </w:p>
    <w:p>
      <w:pPr>
        <w:spacing w:after="120" w:line="276" w:lineRule="auto"/>
        <w:jc w:val="both"/>
        <w:rPr>
          <w:sz w:val="24"/>
          <w:szCs w:val="24"/>
          <w:lang w:val="it-IT"/>
        </w:rPr>
      </w:pPr>
      <w:r>
        <w:rPr>
          <w:sz w:val="24"/>
          <w:szCs w:val="24"/>
          <w:lang w:val="ro-RO"/>
        </w:rPr>
        <w:t>Având în vedere cele de mai sus, solicitarea ca ofertanții să demonstreze deținerea unei experienţe minime în domeniul operării de instalații de natură și complexitate similară este conformă cu reglementările în vigoare în materia achiziţiilor publice și nu aduce atingere principiilor tratamentului egal şi al nediscriminării, în condiţiile în care se permite operatorilor economici care nu au derulat contracte de natură sau amploare similară cerințelor, să se asocieze cu cei care pot dovedi performanţa și experiența solicitată în domeniu</w:t>
      </w:r>
      <w:r>
        <w:rPr>
          <w:sz w:val="24"/>
          <w:szCs w:val="24"/>
          <w:lang w:val="it-IT"/>
        </w:rPr>
        <w:t>.</w:t>
      </w:r>
    </w:p>
    <w:p>
      <w:pPr>
        <w:spacing w:after="120" w:line="276" w:lineRule="auto"/>
        <w:jc w:val="both"/>
        <w:rPr>
          <w:sz w:val="24"/>
          <w:szCs w:val="24"/>
          <w:lang w:val="it-IT"/>
        </w:rPr>
      </w:pPr>
      <w:r>
        <w:rPr>
          <w:sz w:val="24"/>
          <w:szCs w:val="24"/>
          <w:lang w:val="it-IT"/>
        </w:rPr>
        <w:t>Drept urmare, este relevantă și necesară demonstrarea de către ofertanți a experienței în administrarea și operarea acestor tipuri de instalații similare, autoritatea contractantă considerând că un ofertant care nu deține experienţă similară în acest domeniu nu are capacitatea de a îndeplini corespunzător contractul, la standardele de calitate prevăzute de legislația aplicabilă.</w:t>
      </w:r>
    </w:p>
    <w:p>
      <w:pPr>
        <w:spacing w:after="120" w:line="276" w:lineRule="auto"/>
        <w:jc w:val="both"/>
        <w:rPr>
          <w:sz w:val="24"/>
          <w:szCs w:val="24"/>
          <w:lang w:val="it-IT"/>
        </w:rPr>
      </w:pPr>
      <w:r>
        <w:rPr>
          <w:sz w:val="24"/>
          <w:szCs w:val="24"/>
          <w:lang w:val="it-IT"/>
        </w:rPr>
        <w:t>Pentru promovarea concurenţei între operatorii economici şi aplicarea principiului proporţionalităţii, autoritatea contractantă solicită ofertantului să demonstreze că în ultimii 3 ani, împliniți la data termenului limită de depunere a ofertelor, a prestat servicii de operare a unor instalații de tratare/gestionare a deșeurilor de natură și complexitate similare celor care fac obiectul contractului supus achiziției, respectiv că în ultimii 3 ani, împliniți la data termenului limită de depunere a ofertelor, a prestat și dus la bun sfârșit următoarele servicii de operare:</w:t>
      </w:r>
    </w:p>
    <w:p>
      <w:pPr>
        <w:spacing w:after="120" w:line="276" w:lineRule="auto"/>
        <w:jc w:val="both"/>
        <w:rPr>
          <w:sz w:val="24"/>
          <w:szCs w:val="24"/>
          <w:lang w:val="it-IT"/>
        </w:rPr>
      </w:pPr>
      <w:r>
        <w:rPr>
          <w:sz w:val="24"/>
          <w:szCs w:val="24"/>
          <w:lang w:val="it-IT"/>
        </w:rPr>
        <w:t>-</w:t>
      </w:r>
      <w:r>
        <w:rPr>
          <w:sz w:val="24"/>
          <w:szCs w:val="24"/>
          <w:lang w:val="it-IT"/>
        </w:rPr>
        <w:tab/>
        <w:t>operarea, pe o perioadă de cel puțin1 an, a unei instalații de tratare mecanică a deșeurilor reziduale, având o complexitate similară instalației ce face obiectul procedurii de atribuire;</w:t>
      </w:r>
    </w:p>
    <w:p>
      <w:pPr>
        <w:spacing w:after="120" w:line="276" w:lineRule="auto"/>
        <w:jc w:val="both"/>
        <w:rPr>
          <w:sz w:val="24"/>
          <w:szCs w:val="24"/>
          <w:lang w:val="it-IT"/>
        </w:rPr>
      </w:pPr>
      <w:r>
        <w:rPr>
          <w:sz w:val="24"/>
          <w:szCs w:val="24"/>
          <w:lang w:val="it-IT"/>
        </w:rPr>
        <w:t>-</w:t>
      </w:r>
      <w:r>
        <w:rPr>
          <w:sz w:val="24"/>
          <w:szCs w:val="24"/>
          <w:lang w:val="it-IT"/>
        </w:rPr>
        <w:tab/>
        <w:t>operarea, pe o perioadă de cel puțin 1 an, a unei instalații de tratare anaerobă a bio- deșeurilor colectate separat și/sau a bio- deșeurilor din deșeurile reziduale.</w:t>
      </w:r>
    </w:p>
    <w:p>
      <w:pPr>
        <w:spacing w:after="120" w:line="276" w:lineRule="auto"/>
        <w:jc w:val="both"/>
        <w:rPr>
          <w:sz w:val="24"/>
          <w:szCs w:val="24"/>
          <w:lang w:val="it-IT"/>
        </w:rPr>
      </w:pPr>
      <w:r>
        <w:rPr>
          <w:sz w:val="24"/>
          <w:szCs w:val="24"/>
          <w:lang w:val="it-IT"/>
        </w:rPr>
        <w:t>Solicitarea demonstrării de către ofertanți a experienței similare în domeniul contractului este modalitatea prin care autoritatea contractantă se asigură că există premisele ca instalațiile să fie administrate și operate în conformitate cu documentația tehnică (care descrie cerințele principale ale autorității contractante cu privire la etapa de operare), ca antreprenorul să respecte intrutotul cerințele de operare și întreținere, să folosească eficient resursele (umane, materiale și financiare) pe care le are la dispoziție și să facă toate demersurile necesare in vederea respectarii cerințelor de calitate asociate prestării serviciilor de operare.</w:t>
      </w:r>
    </w:p>
    <w:p>
      <w:pPr>
        <w:spacing w:after="120" w:line="276" w:lineRule="auto"/>
        <w:jc w:val="both"/>
        <w:rPr>
          <w:sz w:val="24"/>
          <w:szCs w:val="24"/>
          <w:lang w:val="it-IT"/>
        </w:rPr>
      </w:pPr>
      <w:r>
        <w:rPr>
          <w:sz w:val="24"/>
          <w:szCs w:val="24"/>
          <w:lang w:val="it-IT"/>
        </w:rPr>
        <w:t>Ca urmare, cerința autorității contractante privind demonstrarea experienței în operarea de instalații similare, așa cum au fost menționate mai sus, de către operatorii economici care participă la procedura de atribuire, este justificată, deoarece în acest mod aceștia demonstrează că dețin capacitatea tehnică și profesională, atestată de experiența similară prezentată, pentru a presta serviciile de operare prevăzute în cadrul contractului care face obiectul prezentei proceduri de atribuire, la standardele de calitate solicitate prin documentația de atribuire.</w:t>
      </w:r>
    </w:p>
    <w:p>
      <w:pPr>
        <w:spacing w:after="120" w:line="276" w:lineRule="auto"/>
        <w:jc w:val="both"/>
        <w:rPr>
          <w:sz w:val="24"/>
          <w:szCs w:val="24"/>
          <w:lang w:val="ro-RO"/>
        </w:rPr>
      </w:pPr>
      <w:r>
        <w:rPr>
          <w:sz w:val="24"/>
          <w:szCs w:val="24"/>
          <w:lang w:val="ro-RO"/>
        </w:rPr>
        <w:lastRenderedPageBreak/>
        <w:t>Pentru a se asigura de faptul că operatorii economici participanți la procedură au experiență în domeniul de activitate care face obiectul contractului, autoritatea contractantă solicită acestora să demonstreze că au prestat și au dus la bun sfârșit servicii de operare de instalații de tratare/gestionare a deșeurilor.</w:t>
      </w:r>
    </w:p>
    <w:p>
      <w:pPr>
        <w:spacing w:after="120" w:line="276" w:lineRule="auto"/>
        <w:jc w:val="both"/>
        <w:rPr>
          <w:sz w:val="24"/>
          <w:szCs w:val="24"/>
          <w:lang w:val="ro-RO"/>
        </w:rPr>
      </w:pPr>
      <w:r>
        <w:rPr>
          <w:sz w:val="24"/>
          <w:szCs w:val="24"/>
          <w:lang w:val="ro-RO"/>
        </w:rPr>
        <w:t>Contractul ce urmează să fie atribuit include administrarea și operarea unor instalații specifice infrastructurii de tratare/gestionare a deșeurilor, respectiv:</w:t>
      </w:r>
    </w:p>
    <w:p>
      <w:pPr>
        <w:numPr>
          <w:ilvl w:val="1"/>
          <w:numId w:val="10"/>
        </w:numPr>
        <w:spacing w:after="120" w:line="276" w:lineRule="auto"/>
        <w:jc w:val="both"/>
        <w:rPr>
          <w:sz w:val="24"/>
          <w:szCs w:val="24"/>
          <w:lang w:val="ro-RO"/>
        </w:rPr>
      </w:pPr>
      <w:r>
        <w:rPr>
          <w:sz w:val="24"/>
          <w:szCs w:val="24"/>
          <w:lang w:val="ro-RO"/>
        </w:rPr>
        <w:t xml:space="preserve">stație de </w:t>
      </w:r>
      <w:r>
        <w:rPr>
          <w:sz w:val="24"/>
          <w:szCs w:val="24"/>
          <w:u w:val="single"/>
          <w:lang w:val="ro-RO"/>
        </w:rPr>
        <w:t>transfer deșeuri</w:t>
      </w:r>
      <w:r>
        <w:rPr>
          <w:sz w:val="24"/>
          <w:szCs w:val="24"/>
          <w:lang w:val="ro-RO"/>
        </w:rPr>
        <w:t>;</w:t>
      </w:r>
    </w:p>
    <w:p>
      <w:pPr>
        <w:numPr>
          <w:ilvl w:val="1"/>
          <w:numId w:val="10"/>
        </w:numPr>
        <w:spacing w:after="120" w:line="276" w:lineRule="auto"/>
        <w:jc w:val="both"/>
        <w:rPr>
          <w:sz w:val="24"/>
          <w:szCs w:val="24"/>
          <w:lang w:val="ro-RO"/>
        </w:rPr>
      </w:pPr>
      <w:r>
        <w:rPr>
          <w:sz w:val="24"/>
          <w:szCs w:val="24"/>
          <w:lang w:val="ro-RO"/>
        </w:rPr>
        <w:t xml:space="preserve">stație de </w:t>
      </w:r>
      <w:r>
        <w:rPr>
          <w:sz w:val="24"/>
          <w:szCs w:val="24"/>
          <w:u w:val="single"/>
          <w:lang w:val="ro-RO"/>
        </w:rPr>
        <w:t>tratare mecano-biologică</w:t>
      </w:r>
      <w:r>
        <w:rPr>
          <w:sz w:val="24"/>
          <w:szCs w:val="24"/>
          <w:lang w:val="ro-RO"/>
        </w:rPr>
        <w:t xml:space="preserve"> cu digestie anaerobă.</w:t>
      </w:r>
    </w:p>
    <w:p>
      <w:pPr>
        <w:spacing w:after="120" w:line="276" w:lineRule="auto"/>
        <w:jc w:val="both"/>
        <w:rPr>
          <w:sz w:val="24"/>
          <w:szCs w:val="24"/>
          <w:lang w:val="ro-RO"/>
        </w:rPr>
      </w:pPr>
      <w:r>
        <w:rPr>
          <w:sz w:val="24"/>
          <w:szCs w:val="24"/>
          <w:lang w:val="ro-RO"/>
        </w:rPr>
        <w:t>Ținând cont de specificul domeniului infrastructurii de tratare/gestionare a deșeurilor și de cerințele de conformare impuse de reglementările europene și naționale în domeniu, autoritatea contractantă consideră că obținerea rezultatelor așteptate în urma execuției contractului, respectiv asigurarea funcționării instalațiilor construite prin contract în parametrii proiectați și la tariful pe tonă ofertat, pe tot parcursul celor 10 ani ai etapei de operare, necesită cunoașterea aprofundată de către contractant (selectat în urma procedurii de achiziție) a particularităților tehnice și funcționale ale obiectelor și facilităților aferente infrastructurii de tratare/gestionare a deșeurilor, a interdependenței operaționale, precum și a practicilor de operare și întreținere a acestora. Din aceste considerente, autoritatea contractantă consideră că se impune ca operatorii economici participanți să demonstreze experiența similară în domeniul operării instalațiilor de tratare/gestionare a deșeurilor.</w:t>
      </w:r>
    </w:p>
    <w:p>
      <w:pPr>
        <w:spacing w:after="120" w:line="276" w:lineRule="auto"/>
        <w:jc w:val="both"/>
        <w:rPr>
          <w:sz w:val="24"/>
          <w:szCs w:val="24"/>
          <w:lang w:val="ro-RO"/>
        </w:rPr>
      </w:pPr>
      <w:r>
        <w:rPr>
          <w:sz w:val="24"/>
          <w:szCs w:val="24"/>
          <w:lang w:val="ro-RO"/>
        </w:rPr>
        <w:t>Pentru a nu restrânge în mod artificial concurența, autoritatea contractantă formulează cerința în sensul raportării experienței similare la servicii de operare a unor instalații de natură similară, din domeniul infrastructurii de tratare/gestionare a deșeurilor, fără a raporta dovedirea experienței similare exclusiv sau exact la tipurile de instalații care vor fi administrate și operate în cadrul contractului. Astfel, se solicită demonstrarea experienței similare prin raportare la facilități similare din punct de vedere al funcțiunii îndeplinite în cadrul infrastructurii de tratare/gestionare a deșeurilor, respectiv:</w:t>
      </w:r>
    </w:p>
    <w:p>
      <w:pPr>
        <w:spacing w:after="120" w:line="276" w:lineRule="auto"/>
        <w:jc w:val="both"/>
        <w:rPr>
          <w:sz w:val="24"/>
          <w:szCs w:val="24"/>
          <w:lang w:val="ro-RO"/>
        </w:rPr>
      </w:pPr>
      <w:r>
        <w:rPr>
          <w:sz w:val="24"/>
          <w:szCs w:val="24"/>
          <w:lang w:val="ro-RO"/>
        </w:rPr>
        <w:t>(i)</w:t>
      </w:r>
      <w:r>
        <w:rPr>
          <w:sz w:val="24"/>
          <w:szCs w:val="24"/>
          <w:lang w:val="ro-RO"/>
        </w:rPr>
        <w:tab/>
        <w:t>stație de tratare mecanică a deșeurilor reziduale, având o complexitate similară instalației ce  face obiectul procedurii de atribuire; „complexitatea similară” este definită astfel: instalații de tratare mecanică a deșeurilor reziduale, care includ tehnologii de sortare prin mijloace optice/inteligență artificială și care au o eficiență proiectată de sortare a deșeurilor reciclabile mai mare de 10% din totalul intrărilor;</w:t>
      </w:r>
    </w:p>
    <w:p>
      <w:pPr>
        <w:spacing w:after="120" w:line="276" w:lineRule="auto"/>
        <w:jc w:val="both"/>
        <w:rPr>
          <w:sz w:val="24"/>
          <w:szCs w:val="24"/>
          <w:lang w:val="ro-RO"/>
        </w:rPr>
      </w:pPr>
      <w:r>
        <w:rPr>
          <w:sz w:val="24"/>
          <w:szCs w:val="24"/>
          <w:lang w:val="ro-RO"/>
        </w:rPr>
        <w:t>Se solicită experiență similară cu privire la o instalație de tratare mecanică a deșeurilor reziduale, având în vedere particularitățile acestui tip de tratare, care presupune:</w:t>
      </w:r>
    </w:p>
    <w:p>
      <w:pPr>
        <w:spacing w:after="120" w:line="276" w:lineRule="auto"/>
        <w:jc w:val="both"/>
        <w:rPr>
          <w:sz w:val="24"/>
          <w:szCs w:val="24"/>
          <w:lang w:val="ro-RO"/>
        </w:rPr>
      </w:pPr>
      <w:r>
        <w:rPr>
          <w:sz w:val="24"/>
          <w:szCs w:val="24"/>
          <w:lang w:val="ro-RO"/>
        </w:rPr>
        <w:t>-</w:t>
      </w:r>
      <w:r>
        <w:rPr>
          <w:sz w:val="24"/>
          <w:szCs w:val="24"/>
          <w:lang w:val="ro-RO"/>
        </w:rPr>
        <w:tab/>
        <w:t>operarea cu materiale cu un grad ridicat de eterogenitate (în speță, deșeurile municipale, care includ deșeuri amestecate și deșeuri colectate separat de la gospodării, precum hârtia și cartonul, sticla, metalele, materialele plastice, inclusiv sub formă de ambalaje), spre deosebire de alte instalații de tratare, care operează, de regulă, cu materiale cu un caracter omogen;</w:t>
      </w:r>
    </w:p>
    <w:p>
      <w:pPr>
        <w:spacing w:after="120" w:line="276" w:lineRule="auto"/>
        <w:jc w:val="both"/>
        <w:rPr>
          <w:sz w:val="24"/>
          <w:szCs w:val="24"/>
          <w:lang w:val="ro-RO"/>
        </w:rPr>
      </w:pPr>
      <w:r>
        <w:rPr>
          <w:sz w:val="24"/>
          <w:szCs w:val="24"/>
          <w:lang w:val="ro-RO"/>
        </w:rPr>
        <w:t>-</w:t>
      </w:r>
      <w:r>
        <w:rPr>
          <w:sz w:val="24"/>
          <w:szCs w:val="24"/>
          <w:lang w:val="ro-RO"/>
        </w:rPr>
        <w:tab/>
        <w:t>tratarea unor materiale ale căror parametri de intrare (compoziția, gradul de umiditate etc.) sunt supuși unor variații sezoniere, spre deosebire de alte instalații de tratare, care operează, de regulă, cu materiale cu parametri de intrare relativ constanți.</w:t>
      </w:r>
    </w:p>
    <w:p>
      <w:pPr>
        <w:spacing w:after="120" w:line="276" w:lineRule="auto"/>
        <w:jc w:val="both"/>
        <w:rPr>
          <w:sz w:val="24"/>
          <w:szCs w:val="24"/>
          <w:lang w:val="ro-RO"/>
        </w:rPr>
      </w:pPr>
      <w:r>
        <w:rPr>
          <w:sz w:val="24"/>
          <w:szCs w:val="24"/>
          <w:lang w:val="ro-RO"/>
        </w:rPr>
        <w:t>Din motivele menționate, experiența dobândită prin raportare la o instalație de tratare mecanică a deșeurilor reziduale prezintă relevanță din perspectiva instalației care face obiectul contractului ce urmează să fie atribuit.</w:t>
      </w:r>
    </w:p>
    <w:p>
      <w:pPr>
        <w:spacing w:after="120" w:line="276" w:lineRule="auto"/>
        <w:jc w:val="both"/>
        <w:rPr>
          <w:sz w:val="24"/>
          <w:szCs w:val="24"/>
          <w:lang w:val="ro-RO"/>
        </w:rPr>
      </w:pPr>
      <w:r>
        <w:rPr>
          <w:sz w:val="24"/>
          <w:szCs w:val="24"/>
          <w:lang w:val="ro-RO"/>
        </w:rPr>
        <w:t xml:space="preserve">Se solicită experiență similară cu privire la o instalație de tratare mecanică a deșeurilor municipale reziduale, care include tehnologii de sortare prin mijloace optice/inteligență artificială, pentru că aceste </w:t>
      </w:r>
      <w:r>
        <w:rPr>
          <w:sz w:val="24"/>
          <w:szCs w:val="24"/>
          <w:lang w:val="ro-RO"/>
        </w:rPr>
        <w:lastRenderedPageBreak/>
        <w:t>tehnologii sunt vizate prin studiul de fezabilitate și sunt indispensabile pentru atingerea indicatorilor de performanță pe care trebuie să îi îndeplinească instalația care face obiectul contractului supus achiziției. În acest sens, autoritatea contractantă urmărește să se asigure că potențialii ofertanți au experiență privind tehnologiile menționate, dovedind astfel capacitatea de a duce la îndeplinire, în bune condiții, contractul cxe urmează să fie atribuit.</w:t>
      </w:r>
    </w:p>
    <w:p>
      <w:pPr>
        <w:spacing w:after="120" w:line="276" w:lineRule="auto"/>
        <w:jc w:val="both"/>
        <w:rPr>
          <w:sz w:val="24"/>
          <w:szCs w:val="24"/>
          <w:lang w:val="ro-RO"/>
        </w:rPr>
      </w:pPr>
      <w:r>
        <w:rPr>
          <w:sz w:val="24"/>
          <w:szCs w:val="24"/>
          <w:lang w:val="ro-RO"/>
        </w:rPr>
        <w:t>(ii)</w:t>
      </w:r>
      <w:r>
        <w:rPr>
          <w:sz w:val="24"/>
          <w:szCs w:val="24"/>
          <w:lang w:val="ro-RO"/>
        </w:rPr>
        <w:tab/>
        <w:t>stație de tratare anaerobă a bio-deșeurilor colectate separat și/sau a bio-deșeurilor din deșeurile reziduale.</w:t>
      </w:r>
    </w:p>
    <w:p>
      <w:pPr>
        <w:spacing w:after="120" w:line="276" w:lineRule="auto"/>
        <w:jc w:val="both"/>
        <w:rPr>
          <w:sz w:val="24"/>
          <w:szCs w:val="24"/>
          <w:lang w:val="ro-RO"/>
        </w:rPr>
      </w:pPr>
      <w:r>
        <w:rPr>
          <w:sz w:val="24"/>
          <w:szCs w:val="24"/>
          <w:lang w:val="ro-RO"/>
        </w:rPr>
        <w:t>Se solicită experiență similară cu privire la o instalație de tratare anaerobă a biodeșeurilor (biodeșeuri colectate separat și/sau biodeșeuri din deșeurile reziduale), având în vedere particularitățile acestui tip de tratare, care presupune:</w:t>
      </w:r>
    </w:p>
    <w:p>
      <w:pPr>
        <w:spacing w:after="120" w:line="276" w:lineRule="auto"/>
        <w:jc w:val="both"/>
        <w:rPr>
          <w:sz w:val="24"/>
          <w:szCs w:val="24"/>
          <w:lang w:val="ro-RO"/>
        </w:rPr>
      </w:pPr>
      <w:r>
        <w:rPr>
          <w:sz w:val="24"/>
          <w:szCs w:val="24"/>
          <w:lang w:val="ro-RO"/>
        </w:rPr>
        <w:t>-</w:t>
      </w:r>
      <w:r>
        <w:rPr>
          <w:sz w:val="24"/>
          <w:szCs w:val="24"/>
          <w:lang w:val="ro-RO"/>
        </w:rPr>
        <w:tab/>
        <w:t>operarea cu materiale cu un grad ridicat de eterogenitate (în speță, biodeșeurile, care pot fi alcătuite din deșeuri biodegradabile din grădini și parcuri, dar și din deșeuri alimentare și de bucătărie), spre deosebire de alte instalații de tratare, care operează, de regulă, cu materiale cu un caracter omogen;</w:t>
      </w:r>
    </w:p>
    <w:p>
      <w:pPr>
        <w:spacing w:after="120" w:line="276" w:lineRule="auto"/>
        <w:jc w:val="both"/>
        <w:rPr>
          <w:sz w:val="24"/>
          <w:szCs w:val="24"/>
          <w:lang w:val="ro-RO"/>
        </w:rPr>
      </w:pPr>
      <w:r>
        <w:rPr>
          <w:sz w:val="24"/>
          <w:szCs w:val="24"/>
          <w:lang w:val="ro-RO"/>
        </w:rPr>
        <w:t>-</w:t>
      </w:r>
      <w:r>
        <w:rPr>
          <w:sz w:val="24"/>
          <w:szCs w:val="24"/>
          <w:lang w:val="ro-RO"/>
        </w:rPr>
        <w:tab/>
        <w:t>operarea cu materiale ale căror parametri de intrare (compoziția, gradul de umiditate etc.) sunt supuși unor variații sezoniere (de exemplu, deșeurile din grădini și parcuri colectate primăvara au unele caracteristici diferite față de cele colectate toamna), spre deosebire de alte instalații de tratare, care operează, de regulă, cu materiale cu parametri de intrare relativ constanți.</w:t>
      </w:r>
    </w:p>
    <w:p>
      <w:pPr>
        <w:spacing w:after="120" w:line="276" w:lineRule="auto"/>
        <w:jc w:val="both"/>
        <w:rPr>
          <w:sz w:val="24"/>
          <w:szCs w:val="24"/>
          <w:lang w:val="ro-RO"/>
        </w:rPr>
      </w:pPr>
      <w:r>
        <w:rPr>
          <w:sz w:val="24"/>
          <w:szCs w:val="24"/>
          <w:lang w:val="ro-RO"/>
        </w:rPr>
        <w:t>Din motivele menționate, experiența dobândită prin raportare la o instalație de tratare anaerobă a biodeșeurilor (biodeșeuri colectate separat și/sau biodeșeuri din deșeurile reziduale) prezintă relevanță din perspectiva instalației care face obiectul contractului ce urmează să fie atribuit.</w:t>
      </w:r>
    </w:p>
    <w:p>
      <w:pPr>
        <w:spacing w:after="120" w:line="276" w:lineRule="auto"/>
        <w:jc w:val="both"/>
        <w:rPr>
          <w:sz w:val="24"/>
          <w:szCs w:val="24"/>
          <w:lang w:val="ro-RO"/>
        </w:rPr>
      </w:pPr>
    </w:p>
    <w:p>
      <w:pPr>
        <w:spacing w:after="120" w:line="276" w:lineRule="auto"/>
        <w:jc w:val="both"/>
        <w:rPr>
          <w:sz w:val="24"/>
          <w:szCs w:val="24"/>
          <w:lang w:val="ro-RO"/>
        </w:rPr>
      </w:pPr>
      <w:r>
        <w:rPr>
          <w:sz w:val="24"/>
          <w:szCs w:val="24"/>
          <w:lang w:val="ro-RO"/>
        </w:rPr>
        <w:t>Autoritatea contractantă consideră că ofertanții trebuie să dispună de experiență similară anterioară cu privire la tipurile distincte de servicii și lucrări care fac obiectul contractului, astfel încât achizitorul să aibă certitudinea că aceștia au capacitatea tehnico-profesională necesară pentru ca scopul contractului să fie realizat în totalitate și în deplină conformitate cu cerințele Caietului de sarcini.</w:t>
      </w:r>
    </w:p>
    <w:p>
      <w:pPr>
        <w:spacing w:after="120" w:line="276" w:lineRule="auto"/>
        <w:jc w:val="both"/>
        <w:rPr>
          <w:sz w:val="24"/>
          <w:szCs w:val="24"/>
          <w:lang w:val="ro-RO"/>
        </w:rPr>
      </w:pPr>
      <w:r>
        <w:rPr>
          <w:sz w:val="24"/>
          <w:szCs w:val="24"/>
          <w:lang w:val="ro-RO"/>
        </w:rPr>
        <w:t>Raportat la gradul de complexitate al contractului ce urmează să fie atribuit, se consideră necesar ca ofertantul căruia i se va atribui contractul să fie unul cu o experienţă corespunzătoare pentru derularea unui asemenea contract, motiv pentru care cerințele de calificare privind capacitatea tehnică</w:t>
      </w:r>
      <w:r>
        <w:rPr>
          <w:rFonts w:eastAsia="Verdana"/>
          <w:sz w:val="24"/>
          <w:szCs w:val="24"/>
          <w:lang w:val="ro-RO"/>
        </w:rPr>
        <w:t xml:space="preserve"> </w:t>
      </w:r>
      <w:r>
        <w:rPr>
          <w:sz w:val="24"/>
          <w:szCs w:val="24"/>
          <w:lang w:val="ro-RO"/>
        </w:rPr>
        <w:t>și profesională a operatorilor economici participanți la procedură se referă la experiența similară în:</w:t>
      </w:r>
    </w:p>
    <w:p>
      <w:pPr>
        <w:numPr>
          <w:ilvl w:val="0"/>
          <w:numId w:val="12"/>
        </w:numPr>
        <w:spacing w:after="120" w:line="276" w:lineRule="auto"/>
        <w:jc w:val="both"/>
        <w:rPr>
          <w:sz w:val="24"/>
          <w:szCs w:val="24"/>
          <w:lang w:val="ro-RO"/>
        </w:rPr>
      </w:pPr>
      <w:r>
        <w:rPr>
          <w:sz w:val="24"/>
          <w:szCs w:val="24"/>
          <w:lang w:val="ro-RO"/>
        </w:rPr>
        <w:tab/>
      </w:r>
      <w:r>
        <w:rPr>
          <w:sz w:val="24"/>
          <w:szCs w:val="24"/>
          <w:u w:val="single"/>
          <w:lang w:val="ro-RO"/>
        </w:rPr>
        <w:t xml:space="preserve">Proiectarea </w:t>
      </w:r>
      <w:r>
        <w:rPr>
          <w:sz w:val="24"/>
          <w:szCs w:val="24"/>
          <w:lang w:val="ro-RO"/>
        </w:rPr>
        <w:t>de instalații natură și complexitate similare celor care fac obiectul contractului supus achiziției (Cerința 1);</w:t>
      </w:r>
    </w:p>
    <w:p>
      <w:pPr>
        <w:numPr>
          <w:ilvl w:val="0"/>
          <w:numId w:val="12"/>
        </w:numPr>
        <w:spacing w:after="120" w:line="276" w:lineRule="auto"/>
        <w:jc w:val="both"/>
        <w:rPr>
          <w:sz w:val="24"/>
          <w:szCs w:val="24"/>
          <w:lang w:val="ro-RO"/>
        </w:rPr>
      </w:pPr>
      <w:r>
        <w:rPr>
          <w:sz w:val="24"/>
          <w:szCs w:val="24"/>
          <w:u w:val="single"/>
          <w:lang w:val="ro-RO"/>
        </w:rPr>
        <w:t>Execuția</w:t>
      </w:r>
      <w:r>
        <w:rPr>
          <w:sz w:val="24"/>
          <w:szCs w:val="24"/>
          <w:lang w:val="ro-RO"/>
        </w:rPr>
        <w:t xml:space="preserve"> de instalații natură și complexitate similare celor care fac obiectul contractului supus achiziției (Cerința 2);</w:t>
      </w:r>
    </w:p>
    <w:p>
      <w:pPr>
        <w:numPr>
          <w:ilvl w:val="0"/>
          <w:numId w:val="12"/>
        </w:numPr>
        <w:spacing w:after="120" w:line="276" w:lineRule="auto"/>
        <w:jc w:val="both"/>
        <w:rPr>
          <w:sz w:val="24"/>
          <w:szCs w:val="24"/>
          <w:lang w:val="ro-RO"/>
        </w:rPr>
      </w:pPr>
      <w:r>
        <w:rPr>
          <w:sz w:val="24"/>
          <w:szCs w:val="24"/>
          <w:lang w:val="ro-RO"/>
        </w:rPr>
        <w:tab/>
      </w:r>
      <w:r>
        <w:rPr>
          <w:sz w:val="24"/>
          <w:szCs w:val="24"/>
          <w:u w:val="single"/>
          <w:lang w:val="ro-RO"/>
        </w:rPr>
        <w:t>Operarea</w:t>
      </w:r>
      <w:r>
        <w:rPr>
          <w:sz w:val="24"/>
          <w:szCs w:val="24"/>
          <w:lang w:val="ro-RO"/>
        </w:rPr>
        <w:t xml:space="preserve"> de instalații de tratare/gestionare a deșeurilor de natură și complexitate similare celor care fac obiectul contractului supus achiziției (Cerința 3).</w:t>
      </w:r>
    </w:p>
    <w:p>
      <w:pPr>
        <w:spacing w:after="120" w:line="276" w:lineRule="auto"/>
        <w:jc w:val="both"/>
        <w:rPr>
          <w:sz w:val="24"/>
          <w:szCs w:val="24"/>
          <w:lang w:val="ro-RO"/>
        </w:rPr>
      </w:pPr>
      <w:r>
        <w:rPr>
          <w:sz w:val="24"/>
          <w:szCs w:val="24"/>
          <w:lang w:val="ro-RO"/>
        </w:rPr>
        <w:t>Solicitarea privind demonstrarea experienţei similare este justificată prin faptul că autoritatea contractantă doreşte să se asigure că operatorii economici ofertanți:</w:t>
      </w:r>
    </w:p>
    <w:p>
      <w:pPr>
        <w:spacing w:after="120" w:line="276" w:lineRule="auto"/>
        <w:jc w:val="both"/>
        <w:rPr>
          <w:sz w:val="24"/>
          <w:szCs w:val="24"/>
          <w:lang w:val="ro-RO"/>
        </w:rPr>
      </w:pPr>
      <w:r>
        <w:rPr>
          <w:sz w:val="24"/>
          <w:szCs w:val="24"/>
          <w:lang w:val="ro-RO"/>
        </w:rPr>
        <w:t xml:space="preserve">(i) au experienţă în execuția de contracte de natură și complexitate comparabile cu cel care urmează să fie atribuit în urma procedurii de achiziţie şi, implicit, (ii) au capacitatea necesară, demonstrată, pentru a satisface cerinţele autorităţii contractante, conform condiţiilor impuse în documentaţia de atribuire. </w:t>
      </w:r>
      <w:r>
        <w:rPr>
          <w:sz w:val="24"/>
          <w:szCs w:val="24"/>
          <w:lang w:val="ro-RO"/>
        </w:rPr>
        <w:lastRenderedPageBreak/>
        <w:t>Justificarea cerinţelor privind experienţa similară are în vedere prevederile art. 29 și 31 din HG nr. 395/2016:</w:t>
      </w:r>
    </w:p>
    <w:p>
      <w:pPr>
        <w:spacing w:after="120" w:line="276" w:lineRule="auto"/>
        <w:jc w:val="both"/>
        <w:rPr>
          <w:sz w:val="24"/>
          <w:szCs w:val="24"/>
          <w:lang w:val="ro-RO"/>
        </w:rPr>
      </w:pPr>
      <w:r>
        <w:rPr>
          <w:sz w:val="24"/>
          <w:szCs w:val="24"/>
          <w:lang w:val="ro-RO"/>
        </w:rPr>
        <w:t xml:space="preserve">art. 29 – </w:t>
      </w:r>
      <w:r>
        <w:rPr>
          <w:i/>
          <w:sz w:val="24"/>
          <w:szCs w:val="24"/>
          <w:lang w:val="ro-RO"/>
        </w:rPr>
        <w:t>“(1) Criteriile de calificare privind capacitatea au ca scop demonstrarea potenţialului tehnic, financiar și organizatoric al fiecărui operator economic participant la procedură, potenţial care trebuie să reflecte posibilitatea concretă a acestuia de a îndeplini contractul/acordul-cadru şi de a rezolva eventualele dificultăţi legate de îndeplinirea acestuia, în cazul în care oferta sa va fi declarată câştigătoare</w:t>
      </w:r>
      <w:r>
        <w:rPr>
          <w:sz w:val="24"/>
          <w:szCs w:val="24"/>
          <w:lang w:val="ro-RO"/>
        </w:rPr>
        <w:t>.”</w:t>
      </w:r>
    </w:p>
    <w:p>
      <w:pPr>
        <w:spacing w:after="120" w:line="276" w:lineRule="auto"/>
        <w:jc w:val="both"/>
        <w:rPr>
          <w:i/>
          <w:sz w:val="24"/>
          <w:szCs w:val="24"/>
          <w:lang w:val="ro-RO"/>
        </w:rPr>
      </w:pPr>
      <w:r>
        <w:rPr>
          <w:sz w:val="24"/>
          <w:szCs w:val="24"/>
          <w:lang w:val="ro-RO"/>
        </w:rPr>
        <w:t xml:space="preserve">art. 31 – </w:t>
      </w:r>
      <w:r>
        <w:rPr>
          <w:i/>
          <w:sz w:val="24"/>
          <w:szCs w:val="24"/>
          <w:lang w:val="ro-RO"/>
        </w:rPr>
        <w:t>“(1) Autoritatea contractantă nu are dreptul de a restricţiona participarea la procedura de atribuire a contractului de achiziţie publică prin introducerea unor criteriile minime de calificare, care:</w:t>
      </w:r>
    </w:p>
    <w:p>
      <w:pPr>
        <w:numPr>
          <w:ilvl w:val="0"/>
          <w:numId w:val="11"/>
        </w:numPr>
        <w:spacing w:after="120" w:line="276" w:lineRule="auto"/>
        <w:jc w:val="both"/>
        <w:rPr>
          <w:i/>
          <w:sz w:val="24"/>
          <w:szCs w:val="24"/>
          <w:lang w:val="ro-RO"/>
        </w:rPr>
      </w:pPr>
      <w:r>
        <w:rPr>
          <w:i/>
          <w:sz w:val="24"/>
          <w:szCs w:val="24"/>
          <w:lang w:val="ro-RO"/>
        </w:rPr>
        <w:t>nu prezintă relevanţă în raport cu natura şi complexitatea contractului de achiziţie publică ce urmează să fie atribuit;</w:t>
      </w:r>
    </w:p>
    <w:p>
      <w:pPr>
        <w:spacing w:after="120" w:line="276" w:lineRule="auto"/>
        <w:jc w:val="both"/>
        <w:rPr>
          <w:sz w:val="24"/>
          <w:szCs w:val="24"/>
          <w:lang w:val="ro-RO"/>
        </w:rPr>
      </w:pPr>
      <w:r>
        <w:rPr>
          <w:i/>
          <w:sz w:val="24"/>
          <w:szCs w:val="24"/>
          <w:lang w:val="ro-RO"/>
        </w:rPr>
        <w:t>sunt disproporţionate în raport cu natura și complexitatea contractului de achiziţie publică ce urmează a fi atribuit</w:t>
      </w:r>
      <w:r>
        <w:rPr>
          <w:sz w:val="24"/>
          <w:szCs w:val="24"/>
          <w:lang w:val="ro-RO"/>
        </w:rPr>
        <w:t>.”</w:t>
      </w:r>
    </w:p>
    <w:p>
      <w:pPr>
        <w:spacing w:after="120" w:line="276" w:lineRule="auto"/>
        <w:jc w:val="both"/>
        <w:rPr>
          <w:sz w:val="24"/>
          <w:szCs w:val="24"/>
          <w:lang w:val="ro-RO"/>
        </w:rPr>
      </w:pPr>
      <w:r>
        <w:rPr>
          <w:sz w:val="24"/>
          <w:szCs w:val="24"/>
          <w:lang w:val="ro-RO"/>
        </w:rPr>
        <w:t>Solicitarea demonstrării de către ofertanți a experienței similare în domeniul contractului este modalitatea prin care autoritatea contractantă se asigură că există premisele ca lucrările să fie proiectate și executate în conformitate cu documentația tehnică (descriind cerințele principale ale autorității contractante cu privire la realizarea obiectivului de investiții), ca antreprenorul să respecte intrutotul cerințele de proiectare și metodologiile de execuție, să folosească eficient resursele (umane, materiale și financiare) pe care le are la dispoziție și să facă toate demersurile necesare in vederea respectarii cerințelor de calitate asociate prestării serviciilor de proiectare, respectiv execuției lucrărilor.</w:t>
      </w:r>
    </w:p>
    <w:p>
      <w:pPr>
        <w:spacing w:after="120" w:line="276" w:lineRule="auto"/>
        <w:jc w:val="both"/>
        <w:rPr>
          <w:sz w:val="24"/>
          <w:szCs w:val="24"/>
          <w:lang w:val="ro-RO"/>
        </w:rPr>
      </w:pPr>
      <w:r>
        <w:rPr>
          <w:sz w:val="24"/>
          <w:szCs w:val="24"/>
          <w:lang w:val="ro-RO"/>
        </w:rPr>
        <w:t>Ca urmare, cerințele autorității contractante privind demonstrarea experienței în proiectarea și execuția de lucrări similare, respectiv operarea instalațiilor, așa cum au fost menționate mai sus, de către operatorii economici care participă la procedura de atribuire, este justificată, deoarece în acest mod aceștia demonstrează că dețin capacitatea tehnică și profesională, atestată de experiența similară prezentată, de a gestiona proiectarea, construcția și operarea unui obiectiv de investiții similar, pentru care au fost răspunzători de îndeplinirea indicatorilor de performanță și calitate, respectiv pentru a proiecta și executa lucrările din cadrul contractului care face obiectul prezentei proceduri de atribuire, la standardele de calitate solicitate prin documentația de atribuire și în timpul alocat execuției contractului, precum și de a opera instalația construită, la standardele de calitate solicitate prin documentația de atribuire.</w:t>
      </w:r>
    </w:p>
    <w:p>
      <w:pPr>
        <w:spacing w:after="120" w:line="276" w:lineRule="auto"/>
        <w:jc w:val="both"/>
        <w:rPr>
          <w:bCs/>
          <w:sz w:val="24"/>
          <w:szCs w:val="24"/>
          <w:lang w:val="ro-RO"/>
        </w:rPr>
      </w:pPr>
      <w:r>
        <w:rPr>
          <w:bCs/>
          <w:sz w:val="24"/>
          <w:szCs w:val="24"/>
          <w:lang w:val="ro-RO"/>
        </w:rPr>
        <w:t xml:space="preserve">Pentru a asigura respectarea principiilor care stau la baza atribuirii contractelor de achiziţie publică și a nu restrânge în mod artificial competiția, cerințele de calificare privind experiența similară (proiectare, execuție lucrări) sunt formulate utilizând conjuncția „SAU”. </w:t>
      </w:r>
    </w:p>
    <w:p>
      <w:pPr>
        <w:spacing w:after="120" w:line="276" w:lineRule="auto"/>
        <w:jc w:val="both"/>
        <w:rPr>
          <w:bCs/>
          <w:sz w:val="24"/>
          <w:szCs w:val="24"/>
          <w:lang w:val="ro-RO"/>
        </w:rPr>
      </w:pPr>
      <w:r>
        <w:rPr>
          <w:bCs/>
          <w:sz w:val="24"/>
          <w:szCs w:val="24"/>
          <w:lang w:val="ro-RO"/>
        </w:rPr>
        <w:t xml:space="preserve">Astfel, operatorii economici participanți la procedură își pot demonstra experiența similară privind proiectarea, execuția de lucrări, respectiv operarea de instalaţii de tratare/gestionare a deşeurilor, prin prezentarea de contracte privind </w:t>
      </w:r>
      <w:r>
        <w:rPr>
          <w:b/>
          <w:sz w:val="24"/>
          <w:szCs w:val="24"/>
          <w:lang w:val="ro-RO"/>
        </w:rPr>
        <w:t>fie</w:t>
      </w:r>
      <w:r>
        <w:rPr>
          <w:bCs/>
          <w:sz w:val="24"/>
          <w:szCs w:val="24"/>
          <w:lang w:val="ro-RO"/>
        </w:rPr>
        <w:t xml:space="preserve"> „instalaţii de tratare mecanică deşeurilor deşeurilor reziduale, având o complexitate similară instalaţiei ce face obiectul procedurii de atribuire” (similaritatea fiind explicitată în cuprinsul fiecărei cerințe), </w:t>
      </w:r>
      <w:r>
        <w:rPr>
          <w:b/>
          <w:sz w:val="24"/>
          <w:szCs w:val="24"/>
          <w:lang w:val="ro-RO"/>
        </w:rPr>
        <w:t>fie</w:t>
      </w:r>
      <w:r>
        <w:rPr>
          <w:bCs/>
          <w:sz w:val="24"/>
          <w:szCs w:val="24"/>
          <w:lang w:val="ro-RO"/>
        </w:rPr>
        <w:t xml:space="preserve"> „instalaţii de tratare anaerobă a bio-deşeurilor colectate separat şi/sau a bio-deşeurilor din deşeurile reziduale;”.</w:t>
      </w:r>
    </w:p>
    <w:p>
      <w:pPr>
        <w:spacing w:after="120" w:line="276" w:lineRule="auto"/>
        <w:jc w:val="both"/>
        <w:rPr>
          <w:sz w:val="24"/>
          <w:szCs w:val="24"/>
          <w:lang w:val="it-IT"/>
        </w:rPr>
      </w:pPr>
      <w:r>
        <w:rPr>
          <w:sz w:val="24"/>
          <w:szCs w:val="24"/>
          <w:lang w:val="it-IT"/>
        </w:rPr>
        <w:t>În cazul depunerii unei oferte comune, fiecare operator economic membru al asocierii va prezenta DUAE în care va include informațiile cu privire la modul de îndeplinire a cerințelor de capacitate tehnică și profesională.</w:t>
      </w:r>
    </w:p>
    <w:p>
      <w:pPr>
        <w:spacing w:after="120" w:line="276" w:lineRule="auto"/>
        <w:jc w:val="both"/>
        <w:rPr>
          <w:sz w:val="24"/>
          <w:szCs w:val="24"/>
          <w:lang w:val="it-IT"/>
        </w:rPr>
      </w:pPr>
    </w:p>
    <w:p>
      <w:pPr>
        <w:spacing w:after="120" w:line="276" w:lineRule="auto"/>
        <w:jc w:val="both"/>
        <w:rPr>
          <w:b/>
          <w:bCs/>
          <w:sz w:val="24"/>
          <w:szCs w:val="24"/>
          <w:lang w:val="it-IT"/>
        </w:rPr>
      </w:pPr>
      <w:r>
        <w:rPr>
          <w:b/>
          <w:bCs/>
          <w:sz w:val="24"/>
          <w:szCs w:val="24"/>
          <w:lang w:val="it-IT"/>
        </w:rPr>
        <w:lastRenderedPageBreak/>
        <w:t>Terți susținători:</w:t>
      </w:r>
    </w:p>
    <w:p>
      <w:pPr>
        <w:spacing w:after="120" w:line="276" w:lineRule="auto"/>
        <w:jc w:val="both"/>
        <w:rPr>
          <w:sz w:val="24"/>
          <w:szCs w:val="24"/>
          <w:lang w:val="it-IT"/>
        </w:rPr>
      </w:pPr>
      <w:r>
        <w:rPr>
          <w:sz w:val="24"/>
          <w:szCs w:val="24"/>
          <w:lang w:val="it-IT"/>
        </w:rPr>
        <w:t>În cazul în care capacitatea tehnică și/sau profesională a ofertantului este susținută, în conformitate cu art. 182 din Legea nr. 98/2016, cu modificările și completările ulterioare, acesta va prezenta DUAE completat de ofertant în care se vor include informațiile cu privire la existența unei susțineri din partea unui terț , inclusiv măsurile avute în vedere de ofertant pentru a accesa în orice moment resursele necesare, la care se atașează DUAE și angajamentul ferm ale terțului susținător/angajamentele ferme ale terților susținători, din care trebuie să rezulte modul efectiv în care terțul/terții susținători va/vor asigura îndeplinirea angajamentului asumat.</w:t>
      </w:r>
    </w:p>
    <w:p>
      <w:pPr>
        <w:spacing w:after="120" w:line="276" w:lineRule="auto"/>
        <w:jc w:val="both"/>
        <w:rPr>
          <w:sz w:val="24"/>
          <w:szCs w:val="24"/>
          <w:lang w:val="it-IT"/>
        </w:rPr>
      </w:pPr>
      <w:r>
        <w:rPr>
          <w:sz w:val="24"/>
          <w:szCs w:val="24"/>
          <w:lang w:val="it-IT"/>
        </w:rPr>
        <w:t xml:space="preserve">Terțul/terții susținători vor completa DUAE cu informații privind nivelul lor de experiență prin raportare la contractele executate în trecut, corespunzător susținerii acordate. Prin angajamentul ferm, terțul/terții confirmă faptul că va/vor sprijini ofertantul în vederea îndeplinirii obligațiilor contractuale, fie prin precizarea modului în care va/vor interveni concret, pentru a duce la îndeplinire respectivele activități pentru care a/au acordat susținerea, fie prin indicarea resurselor tehnice pe care le va/vor pune la dispoziție ofertantului (descriind modul concret în care va realiza acest lucru). Autoritatea contractantă respinge terțul susținător propus dacă acesta nu îndeplinește cerințele de calificare privind capacitatea sau se încadrează printre motivele de excludere și solicită ofertantului, o singură dată, înlocuirea acestuia și prezentarea unui alt terț susținător, cu respectarea principiului tratamentului egal. </w:t>
      </w:r>
    </w:p>
    <w:p>
      <w:pPr>
        <w:spacing w:after="120" w:line="276" w:lineRule="auto"/>
        <w:jc w:val="both"/>
        <w:rPr>
          <w:sz w:val="24"/>
          <w:szCs w:val="24"/>
          <w:lang w:val="it-IT"/>
        </w:rPr>
      </w:pPr>
      <w:r>
        <w:rPr>
          <w:sz w:val="24"/>
          <w:szCs w:val="24"/>
          <w:lang w:val="it-IT"/>
        </w:rPr>
        <w:t>Persoana care asigura sustinerea tehnica și profesionala nu trebuie sa se afle în situatii care determina excluderea din procedura de atribuire, conform prevederilor art. 59, art. 60, art. 164, art.165, art. 167 din Legea 98/2016.</w:t>
      </w:r>
    </w:p>
    <w:p>
      <w:pPr>
        <w:spacing w:after="120" w:line="276" w:lineRule="auto"/>
        <w:jc w:val="both"/>
        <w:rPr>
          <w:sz w:val="24"/>
          <w:szCs w:val="24"/>
          <w:lang w:val="it-IT"/>
        </w:rPr>
      </w:pPr>
      <w:r>
        <w:rPr>
          <w:sz w:val="24"/>
          <w:szCs w:val="24"/>
          <w:u w:val="single"/>
          <w:lang w:val="it-IT"/>
        </w:rPr>
        <w:t xml:space="preserve">Modalitatea de indeplinire: </w:t>
      </w:r>
    </w:p>
    <w:p>
      <w:pPr>
        <w:spacing w:after="120" w:line="276" w:lineRule="auto"/>
        <w:jc w:val="both"/>
        <w:rPr>
          <w:sz w:val="24"/>
          <w:szCs w:val="24"/>
          <w:lang w:val="it-IT"/>
        </w:rPr>
      </w:pPr>
      <w:r>
        <w:rPr>
          <w:sz w:val="24"/>
          <w:szCs w:val="24"/>
          <w:lang w:val="it-IT"/>
        </w:rPr>
        <w:t>Prezentarea unui angajament ferm al entiitatii respective, completat conform Formularului nr. 8 - Angajament privind sustinerea tehnica și profesionala, din care trebuie sa rezulte modul efectiv în care va asigura îndeplinirea angajamentului, prin care entitatea respectivă  confirma faptul ca va pune la dispozitia ofertantului resursele tehnice și profesionale invocate, tinand cont de prevederile art.50 din HG 395/2016.</w:t>
      </w:r>
    </w:p>
    <w:p>
      <w:pPr>
        <w:spacing w:after="120" w:line="276" w:lineRule="auto"/>
        <w:jc w:val="both"/>
        <w:rPr>
          <w:sz w:val="24"/>
          <w:szCs w:val="24"/>
          <w:lang w:val="it-IT"/>
        </w:rPr>
      </w:pPr>
      <w:r>
        <w:rPr>
          <w:sz w:val="24"/>
          <w:szCs w:val="24"/>
          <w:lang w:val="it-IT"/>
        </w:rPr>
        <w:t>Terții susținători vor completa DUAE cu informațiile ce descriu nivelul lor de experiență, prin raportare la contractele executate în trecut, corespunzător cerințelor autorității contractante. Din informatiile prezentate in DUAE trebuie sa reiasa: nume Beneficiar, date de contact, nume contractant, date identificare, denumirea și nr. contractului, data semnării contractului, obiectul contractului, valoarea contractului, valoarea serviciilor/lucrărilor duse la bun sfarsit de operatorul economic în cadrul contractului (lei fara TVA), rolul (contractant unic/ contractant lider/ contractant asociat/ subcontractant), procentul realizat de operatorul economic, perioada de prestare a serviciilor / execuție a lucrărilor (date de incepere și finalizare), date de identificare ale documentului care atesta că serviciile/lucrările au fost duse la bun sfârșit. În cazul serviciilor/lucrărilor recepționate parțial, se vor preciza datele de identificare ale documentului care atestă recepția.</w:t>
      </w:r>
    </w:p>
    <w:p>
      <w:pPr>
        <w:spacing w:after="120" w:line="276" w:lineRule="auto"/>
        <w:jc w:val="both"/>
        <w:rPr>
          <w:sz w:val="24"/>
          <w:szCs w:val="24"/>
          <w:lang w:val="it-IT"/>
        </w:rPr>
      </w:pPr>
      <w:r>
        <w:rPr>
          <w:sz w:val="24"/>
          <w:szCs w:val="24"/>
          <w:lang w:val="it-IT"/>
        </w:rPr>
        <w:t>Persoana care asigura sustinerea tehnica nu trebuie sa se afle in situatii care determina excluderea din procedura de atribuire conform prevederilor art. 164, art. 165 și art. 167 din Legea nr. 98/2016.</w:t>
      </w:r>
    </w:p>
    <w:p>
      <w:pPr>
        <w:spacing w:after="120" w:line="276" w:lineRule="auto"/>
        <w:jc w:val="both"/>
        <w:rPr>
          <w:sz w:val="24"/>
          <w:szCs w:val="24"/>
          <w:lang w:val="it-IT"/>
        </w:rPr>
      </w:pPr>
      <w:r>
        <w:rPr>
          <w:sz w:val="24"/>
          <w:szCs w:val="24"/>
          <w:lang w:val="it-IT"/>
        </w:rPr>
        <w:t>Prin angajamentul ferm, tertul se va angaja că va răspunde în mod solidar cu ofertantul pentru executarea contractului de achizitie sectoriala. Raspunderea solidara a tertului sustinator se va angaja sub conditia neîndeplinirii de catre acesta a obligatiilor de sustinere asumate prin angajament.</w:t>
      </w:r>
    </w:p>
    <w:p>
      <w:pPr>
        <w:spacing w:after="120" w:line="276" w:lineRule="auto"/>
        <w:jc w:val="both"/>
        <w:rPr>
          <w:sz w:val="24"/>
          <w:szCs w:val="24"/>
          <w:lang w:val="it-IT"/>
        </w:rPr>
      </w:pPr>
      <w:r>
        <w:rPr>
          <w:sz w:val="24"/>
          <w:szCs w:val="24"/>
          <w:lang w:val="it-IT"/>
        </w:rPr>
        <w:lastRenderedPageBreak/>
        <w:t>Odata cu depunerea DUAE, operatorii economici vor prezenta angajamentul tertului sustinator (impreuna cu documentele anexe la angajament, transmise acestora de catre terțul/tertii susținator/i, din care sa rezulte modul efectiv in care se va materializa sustinerea acestuia/acestora).</w:t>
      </w:r>
    </w:p>
    <w:p>
      <w:pPr>
        <w:spacing w:after="120" w:line="276" w:lineRule="auto"/>
        <w:jc w:val="both"/>
        <w:rPr>
          <w:sz w:val="24"/>
          <w:szCs w:val="24"/>
          <w:lang w:val="it-IT"/>
        </w:rPr>
      </w:pPr>
      <w:r>
        <w:rPr>
          <w:sz w:val="24"/>
          <w:szCs w:val="24"/>
          <w:lang w:val="it-IT"/>
        </w:rPr>
        <w:t>Tertul/tertii sustinator/i va/vor raspunde in mod solidar cu ofertantul, in mod neconditionat, fata de Entitatea Contractanta, pentru neexecutarea oricarei obligatii asumate de Ofertant, in baza contractului sectorial și pentru care acesta din urma a primit sustinerea tehnica și profesionala conform angajamentului sus menționat, renuntand in acest sens, definitiv și irevocabil, la invocarea beneficiului de diviziune și discutiune.</w:t>
      </w:r>
    </w:p>
    <w:p>
      <w:pPr>
        <w:spacing w:after="120" w:line="276" w:lineRule="auto"/>
        <w:jc w:val="both"/>
        <w:rPr>
          <w:sz w:val="24"/>
          <w:szCs w:val="24"/>
          <w:lang w:val="it-IT"/>
        </w:rPr>
      </w:pPr>
    </w:p>
    <w:p>
      <w:pPr>
        <w:spacing w:after="120" w:line="276" w:lineRule="auto"/>
        <w:jc w:val="both"/>
        <w:rPr>
          <w:sz w:val="24"/>
          <w:szCs w:val="24"/>
          <w:lang w:val="it-IT"/>
        </w:rPr>
      </w:pPr>
      <w:r>
        <w:rPr>
          <w:b/>
          <w:bCs/>
          <w:sz w:val="24"/>
          <w:szCs w:val="24"/>
          <w:lang w:val="it-IT"/>
        </w:rPr>
        <w:t>Informații privind subcontractanții:</w:t>
      </w:r>
      <w:r>
        <w:rPr>
          <w:sz w:val="24"/>
          <w:szCs w:val="24"/>
          <w:lang w:val="it-IT"/>
        </w:rPr>
        <w:t xml:space="preserve"> </w:t>
      </w:r>
    </w:p>
    <w:p>
      <w:pPr>
        <w:spacing w:after="120" w:line="276" w:lineRule="auto"/>
        <w:jc w:val="both"/>
        <w:rPr>
          <w:sz w:val="24"/>
          <w:szCs w:val="24"/>
          <w:lang w:val="it-IT"/>
        </w:rPr>
      </w:pPr>
      <w:r>
        <w:rPr>
          <w:sz w:val="24"/>
          <w:szCs w:val="24"/>
          <w:lang w:val="it-IT"/>
        </w:rPr>
        <w:t>În cazul în care o parte din contract va fi subcontractata, ofertantul va furniza informatii privind denumirea și specializarea subcontractantilor, categoriile de servicii și/sau lucrări din contract pe care intenţionează să le subcontracteze, procentul sau valoarea aferentă activităţilor indicate în ofertă ca fiind realizate de către subcontractanţi.</w:t>
      </w:r>
    </w:p>
    <w:p>
      <w:pPr>
        <w:spacing w:after="120" w:line="276" w:lineRule="auto"/>
        <w:jc w:val="both"/>
        <w:rPr>
          <w:sz w:val="24"/>
          <w:szCs w:val="24"/>
          <w:lang w:val="it-IT"/>
        </w:rPr>
      </w:pPr>
      <w:r>
        <w:rPr>
          <w:sz w:val="24"/>
          <w:szCs w:val="24"/>
          <w:lang w:val="it-IT"/>
        </w:rPr>
        <w:t>Înainte de semnarea contractului, ofertantul câstigator va prezenta contractul încheiat între ofertant și subcontractant, în original sau în copie legalizata.</w:t>
      </w:r>
    </w:p>
    <w:p>
      <w:pPr>
        <w:spacing w:after="120" w:line="276" w:lineRule="auto"/>
        <w:jc w:val="both"/>
        <w:rPr>
          <w:sz w:val="24"/>
          <w:szCs w:val="24"/>
          <w:lang w:val="it-IT"/>
        </w:rPr>
      </w:pPr>
      <w:r>
        <w:rPr>
          <w:sz w:val="24"/>
          <w:szCs w:val="24"/>
          <w:lang w:val="it-IT"/>
        </w:rPr>
        <w:t>Subcontractanții nu trebuie să se afle în situații care determină excluderea din procedura de atribuire, conform prevederilor art. 59, art. 60, art. 164, art.165, art. 167 din Legea 98/2016.</w:t>
      </w:r>
    </w:p>
    <w:p>
      <w:pPr>
        <w:spacing w:after="120" w:line="276" w:lineRule="auto"/>
        <w:jc w:val="both"/>
        <w:rPr>
          <w:sz w:val="24"/>
          <w:szCs w:val="24"/>
          <w:lang w:val="it-IT"/>
        </w:rPr>
      </w:pPr>
      <w:r>
        <w:rPr>
          <w:sz w:val="24"/>
          <w:szCs w:val="24"/>
          <w:lang w:val="it-IT"/>
        </w:rPr>
        <w:t>Subcontractanţii pe ale căror capacităţi ofertantul se bazează pentru demonstrarea îndeplinirii anumitor criterii de calificare şi selecţie sunt consideraţi și terţi susţinători, caz în care acordul de subcontractare reprezintă, în acelaşi timp, şi angajamentul ferm.</w:t>
      </w:r>
    </w:p>
    <w:p>
      <w:pPr>
        <w:spacing w:after="120" w:line="276" w:lineRule="auto"/>
        <w:jc w:val="both"/>
        <w:rPr>
          <w:sz w:val="24"/>
          <w:szCs w:val="24"/>
          <w:lang w:val="it-IT"/>
        </w:rPr>
      </w:pPr>
      <w:r>
        <w:rPr>
          <w:sz w:val="24"/>
          <w:szCs w:val="24"/>
          <w:lang w:val="it-IT"/>
        </w:rPr>
        <w:t>Autoritatea contractantă va lua în considerare această susţinere, ca probă a îndeplinirii criteriilor minime impuse în cadrul documentaţiei de atribuire, dacă sunt îndeplinite în mod cumulativ următoarele condiţii:</w:t>
      </w:r>
    </w:p>
    <w:p>
      <w:pPr>
        <w:spacing w:after="120" w:line="276" w:lineRule="auto"/>
        <w:jc w:val="both"/>
        <w:rPr>
          <w:sz w:val="24"/>
          <w:szCs w:val="24"/>
          <w:lang w:val="it-IT"/>
        </w:rPr>
      </w:pPr>
      <w:r>
        <w:rPr>
          <w:sz w:val="24"/>
          <w:szCs w:val="24"/>
          <w:lang w:val="it-IT"/>
        </w:rPr>
        <w:t>a) terţul/terţii susţinător(i) pot dovedi că deţin resursele invocate ca element de susţinere a ofertantului;</w:t>
      </w:r>
    </w:p>
    <w:p>
      <w:pPr>
        <w:spacing w:after="120" w:line="276" w:lineRule="auto"/>
        <w:jc w:val="both"/>
        <w:rPr>
          <w:sz w:val="24"/>
          <w:szCs w:val="24"/>
          <w:lang w:val="it-IT"/>
        </w:rPr>
      </w:pPr>
      <w:r>
        <w:rPr>
          <w:sz w:val="24"/>
          <w:szCs w:val="24"/>
          <w:lang w:val="it-IT"/>
        </w:rPr>
        <w:t>b) ofertantul poate demonstra că va dispune efectiv de resursele entităţilor care acordă susţinerea, necesare pentru realizarea contractului, în cazul în care terţul susţinător nu este declarat subcontractant.</w:t>
      </w:r>
    </w:p>
    <w:p>
      <w:pPr>
        <w:spacing w:after="120" w:line="276" w:lineRule="auto"/>
        <w:jc w:val="both"/>
        <w:rPr>
          <w:sz w:val="24"/>
          <w:szCs w:val="24"/>
          <w:lang w:val="it-IT"/>
        </w:rPr>
      </w:pPr>
      <w:r>
        <w:rPr>
          <w:sz w:val="24"/>
          <w:szCs w:val="24"/>
          <w:u w:val="single"/>
          <w:lang w:val="it-IT"/>
        </w:rPr>
        <w:t>Modalitatea de indeplinire:</w:t>
      </w:r>
      <w:r>
        <w:rPr>
          <w:sz w:val="24"/>
          <w:szCs w:val="24"/>
          <w:lang w:val="it-IT"/>
        </w:rPr>
        <w:t xml:space="preserve"> “Completarea DUAE” - Odata cu depunerea DUAE se vor prezenta angajamentul tertului sustinator (impreuna cu documente anexe la angajament, transmise ofertantului de catre tert/tertii sustinatori, din care rezulta modul efectiv in care se va materializa sustinerea acestuia/acestora), acordul de subcontractare și acordul de asociere. Documentele justificative care probeaza cele asumate in angajamente/acorduri vor fi solicitate doar ofertantului clasat pe primul loc in urma evaluarii ofertelor.</w:t>
      </w:r>
    </w:p>
    <w:p>
      <w:pPr>
        <w:spacing w:after="120" w:line="276" w:lineRule="auto"/>
        <w:jc w:val="both"/>
        <w:rPr>
          <w:sz w:val="24"/>
          <w:szCs w:val="24"/>
          <w:lang w:val="it-IT"/>
        </w:rPr>
      </w:pPr>
    </w:p>
    <w:p>
      <w:pPr>
        <w:spacing w:after="120"/>
        <w:jc w:val="both"/>
        <w:rPr>
          <w:sz w:val="24"/>
          <w:szCs w:val="24"/>
          <w:lang w:val="it-IT"/>
        </w:rPr>
      </w:pPr>
    </w:p>
    <w:p>
      <w:pPr>
        <w:spacing w:after="120" w:line="276" w:lineRule="auto"/>
        <w:jc w:val="both"/>
        <w:rPr>
          <w:sz w:val="24"/>
          <w:szCs w:val="24"/>
          <w:lang w:val="it-IT"/>
        </w:rPr>
      </w:pPr>
      <w:r>
        <w:rPr>
          <w:rFonts w:eastAsiaTheme="minorHAnsi"/>
          <w:b/>
          <w:bCs/>
          <w:sz w:val="24"/>
          <w:szCs w:val="24"/>
          <w:lang w:val="pt-BR"/>
        </w:rPr>
        <w:t>Standarde de asigurare a calităţii şi de protecţie a mediului</w:t>
      </w:r>
    </w:p>
    <w:p>
      <w:pPr>
        <w:autoSpaceDE w:val="0"/>
        <w:autoSpaceDN w:val="0"/>
        <w:adjustRightInd w:val="0"/>
        <w:spacing w:after="120" w:line="276" w:lineRule="auto"/>
        <w:jc w:val="both"/>
        <w:rPr>
          <w:rFonts w:eastAsiaTheme="minorHAnsi"/>
          <w:sz w:val="24"/>
          <w:szCs w:val="24"/>
          <w:lang w:val="it-IT"/>
        </w:rPr>
      </w:pPr>
      <w:r>
        <w:rPr>
          <w:rFonts w:eastAsiaTheme="minorHAnsi"/>
          <w:b/>
          <w:bCs/>
          <w:sz w:val="24"/>
          <w:szCs w:val="24"/>
          <w:lang w:val="it-IT"/>
        </w:rPr>
        <w:t>Cerinţa nr. 1</w:t>
      </w:r>
      <w:r>
        <w:rPr>
          <w:rFonts w:eastAsiaTheme="minorHAnsi"/>
          <w:i/>
          <w:iCs/>
          <w:sz w:val="24"/>
          <w:szCs w:val="24"/>
          <w:lang w:val="it-IT"/>
        </w:rPr>
        <w:t xml:space="preserve">  - </w:t>
      </w:r>
      <w:r>
        <w:rPr>
          <w:rFonts w:eastAsiaTheme="minorHAnsi"/>
          <w:sz w:val="24"/>
          <w:szCs w:val="24"/>
          <w:lang w:val="it-IT"/>
        </w:rPr>
        <w:t>Dovada implementării unui sistem de management al calităţii certificat, pentru activităţi în domeniile în care se încadrează activitățile principale care fac obiectul contractului, în conformitate cu SR EN ISO 9001 sau echivalent, respectiv pentru urmatoarele domenii de activitate: proiectare, execuție lucrări de construcții, gestionare deșeuri.</w:t>
      </w:r>
    </w:p>
    <w:p>
      <w:pPr>
        <w:autoSpaceDE w:val="0"/>
        <w:autoSpaceDN w:val="0"/>
        <w:adjustRightInd w:val="0"/>
        <w:spacing w:after="120" w:line="276" w:lineRule="auto"/>
        <w:jc w:val="both"/>
        <w:rPr>
          <w:rFonts w:eastAsiaTheme="minorHAnsi"/>
          <w:sz w:val="24"/>
          <w:szCs w:val="24"/>
          <w:lang w:val="it-IT"/>
        </w:rPr>
      </w:pPr>
      <w:r>
        <w:rPr>
          <w:rFonts w:eastAsiaTheme="minorHAnsi"/>
          <w:sz w:val="24"/>
          <w:szCs w:val="24"/>
          <w:lang w:val="it-IT"/>
        </w:rPr>
        <w:lastRenderedPageBreak/>
        <w:t>Ofertantul va prezenta un certificat emis de un organism independent, care atestă că acesta are implementat, conform ISO 9001, un sistem de management al calităţii pentru activităţi in domeniul in care se incadreaza activitatile principale care fac obiectul contractului ce urmează a fi atribuit. Certificatul trebuie să fie valabil la data prezentării.</w:t>
      </w:r>
    </w:p>
    <w:p>
      <w:pPr>
        <w:autoSpaceDE w:val="0"/>
        <w:autoSpaceDN w:val="0"/>
        <w:adjustRightInd w:val="0"/>
        <w:spacing w:after="120" w:line="276" w:lineRule="auto"/>
        <w:jc w:val="both"/>
        <w:rPr>
          <w:rFonts w:eastAsiaTheme="minorHAnsi"/>
          <w:sz w:val="24"/>
          <w:szCs w:val="24"/>
          <w:lang w:val="it-IT"/>
        </w:rPr>
      </w:pPr>
    </w:p>
    <w:p>
      <w:pPr>
        <w:autoSpaceDE w:val="0"/>
        <w:autoSpaceDN w:val="0"/>
        <w:adjustRightInd w:val="0"/>
        <w:spacing w:after="120" w:line="276" w:lineRule="auto"/>
        <w:jc w:val="both"/>
        <w:rPr>
          <w:rFonts w:eastAsiaTheme="minorHAnsi"/>
          <w:sz w:val="24"/>
          <w:szCs w:val="24"/>
          <w:lang w:val="it-IT"/>
        </w:rPr>
      </w:pPr>
      <w:r>
        <w:rPr>
          <w:sz w:val="24"/>
          <w:szCs w:val="24"/>
          <w:u w:val="single"/>
          <w:lang w:val="it-IT"/>
        </w:rPr>
        <w:t>Modalitatea de indeplinire:</w:t>
      </w:r>
      <w:r>
        <w:rPr>
          <w:sz w:val="24"/>
          <w:szCs w:val="24"/>
          <w:lang w:val="it-IT"/>
        </w:rPr>
        <w:t xml:space="preserve"> </w:t>
      </w:r>
      <w:r>
        <w:rPr>
          <w:rFonts w:eastAsiaTheme="minorHAnsi"/>
          <w:sz w:val="24"/>
          <w:szCs w:val="24"/>
          <w:lang w:val="it-IT"/>
        </w:rPr>
        <w:t>Se va completa DUAE - "Criterii de selecţie" - Secţiunea D. Sisteme de asigurare a calităţii şi standarde de management de mediu (pentru fiecare operator economic, in cazul unei asocieri).</w:t>
      </w:r>
    </w:p>
    <w:p>
      <w:pPr>
        <w:autoSpaceDE w:val="0"/>
        <w:autoSpaceDN w:val="0"/>
        <w:adjustRightInd w:val="0"/>
        <w:spacing w:after="120" w:line="276" w:lineRule="auto"/>
        <w:jc w:val="both"/>
        <w:rPr>
          <w:rFonts w:eastAsiaTheme="minorHAnsi"/>
          <w:sz w:val="24"/>
          <w:szCs w:val="24"/>
          <w:lang w:val="it-IT"/>
        </w:rPr>
      </w:pPr>
    </w:p>
    <w:p>
      <w:pPr>
        <w:autoSpaceDE w:val="0"/>
        <w:autoSpaceDN w:val="0"/>
        <w:adjustRightInd w:val="0"/>
        <w:spacing w:after="120" w:line="276" w:lineRule="auto"/>
        <w:jc w:val="both"/>
        <w:rPr>
          <w:rFonts w:eastAsiaTheme="minorHAnsi"/>
          <w:sz w:val="24"/>
          <w:szCs w:val="24"/>
          <w:lang w:val="it-IT"/>
        </w:rPr>
      </w:pPr>
      <w:r>
        <w:rPr>
          <w:rFonts w:eastAsiaTheme="minorHAnsi"/>
          <w:sz w:val="24"/>
          <w:szCs w:val="24"/>
          <w:lang w:val="it-IT"/>
        </w:rPr>
        <w:t xml:space="preserve">La solicitarea autoritatii contractante, ofertantul situat pe primul loc în clasamentul intermediar realizat dupa evaluarea ofertelor, conform criteriului de atribuire, va prezenta, in vederea probarii celor asumate prin DUAE, documente justificative, respectiv </w:t>
      </w:r>
      <w:r>
        <w:rPr>
          <w:sz w:val="24"/>
          <w:szCs w:val="24"/>
          <w:lang w:val="it-IT" w:eastAsia="ro-RO"/>
        </w:rPr>
        <w:t xml:space="preserve">documente de certificare a sistemului de management al calității, emise de un organism independent, </w:t>
      </w:r>
      <w:r>
        <w:rPr>
          <w:rFonts w:eastAsiaTheme="minorHAnsi"/>
          <w:sz w:val="24"/>
          <w:szCs w:val="24"/>
          <w:lang w:val="it-IT"/>
        </w:rPr>
        <w:t>sau alte probe/dovezi care confirma asigurarea unui nivel corespunzator al calitatii, in cazul, demonstrat, in care operatorul economic nu are acces la un certificat de calitate astfel cum a fost solicitat ori nu are posibilitatea de a-l obtine in termenul stabilit.</w:t>
      </w:r>
    </w:p>
    <w:p>
      <w:pPr>
        <w:autoSpaceDE w:val="0"/>
        <w:autoSpaceDN w:val="0"/>
        <w:adjustRightInd w:val="0"/>
        <w:spacing w:after="120" w:line="276" w:lineRule="auto"/>
        <w:jc w:val="both"/>
        <w:rPr>
          <w:rFonts w:eastAsiaTheme="minorHAnsi"/>
          <w:sz w:val="24"/>
          <w:szCs w:val="24"/>
        </w:rPr>
      </w:pPr>
      <w:r>
        <w:rPr>
          <w:rFonts w:eastAsiaTheme="minorHAnsi"/>
          <w:sz w:val="24"/>
          <w:szCs w:val="24"/>
        </w:rPr>
        <w:t>Certificatele sau documentele echivalente trebuie sa  ateste ca operatorul economic are implementat un sistem de management al calitatii pentru activitati in domeniul in care se incadreaza activitatile principale care fac obiectul contractului (proiectare, execuție lucrări de construcții, gestionare deșeuri).</w:t>
      </w:r>
    </w:p>
    <w:p>
      <w:pPr>
        <w:autoSpaceDE w:val="0"/>
        <w:autoSpaceDN w:val="0"/>
        <w:adjustRightInd w:val="0"/>
        <w:spacing w:after="120" w:line="276" w:lineRule="auto"/>
        <w:jc w:val="both"/>
        <w:rPr>
          <w:rFonts w:eastAsiaTheme="minorHAnsi"/>
          <w:sz w:val="24"/>
          <w:szCs w:val="24"/>
        </w:rPr>
      </w:pPr>
      <w:r>
        <w:rPr>
          <w:rFonts w:eastAsiaTheme="minorHAnsi"/>
          <w:sz w:val="24"/>
          <w:szCs w:val="24"/>
        </w:rPr>
        <w:t>Documentele emise in alta limba decat limba romana trebuie sa fie insotite de traducere autorizata in limba romana.</w:t>
      </w:r>
    </w:p>
    <w:p>
      <w:pPr>
        <w:spacing w:after="120" w:line="276" w:lineRule="auto"/>
        <w:jc w:val="both"/>
        <w:rPr>
          <w:sz w:val="24"/>
          <w:szCs w:val="24"/>
          <w:lang w:eastAsia="ro-RO"/>
        </w:rPr>
      </w:pPr>
      <w:r>
        <w:rPr>
          <w:sz w:val="24"/>
          <w:szCs w:val="24"/>
          <w:lang w:eastAsia="ro-RO"/>
        </w:rPr>
        <w:t>Certificatele/documentele edificatoare care probează /confirmă îndeplinirea cerinței vor fi însoțite, daca este cazul, de traducere autorizată în limba română.</w:t>
      </w:r>
    </w:p>
    <w:p>
      <w:pPr>
        <w:spacing w:after="120" w:line="276" w:lineRule="auto"/>
        <w:jc w:val="both"/>
        <w:rPr>
          <w:sz w:val="24"/>
          <w:szCs w:val="24"/>
          <w:lang w:eastAsia="ro-RO"/>
        </w:rPr>
      </w:pPr>
      <w:r>
        <w:rPr>
          <w:b/>
          <w:bCs/>
          <w:sz w:val="24"/>
          <w:szCs w:val="24"/>
          <w:lang w:eastAsia="ro-RO"/>
        </w:rPr>
        <w:t>NOTE</w:t>
      </w:r>
      <w:r>
        <w:rPr>
          <w:sz w:val="24"/>
          <w:szCs w:val="24"/>
          <w:lang w:eastAsia="ro-RO"/>
        </w:rPr>
        <w:t xml:space="preserve">: </w:t>
      </w:r>
    </w:p>
    <w:p>
      <w:pPr>
        <w:spacing w:after="120" w:line="276" w:lineRule="auto"/>
        <w:jc w:val="both"/>
        <w:rPr>
          <w:sz w:val="24"/>
          <w:szCs w:val="24"/>
          <w:lang w:eastAsia="ro-RO"/>
        </w:rPr>
      </w:pPr>
      <w:r>
        <w:rPr>
          <w:sz w:val="24"/>
          <w:szCs w:val="24"/>
          <w:lang w:eastAsia="ro-RO"/>
        </w:rPr>
        <w:t xml:space="preserve">- in cazul unei asocieri, se vor prezenta documente pentru fiecare dintre operatorii economici, in raport cu activitatea desfasurata in viitorul contract </w:t>
      </w:r>
    </w:p>
    <w:p>
      <w:pPr>
        <w:spacing w:after="120" w:line="276" w:lineRule="auto"/>
        <w:jc w:val="both"/>
        <w:rPr>
          <w:sz w:val="24"/>
          <w:szCs w:val="24"/>
          <w:lang w:val="it-IT"/>
        </w:rPr>
      </w:pPr>
      <w:r>
        <w:rPr>
          <w:sz w:val="24"/>
          <w:szCs w:val="24"/>
          <w:lang w:eastAsia="ro-RO"/>
        </w:rPr>
        <w:t>- documentele de confirmare trebuie sa fie valabile la data prezentarii acestora.</w:t>
      </w:r>
    </w:p>
    <w:p>
      <w:pPr>
        <w:spacing w:after="120" w:line="276" w:lineRule="auto"/>
        <w:jc w:val="both"/>
        <w:rPr>
          <w:sz w:val="24"/>
          <w:szCs w:val="24"/>
          <w:lang w:val="it-IT"/>
        </w:rPr>
      </w:pPr>
    </w:p>
    <w:p>
      <w:pPr>
        <w:spacing w:after="120" w:line="276" w:lineRule="auto"/>
        <w:jc w:val="both"/>
        <w:rPr>
          <w:b/>
          <w:bCs/>
          <w:sz w:val="24"/>
          <w:szCs w:val="24"/>
          <w:lang w:val="it-IT"/>
        </w:rPr>
      </w:pPr>
      <w:r>
        <w:rPr>
          <w:b/>
          <w:bCs/>
          <w:sz w:val="24"/>
          <w:szCs w:val="24"/>
          <w:lang w:val="it-IT"/>
        </w:rPr>
        <w:t>Justificare:</w:t>
      </w:r>
    </w:p>
    <w:p>
      <w:pPr>
        <w:spacing w:after="120" w:line="276" w:lineRule="auto"/>
        <w:jc w:val="both"/>
        <w:rPr>
          <w:sz w:val="24"/>
          <w:szCs w:val="24"/>
          <w:lang w:eastAsia="ro-RO"/>
        </w:rPr>
      </w:pPr>
      <w:r>
        <w:rPr>
          <w:sz w:val="24"/>
          <w:szCs w:val="24"/>
          <w:lang w:eastAsia="ro-RO"/>
        </w:rPr>
        <w:t xml:space="preserve">Autoritatea contractantă solicită ofertanţilor să furnizeze dovada implementării unui sistem de management al calităţii conform SR EN ISO 9001 sau echivalent, atât în virtutea dreptului conferit de prevederile legale în vigoare, în speţă art. 200 alin. (1) din Legea nr. 98/2016, cât şi din considerente legate de </w:t>
      </w:r>
    </w:p>
    <w:p>
      <w:pPr>
        <w:numPr>
          <w:ilvl w:val="0"/>
          <w:numId w:val="32"/>
        </w:numPr>
        <w:tabs>
          <w:tab w:val="clear" w:pos="1080"/>
        </w:tabs>
        <w:overflowPunct w:val="0"/>
        <w:autoSpaceDE w:val="0"/>
        <w:autoSpaceDN w:val="0"/>
        <w:adjustRightInd w:val="0"/>
        <w:spacing w:after="120" w:line="276" w:lineRule="auto"/>
        <w:jc w:val="both"/>
        <w:textAlignment w:val="baseline"/>
        <w:rPr>
          <w:sz w:val="24"/>
          <w:szCs w:val="24"/>
          <w:lang w:val="pt-BR" w:eastAsia="ro-RO"/>
        </w:rPr>
      </w:pPr>
      <w:r>
        <w:rPr>
          <w:sz w:val="24"/>
          <w:szCs w:val="24"/>
          <w:lang w:val="pt-BR" w:eastAsia="ro-RO"/>
        </w:rPr>
        <w:t xml:space="preserve"> complexitatea contractului ce urmează să fie atribuit, </w:t>
      </w:r>
    </w:p>
    <w:p>
      <w:pPr>
        <w:numPr>
          <w:ilvl w:val="0"/>
          <w:numId w:val="32"/>
        </w:numPr>
        <w:tabs>
          <w:tab w:val="clear" w:pos="1080"/>
        </w:tabs>
        <w:overflowPunct w:val="0"/>
        <w:autoSpaceDE w:val="0"/>
        <w:autoSpaceDN w:val="0"/>
        <w:adjustRightInd w:val="0"/>
        <w:spacing w:after="120" w:line="276" w:lineRule="auto"/>
        <w:jc w:val="both"/>
        <w:textAlignment w:val="baseline"/>
        <w:rPr>
          <w:sz w:val="24"/>
          <w:szCs w:val="24"/>
          <w:lang w:eastAsia="ro-RO"/>
        </w:rPr>
      </w:pPr>
      <w:r>
        <w:rPr>
          <w:sz w:val="24"/>
          <w:szCs w:val="24"/>
          <w:lang w:val="pt-BR" w:eastAsia="ro-RO"/>
        </w:rPr>
        <w:t xml:space="preserve"> </w:t>
      </w:r>
      <w:r>
        <w:rPr>
          <w:sz w:val="24"/>
          <w:szCs w:val="24"/>
          <w:lang w:eastAsia="ro-RO"/>
        </w:rPr>
        <w:t>natura obiectivelor de investiții care trebuie realizate prin implementarea contractului, şi</w:t>
      </w:r>
    </w:p>
    <w:p>
      <w:pPr>
        <w:numPr>
          <w:ilvl w:val="0"/>
          <w:numId w:val="32"/>
        </w:numPr>
        <w:tabs>
          <w:tab w:val="clear" w:pos="1080"/>
        </w:tabs>
        <w:overflowPunct w:val="0"/>
        <w:autoSpaceDE w:val="0"/>
        <w:autoSpaceDN w:val="0"/>
        <w:adjustRightInd w:val="0"/>
        <w:spacing w:after="120" w:line="276" w:lineRule="auto"/>
        <w:jc w:val="both"/>
        <w:textAlignment w:val="baseline"/>
        <w:rPr>
          <w:sz w:val="24"/>
          <w:szCs w:val="24"/>
          <w:lang w:eastAsia="ro-RO"/>
        </w:rPr>
      </w:pPr>
      <w:r>
        <w:rPr>
          <w:sz w:val="24"/>
          <w:szCs w:val="24"/>
          <w:lang w:eastAsia="ro-RO"/>
        </w:rPr>
        <w:t xml:space="preserve"> importanţa acordată de autoritatea contractantă execuției în bune condiţii a contractului de achiziție publică, în contextul utilizării eficiente a fondurilor.</w:t>
      </w:r>
    </w:p>
    <w:p>
      <w:pPr>
        <w:spacing w:after="120" w:line="276" w:lineRule="auto"/>
        <w:jc w:val="both"/>
        <w:rPr>
          <w:sz w:val="24"/>
          <w:szCs w:val="24"/>
          <w:lang w:eastAsia="ro-RO"/>
        </w:rPr>
      </w:pPr>
      <w:r>
        <w:rPr>
          <w:sz w:val="24"/>
          <w:szCs w:val="24"/>
          <w:lang w:eastAsia="ro-RO"/>
        </w:rPr>
        <w:t xml:space="preserve">În acest context, autoritatea contractantă consideră important şi relevant, în raport cu natura și complexitatea contractului, ca operatorii economici participanţi la procedura de atribuire să aibă </w:t>
      </w:r>
      <w:r>
        <w:rPr>
          <w:sz w:val="24"/>
          <w:szCs w:val="24"/>
          <w:lang w:eastAsia="ro-RO"/>
        </w:rPr>
        <w:lastRenderedPageBreak/>
        <w:t>implementat la nivelul propriei organizaţii un sistem de management al calităţii conform unui standard internaţional unanim recunoscut (SR EN ISO 9001) sau echivalent.</w:t>
      </w:r>
    </w:p>
    <w:p>
      <w:pPr>
        <w:spacing w:after="120" w:line="276" w:lineRule="auto"/>
        <w:jc w:val="both"/>
        <w:rPr>
          <w:sz w:val="24"/>
          <w:szCs w:val="24"/>
          <w:lang w:eastAsia="ro-RO"/>
        </w:rPr>
      </w:pPr>
      <w:r>
        <w:rPr>
          <w:sz w:val="24"/>
          <w:szCs w:val="24"/>
          <w:lang w:eastAsia="ro-RO"/>
        </w:rPr>
        <w:t xml:space="preserve">Cerinţa este formulată clar, asigurându-se posibilitatea îndeplinirii prin raportare la domeniul în care se încadrează activităţile principale care fac obiectul contractului (proiectare, execuție lucrări de construcții, gestionare deșeuri), precum şi respectarea principiilor nediscriminării şi recunoaşterii reciproce. </w:t>
      </w:r>
    </w:p>
    <w:p>
      <w:pPr>
        <w:spacing w:after="120" w:line="276" w:lineRule="auto"/>
        <w:jc w:val="both"/>
        <w:rPr>
          <w:sz w:val="24"/>
          <w:szCs w:val="24"/>
          <w:lang w:eastAsia="ro-RO"/>
        </w:rPr>
      </w:pPr>
      <w:r>
        <w:rPr>
          <w:sz w:val="24"/>
          <w:szCs w:val="24"/>
          <w:lang w:eastAsia="ro-RO"/>
        </w:rPr>
        <w:t>Astfel, conform dispoziţiilor art. 200 alin. (2) și (3) din Legea nr. 98/2016, pentru dovedirea îndeplinirii cerinţei, autoritatea contractantă specifică faptul că va accepta certificate echivalente emise de organisme independente, precum și orice alte probe/dovezi prezentate de operatorii economici care nu deţin certificat SR EN ISO 9001 sau echivalent, documente care confirmă asigurarea unui nivel corespunzător al calităţii echivalent cu conditiile prevazute pentru obtinerea unei certificari SR EN ISO 9001.</w:t>
      </w:r>
    </w:p>
    <w:p>
      <w:pPr>
        <w:spacing w:after="120" w:line="276" w:lineRule="auto"/>
        <w:jc w:val="both"/>
        <w:rPr>
          <w:sz w:val="24"/>
          <w:szCs w:val="24"/>
          <w:lang w:eastAsia="ro-RO"/>
        </w:rPr>
      </w:pPr>
    </w:p>
    <w:p>
      <w:pPr>
        <w:autoSpaceDE w:val="0"/>
        <w:autoSpaceDN w:val="0"/>
        <w:adjustRightInd w:val="0"/>
        <w:spacing w:after="120" w:line="276" w:lineRule="auto"/>
        <w:jc w:val="both"/>
        <w:rPr>
          <w:rFonts w:eastAsiaTheme="minorHAnsi"/>
          <w:sz w:val="24"/>
          <w:szCs w:val="24"/>
        </w:rPr>
      </w:pPr>
      <w:r>
        <w:rPr>
          <w:rFonts w:eastAsiaTheme="minorHAnsi"/>
          <w:b/>
          <w:bCs/>
          <w:sz w:val="24"/>
          <w:szCs w:val="24"/>
        </w:rPr>
        <w:t>Cerinţa nr. 2 –</w:t>
      </w:r>
      <w:r>
        <w:rPr>
          <w:rFonts w:eastAsiaTheme="minorHAnsi"/>
          <w:i/>
          <w:iCs/>
          <w:sz w:val="24"/>
          <w:szCs w:val="24"/>
        </w:rPr>
        <w:t xml:space="preserve"> </w:t>
      </w:r>
      <w:r>
        <w:rPr>
          <w:rFonts w:eastAsiaTheme="minorHAnsi"/>
          <w:sz w:val="24"/>
          <w:szCs w:val="24"/>
        </w:rPr>
        <w:t>Dovada implementării unui sistem de management de mediu certificat, pentru activităţi în domeniile în care se încadrează activitățile principale care fac obiectul contractului, în conformitate cu SR EN ISO 14001 sau echivalent, respectiv pentru urmatoarele domenii de activitate: proiectare, execuție lucrări de construcții, gestionare deșeuri.</w:t>
      </w:r>
    </w:p>
    <w:p>
      <w:pPr>
        <w:autoSpaceDE w:val="0"/>
        <w:autoSpaceDN w:val="0"/>
        <w:adjustRightInd w:val="0"/>
        <w:spacing w:after="120" w:line="276" w:lineRule="auto"/>
        <w:jc w:val="both"/>
        <w:rPr>
          <w:rFonts w:eastAsiaTheme="minorHAnsi"/>
          <w:sz w:val="24"/>
          <w:szCs w:val="24"/>
        </w:rPr>
      </w:pPr>
      <w:r>
        <w:rPr>
          <w:rFonts w:eastAsiaTheme="minorHAnsi"/>
          <w:sz w:val="24"/>
          <w:szCs w:val="24"/>
        </w:rPr>
        <w:t>Ofertantul va prezenta un certificat emis de un organism independent, care atestă că acesta are implementat, conform ISO 14001, un sistem de management de mediu pentru activităţi in domeniul in care se incadreaza activitatile principale care fac obiectul contractului ce urmează a fi atribuit. Certificatul trebuie să fie valabil la data prezentării.</w:t>
      </w:r>
    </w:p>
    <w:p>
      <w:pPr>
        <w:spacing w:after="120" w:line="276" w:lineRule="auto"/>
        <w:jc w:val="both"/>
        <w:rPr>
          <w:sz w:val="24"/>
          <w:szCs w:val="24"/>
          <w:lang w:val="it-IT"/>
        </w:rPr>
      </w:pPr>
    </w:p>
    <w:p>
      <w:pPr>
        <w:spacing w:after="120" w:line="276" w:lineRule="auto"/>
        <w:jc w:val="both"/>
        <w:rPr>
          <w:rFonts w:eastAsiaTheme="minorHAnsi"/>
          <w:sz w:val="24"/>
          <w:szCs w:val="24"/>
        </w:rPr>
      </w:pPr>
      <w:r>
        <w:rPr>
          <w:sz w:val="24"/>
          <w:szCs w:val="24"/>
          <w:u w:val="single"/>
          <w:lang w:val="it-IT"/>
        </w:rPr>
        <w:t xml:space="preserve">Modalitatea de indeplinire: </w:t>
      </w:r>
      <w:r>
        <w:rPr>
          <w:sz w:val="24"/>
          <w:szCs w:val="24"/>
          <w:lang w:eastAsia="ro-RO"/>
        </w:rPr>
        <w:t xml:space="preserve">Se va completa DUAE - "Criterii de selecție" - Secțiunea D. Sisteme de asigurare a calității și standarde de management de mediu </w:t>
      </w:r>
      <w:r>
        <w:rPr>
          <w:rFonts w:eastAsiaTheme="minorHAnsi"/>
          <w:sz w:val="24"/>
          <w:szCs w:val="24"/>
        </w:rPr>
        <w:t>(pentru fiecare operator economic, in cazul unei asocieri).</w:t>
      </w:r>
    </w:p>
    <w:p>
      <w:pPr>
        <w:autoSpaceDE w:val="0"/>
        <w:autoSpaceDN w:val="0"/>
        <w:adjustRightInd w:val="0"/>
        <w:spacing w:after="120" w:line="276" w:lineRule="auto"/>
        <w:jc w:val="both"/>
        <w:rPr>
          <w:rFonts w:eastAsiaTheme="minorHAnsi"/>
          <w:sz w:val="24"/>
          <w:szCs w:val="24"/>
        </w:rPr>
      </w:pPr>
      <w:r>
        <w:rPr>
          <w:rFonts w:eastAsiaTheme="minorHAnsi"/>
          <w:sz w:val="24"/>
          <w:szCs w:val="24"/>
        </w:rPr>
        <w:t xml:space="preserve">La solicitarea autoritatii contractante, ofertantul situat pe primul loc în clasamentul intermediar realizat dupa evaluarea ofertelor, conform criteriului de atribuire, va prezenta, in vederea probarii celor asumate prin DUAE, documente justificative, respectiv </w:t>
      </w:r>
      <w:r>
        <w:rPr>
          <w:sz w:val="24"/>
          <w:szCs w:val="24"/>
          <w:lang w:eastAsia="ro-RO"/>
        </w:rPr>
        <w:t xml:space="preserve">documente de certificare a sistemului de management de mediu, emise de un organism independent, </w:t>
      </w:r>
      <w:r>
        <w:rPr>
          <w:rFonts w:eastAsiaTheme="minorHAnsi"/>
          <w:sz w:val="24"/>
          <w:szCs w:val="24"/>
        </w:rPr>
        <w:t>sau alte probe/dovezi care confirma asigurarea unui nivel corespunzător de protecție a mediului, in cazul, demonstrat, in care operatorul economic nu are acces la un certificat de calitate astfel cum a fost solicitat ori nu are posibilitatea de a-l obtine in termenul stabilit.</w:t>
      </w:r>
    </w:p>
    <w:p>
      <w:pPr>
        <w:autoSpaceDE w:val="0"/>
        <w:autoSpaceDN w:val="0"/>
        <w:adjustRightInd w:val="0"/>
        <w:spacing w:after="120" w:line="276" w:lineRule="auto"/>
        <w:jc w:val="both"/>
        <w:rPr>
          <w:rFonts w:eastAsiaTheme="minorHAnsi"/>
          <w:sz w:val="24"/>
          <w:szCs w:val="24"/>
        </w:rPr>
      </w:pPr>
      <w:r>
        <w:rPr>
          <w:rFonts w:eastAsiaTheme="minorHAnsi"/>
          <w:sz w:val="24"/>
          <w:szCs w:val="24"/>
        </w:rPr>
        <w:t>Certificatele sau documentele echivalente trebuie sa  ateste ca operatorul economic are implementat un sistem de management de mediu pentru activitati in domeniul in care se incadreaza activitatile principale care fac obiectul contractului (proiectare, execuție lucrări de construcții, gestionare deșeuri).</w:t>
      </w:r>
    </w:p>
    <w:p>
      <w:pPr>
        <w:autoSpaceDE w:val="0"/>
        <w:autoSpaceDN w:val="0"/>
        <w:adjustRightInd w:val="0"/>
        <w:spacing w:after="120" w:line="276" w:lineRule="auto"/>
        <w:jc w:val="both"/>
        <w:rPr>
          <w:rFonts w:eastAsiaTheme="minorHAnsi"/>
          <w:sz w:val="24"/>
          <w:szCs w:val="24"/>
        </w:rPr>
      </w:pPr>
      <w:r>
        <w:rPr>
          <w:rFonts w:eastAsiaTheme="minorHAnsi"/>
          <w:sz w:val="24"/>
          <w:szCs w:val="24"/>
        </w:rPr>
        <w:t>Documentele emise in alta limba decat limba romana trebuie sa fie insotite de traducere autorizata in limba romana.</w:t>
      </w:r>
    </w:p>
    <w:p>
      <w:pPr>
        <w:spacing w:after="120" w:line="276" w:lineRule="auto"/>
        <w:jc w:val="both"/>
        <w:rPr>
          <w:sz w:val="24"/>
          <w:szCs w:val="24"/>
          <w:lang w:eastAsia="ro-RO"/>
        </w:rPr>
      </w:pPr>
      <w:r>
        <w:rPr>
          <w:sz w:val="24"/>
          <w:szCs w:val="24"/>
          <w:lang w:eastAsia="ro-RO"/>
        </w:rPr>
        <w:t>Certificatele/documentele edificatoare care probează /confirmă îndeplinirea cerinței vor fi însoțite, daca este cazul, de traducere autorizată în limba română.</w:t>
      </w:r>
    </w:p>
    <w:p>
      <w:pPr>
        <w:spacing w:after="120" w:line="276" w:lineRule="auto"/>
        <w:jc w:val="both"/>
        <w:rPr>
          <w:sz w:val="24"/>
          <w:szCs w:val="24"/>
          <w:lang w:eastAsia="ro-RO"/>
        </w:rPr>
      </w:pPr>
      <w:r>
        <w:rPr>
          <w:b/>
          <w:bCs/>
          <w:sz w:val="24"/>
          <w:szCs w:val="24"/>
          <w:lang w:eastAsia="ro-RO"/>
        </w:rPr>
        <w:t>NOTE</w:t>
      </w:r>
      <w:r>
        <w:rPr>
          <w:sz w:val="24"/>
          <w:szCs w:val="24"/>
          <w:lang w:eastAsia="ro-RO"/>
        </w:rPr>
        <w:t xml:space="preserve">: </w:t>
      </w:r>
    </w:p>
    <w:p>
      <w:pPr>
        <w:spacing w:after="120" w:line="276" w:lineRule="auto"/>
        <w:jc w:val="both"/>
        <w:rPr>
          <w:sz w:val="24"/>
          <w:szCs w:val="24"/>
          <w:lang w:eastAsia="ro-RO"/>
        </w:rPr>
      </w:pPr>
      <w:r>
        <w:rPr>
          <w:sz w:val="24"/>
          <w:szCs w:val="24"/>
          <w:lang w:eastAsia="ro-RO"/>
        </w:rPr>
        <w:t xml:space="preserve">- in cazul unei asocieri, se vor prezenta documente pentru fiecare dintre operatorii economici, in raport cu activitatea desfasurata in viitorul contract </w:t>
      </w:r>
    </w:p>
    <w:p>
      <w:pPr>
        <w:spacing w:after="120" w:line="276" w:lineRule="auto"/>
        <w:jc w:val="both"/>
        <w:rPr>
          <w:sz w:val="24"/>
          <w:szCs w:val="24"/>
          <w:lang w:val="it-IT"/>
        </w:rPr>
      </w:pPr>
      <w:r>
        <w:rPr>
          <w:sz w:val="24"/>
          <w:szCs w:val="24"/>
          <w:lang w:eastAsia="ro-RO"/>
        </w:rPr>
        <w:t>- documentele de confirmare trebuie sa fie valabile la data prezentarii acestora.</w:t>
      </w:r>
    </w:p>
    <w:p>
      <w:pPr>
        <w:spacing w:after="120" w:line="276" w:lineRule="auto"/>
        <w:jc w:val="both"/>
        <w:rPr>
          <w:sz w:val="24"/>
          <w:szCs w:val="24"/>
          <w:lang w:val="it-IT"/>
        </w:rPr>
      </w:pPr>
    </w:p>
    <w:p>
      <w:pPr>
        <w:spacing w:after="120" w:line="276" w:lineRule="auto"/>
        <w:jc w:val="both"/>
        <w:rPr>
          <w:b/>
          <w:bCs/>
          <w:sz w:val="24"/>
          <w:szCs w:val="24"/>
          <w:lang w:val="it-IT"/>
        </w:rPr>
      </w:pPr>
      <w:r>
        <w:rPr>
          <w:sz w:val="24"/>
          <w:szCs w:val="24"/>
          <w:lang w:val="it-IT"/>
        </w:rPr>
        <w:t xml:space="preserve"> </w:t>
      </w:r>
      <w:r>
        <w:rPr>
          <w:b/>
          <w:bCs/>
          <w:sz w:val="24"/>
          <w:szCs w:val="24"/>
          <w:lang w:val="it-IT"/>
        </w:rPr>
        <w:t>Justificare:</w:t>
      </w:r>
    </w:p>
    <w:p>
      <w:pPr>
        <w:spacing w:after="120" w:line="276" w:lineRule="auto"/>
        <w:jc w:val="both"/>
        <w:rPr>
          <w:sz w:val="24"/>
          <w:szCs w:val="24"/>
          <w:lang w:eastAsia="ro-RO"/>
        </w:rPr>
      </w:pPr>
      <w:r>
        <w:rPr>
          <w:sz w:val="24"/>
          <w:szCs w:val="24"/>
          <w:lang w:eastAsia="ro-RO"/>
        </w:rPr>
        <w:t xml:space="preserve">Autoritatea contractantă solicită ofertanţilor să furnizeze dovada implementării unui sistem de management de mediu conform SR EN ISO 14001 sau echivalent, atât în virtutea dreptului conferit de prevederile legale în vigoare, în speţă art. 200 alin. (1) din Legea nr. 98/2016, cât şi din considerente legate de </w:t>
      </w:r>
    </w:p>
    <w:p>
      <w:pPr>
        <w:numPr>
          <w:ilvl w:val="0"/>
          <w:numId w:val="33"/>
        </w:numPr>
        <w:overflowPunct w:val="0"/>
        <w:autoSpaceDE w:val="0"/>
        <w:autoSpaceDN w:val="0"/>
        <w:adjustRightInd w:val="0"/>
        <w:spacing w:after="120" w:line="276" w:lineRule="auto"/>
        <w:jc w:val="both"/>
        <w:textAlignment w:val="baseline"/>
        <w:rPr>
          <w:sz w:val="24"/>
          <w:szCs w:val="24"/>
          <w:lang w:eastAsia="ro-RO"/>
        </w:rPr>
      </w:pPr>
      <w:r>
        <w:rPr>
          <w:sz w:val="24"/>
          <w:szCs w:val="24"/>
          <w:lang w:eastAsia="ro-RO"/>
        </w:rPr>
        <w:t xml:space="preserve"> natura activităților care fac obiectul contractului ce urmează să fie atribuit, </w:t>
      </w:r>
    </w:p>
    <w:p>
      <w:pPr>
        <w:numPr>
          <w:ilvl w:val="0"/>
          <w:numId w:val="33"/>
        </w:numPr>
        <w:overflowPunct w:val="0"/>
        <w:autoSpaceDE w:val="0"/>
        <w:autoSpaceDN w:val="0"/>
        <w:adjustRightInd w:val="0"/>
        <w:spacing w:after="120" w:line="276" w:lineRule="auto"/>
        <w:jc w:val="both"/>
        <w:textAlignment w:val="baseline"/>
        <w:rPr>
          <w:sz w:val="24"/>
          <w:szCs w:val="24"/>
          <w:lang w:eastAsia="ro-RO"/>
        </w:rPr>
      </w:pPr>
      <w:r>
        <w:rPr>
          <w:sz w:val="24"/>
          <w:szCs w:val="24"/>
          <w:lang w:eastAsia="ro-RO"/>
        </w:rPr>
        <w:t xml:space="preserve"> impactul pe care îl pot avea asupra mediului activitățile specifice șantierelor de lucrări, respectiv gestionării deșeurilor, şi</w:t>
      </w:r>
    </w:p>
    <w:p>
      <w:pPr>
        <w:spacing w:after="120" w:line="276" w:lineRule="auto"/>
        <w:ind w:left="360"/>
        <w:jc w:val="both"/>
        <w:rPr>
          <w:sz w:val="24"/>
          <w:szCs w:val="24"/>
          <w:lang w:val="pt-BR" w:eastAsia="ro-RO"/>
        </w:rPr>
      </w:pPr>
      <w:r>
        <w:rPr>
          <w:sz w:val="24"/>
          <w:szCs w:val="24"/>
          <w:lang w:val="pt-BR" w:eastAsia="ro-RO"/>
        </w:rPr>
        <w:t>(iii) importanţa acordată de autoritatea contractantă execuției contractului de achiziție publică în condiții de protecție adecvată a mediului.</w:t>
      </w:r>
    </w:p>
    <w:p>
      <w:pPr>
        <w:spacing w:after="120" w:line="276" w:lineRule="auto"/>
        <w:jc w:val="both"/>
        <w:rPr>
          <w:sz w:val="24"/>
          <w:szCs w:val="24"/>
          <w:lang w:val="pt-BR" w:eastAsia="ro-RO"/>
        </w:rPr>
      </w:pPr>
      <w:r>
        <w:rPr>
          <w:sz w:val="24"/>
          <w:szCs w:val="24"/>
          <w:lang w:val="pt-BR" w:eastAsia="ro-RO"/>
        </w:rPr>
        <w:t>În acest context, autoritatea contractantă consideră important şi relevant, în raport cu natura și complexitatea contractului, ca operatorii economici participanţi la procedura de atribuire să aibă implementat la nivelul propriei organizaţii un sistem de management de mediu conform unui standard internaţional unanim recunoscut (SR EN ISO 14001) sau echivalent.</w:t>
      </w:r>
    </w:p>
    <w:p>
      <w:pPr>
        <w:spacing w:after="120" w:line="276" w:lineRule="auto"/>
        <w:jc w:val="both"/>
        <w:rPr>
          <w:sz w:val="24"/>
          <w:szCs w:val="24"/>
          <w:lang w:val="pt-BR" w:eastAsia="ro-RO"/>
        </w:rPr>
      </w:pPr>
      <w:r>
        <w:rPr>
          <w:sz w:val="24"/>
          <w:szCs w:val="24"/>
          <w:lang w:val="pt-BR" w:eastAsia="ro-RO"/>
        </w:rPr>
        <w:t xml:space="preserve">Cerinţa este formulată clar, asigurându-se posibilitatea îndeplinirii prin raportare la domeniul în care se încadrează activităţile principale care fac obiectul contractului (proiectare, execuție lucrări de construcții, gestionare deșeuri), precum şi respectarea principiilor nediscriminării şi recunoaşterii reciproce. </w:t>
      </w:r>
    </w:p>
    <w:p>
      <w:pPr>
        <w:spacing w:after="120" w:line="276" w:lineRule="auto"/>
        <w:jc w:val="both"/>
        <w:rPr>
          <w:sz w:val="24"/>
          <w:szCs w:val="24"/>
          <w:lang w:val="it-IT"/>
        </w:rPr>
      </w:pPr>
      <w:r>
        <w:rPr>
          <w:sz w:val="24"/>
          <w:szCs w:val="24"/>
          <w:lang w:val="pt-BR" w:eastAsia="ro-RO"/>
        </w:rPr>
        <w:t>Astfel, conform dispoziţiilor art. 200 alin. (2) și (3) din Legea nr. 98/2016, pentru dovedirea îndeplinirii cerinţei, autoritatea contractantă specifică faptul că va accepta certificate echivalente emise de organisme independente, precum și orice alte probe prezentate de operatorii economici care nu deţin certificat SR EN ISO 14001 sau echivalent, probe/dovezi care confirma asigurarea unui nivel corespunzator al protectiei mediului, echivalent cu conditiile prevazute pentru obtinerea unei certificari SR EN ISO 14001.</w:t>
      </w:r>
    </w:p>
    <w:p>
      <w:pPr>
        <w:spacing w:after="120" w:line="276" w:lineRule="auto"/>
        <w:jc w:val="center"/>
        <w:rPr>
          <w:b/>
          <w:sz w:val="24"/>
          <w:szCs w:val="24"/>
          <w:lang w:val="pt-BR"/>
        </w:rPr>
      </w:pPr>
    </w:p>
    <w:p>
      <w:pPr>
        <w:spacing w:after="120" w:line="276" w:lineRule="auto"/>
        <w:jc w:val="center"/>
        <w:rPr>
          <w:b/>
          <w:sz w:val="24"/>
          <w:szCs w:val="24"/>
          <w:lang w:val="pt-BR"/>
        </w:rPr>
      </w:pPr>
    </w:p>
    <w:p>
      <w:pPr>
        <w:spacing w:after="120" w:line="276" w:lineRule="auto"/>
        <w:jc w:val="center"/>
        <w:rPr>
          <w:b/>
          <w:sz w:val="24"/>
          <w:szCs w:val="24"/>
          <w:lang w:val="pt-BR"/>
        </w:rPr>
      </w:pPr>
    </w:p>
    <w:sectPr>
      <w:footerReference w:type="even" r:id="rId11"/>
      <w:footerReference w:type="default" r:id="rId12"/>
      <w:type w:val="continuous"/>
      <w:pgSz w:w="11909" w:h="16834" w:code="9"/>
      <w:pgMar w:top="567" w:right="710" w:bottom="720" w:left="1134" w:header="340" w:footer="57" w:gutter="0"/>
      <w:cols w:space="720" w:equalWidth="0">
        <w:col w:w="10065" w:space="72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pPr>
    <w:r>
      <w:rPr>
        <w:noProof/>
      </w:rPr>
      <mc:AlternateContent>
        <mc:Choice Requires="wps">
          <w:drawing>
            <wp:anchor distT="0" distB="0" distL="114300" distR="114300" simplePos="0" relativeHeight="251659264" behindDoc="1" locked="0" layoutInCell="1" allowOverlap="1">
              <wp:simplePos x="0" y="0"/>
              <wp:positionH relativeFrom="page">
                <wp:posOffset>6716395</wp:posOffset>
              </wp:positionH>
              <wp:positionV relativeFrom="page">
                <wp:posOffset>6852920</wp:posOffset>
              </wp:positionV>
              <wp:extent cx="20320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pStyle w:val="BodyText"/>
                            <w:spacing w:before="13"/>
                            <w:ind w:left="6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28.85pt;margin-top:539.6pt;width:16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XjqwIAAKgFAAAOAAAAZHJzL2Uyb0RvYy54bWysVF1vmzAUfZ+0/2D5nfJRQgIKqdIQpknd&#10;h9TuBzhggjWwme0Eumn/fdempEmrSdM2HtDFvj6+557DXd4MbYOOVComeIr9Kw8jygtRMr5P8ZeH&#10;3FlgpDThJWkEpyl+pArfrN6+WfZdQgNRi6akEgEIV0nfpbjWuktcVxU1bYm6Eh3lsFkJ2RINn3Lv&#10;lpL0gN42buB5kdsLWXZSFFQpWM3GTbyy+FVFC/2pqhTVqEkx1KbtW9r3zrzd1ZIke0m6mhVPZZC/&#10;qKIljMOlJ6iMaIIOkr2CalkhhRKVvipE64qqYgW1HICN771gc1+Tjlou0BzVndqk/h9s8fH4WSJW&#10;gnYYcdKCRA900OhWDMg33ek7lUDSfQdpeoBlk2mYqu5OFF8V4mJTE76naylFX1NSQnX2pHt2dMRR&#10;BmTXfxAlXEMOWligoZKtAYRmIEAHlR5PyphSClgMvGtQG6MCtvxoHoVWOZck0+FOKv2OihaZIMUS&#10;hLfg5HinNNCA1CnF3MVFzprGit/wiwVIHFfgajhq9kwRVssfsRdvF9tF6IRBtHVCL8ucdb4JnSj3&#10;57PsOttsMv+nudcPk5qVJeXmmslXfvhnuj05fHTEyVlKNKw0cKYkJfe7TSPRkYCvc/sYsaD4szT3&#10;sgy7DVxeUPKD0LsNYiePFnMnzMOZE8+9heP58W0ceWEcZvklpTvG6b9TQn2K41kwG730W26efV5z&#10;I0nLNEyOhrUpXpySSGIcuOWllVYT1ozxWStM+c+tgI5NQlu/GouOZtXDbgAUY+KdKB/BuVKAs8CE&#10;MO4gqIX8jlEPoyPF6tuBSIpR856D+82cmQI5BbspILyAoynWGI3hRo/z6NBJtq8Befy/uFjDH1Ix&#10;697nKqB08wHjwJJ4Gl1m3px/26znAbv6BQAA//8DAFBLAwQUAAYACAAAACEAFaKwcN8AAAAPAQAA&#10;DwAAAGRycy9kb3ducmV2LnhtbExPQU7DMBC8I/EHa5G4UZtKJE2IU1UITkiINBw4OrGbWI3XIXbb&#10;8Hs2J3qb2RnNzhTb2Q3sbKZgPUp4XAlgBluvLXYSvuq3hw2wEBVqNXg0En5NgG15e1OoXPsLVua8&#10;jx2jEAy5ktDHOOach7Y3ToWVHw2SdvCTU5Ho1HE9qQuFu4GvhUi4UxbpQ69G89Kb9rg/OQm7b6xe&#10;7c9H81kdKlvXmcD35Cjl/d28ewYWzRz/zbDUp+pQUqfGn1AHNhAXT2lK3gWl2RrY4hGbjG4NIZIT&#10;4GXBr3eUfwAAAP//AwBQSwECLQAUAAYACAAAACEAtoM4kv4AAADhAQAAEwAAAAAAAAAAAAAAAAAA&#10;AAAAW0NvbnRlbnRfVHlwZXNdLnhtbFBLAQItABQABgAIAAAAIQA4/SH/1gAAAJQBAAALAAAAAAAA&#10;AAAAAAAAAC8BAABfcmVscy8ucmVsc1BLAQItABQABgAIAAAAIQAyOVXjqwIAAKgFAAAOAAAAAAAA&#10;AAAAAAAAAC4CAABkcnMvZTJvRG9jLnhtbFBLAQItABQABgAIAAAAIQAVorBw3wAAAA8BAAAPAAAA&#10;AAAAAAAAAAAAAAUFAABkcnMvZG93bnJldi54bWxQSwUGAAAAAAQABADzAAAAEQYAAAAA&#10;" filled="f" stroked="f">
              <v:textbox inset="0,0,0,0">
                <w:txbxContent>
                  <w:p>
                    <w:pPr>
                      <w:pStyle w:val="BodyText"/>
                      <w:spacing w:before="13"/>
                      <w:ind w:left="60"/>
                      <w:rPr>
                        <w:rFonts w:ascii="Times New Roman"/>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p>
  <w:p>
    <w:pPr>
      <w:pStyle w:val="Footer"/>
    </w:pPr>
  </w:p>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jc w:val="center"/>
      <w:outlineLvl w:val="0"/>
      <w:rPr>
        <w:rFonts w:ascii="Arial" w:hAnsi="Arial"/>
        <w:b/>
        <w:noProof/>
        <w:sz w:val="28"/>
        <w:szCs w:val="28"/>
      </w:rPr>
    </w:pPr>
    <w:bookmarkStart w:id="1" w:name="_Hlk230263216"/>
    <w:bookmarkStart w:id="2" w:name="_Hlk230263217"/>
    <w:r>
      <w:rPr>
        <w:rFonts w:ascii="Arial" w:hAnsi="Arial"/>
        <w:b/>
        <w:noProof/>
        <w:sz w:val="28"/>
        <w:szCs w:val="28"/>
      </w:rPr>
      <w:t>HOTÃRÂREA NR. ________din_______________2026</w:t>
    </w:r>
  </w:p>
  <w:p>
    <w:pPr>
      <w:pBdr>
        <w:bottom w:val="single" w:sz="4" w:space="1" w:color="auto"/>
      </w:pBdr>
      <w:tabs>
        <w:tab w:val="center" w:pos="4320"/>
        <w:tab w:val="right" w:pos="8640"/>
      </w:tabs>
      <w:jc w:val="center"/>
      <w:rPr>
        <w:rFonts w:ascii="Arial" w:hAnsi="Arial"/>
        <w:b/>
        <w:sz w:val="28"/>
        <w:szCs w:val="28"/>
      </w:rPr>
    </w:pPr>
    <w:r>
      <w:rPr>
        <w:rFonts w:ascii="Arial" w:hAnsi="Arial"/>
        <w:b/>
        <w:noProof/>
        <w:sz w:val="28"/>
        <w:szCs w:val="28"/>
      </w:rPr>
      <w:t xml:space="preserve">Pag. nr. </w:t>
    </w:r>
    <w:r>
      <w:rPr>
        <w:rFonts w:ascii="Arial" w:hAnsi="Arial"/>
        <w:b/>
        <w:sz w:val="28"/>
        <w:szCs w:val="28"/>
      </w:rPr>
      <w:fldChar w:fldCharType="begin"/>
    </w:r>
    <w:r>
      <w:rPr>
        <w:rFonts w:ascii="Arial" w:hAnsi="Arial"/>
        <w:b/>
        <w:sz w:val="28"/>
        <w:szCs w:val="28"/>
      </w:rPr>
      <w:instrText xml:space="preserve"> PAGE </w:instrText>
    </w:r>
    <w:r>
      <w:rPr>
        <w:rFonts w:ascii="Arial" w:hAnsi="Arial"/>
        <w:b/>
        <w:sz w:val="28"/>
        <w:szCs w:val="28"/>
      </w:rPr>
      <w:fldChar w:fldCharType="separate"/>
    </w:r>
    <w:r>
      <w:rPr>
        <w:rFonts w:ascii="Arial" w:hAnsi="Arial"/>
        <w:b/>
        <w:noProof/>
        <w:sz w:val="28"/>
        <w:szCs w:val="28"/>
      </w:rPr>
      <w:t>448</w:t>
    </w:r>
    <w:r>
      <w:rPr>
        <w:rFonts w:ascii="Arial" w:hAnsi="Arial"/>
        <w:b/>
        <w:sz w:val="28"/>
        <w:szCs w:val="28"/>
      </w:rPr>
      <w:fldChar w:fldCharType="end"/>
    </w:r>
  </w:p>
  <w:p>
    <w:pPr>
      <w:tabs>
        <w:tab w:val="center" w:pos="4320"/>
        <w:tab w:val="right" w:pos="8640"/>
      </w:tabs>
      <w:rPr>
        <w:lang w:eastAsia="x-none"/>
      </w:rPr>
    </w:pPr>
  </w:p>
  <w:bookmarkEnd w:id="1"/>
  <w:bookmarkEnd w:id="2"/>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7DAF49A"/>
    <w:lvl w:ilvl="0">
      <w:numFmt w:val="bullet"/>
      <w:lvlText w:val="*"/>
      <w:lvlJc w:val="left"/>
    </w:lvl>
  </w:abstractNum>
  <w:abstractNum w:abstractNumId="1" w15:restartNumberingAfterBreak="0">
    <w:nsid w:val="01F129A8"/>
    <w:multiLevelType w:val="singleLevel"/>
    <w:tmpl w:val="86B20202"/>
    <w:lvl w:ilvl="0">
      <w:start w:val="1"/>
      <w:numFmt w:val="decimal"/>
      <w:lvlText w:val="%1."/>
      <w:legacy w:legacy="1" w:legacySpace="0" w:legacyIndent="413"/>
      <w:lvlJc w:val="left"/>
      <w:rPr>
        <w:rFonts w:ascii="Times New Roman" w:hAnsi="Times New Roman" w:cs="Times New Roman" w:hint="default"/>
      </w:rPr>
    </w:lvl>
  </w:abstractNum>
  <w:abstractNum w:abstractNumId="2" w15:restartNumberingAfterBreak="0">
    <w:nsid w:val="080E3FC6"/>
    <w:multiLevelType w:val="hybridMultilevel"/>
    <w:tmpl w:val="60F27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138D4"/>
    <w:multiLevelType w:val="hybridMultilevel"/>
    <w:tmpl w:val="2EAAAFBA"/>
    <w:lvl w:ilvl="0" w:tplc="AC56F6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6325CD"/>
    <w:multiLevelType w:val="hybridMultilevel"/>
    <w:tmpl w:val="B1BE5AF4"/>
    <w:lvl w:ilvl="0" w:tplc="B4269096">
      <w:start w:val="5"/>
      <w:numFmt w:val="decimal"/>
      <w:lvlText w:val="%1"/>
      <w:lvlJc w:val="left"/>
      <w:pPr>
        <w:ind w:left="758" w:hanging="640"/>
      </w:pPr>
      <w:rPr>
        <w:rFonts w:hint="default"/>
        <w:lang w:val="ro-RO" w:eastAsia="en-US" w:bidi="ar-SA"/>
      </w:rPr>
    </w:lvl>
    <w:lvl w:ilvl="1" w:tplc="4B5801A0">
      <w:numFmt w:val="none"/>
      <w:lvlText w:val=""/>
      <w:lvlJc w:val="left"/>
      <w:pPr>
        <w:tabs>
          <w:tab w:val="num" w:pos="360"/>
        </w:tabs>
      </w:pPr>
    </w:lvl>
    <w:lvl w:ilvl="2" w:tplc="A6BC1D86">
      <w:numFmt w:val="none"/>
      <w:lvlText w:val=""/>
      <w:lvlJc w:val="left"/>
      <w:pPr>
        <w:tabs>
          <w:tab w:val="num" w:pos="360"/>
        </w:tabs>
      </w:pPr>
    </w:lvl>
    <w:lvl w:ilvl="3" w:tplc="06486D16">
      <w:numFmt w:val="bullet"/>
      <w:lvlText w:val="•"/>
      <w:lvlJc w:val="left"/>
      <w:pPr>
        <w:ind w:left="3328" w:hanging="640"/>
      </w:pPr>
      <w:rPr>
        <w:rFonts w:hint="default"/>
        <w:lang w:val="ro-RO" w:eastAsia="en-US" w:bidi="ar-SA"/>
      </w:rPr>
    </w:lvl>
    <w:lvl w:ilvl="4" w:tplc="5D82B6E4">
      <w:numFmt w:val="bullet"/>
      <w:lvlText w:val="•"/>
      <w:lvlJc w:val="left"/>
      <w:pPr>
        <w:ind w:left="4184" w:hanging="640"/>
      </w:pPr>
      <w:rPr>
        <w:rFonts w:hint="default"/>
        <w:lang w:val="ro-RO" w:eastAsia="en-US" w:bidi="ar-SA"/>
      </w:rPr>
    </w:lvl>
    <w:lvl w:ilvl="5" w:tplc="C448B1D6">
      <w:numFmt w:val="bullet"/>
      <w:lvlText w:val="•"/>
      <w:lvlJc w:val="left"/>
      <w:pPr>
        <w:ind w:left="5040" w:hanging="640"/>
      </w:pPr>
      <w:rPr>
        <w:rFonts w:hint="default"/>
        <w:lang w:val="ro-RO" w:eastAsia="en-US" w:bidi="ar-SA"/>
      </w:rPr>
    </w:lvl>
    <w:lvl w:ilvl="6" w:tplc="F4EC8898">
      <w:numFmt w:val="bullet"/>
      <w:lvlText w:val="•"/>
      <w:lvlJc w:val="left"/>
      <w:pPr>
        <w:ind w:left="5896" w:hanging="640"/>
      </w:pPr>
      <w:rPr>
        <w:rFonts w:hint="default"/>
        <w:lang w:val="ro-RO" w:eastAsia="en-US" w:bidi="ar-SA"/>
      </w:rPr>
    </w:lvl>
    <w:lvl w:ilvl="7" w:tplc="CF3CE2F0">
      <w:numFmt w:val="bullet"/>
      <w:lvlText w:val="•"/>
      <w:lvlJc w:val="left"/>
      <w:pPr>
        <w:ind w:left="6752" w:hanging="640"/>
      </w:pPr>
      <w:rPr>
        <w:rFonts w:hint="default"/>
        <w:lang w:val="ro-RO" w:eastAsia="en-US" w:bidi="ar-SA"/>
      </w:rPr>
    </w:lvl>
    <w:lvl w:ilvl="8" w:tplc="944E1420">
      <w:numFmt w:val="bullet"/>
      <w:lvlText w:val="•"/>
      <w:lvlJc w:val="left"/>
      <w:pPr>
        <w:ind w:left="7608" w:hanging="640"/>
      </w:pPr>
      <w:rPr>
        <w:rFonts w:hint="default"/>
        <w:lang w:val="ro-RO" w:eastAsia="en-US" w:bidi="ar-SA"/>
      </w:rPr>
    </w:lvl>
  </w:abstractNum>
  <w:abstractNum w:abstractNumId="5" w15:restartNumberingAfterBreak="0">
    <w:nsid w:val="231800AC"/>
    <w:multiLevelType w:val="hybridMultilevel"/>
    <w:tmpl w:val="CBE0E70E"/>
    <w:lvl w:ilvl="0" w:tplc="A32C41D4">
      <w:numFmt w:val="bullet"/>
      <w:lvlText w:val="-"/>
      <w:lvlJc w:val="left"/>
      <w:pPr>
        <w:ind w:left="1139" w:hanging="360"/>
      </w:pPr>
      <w:rPr>
        <w:rFonts w:ascii="Times New Roman" w:eastAsia="Times New Roman" w:hAnsi="Times New Roman" w:cs="Times New Roman" w:hint="default"/>
        <w:w w:val="100"/>
        <w:sz w:val="20"/>
        <w:szCs w:val="20"/>
        <w:lang w:val="ro-RO" w:eastAsia="en-US" w:bidi="ar-SA"/>
      </w:rPr>
    </w:lvl>
    <w:lvl w:ilvl="1" w:tplc="EA52ED4A">
      <w:numFmt w:val="bullet"/>
      <w:lvlText w:val="•"/>
      <w:lvlJc w:val="left"/>
      <w:pPr>
        <w:ind w:left="2018" w:hanging="360"/>
      </w:pPr>
      <w:rPr>
        <w:rFonts w:hint="default"/>
        <w:lang w:val="ro-RO" w:eastAsia="en-US" w:bidi="ar-SA"/>
      </w:rPr>
    </w:lvl>
    <w:lvl w:ilvl="2" w:tplc="BE22BDBE">
      <w:numFmt w:val="bullet"/>
      <w:lvlText w:val="•"/>
      <w:lvlJc w:val="left"/>
      <w:pPr>
        <w:ind w:left="2896" w:hanging="360"/>
      </w:pPr>
      <w:rPr>
        <w:rFonts w:hint="default"/>
        <w:lang w:val="ro-RO" w:eastAsia="en-US" w:bidi="ar-SA"/>
      </w:rPr>
    </w:lvl>
    <w:lvl w:ilvl="3" w:tplc="BEE01EFC">
      <w:numFmt w:val="bullet"/>
      <w:lvlText w:val="•"/>
      <w:lvlJc w:val="left"/>
      <w:pPr>
        <w:ind w:left="3774" w:hanging="360"/>
      </w:pPr>
      <w:rPr>
        <w:rFonts w:hint="default"/>
        <w:lang w:val="ro-RO" w:eastAsia="en-US" w:bidi="ar-SA"/>
      </w:rPr>
    </w:lvl>
    <w:lvl w:ilvl="4" w:tplc="351866A0">
      <w:numFmt w:val="bullet"/>
      <w:lvlText w:val="•"/>
      <w:lvlJc w:val="left"/>
      <w:pPr>
        <w:ind w:left="4652" w:hanging="360"/>
      </w:pPr>
      <w:rPr>
        <w:rFonts w:hint="default"/>
        <w:lang w:val="ro-RO" w:eastAsia="en-US" w:bidi="ar-SA"/>
      </w:rPr>
    </w:lvl>
    <w:lvl w:ilvl="5" w:tplc="7D76A6AC">
      <w:numFmt w:val="bullet"/>
      <w:lvlText w:val="•"/>
      <w:lvlJc w:val="left"/>
      <w:pPr>
        <w:ind w:left="5530" w:hanging="360"/>
      </w:pPr>
      <w:rPr>
        <w:rFonts w:hint="default"/>
        <w:lang w:val="ro-RO" w:eastAsia="en-US" w:bidi="ar-SA"/>
      </w:rPr>
    </w:lvl>
    <w:lvl w:ilvl="6" w:tplc="C0701F84">
      <w:numFmt w:val="bullet"/>
      <w:lvlText w:val="•"/>
      <w:lvlJc w:val="left"/>
      <w:pPr>
        <w:ind w:left="6408" w:hanging="360"/>
      </w:pPr>
      <w:rPr>
        <w:rFonts w:hint="default"/>
        <w:lang w:val="ro-RO" w:eastAsia="en-US" w:bidi="ar-SA"/>
      </w:rPr>
    </w:lvl>
    <w:lvl w:ilvl="7" w:tplc="74A67FC4">
      <w:numFmt w:val="bullet"/>
      <w:lvlText w:val="•"/>
      <w:lvlJc w:val="left"/>
      <w:pPr>
        <w:ind w:left="7286" w:hanging="360"/>
      </w:pPr>
      <w:rPr>
        <w:rFonts w:hint="default"/>
        <w:lang w:val="ro-RO" w:eastAsia="en-US" w:bidi="ar-SA"/>
      </w:rPr>
    </w:lvl>
    <w:lvl w:ilvl="8" w:tplc="14B4B85E">
      <w:numFmt w:val="bullet"/>
      <w:lvlText w:val="•"/>
      <w:lvlJc w:val="left"/>
      <w:pPr>
        <w:ind w:left="8164" w:hanging="360"/>
      </w:pPr>
      <w:rPr>
        <w:rFonts w:hint="default"/>
        <w:lang w:val="ro-RO" w:eastAsia="en-US" w:bidi="ar-SA"/>
      </w:rPr>
    </w:lvl>
  </w:abstractNum>
  <w:abstractNum w:abstractNumId="6" w15:restartNumberingAfterBreak="0">
    <w:nsid w:val="243C5C91"/>
    <w:multiLevelType w:val="hybridMultilevel"/>
    <w:tmpl w:val="D7403C46"/>
    <w:lvl w:ilvl="0" w:tplc="C8586AC0">
      <w:numFmt w:val="bullet"/>
      <w:lvlText w:val="•"/>
      <w:lvlJc w:val="left"/>
      <w:pPr>
        <w:ind w:left="419" w:hanging="199"/>
      </w:pPr>
      <w:rPr>
        <w:rFonts w:ascii="Verdana" w:eastAsia="Verdana" w:hAnsi="Verdana" w:cs="Verdana" w:hint="default"/>
        <w:w w:val="100"/>
        <w:sz w:val="20"/>
        <w:szCs w:val="20"/>
        <w:lang w:val="ro-RO" w:eastAsia="en-US" w:bidi="ar-SA"/>
      </w:rPr>
    </w:lvl>
    <w:lvl w:ilvl="1" w:tplc="DDDCF16C">
      <w:numFmt w:val="bullet"/>
      <w:lvlText w:val="•"/>
      <w:lvlJc w:val="left"/>
      <w:pPr>
        <w:ind w:left="1370" w:hanging="199"/>
      </w:pPr>
      <w:rPr>
        <w:rFonts w:hint="default"/>
        <w:lang w:val="ro-RO" w:eastAsia="en-US" w:bidi="ar-SA"/>
      </w:rPr>
    </w:lvl>
    <w:lvl w:ilvl="2" w:tplc="807C7AD4">
      <w:numFmt w:val="bullet"/>
      <w:lvlText w:val="•"/>
      <w:lvlJc w:val="left"/>
      <w:pPr>
        <w:ind w:left="2320" w:hanging="199"/>
      </w:pPr>
      <w:rPr>
        <w:rFonts w:hint="default"/>
        <w:lang w:val="ro-RO" w:eastAsia="en-US" w:bidi="ar-SA"/>
      </w:rPr>
    </w:lvl>
    <w:lvl w:ilvl="3" w:tplc="77C07C3A">
      <w:numFmt w:val="bullet"/>
      <w:lvlText w:val="•"/>
      <w:lvlJc w:val="left"/>
      <w:pPr>
        <w:ind w:left="3270" w:hanging="199"/>
      </w:pPr>
      <w:rPr>
        <w:rFonts w:hint="default"/>
        <w:lang w:val="ro-RO" w:eastAsia="en-US" w:bidi="ar-SA"/>
      </w:rPr>
    </w:lvl>
    <w:lvl w:ilvl="4" w:tplc="39CE11B4">
      <w:numFmt w:val="bullet"/>
      <w:lvlText w:val="•"/>
      <w:lvlJc w:val="left"/>
      <w:pPr>
        <w:ind w:left="4220" w:hanging="199"/>
      </w:pPr>
      <w:rPr>
        <w:rFonts w:hint="default"/>
        <w:lang w:val="ro-RO" w:eastAsia="en-US" w:bidi="ar-SA"/>
      </w:rPr>
    </w:lvl>
    <w:lvl w:ilvl="5" w:tplc="8E56FBF2">
      <w:numFmt w:val="bullet"/>
      <w:lvlText w:val="•"/>
      <w:lvlJc w:val="left"/>
      <w:pPr>
        <w:ind w:left="5170" w:hanging="199"/>
      </w:pPr>
      <w:rPr>
        <w:rFonts w:hint="default"/>
        <w:lang w:val="ro-RO" w:eastAsia="en-US" w:bidi="ar-SA"/>
      </w:rPr>
    </w:lvl>
    <w:lvl w:ilvl="6" w:tplc="025A90C8">
      <w:numFmt w:val="bullet"/>
      <w:lvlText w:val="•"/>
      <w:lvlJc w:val="left"/>
      <w:pPr>
        <w:ind w:left="6120" w:hanging="199"/>
      </w:pPr>
      <w:rPr>
        <w:rFonts w:hint="default"/>
        <w:lang w:val="ro-RO" w:eastAsia="en-US" w:bidi="ar-SA"/>
      </w:rPr>
    </w:lvl>
    <w:lvl w:ilvl="7" w:tplc="C57A62DA">
      <w:numFmt w:val="bullet"/>
      <w:lvlText w:val="•"/>
      <w:lvlJc w:val="left"/>
      <w:pPr>
        <w:ind w:left="7070" w:hanging="199"/>
      </w:pPr>
      <w:rPr>
        <w:rFonts w:hint="default"/>
        <w:lang w:val="ro-RO" w:eastAsia="en-US" w:bidi="ar-SA"/>
      </w:rPr>
    </w:lvl>
    <w:lvl w:ilvl="8" w:tplc="B0B4765E">
      <w:numFmt w:val="bullet"/>
      <w:lvlText w:val="•"/>
      <w:lvlJc w:val="left"/>
      <w:pPr>
        <w:ind w:left="8020" w:hanging="199"/>
      </w:pPr>
      <w:rPr>
        <w:rFonts w:hint="default"/>
        <w:lang w:val="ro-RO" w:eastAsia="en-US" w:bidi="ar-SA"/>
      </w:rPr>
    </w:lvl>
  </w:abstractNum>
  <w:abstractNum w:abstractNumId="7" w15:restartNumberingAfterBreak="0">
    <w:nsid w:val="259A3149"/>
    <w:multiLevelType w:val="hybridMultilevel"/>
    <w:tmpl w:val="4BE85D96"/>
    <w:lvl w:ilvl="0" w:tplc="D6A8A7E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035E6"/>
    <w:multiLevelType w:val="hybridMultilevel"/>
    <w:tmpl w:val="F4922832"/>
    <w:lvl w:ilvl="0" w:tplc="612A0A3E">
      <w:start w:val="1"/>
      <w:numFmt w:val="lowerLetter"/>
      <w:lvlText w:val="%1)"/>
      <w:lvlJc w:val="left"/>
      <w:pPr>
        <w:ind w:left="786"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6610BA0"/>
    <w:multiLevelType w:val="hybridMultilevel"/>
    <w:tmpl w:val="764814CA"/>
    <w:lvl w:ilvl="0" w:tplc="D67842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E40C1"/>
    <w:multiLevelType w:val="hybridMultilevel"/>
    <w:tmpl w:val="7F267AC0"/>
    <w:lvl w:ilvl="0" w:tplc="B6CEB1BC">
      <w:start w:val="1"/>
      <w:numFmt w:val="bullet"/>
      <w:lvlText w:val=""/>
      <w:lvlJc w:val="left"/>
      <w:pPr>
        <w:ind w:left="720" w:hanging="360"/>
      </w:pPr>
      <w:rPr>
        <w:rFonts w:ascii="Symbol" w:hAnsi="Symbol"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87A139E"/>
    <w:multiLevelType w:val="hybridMultilevel"/>
    <w:tmpl w:val="963ADD1A"/>
    <w:lvl w:ilvl="0" w:tplc="E45A1562">
      <w:start w:val="1"/>
      <w:numFmt w:val="lowerLetter"/>
      <w:lvlText w:val="%1)"/>
      <w:lvlJc w:val="left"/>
      <w:pPr>
        <w:ind w:left="700" w:hanging="282"/>
      </w:pPr>
      <w:rPr>
        <w:rFonts w:ascii="Verdana" w:eastAsia="Verdana" w:hAnsi="Verdana" w:cs="Verdana" w:hint="default"/>
        <w:spacing w:val="-1"/>
        <w:w w:val="100"/>
        <w:sz w:val="20"/>
        <w:szCs w:val="20"/>
        <w:lang w:val="ro-RO" w:eastAsia="en-US" w:bidi="ar-SA"/>
      </w:rPr>
    </w:lvl>
    <w:lvl w:ilvl="1" w:tplc="C7C45410">
      <w:numFmt w:val="bullet"/>
      <w:lvlText w:val=""/>
      <w:lvlJc w:val="left"/>
      <w:pPr>
        <w:ind w:left="1139" w:hanging="360"/>
      </w:pPr>
      <w:rPr>
        <w:rFonts w:ascii="Symbol" w:eastAsia="Symbol" w:hAnsi="Symbol" w:cs="Symbol" w:hint="default"/>
        <w:w w:val="100"/>
        <w:sz w:val="20"/>
        <w:szCs w:val="20"/>
        <w:lang w:val="ro-RO" w:eastAsia="en-US" w:bidi="ar-SA"/>
      </w:rPr>
    </w:lvl>
    <w:lvl w:ilvl="2" w:tplc="667AB8C0">
      <w:numFmt w:val="bullet"/>
      <w:lvlText w:val="•"/>
      <w:lvlJc w:val="left"/>
      <w:pPr>
        <w:ind w:left="1340" w:hanging="360"/>
      </w:pPr>
      <w:rPr>
        <w:rFonts w:hint="default"/>
        <w:lang w:val="ro-RO" w:eastAsia="en-US" w:bidi="ar-SA"/>
      </w:rPr>
    </w:lvl>
    <w:lvl w:ilvl="3" w:tplc="2E1084A0">
      <w:numFmt w:val="bullet"/>
      <w:lvlText w:val="•"/>
      <w:lvlJc w:val="left"/>
      <w:pPr>
        <w:ind w:left="2412" w:hanging="360"/>
      </w:pPr>
      <w:rPr>
        <w:rFonts w:hint="default"/>
        <w:lang w:val="ro-RO" w:eastAsia="en-US" w:bidi="ar-SA"/>
      </w:rPr>
    </w:lvl>
    <w:lvl w:ilvl="4" w:tplc="69960E84">
      <w:numFmt w:val="bullet"/>
      <w:lvlText w:val="•"/>
      <w:lvlJc w:val="left"/>
      <w:pPr>
        <w:ind w:left="3485" w:hanging="360"/>
      </w:pPr>
      <w:rPr>
        <w:rFonts w:hint="default"/>
        <w:lang w:val="ro-RO" w:eastAsia="en-US" w:bidi="ar-SA"/>
      </w:rPr>
    </w:lvl>
    <w:lvl w:ilvl="5" w:tplc="2316631E">
      <w:numFmt w:val="bullet"/>
      <w:lvlText w:val="•"/>
      <w:lvlJc w:val="left"/>
      <w:pPr>
        <w:ind w:left="4557" w:hanging="360"/>
      </w:pPr>
      <w:rPr>
        <w:rFonts w:hint="default"/>
        <w:lang w:val="ro-RO" w:eastAsia="en-US" w:bidi="ar-SA"/>
      </w:rPr>
    </w:lvl>
    <w:lvl w:ilvl="6" w:tplc="ED64C916">
      <w:numFmt w:val="bullet"/>
      <w:lvlText w:val="•"/>
      <w:lvlJc w:val="left"/>
      <w:pPr>
        <w:ind w:left="5630" w:hanging="360"/>
      </w:pPr>
      <w:rPr>
        <w:rFonts w:hint="default"/>
        <w:lang w:val="ro-RO" w:eastAsia="en-US" w:bidi="ar-SA"/>
      </w:rPr>
    </w:lvl>
    <w:lvl w:ilvl="7" w:tplc="D06096BA">
      <w:numFmt w:val="bullet"/>
      <w:lvlText w:val="•"/>
      <w:lvlJc w:val="left"/>
      <w:pPr>
        <w:ind w:left="6702" w:hanging="360"/>
      </w:pPr>
      <w:rPr>
        <w:rFonts w:hint="default"/>
        <w:lang w:val="ro-RO" w:eastAsia="en-US" w:bidi="ar-SA"/>
      </w:rPr>
    </w:lvl>
    <w:lvl w:ilvl="8" w:tplc="D1A42E7A">
      <w:numFmt w:val="bullet"/>
      <w:lvlText w:val="•"/>
      <w:lvlJc w:val="left"/>
      <w:pPr>
        <w:ind w:left="7775" w:hanging="360"/>
      </w:pPr>
      <w:rPr>
        <w:rFonts w:hint="default"/>
        <w:lang w:val="ro-RO" w:eastAsia="en-US" w:bidi="ar-SA"/>
      </w:rPr>
    </w:lvl>
  </w:abstractNum>
  <w:abstractNum w:abstractNumId="12" w15:restartNumberingAfterBreak="0">
    <w:nsid w:val="29B36164"/>
    <w:multiLevelType w:val="hybridMultilevel"/>
    <w:tmpl w:val="AC223E70"/>
    <w:lvl w:ilvl="0" w:tplc="04090001">
      <w:start w:val="1"/>
      <w:numFmt w:val="bullet"/>
      <w:lvlText w:val=""/>
      <w:lvlJc w:val="left"/>
      <w:pPr>
        <w:ind w:left="1804" w:hanging="360"/>
      </w:pPr>
      <w:rPr>
        <w:rFonts w:ascii="Symbol" w:hAnsi="Symbol" w:hint="default"/>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abstractNum w:abstractNumId="13" w15:restartNumberingAfterBreak="0">
    <w:nsid w:val="31717EC1"/>
    <w:multiLevelType w:val="hybridMultilevel"/>
    <w:tmpl w:val="C10C8CA8"/>
    <w:lvl w:ilvl="0" w:tplc="04090001">
      <w:start w:val="1"/>
      <w:numFmt w:val="bullet"/>
      <w:lvlText w:val=""/>
      <w:lvlJc w:val="left"/>
      <w:pPr>
        <w:ind w:left="119" w:hanging="187"/>
      </w:pPr>
      <w:rPr>
        <w:rFonts w:ascii="Symbol" w:hAnsi="Symbol" w:hint="default"/>
        <w:w w:val="100"/>
        <w:sz w:val="20"/>
        <w:szCs w:val="20"/>
        <w:lang w:val="ro-RO" w:eastAsia="en-US" w:bidi="ar-SA"/>
      </w:rPr>
    </w:lvl>
    <w:lvl w:ilvl="1" w:tplc="FFFFFFFF">
      <w:numFmt w:val="bullet"/>
      <w:lvlText w:val="•"/>
      <w:lvlJc w:val="left"/>
      <w:pPr>
        <w:ind w:left="1040" w:hanging="187"/>
      </w:pPr>
      <w:rPr>
        <w:rFonts w:hint="default"/>
        <w:lang w:val="ro-RO" w:eastAsia="en-US" w:bidi="ar-SA"/>
      </w:rPr>
    </w:lvl>
    <w:lvl w:ilvl="2" w:tplc="FFFFFFFF">
      <w:numFmt w:val="bullet"/>
      <w:lvlText w:val="•"/>
      <w:lvlJc w:val="left"/>
      <w:pPr>
        <w:ind w:left="1960" w:hanging="187"/>
      </w:pPr>
      <w:rPr>
        <w:rFonts w:hint="default"/>
        <w:lang w:val="ro-RO" w:eastAsia="en-US" w:bidi="ar-SA"/>
      </w:rPr>
    </w:lvl>
    <w:lvl w:ilvl="3" w:tplc="FFFFFFFF">
      <w:numFmt w:val="bullet"/>
      <w:lvlText w:val="•"/>
      <w:lvlJc w:val="left"/>
      <w:pPr>
        <w:ind w:left="2880" w:hanging="187"/>
      </w:pPr>
      <w:rPr>
        <w:rFonts w:hint="default"/>
        <w:lang w:val="ro-RO" w:eastAsia="en-US" w:bidi="ar-SA"/>
      </w:rPr>
    </w:lvl>
    <w:lvl w:ilvl="4" w:tplc="FFFFFFFF">
      <w:numFmt w:val="bullet"/>
      <w:lvlText w:val="•"/>
      <w:lvlJc w:val="left"/>
      <w:pPr>
        <w:ind w:left="3800" w:hanging="187"/>
      </w:pPr>
      <w:rPr>
        <w:rFonts w:hint="default"/>
        <w:lang w:val="ro-RO" w:eastAsia="en-US" w:bidi="ar-SA"/>
      </w:rPr>
    </w:lvl>
    <w:lvl w:ilvl="5" w:tplc="FFFFFFFF">
      <w:numFmt w:val="bullet"/>
      <w:lvlText w:val="•"/>
      <w:lvlJc w:val="left"/>
      <w:pPr>
        <w:ind w:left="4720" w:hanging="187"/>
      </w:pPr>
      <w:rPr>
        <w:rFonts w:hint="default"/>
        <w:lang w:val="ro-RO" w:eastAsia="en-US" w:bidi="ar-SA"/>
      </w:rPr>
    </w:lvl>
    <w:lvl w:ilvl="6" w:tplc="FFFFFFFF">
      <w:numFmt w:val="bullet"/>
      <w:lvlText w:val="•"/>
      <w:lvlJc w:val="left"/>
      <w:pPr>
        <w:ind w:left="5640" w:hanging="187"/>
      </w:pPr>
      <w:rPr>
        <w:rFonts w:hint="default"/>
        <w:lang w:val="ro-RO" w:eastAsia="en-US" w:bidi="ar-SA"/>
      </w:rPr>
    </w:lvl>
    <w:lvl w:ilvl="7" w:tplc="FFFFFFFF">
      <w:numFmt w:val="bullet"/>
      <w:lvlText w:val="•"/>
      <w:lvlJc w:val="left"/>
      <w:pPr>
        <w:ind w:left="6560" w:hanging="187"/>
      </w:pPr>
      <w:rPr>
        <w:rFonts w:hint="default"/>
        <w:lang w:val="ro-RO" w:eastAsia="en-US" w:bidi="ar-SA"/>
      </w:rPr>
    </w:lvl>
    <w:lvl w:ilvl="8" w:tplc="FFFFFFFF">
      <w:numFmt w:val="bullet"/>
      <w:lvlText w:val="•"/>
      <w:lvlJc w:val="left"/>
      <w:pPr>
        <w:ind w:left="7480" w:hanging="187"/>
      </w:pPr>
      <w:rPr>
        <w:rFonts w:hint="default"/>
        <w:lang w:val="ro-RO" w:eastAsia="en-US" w:bidi="ar-SA"/>
      </w:rPr>
    </w:lvl>
  </w:abstractNum>
  <w:abstractNum w:abstractNumId="14" w15:restartNumberingAfterBreak="0">
    <w:nsid w:val="335D42CC"/>
    <w:multiLevelType w:val="hybridMultilevel"/>
    <w:tmpl w:val="D804B114"/>
    <w:lvl w:ilvl="0" w:tplc="62B08F3E">
      <w:numFmt w:val="bullet"/>
      <w:lvlText w:val="-"/>
      <w:lvlJc w:val="left"/>
      <w:pPr>
        <w:ind w:left="1152" w:hanging="360"/>
      </w:pPr>
      <w:rPr>
        <w:rFonts w:ascii="Times New Roman" w:eastAsiaTheme="minorEastAsia"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3E52062A"/>
    <w:multiLevelType w:val="hybridMultilevel"/>
    <w:tmpl w:val="7856064A"/>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6" w15:restartNumberingAfterBreak="0">
    <w:nsid w:val="432760E7"/>
    <w:multiLevelType w:val="hybridMultilevel"/>
    <w:tmpl w:val="9B2C7498"/>
    <w:lvl w:ilvl="0" w:tplc="637AAF0A">
      <w:start w:val="2"/>
      <w:numFmt w:val="decimal"/>
      <w:lvlText w:val="%1."/>
      <w:lvlJc w:val="left"/>
      <w:pPr>
        <w:ind w:left="392" w:hanging="283"/>
      </w:pPr>
      <w:rPr>
        <w:rFonts w:ascii="Verdana" w:eastAsia="Verdana" w:hAnsi="Verdana" w:cs="Verdana" w:hint="default"/>
        <w:b/>
        <w:bCs/>
        <w:spacing w:val="-2"/>
        <w:w w:val="100"/>
        <w:sz w:val="20"/>
        <w:szCs w:val="20"/>
        <w:lang w:val="ro-RO" w:eastAsia="en-US" w:bidi="ar-SA"/>
      </w:rPr>
    </w:lvl>
    <w:lvl w:ilvl="1" w:tplc="7F7427E8">
      <w:numFmt w:val="bullet"/>
      <w:lvlText w:val="-"/>
      <w:lvlJc w:val="left"/>
      <w:pPr>
        <w:ind w:left="830" w:hanging="360"/>
      </w:pPr>
      <w:rPr>
        <w:rFonts w:ascii="Times New Roman" w:eastAsia="Times New Roman" w:hAnsi="Times New Roman" w:cs="Times New Roman" w:hint="default"/>
        <w:w w:val="100"/>
        <w:sz w:val="20"/>
        <w:szCs w:val="20"/>
        <w:lang w:val="ro-RO" w:eastAsia="en-US" w:bidi="ar-SA"/>
      </w:rPr>
    </w:lvl>
    <w:lvl w:ilvl="2" w:tplc="32984998">
      <w:numFmt w:val="bullet"/>
      <w:lvlText w:val="•"/>
      <w:lvlJc w:val="left"/>
      <w:pPr>
        <w:ind w:left="1371" w:hanging="360"/>
      </w:pPr>
      <w:rPr>
        <w:rFonts w:hint="default"/>
        <w:lang w:val="ro-RO" w:eastAsia="en-US" w:bidi="ar-SA"/>
      </w:rPr>
    </w:lvl>
    <w:lvl w:ilvl="3" w:tplc="C05C0E38">
      <w:numFmt w:val="bullet"/>
      <w:lvlText w:val="•"/>
      <w:lvlJc w:val="left"/>
      <w:pPr>
        <w:ind w:left="1903" w:hanging="360"/>
      </w:pPr>
      <w:rPr>
        <w:rFonts w:hint="default"/>
        <w:lang w:val="ro-RO" w:eastAsia="en-US" w:bidi="ar-SA"/>
      </w:rPr>
    </w:lvl>
    <w:lvl w:ilvl="4" w:tplc="B74095C0">
      <w:numFmt w:val="bullet"/>
      <w:lvlText w:val="•"/>
      <w:lvlJc w:val="left"/>
      <w:pPr>
        <w:ind w:left="2435" w:hanging="360"/>
      </w:pPr>
      <w:rPr>
        <w:rFonts w:hint="default"/>
        <w:lang w:val="ro-RO" w:eastAsia="en-US" w:bidi="ar-SA"/>
      </w:rPr>
    </w:lvl>
    <w:lvl w:ilvl="5" w:tplc="4F144BE4">
      <w:numFmt w:val="bullet"/>
      <w:lvlText w:val="•"/>
      <w:lvlJc w:val="left"/>
      <w:pPr>
        <w:ind w:left="2966" w:hanging="360"/>
      </w:pPr>
      <w:rPr>
        <w:rFonts w:hint="default"/>
        <w:lang w:val="ro-RO" w:eastAsia="en-US" w:bidi="ar-SA"/>
      </w:rPr>
    </w:lvl>
    <w:lvl w:ilvl="6" w:tplc="DF382286">
      <w:numFmt w:val="bullet"/>
      <w:lvlText w:val="•"/>
      <w:lvlJc w:val="left"/>
      <w:pPr>
        <w:ind w:left="3498" w:hanging="360"/>
      </w:pPr>
      <w:rPr>
        <w:rFonts w:hint="default"/>
        <w:lang w:val="ro-RO" w:eastAsia="en-US" w:bidi="ar-SA"/>
      </w:rPr>
    </w:lvl>
    <w:lvl w:ilvl="7" w:tplc="EE20CCCC">
      <w:numFmt w:val="bullet"/>
      <w:lvlText w:val="•"/>
      <w:lvlJc w:val="left"/>
      <w:pPr>
        <w:ind w:left="4030" w:hanging="360"/>
      </w:pPr>
      <w:rPr>
        <w:rFonts w:hint="default"/>
        <w:lang w:val="ro-RO" w:eastAsia="en-US" w:bidi="ar-SA"/>
      </w:rPr>
    </w:lvl>
    <w:lvl w:ilvl="8" w:tplc="48543790">
      <w:numFmt w:val="bullet"/>
      <w:lvlText w:val="•"/>
      <w:lvlJc w:val="left"/>
      <w:pPr>
        <w:ind w:left="4561" w:hanging="360"/>
      </w:pPr>
      <w:rPr>
        <w:rFonts w:hint="default"/>
        <w:lang w:val="ro-RO" w:eastAsia="en-US" w:bidi="ar-SA"/>
      </w:rPr>
    </w:lvl>
  </w:abstractNum>
  <w:abstractNum w:abstractNumId="17" w15:restartNumberingAfterBreak="0">
    <w:nsid w:val="48B0492E"/>
    <w:multiLevelType w:val="hybridMultilevel"/>
    <w:tmpl w:val="4E20924A"/>
    <w:lvl w:ilvl="0" w:tplc="8D1CE146">
      <w:numFmt w:val="bullet"/>
      <w:lvlText w:val="•"/>
      <w:lvlJc w:val="left"/>
      <w:pPr>
        <w:ind w:left="119" w:hanging="187"/>
      </w:pPr>
      <w:rPr>
        <w:rFonts w:ascii="Verdana" w:eastAsia="Verdana" w:hAnsi="Verdana" w:cs="Verdana" w:hint="default"/>
        <w:w w:val="100"/>
        <w:sz w:val="20"/>
        <w:szCs w:val="20"/>
        <w:lang w:val="ro-RO" w:eastAsia="en-US" w:bidi="ar-SA"/>
      </w:rPr>
    </w:lvl>
    <w:lvl w:ilvl="1" w:tplc="EB76C9BE">
      <w:numFmt w:val="bullet"/>
      <w:lvlText w:val="•"/>
      <w:lvlJc w:val="left"/>
      <w:pPr>
        <w:ind w:left="1040" w:hanging="187"/>
      </w:pPr>
      <w:rPr>
        <w:rFonts w:hint="default"/>
        <w:lang w:val="ro-RO" w:eastAsia="en-US" w:bidi="ar-SA"/>
      </w:rPr>
    </w:lvl>
    <w:lvl w:ilvl="2" w:tplc="FC6692E6">
      <w:numFmt w:val="bullet"/>
      <w:lvlText w:val="•"/>
      <w:lvlJc w:val="left"/>
      <w:pPr>
        <w:ind w:left="1960" w:hanging="187"/>
      </w:pPr>
      <w:rPr>
        <w:rFonts w:hint="default"/>
        <w:lang w:val="ro-RO" w:eastAsia="en-US" w:bidi="ar-SA"/>
      </w:rPr>
    </w:lvl>
    <w:lvl w:ilvl="3" w:tplc="FAE6D0C0">
      <w:numFmt w:val="bullet"/>
      <w:lvlText w:val="•"/>
      <w:lvlJc w:val="left"/>
      <w:pPr>
        <w:ind w:left="2880" w:hanging="187"/>
      </w:pPr>
      <w:rPr>
        <w:rFonts w:hint="default"/>
        <w:lang w:val="ro-RO" w:eastAsia="en-US" w:bidi="ar-SA"/>
      </w:rPr>
    </w:lvl>
    <w:lvl w:ilvl="4" w:tplc="E3D4DFA8">
      <w:numFmt w:val="bullet"/>
      <w:lvlText w:val="•"/>
      <w:lvlJc w:val="left"/>
      <w:pPr>
        <w:ind w:left="3800" w:hanging="187"/>
      </w:pPr>
      <w:rPr>
        <w:rFonts w:hint="default"/>
        <w:lang w:val="ro-RO" w:eastAsia="en-US" w:bidi="ar-SA"/>
      </w:rPr>
    </w:lvl>
    <w:lvl w:ilvl="5" w:tplc="C35E934E">
      <w:numFmt w:val="bullet"/>
      <w:lvlText w:val="•"/>
      <w:lvlJc w:val="left"/>
      <w:pPr>
        <w:ind w:left="4720" w:hanging="187"/>
      </w:pPr>
      <w:rPr>
        <w:rFonts w:hint="default"/>
        <w:lang w:val="ro-RO" w:eastAsia="en-US" w:bidi="ar-SA"/>
      </w:rPr>
    </w:lvl>
    <w:lvl w:ilvl="6" w:tplc="9F145E0C">
      <w:numFmt w:val="bullet"/>
      <w:lvlText w:val="•"/>
      <w:lvlJc w:val="left"/>
      <w:pPr>
        <w:ind w:left="5640" w:hanging="187"/>
      </w:pPr>
      <w:rPr>
        <w:rFonts w:hint="default"/>
        <w:lang w:val="ro-RO" w:eastAsia="en-US" w:bidi="ar-SA"/>
      </w:rPr>
    </w:lvl>
    <w:lvl w:ilvl="7" w:tplc="65CA5EAA">
      <w:numFmt w:val="bullet"/>
      <w:lvlText w:val="•"/>
      <w:lvlJc w:val="left"/>
      <w:pPr>
        <w:ind w:left="6560" w:hanging="187"/>
      </w:pPr>
      <w:rPr>
        <w:rFonts w:hint="default"/>
        <w:lang w:val="ro-RO" w:eastAsia="en-US" w:bidi="ar-SA"/>
      </w:rPr>
    </w:lvl>
    <w:lvl w:ilvl="8" w:tplc="3944337C">
      <w:numFmt w:val="bullet"/>
      <w:lvlText w:val="•"/>
      <w:lvlJc w:val="left"/>
      <w:pPr>
        <w:ind w:left="7480" w:hanging="187"/>
      </w:pPr>
      <w:rPr>
        <w:rFonts w:hint="default"/>
        <w:lang w:val="ro-RO" w:eastAsia="en-US" w:bidi="ar-SA"/>
      </w:rPr>
    </w:lvl>
  </w:abstractNum>
  <w:abstractNum w:abstractNumId="18" w15:restartNumberingAfterBreak="0">
    <w:nsid w:val="4C842F1E"/>
    <w:multiLevelType w:val="hybridMultilevel"/>
    <w:tmpl w:val="D41CADEA"/>
    <w:lvl w:ilvl="0" w:tplc="52AE30F6">
      <w:start w:val="1"/>
      <w:numFmt w:val="decimal"/>
      <w:lvlText w:val="%1."/>
      <w:lvlJc w:val="center"/>
      <w:pPr>
        <w:tabs>
          <w:tab w:val="num" w:pos="190"/>
        </w:tabs>
        <w:ind w:left="190" w:hanging="190"/>
      </w:pPr>
      <w:rPr>
        <w:rFonts w:cs="Times New Roman" w:hint="default"/>
        <w:b/>
      </w:rPr>
    </w:lvl>
    <w:lvl w:ilvl="1" w:tplc="04070003" w:tentative="1">
      <w:start w:val="1"/>
      <w:numFmt w:val="lowerLetter"/>
      <w:lvlText w:val="%2."/>
      <w:lvlJc w:val="left"/>
      <w:pPr>
        <w:tabs>
          <w:tab w:val="num" w:pos="1440"/>
        </w:tabs>
        <w:ind w:left="1440" w:hanging="360"/>
      </w:pPr>
      <w:rPr>
        <w:rFonts w:cs="Times New Roman"/>
      </w:rPr>
    </w:lvl>
    <w:lvl w:ilvl="2" w:tplc="04070005" w:tentative="1">
      <w:start w:val="1"/>
      <w:numFmt w:val="lowerRoman"/>
      <w:lvlText w:val="%3."/>
      <w:lvlJc w:val="right"/>
      <w:pPr>
        <w:tabs>
          <w:tab w:val="num" w:pos="2160"/>
        </w:tabs>
        <w:ind w:left="2160" w:hanging="180"/>
      </w:pPr>
      <w:rPr>
        <w:rFonts w:cs="Times New Roman"/>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54D406AF"/>
    <w:multiLevelType w:val="hybridMultilevel"/>
    <w:tmpl w:val="2FF89072"/>
    <w:lvl w:ilvl="0" w:tplc="021E8FDA">
      <w:start w:val="1"/>
      <w:numFmt w:val="lowerLetter"/>
      <w:lvlText w:val="%1)"/>
      <w:lvlJc w:val="left"/>
      <w:pPr>
        <w:ind w:left="119" w:hanging="276"/>
      </w:pPr>
      <w:rPr>
        <w:rFonts w:ascii="Verdana" w:eastAsia="Verdana" w:hAnsi="Verdana" w:cs="Verdana" w:hint="default"/>
        <w:spacing w:val="-1"/>
        <w:w w:val="100"/>
        <w:sz w:val="20"/>
        <w:szCs w:val="20"/>
        <w:lang w:val="ro-RO" w:eastAsia="en-US" w:bidi="ar-SA"/>
      </w:rPr>
    </w:lvl>
    <w:lvl w:ilvl="1" w:tplc="345E6174">
      <w:start w:val="3"/>
      <w:numFmt w:val="lowerLetter"/>
      <w:lvlText w:val="%2)"/>
      <w:lvlJc w:val="left"/>
      <w:pPr>
        <w:ind w:left="970" w:hanging="252"/>
      </w:pPr>
      <w:rPr>
        <w:rFonts w:ascii="Verdana" w:eastAsia="Verdana" w:hAnsi="Verdana" w:cs="Verdana" w:hint="default"/>
        <w:spacing w:val="-1"/>
        <w:w w:val="100"/>
        <w:sz w:val="20"/>
        <w:szCs w:val="20"/>
        <w:lang w:val="ro-RO" w:eastAsia="en-US" w:bidi="ar-SA"/>
      </w:rPr>
    </w:lvl>
    <w:lvl w:ilvl="2" w:tplc="0424517C">
      <w:numFmt w:val="bullet"/>
      <w:lvlText w:val="•"/>
      <w:lvlJc w:val="left"/>
      <w:pPr>
        <w:ind w:left="1906" w:hanging="252"/>
      </w:pPr>
      <w:rPr>
        <w:rFonts w:hint="default"/>
        <w:lang w:val="ro-RO" w:eastAsia="en-US" w:bidi="ar-SA"/>
      </w:rPr>
    </w:lvl>
    <w:lvl w:ilvl="3" w:tplc="6F7C7BCC">
      <w:numFmt w:val="bullet"/>
      <w:lvlText w:val="•"/>
      <w:lvlJc w:val="left"/>
      <w:pPr>
        <w:ind w:left="2833" w:hanging="252"/>
      </w:pPr>
      <w:rPr>
        <w:rFonts w:hint="default"/>
        <w:lang w:val="ro-RO" w:eastAsia="en-US" w:bidi="ar-SA"/>
      </w:rPr>
    </w:lvl>
    <w:lvl w:ilvl="4" w:tplc="BA0AAF92">
      <w:numFmt w:val="bullet"/>
      <w:lvlText w:val="•"/>
      <w:lvlJc w:val="left"/>
      <w:pPr>
        <w:ind w:left="3760" w:hanging="252"/>
      </w:pPr>
      <w:rPr>
        <w:rFonts w:hint="default"/>
        <w:lang w:val="ro-RO" w:eastAsia="en-US" w:bidi="ar-SA"/>
      </w:rPr>
    </w:lvl>
    <w:lvl w:ilvl="5" w:tplc="1C4CDFE0">
      <w:numFmt w:val="bullet"/>
      <w:lvlText w:val="•"/>
      <w:lvlJc w:val="left"/>
      <w:pPr>
        <w:ind w:left="4686" w:hanging="252"/>
      </w:pPr>
      <w:rPr>
        <w:rFonts w:hint="default"/>
        <w:lang w:val="ro-RO" w:eastAsia="en-US" w:bidi="ar-SA"/>
      </w:rPr>
    </w:lvl>
    <w:lvl w:ilvl="6" w:tplc="0FF481FA">
      <w:numFmt w:val="bullet"/>
      <w:lvlText w:val="•"/>
      <w:lvlJc w:val="left"/>
      <w:pPr>
        <w:ind w:left="5613" w:hanging="252"/>
      </w:pPr>
      <w:rPr>
        <w:rFonts w:hint="default"/>
        <w:lang w:val="ro-RO" w:eastAsia="en-US" w:bidi="ar-SA"/>
      </w:rPr>
    </w:lvl>
    <w:lvl w:ilvl="7" w:tplc="B6EAB580">
      <w:numFmt w:val="bullet"/>
      <w:lvlText w:val="•"/>
      <w:lvlJc w:val="left"/>
      <w:pPr>
        <w:ind w:left="6540" w:hanging="252"/>
      </w:pPr>
      <w:rPr>
        <w:rFonts w:hint="default"/>
        <w:lang w:val="ro-RO" w:eastAsia="en-US" w:bidi="ar-SA"/>
      </w:rPr>
    </w:lvl>
    <w:lvl w:ilvl="8" w:tplc="92B6F2E2">
      <w:numFmt w:val="bullet"/>
      <w:lvlText w:val="•"/>
      <w:lvlJc w:val="left"/>
      <w:pPr>
        <w:ind w:left="7466" w:hanging="252"/>
      </w:pPr>
      <w:rPr>
        <w:rFonts w:hint="default"/>
        <w:lang w:val="ro-RO" w:eastAsia="en-US" w:bidi="ar-SA"/>
      </w:rPr>
    </w:lvl>
  </w:abstractNum>
  <w:abstractNum w:abstractNumId="20" w15:restartNumberingAfterBreak="0">
    <w:nsid w:val="5CF602AB"/>
    <w:multiLevelType w:val="hybridMultilevel"/>
    <w:tmpl w:val="78E4394C"/>
    <w:lvl w:ilvl="0" w:tplc="AAAC1A2A">
      <w:start w:val="3"/>
      <w:numFmt w:val="decimal"/>
      <w:lvlText w:val="%1"/>
      <w:lvlJc w:val="left"/>
      <w:pPr>
        <w:ind w:left="1273" w:hanging="854"/>
      </w:pPr>
      <w:rPr>
        <w:rFonts w:hint="default"/>
        <w:lang w:val="ro-RO" w:eastAsia="en-US" w:bidi="ar-SA"/>
      </w:rPr>
    </w:lvl>
    <w:lvl w:ilvl="1" w:tplc="FBF0B6A2">
      <w:numFmt w:val="none"/>
      <w:lvlText w:val=""/>
      <w:lvlJc w:val="left"/>
      <w:pPr>
        <w:tabs>
          <w:tab w:val="num" w:pos="360"/>
        </w:tabs>
      </w:pPr>
    </w:lvl>
    <w:lvl w:ilvl="2" w:tplc="093EE048">
      <w:numFmt w:val="none"/>
      <w:lvlText w:val=""/>
      <w:lvlJc w:val="left"/>
      <w:pPr>
        <w:tabs>
          <w:tab w:val="num" w:pos="360"/>
        </w:tabs>
      </w:pPr>
    </w:lvl>
    <w:lvl w:ilvl="3" w:tplc="DDDAB5A4">
      <w:numFmt w:val="none"/>
      <w:lvlText w:val=""/>
      <w:lvlJc w:val="left"/>
      <w:pPr>
        <w:tabs>
          <w:tab w:val="num" w:pos="360"/>
        </w:tabs>
      </w:pPr>
    </w:lvl>
    <w:lvl w:ilvl="4" w:tplc="078E3E82">
      <w:numFmt w:val="bullet"/>
      <w:lvlText w:val="-"/>
      <w:lvlJc w:val="left"/>
      <w:pPr>
        <w:ind w:left="1139" w:hanging="360"/>
      </w:pPr>
      <w:rPr>
        <w:rFonts w:ascii="Times New Roman" w:eastAsia="Times New Roman" w:hAnsi="Times New Roman" w:cs="Times New Roman" w:hint="default"/>
        <w:w w:val="100"/>
        <w:sz w:val="20"/>
        <w:szCs w:val="20"/>
        <w:lang w:val="ro-RO" w:eastAsia="en-US" w:bidi="ar-SA"/>
      </w:rPr>
    </w:lvl>
    <w:lvl w:ilvl="5" w:tplc="51A45E20">
      <w:numFmt w:val="bullet"/>
      <w:lvlText w:val="•"/>
      <w:lvlJc w:val="left"/>
      <w:pPr>
        <w:ind w:left="5120" w:hanging="360"/>
      </w:pPr>
      <w:rPr>
        <w:rFonts w:hint="default"/>
        <w:lang w:val="ro-RO" w:eastAsia="en-US" w:bidi="ar-SA"/>
      </w:rPr>
    </w:lvl>
    <w:lvl w:ilvl="6" w:tplc="53B48C0C">
      <w:numFmt w:val="bullet"/>
      <w:lvlText w:val="•"/>
      <w:lvlJc w:val="left"/>
      <w:pPr>
        <w:ind w:left="6080" w:hanging="360"/>
      </w:pPr>
      <w:rPr>
        <w:rFonts w:hint="default"/>
        <w:lang w:val="ro-RO" w:eastAsia="en-US" w:bidi="ar-SA"/>
      </w:rPr>
    </w:lvl>
    <w:lvl w:ilvl="7" w:tplc="53DED384">
      <w:numFmt w:val="bullet"/>
      <w:lvlText w:val="•"/>
      <w:lvlJc w:val="left"/>
      <w:pPr>
        <w:ind w:left="7040" w:hanging="360"/>
      </w:pPr>
      <w:rPr>
        <w:rFonts w:hint="default"/>
        <w:lang w:val="ro-RO" w:eastAsia="en-US" w:bidi="ar-SA"/>
      </w:rPr>
    </w:lvl>
    <w:lvl w:ilvl="8" w:tplc="2A349B66">
      <w:numFmt w:val="bullet"/>
      <w:lvlText w:val="•"/>
      <w:lvlJc w:val="left"/>
      <w:pPr>
        <w:ind w:left="8000" w:hanging="360"/>
      </w:pPr>
      <w:rPr>
        <w:rFonts w:hint="default"/>
        <w:lang w:val="ro-RO" w:eastAsia="en-US" w:bidi="ar-SA"/>
      </w:rPr>
    </w:lvl>
  </w:abstractNum>
  <w:abstractNum w:abstractNumId="21" w15:restartNumberingAfterBreak="0">
    <w:nsid w:val="5D6E16F3"/>
    <w:multiLevelType w:val="hybridMultilevel"/>
    <w:tmpl w:val="38CEAD1C"/>
    <w:lvl w:ilvl="0" w:tplc="AB28BF72">
      <w:start w:val="1"/>
      <w:numFmt w:val="decimal"/>
      <w:lvlText w:val="(%1)"/>
      <w:lvlJc w:val="left"/>
      <w:pPr>
        <w:ind w:left="419" w:hanging="375"/>
        <w:jc w:val="right"/>
      </w:pPr>
      <w:rPr>
        <w:rFonts w:ascii="Verdana" w:eastAsia="Verdana" w:hAnsi="Verdana" w:cs="Verdana" w:hint="default"/>
        <w:spacing w:val="-2"/>
        <w:w w:val="100"/>
        <w:sz w:val="20"/>
        <w:szCs w:val="20"/>
        <w:lang w:val="ro-RO" w:eastAsia="en-US" w:bidi="ar-SA"/>
      </w:rPr>
    </w:lvl>
    <w:lvl w:ilvl="1" w:tplc="F3663F34">
      <w:numFmt w:val="bullet"/>
      <w:lvlText w:val="•"/>
      <w:lvlJc w:val="left"/>
      <w:pPr>
        <w:ind w:left="1370" w:hanging="375"/>
      </w:pPr>
      <w:rPr>
        <w:rFonts w:hint="default"/>
        <w:lang w:val="ro-RO" w:eastAsia="en-US" w:bidi="ar-SA"/>
      </w:rPr>
    </w:lvl>
    <w:lvl w:ilvl="2" w:tplc="16F06FFE">
      <w:numFmt w:val="bullet"/>
      <w:lvlText w:val="•"/>
      <w:lvlJc w:val="left"/>
      <w:pPr>
        <w:ind w:left="2320" w:hanging="375"/>
      </w:pPr>
      <w:rPr>
        <w:rFonts w:hint="default"/>
        <w:lang w:val="ro-RO" w:eastAsia="en-US" w:bidi="ar-SA"/>
      </w:rPr>
    </w:lvl>
    <w:lvl w:ilvl="3" w:tplc="0114DF3E">
      <w:numFmt w:val="bullet"/>
      <w:lvlText w:val="•"/>
      <w:lvlJc w:val="left"/>
      <w:pPr>
        <w:ind w:left="3270" w:hanging="375"/>
      </w:pPr>
      <w:rPr>
        <w:rFonts w:hint="default"/>
        <w:lang w:val="ro-RO" w:eastAsia="en-US" w:bidi="ar-SA"/>
      </w:rPr>
    </w:lvl>
    <w:lvl w:ilvl="4" w:tplc="E52C721E">
      <w:numFmt w:val="bullet"/>
      <w:lvlText w:val="•"/>
      <w:lvlJc w:val="left"/>
      <w:pPr>
        <w:ind w:left="4220" w:hanging="375"/>
      </w:pPr>
      <w:rPr>
        <w:rFonts w:hint="default"/>
        <w:lang w:val="ro-RO" w:eastAsia="en-US" w:bidi="ar-SA"/>
      </w:rPr>
    </w:lvl>
    <w:lvl w:ilvl="5" w:tplc="8230F424">
      <w:numFmt w:val="bullet"/>
      <w:lvlText w:val="•"/>
      <w:lvlJc w:val="left"/>
      <w:pPr>
        <w:ind w:left="5170" w:hanging="375"/>
      </w:pPr>
      <w:rPr>
        <w:rFonts w:hint="default"/>
        <w:lang w:val="ro-RO" w:eastAsia="en-US" w:bidi="ar-SA"/>
      </w:rPr>
    </w:lvl>
    <w:lvl w:ilvl="6" w:tplc="A0764640">
      <w:numFmt w:val="bullet"/>
      <w:lvlText w:val="•"/>
      <w:lvlJc w:val="left"/>
      <w:pPr>
        <w:ind w:left="6120" w:hanging="375"/>
      </w:pPr>
      <w:rPr>
        <w:rFonts w:hint="default"/>
        <w:lang w:val="ro-RO" w:eastAsia="en-US" w:bidi="ar-SA"/>
      </w:rPr>
    </w:lvl>
    <w:lvl w:ilvl="7" w:tplc="659CA74E">
      <w:numFmt w:val="bullet"/>
      <w:lvlText w:val="•"/>
      <w:lvlJc w:val="left"/>
      <w:pPr>
        <w:ind w:left="7070" w:hanging="375"/>
      </w:pPr>
      <w:rPr>
        <w:rFonts w:hint="default"/>
        <w:lang w:val="ro-RO" w:eastAsia="en-US" w:bidi="ar-SA"/>
      </w:rPr>
    </w:lvl>
    <w:lvl w:ilvl="8" w:tplc="EBF600D4">
      <w:numFmt w:val="bullet"/>
      <w:lvlText w:val="•"/>
      <w:lvlJc w:val="left"/>
      <w:pPr>
        <w:ind w:left="8020" w:hanging="375"/>
      </w:pPr>
      <w:rPr>
        <w:rFonts w:hint="default"/>
        <w:lang w:val="ro-RO" w:eastAsia="en-US" w:bidi="ar-SA"/>
      </w:rPr>
    </w:lvl>
  </w:abstractNum>
  <w:abstractNum w:abstractNumId="22" w15:restartNumberingAfterBreak="0">
    <w:nsid w:val="602C345D"/>
    <w:multiLevelType w:val="hybridMultilevel"/>
    <w:tmpl w:val="1366766E"/>
    <w:lvl w:ilvl="0" w:tplc="04180001">
      <w:start w:val="1"/>
      <w:numFmt w:val="bullet"/>
      <w:lvlText w:val=""/>
      <w:lvlJc w:val="left"/>
      <w:pPr>
        <w:ind w:left="862" w:hanging="360"/>
      </w:pPr>
      <w:rPr>
        <w:rFonts w:ascii="Symbol" w:hAnsi="Symbol"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23" w15:restartNumberingAfterBreak="0">
    <w:nsid w:val="619E4166"/>
    <w:multiLevelType w:val="hybridMultilevel"/>
    <w:tmpl w:val="3A66ADD2"/>
    <w:lvl w:ilvl="0" w:tplc="02E0BD8E">
      <w:start w:val="1"/>
      <w:numFmt w:val="lowerLetter"/>
      <w:lvlText w:val="%1)"/>
      <w:lvlJc w:val="left"/>
      <w:pPr>
        <w:ind w:left="110" w:hanging="380"/>
      </w:pPr>
      <w:rPr>
        <w:rFonts w:ascii="Verdana" w:eastAsia="Verdana" w:hAnsi="Verdana" w:cs="Verdana" w:hint="default"/>
        <w:i/>
        <w:iCs/>
        <w:spacing w:val="-1"/>
        <w:w w:val="100"/>
        <w:sz w:val="20"/>
        <w:szCs w:val="20"/>
        <w:lang w:val="ro-RO" w:eastAsia="en-US" w:bidi="ar-SA"/>
      </w:rPr>
    </w:lvl>
    <w:lvl w:ilvl="1" w:tplc="6DFCB778">
      <w:numFmt w:val="bullet"/>
      <w:lvlText w:val="•"/>
      <w:lvlJc w:val="left"/>
      <w:pPr>
        <w:ind w:left="670" w:hanging="380"/>
      </w:pPr>
      <w:rPr>
        <w:rFonts w:hint="default"/>
        <w:lang w:val="ro-RO" w:eastAsia="en-US" w:bidi="ar-SA"/>
      </w:rPr>
    </w:lvl>
    <w:lvl w:ilvl="2" w:tplc="F16EAE58">
      <w:numFmt w:val="bullet"/>
      <w:lvlText w:val="•"/>
      <w:lvlJc w:val="left"/>
      <w:pPr>
        <w:ind w:left="1221" w:hanging="380"/>
      </w:pPr>
      <w:rPr>
        <w:rFonts w:hint="default"/>
        <w:lang w:val="ro-RO" w:eastAsia="en-US" w:bidi="ar-SA"/>
      </w:rPr>
    </w:lvl>
    <w:lvl w:ilvl="3" w:tplc="09988162">
      <w:numFmt w:val="bullet"/>
      <w:lvlText w:val="•"/>
      <w:lvlJc w:val="left"/>
      <w:pPr>
        <w:ind w:left="1771" w:hanging="380"/>
      </w:pPr>
      <w:rPr>
        <w:rFonts w:hint="default"/>
        <w:lang w:val="ro-RO" w:eastAsia="en-US" w:bidi="ar-SA"/>
      </w:rPr>
    </w:lvl>
    <w:lvl w:ilvl="4" w:tplc="F99EA69E">
      <w:numFmt w:val="bullet"/>
      <w:lvlText w:val="•"/>
      <w:lvlJc w:val="left"/>
      <w:pPr>
        <w:ind w:left="2322" w:hanging="380"/>
      </w:pPr>
      <w:rPr>
        <w:rFonts w:hint="default"/>
        <w:lang w:val="ro-RO" w:eastAsia="en-US" w:bidi="ar-SA"/>
      </w:rPr>
    </w:lvl>
    <w:lvl w:ilvl="5" w:tplc="718436E0">
      <w:numFmt w:val="bullet"/>
      <w:lvlText w:val="•"/>
      <w:lvlJc w:val="left"/>
      <w:pPr>
        <w:ind w:left="2872" w:hanging="380"/>
      </w:pPr>
      <w:rPr>
        <w:rFonts w:hint="default"/>
        <w:lang w:val="ro-RO" w:eastAsia="en-US" w:bidi="ar-SA"/>
      </w:rPr>
    </w:lvl>
    <w:lvl w:ilvl="6" w:tplc="7E2266F4">
      <w:numFmt w:val="bullet"/>
      <w:lvlText w:val="•"/>
      <w:lvlJc w:val="left"/>
      <w:pPr>
        <w:ind w:left="3423" w:hanging="380"/>
      </w:pPr>
      <w:rPr>
        <w:rFonts w:hint="default"/>
        <w:lang w:val="ro-RO" w:eastAsia="en-US" w:bidi="ar-SA"/>
      </w:rPr>
    </w:lvl>
    <w:lvl w:ilvl="7" w:tplc="0F7C7076">
      <w:numFmt w:val="bullet"/>
      <w:lvlText w:val="•"/>
      <w:lvlJc w:val="left"/>
      <w:pPr>
        <w:ind w:left="3973" w:hanging="380"/>
      </w:pPr>
      <w:rPr>
        <w:rFonts w:hint="default"/>
        <w:lang w:val="ro-RO" w:eastAsia="en-US" w:bidi="ar-SA"/>
      </w:rPr>
    </w:lvl>
    <w:lvl w:ilvl="8" w:tplc="CC5EE196">
      <w:numFmt w:val="bullet"/>
      <w:lvlText w:val="•"/>
      <w:lvlJc w:val="left"/>
      <w:pPr>
        <w:ind w:left="4524" w:hanging="380"/>
      </w:pPr>
      <w:rPr>
        <w:rFonts w:hint="default"/>
        <w:lang w:val="ro-RO" w:eastAsia="en-US" w:bidi="ar-SA"/>
      </w:rPr>
    </w:lvl>
  </w:abstractNum>
  <w:abstractNum w:abstractNumId="24" w15:restartNumberingAfterBreak="0">
    <w:nsid w:val="65CD364C"/>
    <w:multiLevelType w:val="singleLevel"/>
    <w:tmpl w:val="9358165C"/>
    <w:lvl w:ilvl="0">
      <w:start w:val="1"/>
      <w:numFmt w:val="lowerLetter"/>
      <w:lvlText w:val="%1)"/>
      <w:legacy w:legacy="1" w:legacySpace="0" w:legacyIndent="351"/>
      <w:lvlJc w:val="left"/>
      <w:rPr>
        <w:rFonts w:ascii="Times New Roman" w:hAnsi="Times New Roman" w:cs="Times New Roman" w:hint="default"/>
      </w:rPr>
    </w:lvl>
  </w:abstractNum>
  <w:abstractNum w:abstractNumId="25" w15:restartNumberingAfterBreak="0">
    <w:nsid w:val="66215D5B"/>
    <w:multiLevelType w:val="hybridMultilevel"/>
    <w:tmpl w:val="0F50CEB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90A00DE"/>
    <w:multiLevelType w:val="hybridMultilevel"/>
    <w:tmpl w:val="3B300ABA"/>
    <w:lvl w:ilvl="0" w:tplc="F716B30A">
      <w:start w:val="5"/>
      <w:numFmt w:val="decimal"/>
      <w:lvlText w:val="%1"/>
      <w:lvlJc w:val="left"/>
      <w:pPr>
        <w:ind w:left="700" w:hanging="426"/>
      </w:pPr>
      <w:rPr>
        <w:rFonts w:hint="default"/>
        <w:lang w:val="ro-RO" w:eastAsia="en-US" w:bidi="ar-SA"/>
      </w:rPr>
    </w:lvl>
    <w:lvl w:ilvl="1" w:tplc="3DA8E168">
      <w:numFmt w:val="none"/>
      <w:lvlText w:val=""/>
      <w:lvlJc w:val="left"/>
      <w:pPr>
        <w:tabs>
          <w:tab w:val="num" w:pos="360"/>
        </w:tabs>
      </w:pPr>
    </w:lvl>
    <w:lvl w:ilvl="2" w:tplc="0150B992">
      <w:numFmt w:val="bullet"/>
      <w:lvlText w:val=""/>
      <w:lvlJc w:val="left"/>
      <w:pPr>
        <w:ind w:left="1139" w:hanging="360"/>
      </w:pPr>
      <w:rPr>
        <w:rFonts w:ascii="Symbol" w:eastAsia="Symbol" w:hAnsi="Symbol" w:cs="Symbol" w:hint="default"/>
        <w:w w:val="100"/>
        <w:sz w:val="20"/>
        <w:szCs w:val="20"/>
        <w:lang w:val="ro-RO" w:eastAsia="en-US" w:bidi="ar-SA"/>
      </w:rPr>
    </w:lvl>
    <w:lvl w:ilvl="3" w:tplc="BC70890A">
      <w:numFmt w:val="bullet"/>
      <w:lvlText w:val="•"/>
      <w:lvlJc w:val="left"/>
      <w:pPr>
        <w:ind w:left="3091" w:hanging="360"/>
      </w:pPr>
      <w:rPr>
        <w:rFonts w:hint="default"/>
        <w:lang w:val="ro-RO" w:eastAsia="en-US" w:bidi="ar-SA"/>
      </w:rPr>
    </w:lvl>
    <w:lvl w:ilvl="4" w:tplc="C1BCEB8E">
      <w:numFmt w:val="bullet"/>
      <w:lvlText w:val="•"/>
      <w:lvlJc w:val="left"/>
      <w:pPr>
        <w:ind w:left="4066" w:hanging="360"/>
      </w:pPr>
      <w:rPr>
        <w:rFonts w:hint="default"/>
        <w:lang w:val="ro-RO" w:eastAsia="en-US" w:bidi="ar-SA"/>
      </w:rPr>
    </w:lvl>
    <w:lvl w:ilvl="5" w:tplc="563A779A">
      <w:numFmt w:val="bullet"/>
      <w:lvlText w:val="•"/>
      <w:lvlJc w:val="left"/>
      <w:pPr>
        <w:ind w:left="5042" w:hanging="360"/>
      </w:pPr>
      <w:rPr>
        <w:rFonts w:hint="default"/>
        <w:lang w:val="ro-RO" w:eastAsia="en-US" w:bidi="ar-SA"/>
      </w:rPr>
    </w:lvl>
    <w:lvl w:ilvl="6" w:tplc="F440EEC0">
      <w:numFmt w:val="bullet"/>
      <w:lvlText w:val="•"/>
      <w:lvlJc w:val="left"/>
      <w:pPr>
        <w:ind w:left="6017" w:hanging="360"/>
      </w:pPr>
      <w:rPr>
        <w:rFonts w:hint="default"/>
        <w:lang w:val="ro-RO" w:eastAsia="en-US" w:bidi="ar-SA"/>
      </w:rPr>
    </w:lvl>
    <w:lvl w:ilvl="7" w:tplc="C6343CD6">
      <w:numFmt w:val="bullet"/>
      <w:lvlText w:val="•"/>
      <w:lvlJc w:val="left"/>
      <w:pPr>
        <w:ind w:left="6993" w:hanging="360"/>
      </w:pPr>
      <w:rPr>
        <w:rFonts w:hint="default"/>
        <w:lang w:val="ro-RO" w:eastAsia="en-US" w:bidi="ar-SA"/>
      </w:rPr>
    </w:lvl>
    <w:lvl w:ilvl="8" w:tplc="63AA06BE">
      <w:numFmt w:val="bullet"/>
      <w:lvlText w:val="•"/>
      <w:lvlJc w:val="left"/>
      <w:pPr>
        <w:ind w:left="7968" w:hanging="360"/>
      </w:pPr>
      <w:rPr>
        <w:rFonts w:hint="default"/>
        <w:lang w:val="ro-RO" w:eastAsia="en-US" w:bidi="ar-SA"/>
      </w:rPr>
    </w:lvl>
  </w:abstractNum>
  <w:abstractNum w:abstractNumId="27" w15:restartNumberingAfterBreak="0">
    <w:nsid w:val="6B932CEC"/>
    <w:multiLevelType w:val="hybridMultilevel"/>
    <w:tmpl w:val="FE6C0BD6"/>
    <w:lvl w:ilvl="0" w:tplc="04090001">
      <w:start w:val="1"/>
      <w:numFmt w:val="bullet"/>
      <w:lvlText w:val=""/>
      <w:lvlJc w:val="left"/>
      <w:pPr>
        <w:ind w:left="1824" w:hanging="360"/>
      </w:pPr>
      <w:rPr>
        <w:rFonts w:ascii="Symbol" w:hAnsi="Symbol" w:hint="default"/>
      </w:rPr>
    </w:lvl>
    <w:lvl w:ilvl="1" w:tplc="04090003" w:tentative="1">
      <w:start w:val="1"/>
      <w:numFmt w:val="bullet"/>
      <w:lvlText w:val="o"/>
      <w:lvlJc w:val="left"/>
      <w:pPr>
        <w:ind w:left="2544" w:hanging="360"/>
      </w:pPr>
      <w:rPr>
        <w:rFonts w:ascii="Courier New" w:hAnsi="Courier New" w:cs="Courier New" w:hint="default"/>
      </w:rPr>
    </w:lvl>
    <w:lvl w:ilvl="2" w:tplc="04090005" w:tentative="1">
      <w:start w:val="1"/>
      <w:numFmt w:val="bullet"/>
      <w:lvlText w:val=""/>
      <w:lvlJc w:val="left"/>
      <w:pPr>
        <w:ind w:left="3264" w:hanging="360"/>
      </w:pPr>
      <w:rPr>
        <w:rFonts w:ascii="Wingdings" w:hAnsi="Wingdings" w:hint="default"/>
      </w:rPr>
    </w:lvl>
    <w:lvl w:ilvl="3" w:tplc="04090001" w:tentative="1">
      <w:start w:val="1"/>
      <w:numFmt w:val="bullet"/>
      <w:lvlText w:val=""/>
      <w:lvlJc w:val="left"/>
      <w:pPr>
        <w:ind w:left="3984" w:hanging="360"/>
      </w:pPr>
      <w:rPr>
        <w:rFonts w:ascii="Symbol" w:hAnsi="Symbol" w:hint="default"/>
      </w:rPr>
    </w:lvl>
    <w:lvl w:ilvl="4" w:tplc="04090003" w:tentative="1">
      <w:start w:val="1"/>
      <w:numFmt w:val="bullet"/>
      <w:lvlText w:val="o"/>
      <w:lvlJc w:val="left"/>
      <w:pPr>
        <w:ind w:left="4704" w:hanging="360"/>
      </w:pPr>
      <w:rPr>
        <w:rFonts w:ascii="Courier New" w:hAnsi="Courier New" w:cs="Courier New" w:hint="default"/>
      </w:rPr>
    </w:lvl>
    <w:lvl w:ilvl="5" w:tplc="04090005" w:tentative="1">
      <w:start w:val="1"/>
      <w:numFmt w:val="bullet"/>
      <w:lvlText w:val=""/>
      <w:lvlJc w:val="left"/>
      <w:pPr>
        <w:ind w:left="5424" w:hanging="360"/>
      </w:pPr>
      <w:rPr>
        <w:rFonts w:ascii="Wingdings" w:hAnsi="Wingdings" w:hint="default"/>
      </w:rPr>
    </w:lvl>
    <w:lvl w:ilvl="6" w:tplc="04090001" w:tentative="1">
      <w:start w:val="1"/>
      <w:numFmt w:val="bullet"/>
      <w:lvlText w:val=""/>
      <w:lvlJc w:val="left"/>
      <w:pPr>
        <w:ind w:left="6144" w:hanging="360"/>
      </w:pPr>
      <w:rPr>
        <w:rFonts w:ascii="Symbol" w:hAnsi="Symbol" w:hint="default"/>
      </w:rPr>
    </w:lvl>
    <w:lvl w:ilvl="7" w:tplc="04090003" w:tentative="1">
      <w:start w:val="1"/>
      <w:numFmt w:val="bullet"/>
      <w:lvlText w:val="o"/>
      <w:lvlJc w:val="left"/>
      <w:pPr>
        <w:ind w:left="6864" w:hanging="360"/>
      </w:pPr>
      <w:rPr>
        <w:rFonts w:ascii="Courier New" w:hAnsi="Courier New" w:cs="Courier New" w:hint="default"/>
      </w:rPr>
    </w:lvl>
    <w:lvl w:ilvl="8" w:tplc="04090005" w:tentative="1">
      <w:start w:val="1"/>
      <w:numFmt w:val="bullet"/>
      <w:lvlText w:val=""/>
      <w:lvlJc w:val="left"/>
      <w:pPr>
        <w:ind w:left="7584" w:hanging="360"/>
      </w:pPr>
      <w:rPr>
        <w:rFonts w:ascii="Wingdings" w:hAnsi="Wingdings" w:hint="default"/>
      </w:rPr>
    </w:lvl>
  </w:abstractNum>
  <w:abstractNum w:abstractNumId="28" w15:restartNumberingAfterBreak="0">
    <w:nsid w:val="6F8D33E5"/>
    <w:multiLevelType w:val="hybridMultilevel"/>
    <w:tmpl w:val="F7D665E8"/>
    <w:lvl w:ilvl="0" w:tplc="04090001">
      <w:start w:val="1"/>
      <w:numFmt w:val="bullet"/>
      <w:lvlText w:val=""/>
      <w:lvlJc w:val="left"/>
      <w:pPr>
        <w:ind w:left="1630" w:hanging="360"/>
      </w:pPr>
      <w:rPr>
        <w:rFonts w:ascii="Symbol" w:hAnsi="Symbol" w:hint="default"/>
      </w:rPr>
    </w:lvl>
    <w:lvl w:ilvl="1" w:tplc="04090003" w:tentative="1">
      <w:start w:val="1"/>
      <w:numFmt w:val="bullet"/>
      <w:lvlText w:val="o"/>
      <w:lvlJc w:val="left"/>
      <w:pPr>
        <w:ind w:left="2350" w:hanging="360"/>
      </w:pPr>
      <w:rPr>
        <w:rFonts w:ascii="Courier New" w:hAnsi="Courier New" w:cs="Courier New" w:hint="default"/>
      </w:rPr>
    </w:lvl>
    <w:lvl w:ilvl="2" w:tplc="04090005" w:tentative="1">
      <w:start w:val="1"/>
      <w:numFmt w:val="bullet"/>
      <w:lvlText w:val=""/>
      <w:lvlJc w:val="left"/>
      <w:pPr>
        <w:ind w:left="3070" w:hanging="360"/>
      </w:pPr>
      <w:rPr>
        <w:rFonts w:ascii="Wingdings" w:hAnsi="Wingdings" w:hint="default"/>
      </w:rPr>
    </w:lvl>
    <w:lvl w:ilvl="3" w:tplc="04090001" w:tentative="1">
      <w:start w:val="1"/>
      <w:numFmt w:val="bullet"/>
      <w:lvlText w:val=""/>
      <w:lvlJc w:val="left"/>
      <w:pPr>
        <w:ind w:left="3790" w:hanging="360"/>
      </w:pPr>
      <w:rPr>
        <w:rFonts w:ascii="Symbol" w:hAnsi="Symbol" w:hint="default"/>
      </w:rPr>
    </w:lvl>
    <w:lvl w:ilvl="4" w:tplc="04090003" w:tentative="1">
      <w:start w:val="1"/>
      <w:numFmt w:val="bullet"/>
      <w:lvlText w:val="o"/>
      <w:lvlJc w:val="left"/>
      <w:pPr>
        <w:ind w:left="4510" w:hanging="360"/>
      </w:pPr>
      <w:rPr>
        <w:rFonts w:ascii="Courier New" w:hAnsi="Courier New" w:cs="Courier New" w:hint="default"/>
      </w:rPr>
    </w:lvl>
    <w:lvl w:ilvl="5" w:tplc="04090005" w:tentative="1">
      <w:start w:val="1"/>
      <w:numFmt w:val="bullet"/>
      <w:lvlText w:val=""/>
      <w:lvlJc w:val="left"/>
      <w:pPr>
        <w:ind w:left="5230" w:hanging="360"/>
      </w:pPr>
      <w:rPr>
        <w:rFonts w:ascii="Wingdings" w:hAnsi="Wingdings" w:hint="default"/>
      </w:rPr>
    </w:lvl>
    <w:lvl w:ilvl="6" w:tplc="04090001" w:tentative="1">
      <w:start w:val="1"/>
      <w:numFmt w:val="bullet"/>
      <w:lvlText w:val=""/>
      <w:lvlJc w:val="left"/>
      <w:pPr>
        <w:ind w:left="5950" w:hanging="360"/>
      </w:pPr>
      <w:rPr>
        <w:rFonts w:ascii="Symbol" w:hAnsi="Symbol" w:hint="default"/>
      </w:rPr>
    </w:lvl>
    <w:lvl w:ilvl="7" w:tplc="04090003" w:tentative="1">
      <w:start w:val="1"/>
      <w:numFmt w:val="bullet"/>
      <w:lvlText w:val="o"/>
      <w:lvlJc w:val="left"/>
      <w:pPr>
        <w:ind w:left="6670" w:hanging="360"/>
      </w:pPr>
      <w:rPr>
        <w:rFonts w:ascii="Courier New" w:hAnsi="Courier New" w:cs="Courier New" w:hint="default"/>
      </w:rPr>
    </w:lvl>
    <w:lvl w:ilvl="8" w:tplc="04090005" w:tentative="1">
      <w:start w:val="1"/>
      <w:numFmt w:val="bullet"/>
      <w:lvlText w:val=""/>
      <w:lvlJc w:val="left"/>
      <w:pPr>
        <w:ind w:left="7390" w:hanging="360"/>
      </w:pPr>
      <w:rPr>
        <w:rFonts w:ascii="Wingdings" w:hAnsi="Wingdings" w:hint="default"/>
      </w:rPr>
    </w:lvl>
  </w:abstractNum>
  <w:abstractNum w:abstractNumId="29" w15:restartNumberingAfterBreak="0">
    <w:nsid w:val="742F0EE3"/>
    <w:multiLevelType w:val="hybridMultilevel"/>
    <w:tmpl w:val="B7FA82F4"/>
    <w:lvl w:ilvl="0" w:tplc="394A5B9C">
      <w:start w:val="1"/>
      <w:numFmt w:val="decimal"/>
      <w:lvlText w:val="%1."/>
      <w:lvlJc w:val="left"/>
      <w:pPr>
        <w:ind w:left="830" w:hanging="431"/>
      </w:pPr>
      <w:rPr>
        <w:rFonts w:ascii="Verdana" w:eastAsia="Verdana" w:hAnsi="Verdana" w:cs="Verdana" w:hint="default"/>
        <w:spacing w:val="-2"/>
        <w:w w:val="100"/>
        <w:sz w:val="20"/>
        <w:szCs w:val="20"/>
        <w:lang w:val="ro-RO" w:eastAsia="en-US" w:bidi="ar-SA"/>
      </w:rPr>
    </w:lvl>
    <w:lvl w:ilvl="1" w:tplc="F9967116">
      <w:numFmt w:val="bullet"/>
      <w:lvlText w:val="•"/>
      <w:lvlJc w:val="left"/>
      <w:pPr>
        <w:ind w:left="1318" w:hanging="431"/>
      </w:pPr>
      <w:rPr>
        <w:rFonts w:hint="default"/>
        <w:lang w:val="ro-RO" w:eastAsia="en-US" w:bidi="ar-SA"/>
      </w:rPr>
    </w:lvl>
    <w:lvl w:ilvl="2" w:tplc="FD508CA4">
      <w:numFmt w:val="bullet"/>
      <w:lvlText w:val="•"/>
      <w:lvlJc w:val="left"/>
      <w:pPr>
        <w:ind w:left="1797" w:hanging="431"/>
      </w:pPr>
      <w:rPr>
        <w:rFonts w:hint="default"/>
        <w:lang w:val="ro-RO" w:eastAsia="en-US" w:bidi="ar-SA"/>
      </w:rPr>
    </w:lvl>
    <w:lvl w:ilvl="3" w:tplc="04DCC3FC">
      <w:numFmt w:val="bullet"/>
      <w:lvlText w:val="•"/>
      <w:lvlJc w:val="left"/>
      <w:pPr>
        <w:ind w:left="2275" w:hanging="431"/>
      </w:pPr>
      <w:rPr>
        <w:rFonts w:hint="default"/>
        <w:lang w:val="ro-RO" w:eastAsia="en-US" w:bidi="ar-SA"/>
      </w:rPr>
    </w:lvl>
    <w:lvl w:ilvl="4" w:tplc="210ADB38">
      <w:numFmt w:val="bullet"/>
      <w:lvlText w:val="•"/>
      <w:lvlJc w:val="left"/>
      <w:pPr>
        <w:ind w:left="2754" w:hanging="431"/>
      </w:pPr>
      <w:rPr>
        <w:rFonts w:hint="default"/>
        <w:lang w:val="ro-RO" w:eastAsia="en-US" w:bidi="ar-SA"/>
      </w:rPr>
    </w:lvl>
    <w:lvl w:ilvl="5" w:tplc="7A0209FA">
      <w:numFmt w:val="bullet"/>
      <w:lvlText w:val="•"/>
      <w:lvlJc w:val="left"/>
      <w:pPr>
        <w:ind w:left="3232" w:hanging="431"/>
      </w:pPr>
      <w:rPr>
        <w:rFonts w:hint="default"/>
        <w:lang w:val="ro-RO" w:eastAsia="en-US" w:bidi="ar-SA"/>
      </w:rPr>
    </w:lvl>
    <w:lvl w:ilvl="6" w:tplc="1E5AA5A0">
      <w:numFmt w:val="bullet"/>
      <w:lvlText w:val="•"/>
      <w:lvlJc w:val="left"/>
      <w:pPr>
        <w:ind w:left="3711" w:hanging="431"/>
      </w:pPr>
      <w:rPr>
        <w:rFonts w:hint="default"/>
        <w:lang w:val="ro-RO" w:eastAsia="en-US" w:bidi="ar-SA"/>
      </w:rPr>
    </w:lvl>
    <w:lvl w:ilvl="7" w:tplc="57FE0B4E">
      <w:numFmt w:val="bullet"/>
      <w:lvlText w:val="•"/>
      <w:lvlJc w:val="left"/>
      <w:pPr>
        <w:ind w:left="4189" w:hanging="431"/>
      </w:pPr>
      <w:rPr>
        <w:rFonts w:hint="default"/>
        <w:lang w:val="ro-RO" w:eastAsia="en-US" w:bidi="ar-SA"/>
      </w:rPr>
    </w:lvl>
    <w:lvl w:ilvl="8" w:tplc="FDC89634">
      <w:numFmt w:val="bullet"/>
      <w:lvlText w:val="•"/>
      <w:lvlJc w:val="left"/>
      <w:pPr>
        <w:ind w:left="4668" w:hanging="431"/>
      </w:pPr>
      <w:rPr>
        <w:rFonts w:hint="default"/>
        <w:lang w:val="ro-RO" w:eastAsia="en-US" w:bidi="ar-SA"/>
      </w:rPr>
    </w:lvl>
  </w:abstractNum>
  <w:abstractNum w:abstractNumId="30" w15:restartNumberingAfterBreak="0">
    <w:nsid w:val="77D4478D"/>
    <w:multiLevelType w:val="hybridMultilevel"/>
    <w:tmpl w:val="CB32CBDE"/>
    <w:lvl w:ilvl="0" w:tplc="BD7A8584">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1" w15:restartNumberingAfterBreak="0">
    <w:nsid w:val="792E25F3"/>
    <w:multiLevelType w:val="hybridMultilevel"/>
    <w:tmpl w:val="74BEF63E"/>
    <w:lvl w:ilvl="0" w:tplc="52AE30F6">
      <w:start w:val="1"/>
      <w:numFmt w:val="lowerRoman"/>
      <w:lvlText w:val="(%1)"/>
      <w:lvlJc w:val="left"/>
      <w:pPr>
        <w:tabs>
          <w:tab w:val="num" w:pos="1080"/>
        </w:tabs>
        <w:ind w:left="1080" w:hanging="72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32" w15:restartNumberingAfterBreak="0">
    <w:nsid w:val="7F456024"/>
    <w:multiLevelType w:val="hybridMultilevel"/>
    <w:tmpl w:val="0A70CF18"/>
    <w:lvl w:ilvl="0" w:tplc="566E350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2"/>
  </w:num>
  <w:num w:numId="3">
    <w:abstractNumId w:val="24"/>
  </w:num>
  <w:num w:numId="4">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5">
    <w:abstractNumId w:val="1"/>
  </w:num>
  <w:num w:numId="6">
    <w:abstractNumId w:val="12"/>
  </w:num>
  <w:num w:numId="7">
    <w:abstractNumId w:val="14"/>
  </w:num>
  <w:num w:numId="8">
    <w:abstractNumId w:val="28"/>
  </w:num>
  <w:num w:numId="9">
    <w:abstractNumId w:val="27"/>
  </w:num>
  <w:num w:numId="10">
    <w:abstractNumId w:val="16"/>
  </w:num>
  <w:num w:numId="11">
    <w:abstractNumId w:val="23"/>
  </w:num>
  <w:num w:numId="12">
    <w:abstractNumId w:val="29"/>
  </w:num>
  <w:num w:numId="13">
    <w:abstractNumId w:val="6"/>
  </w:num>
  <w:num w:numId="14">
    <w:abstractNumId w:val="11"/>
  </w:num>
  <w:num w:numId="15">
    <w:abstractNumId w:val="22"/>
  </w:num>
  <w:num w:numId="16">
    <w:abstractNumId w:val="25"/>
  </w:num>
  <w:num w:numId="17">
    <w:abstractNumId w:val="5"/>
  </w:num>
  <w:num w:numId="18">
    <w:abstractNumId w:val="20"/>
  </w:num>
  <w:num w:numId="19">
    <w:abstractNumId w:val="4"/>
  </w:num>
  <w:num w:numId="20">
    <w:abstractNumId w:val="17"/>
  </w:num>
  <w:num w:numId="21">
    <w:abstractNumId w:val="19"/>
  </w:num>
  <w:num w:numId="22">
    <w:abstractNumId w:val="26"/>
  </w:num>
  <w:num w:numId="23">
    <w:abstractNumId w:val="21"/>
  </w:num>
  <w:num w:numId="24">
    <w:abstractNumId w:val="32"/>
  </w:num>
  <w:num w:numId="25">
    <w:abstractNumId w:val="9"/>
  </w:num>
  <w:num w:numId="26">
    <w:abstractNumId w:val="18"/>
  </w:num>
  <w:num w:numId="27">
    <w:abstractNumId w:val="10"/>
  </w:num>
  <w:num w:numId="28">
    <w:abstractNumId w:val="7"/>
  </w:num>
  <w:num w:numId="29">
    <w:abstractNumId w:val="15"/>
  </w:num>
  <w:num w:numId="30">
    <w:abstractNumId w:val="13"/>
  </w:num>
  <w:num w:numId="31">
    <w:abstractNumId w:val="30"/>
  </w:num>
  <w:num w:numId="32">
    <w:abstractNumId w:val="31"/>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9D416B-4C0E-4077-B764-D7790BDC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uiPriority w:val="1"/>
    <w:qFormat/>
    <w:pPr>
      <w:keepNext/>
      <w:outlineLvl w:val="0"/>
    </w:pPr>
    <w:rPr>
      <w:sz w:val="28"/>
      <w:lang w:val="en-GB"/>
    </w:rPr>
  </w:style>
  <w:style w:type="paragraph" w:styleId="Heading2">
    <w:name w:val="heading 2"/>
    <w:basedOn w:val="Normal"/>
    <w:next w:val="Normal"/>
    <w:uiPriority w:val="1"/>
    <w:qFormat/>
    <w:pPr>
      <w:keepNext/>
      <w:outlineLvl w:val="1"/>
    </w:pPr>
    <w:rPr>
      <w:sz w:val="24"/>
      <w:lang w:val="en-GB"/>
    </w:rPr>
  </w:style>
  <w:style w:type="paragraph" w:styleId="Heading3">
    <w:name w:val="heading 3"/>
    <w:basedOn w:val="Normal"/>
    <w:next w:val="Normal"/>
    <w:qFormat/>
    <w:pPr>
      <w:keepNext/>
      <w:jc w:val="both"/>
      <w:outlineLvl w:val="2"/>
    </w:pPr>
    <w:rPr>
      <w:sz w:val="24"/>
      <w:lang w:val="ro-RO"/>
    </w:rPr>
  </w:style>
  <w:style w:type="paragraph" w:styleId="Heading4">
    <w:name w:val="heading 4"/>
    <w:basedOn w:val="Normal"/>
    <w:next w:val="Normal"/>
    <w:qFormat/>
    <w:pPr>
      <w:keepNext/>
      <w:ind w:left="1440" w:firstLine="720"/>
      <w:jc w:val="center"/>
      <w:outlineLvl w:val="3"/>
    </w:pPr>
    <w:rPr>
      <w:sz w:val="28"/>
      <w:lang w:val="en-GB"/>
    </w:rPr>
  </w:style>
  <w:style w:type="paragraph" w:styleId="Heading5">
    <w:name w:val="heading 5"/>
    <w:basedOn w:val="Normal"/>
    <w:next w:val="Normal"/>
    <w:qFormat/>
    <w:pPr>
      <w:keepNext/>
      <w:jc w:val="center"/>
      <w:outlineLvl w:val="4"/>
    </w:pPr>
    <w:rPr>
      <w:rFonts w:ascii="Arial" w:hAnsi="Arial"/>
      <w:sz w:val="24"/>
      <w:lang w:val="en-GB"/>
    </w:rPr>
  </w:style>
  <w:style w:type="paragraph" w:styleId="Heading6">
    <w:name w:val="heading 6"/>
    <w:basedOn w:val="Normal"/>
    <w:next w:val="Normal"/>
    <w:qFormat/>
    <w:pPr>
      <w:keepNext/>
      <w:jc w:val="center"/>
      <w:outlineLvl w:val="5"/>
    </w:pPr>
    <w:rPr>
      <w:sz w:val="24"/>
      <w:u w:val="single"/>
      <w:lang w:val="en-GB"/>
    </w:rPr>
  </w:style>
  <w:style w:type="paragraph" w:styleId="Heading7">
    <w:name w:val="heading 7"/>
    <w:basedOn w:val="Normal"/>
    <w:next w:val="Normal"/>
    <w:qFormat/>
    <w:pPr>
      <w:keepNext/>
      <w:jc w:val="center"/>
      <w:outlineLvl w:val="6"/>
    </w:pPr>
    <w:rPr>
      <w:rFonts w:ascii="Arial" w:hAnsi="Arial"/>
      <w:sz w:val="28"/>
      <w:lang w:val="en-GB"/>
    </w:rPr>
  </w:style>
  <w:style w:type="paragraph" w:styleId="Heading8">
    <w:name w:val="heading 8"/>
    <w:basedOn w:val="Normal"/>
    <w:next w:val="Normal"/>
    <w:qFormat/>
    <w:pPr>
      <w:keepNext/>
      <w:jc w:val="center"/>
      <w:outlineLvl w:val="7"/>
    </w:pPr>
    <w:rPr>
      <w:rFonts w:ascii="Arial" w:hAnsi="Arial"/>
      <w:b/>
      <w:i/>
      <w:sz w:val="28"/>
      <w:lang w:val="en-GB"/>
    </w:rPr>
  </w:style>
  <w:style w:type="paragraph" w:styleId="Heading9">
    <w:name w:val="heading 9"/>
    <w:basedOn w:val="Normal"/>
    <w:next w:val="Normal"/>
    <w:qFormat/>
    <w:pPr>
      <w:keepNext/>
      <w:jc w:val="center"/>
      <w:outlineLvl w:val="8"/>
    </w:pPr>
    <w:rPr>
      <w:rFonts w:ascii="Arial" w:hAnsi="Arial"/>
      <w:b/>
      <w:i/>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uiPriority w:val="1"/>
    <w:qFormat/>
    <w:pPr>
      <w:jc w:val="both"/>
    </w:pPr>
    <w:rPr>
      <w:rFonts w:ascii="Arial" w:hAnsi="Arial"/>
      <w:sz w:val="24"/>
    </w:rPr>
  </w:style>
  <w:style w:type="paragraph" w:styleId="BodyText2">
    <w:name w:val="Body Text 2"/>
    <w:basedOn w:val="Normal"/>
    <w:pPr>
      <w:jc w:val="both"/>
    </w:pPr>
    <w:rPr>
      <w:rFonts w:ascii="Arial" w:hAnsi="Arial"/>
      <w:sz w:val="28"/>
      <w:lang w:val="en-GB"/>
    </w:rPr>
  </w:style>
  <w:style w:type="paragraph" w:styleId="BodyTextIndent">
    <w:name w:val="Body Text Indent"/>
    <w:basedOn w:val="Normal"/>
    <w:pPr>
      <w:ind w:firstLine="720"/>
      <w:jc w:val="both"/>
    </w:pPr>
    <w:rPr>
      <w:rFonts w:ascii="Arial" w:hAnsi="Arial"/>
      <w:sz w:val="28"/>
      <w:lang w:val="en-GB"/>
    </w:rPr>
  </w:style>
  <w:style w:type="paragraph" w:styleId="BodyTextIndent2">
    <w:name w:val="Body Text Indent 2"/>
    <w:basedOn w:val="Normal"/>
    <w:pPr>
      <w:ind w:firstLine="720"/>
      <w:jc w:val="both"/>
    </w:pPr>
    <w:rPr>
      <w:rFonts w:ascii="Arial" w:hAnsi="Arial"/>
      <w:i/>
      <w:sz w:val="28"/>
      <w:lang w:val="en-GB"/>
    </w:rPr>
  </w:style>
  <w:style w:type="paragraph" w:styleId="Title">
    <w:name w:val="Title"/>
    <w:basedOn w:val="Normal"/>
    <w:qFormat/>
    <w:pPr>
      <w:jc w:val="center"/>
    </w:pPr>
    <w:rPr>
      <w:rFonts w:ascii="Arial" w:hAnsi="Arial"/>
      <w:b/>
      <w:i/>
      <w:sz w:val="28"/>
      <w:lang w:val="en-GB"/>
    </w:rPr>
  </w:style>
  <w:style w:type="paragraph" w:styleId="BodyText3">
    <w:name w:val="Body Text 3"/>
    <w:basedOn w:val="Normal"/>
    <w:pPr>
      <w:jc w:val="center"/>
    </w:pPr>
    <w:rPr>
      <w:rFonts w:ascii="Arial" w:hAnsi="Arial"/>
      <w:i/>
      <w:sz w:val="24"/>
      <w:u w:val="single"/>
    </w:rPr>
  </w:style>
  <w:style w:type="paragraph" w:styleId="BodyTextIndent3">
    <w:name w:val="Body Text Indent 3"/>
    <w:basedOn w:val="Normal"/>
    <w:pPr>
      <w:ind w:firstLine="720"/>
      <w:jc w:val="both"/>
    </w:pPr>
    <w:rPr>
      <w:rFonts w:ascii="Arial" w:hAnsi="Arial"/>
      <w:sz w:val="2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TableText">
    <w:name w:val="Table Text"/>
    <w:basedOn w:val="Normal"/>
    <w:pPr>
      <w:tabs>
        <w:tab w:val="decimal" w:pos="0"/>
      </w:tabs>
    </w:pPr>
    <w:rPr>
      <w:sz w:val="24"/>
      <w:lang w:eastAsia="ro-RO"/>
    </w:rPr>
  </w:style>
  <w:style w:type="paragraph" w:styleId="ListParagraph">
    <w:name w:val="List Paragraph"/>
    <w:aliases w:val="Forth level,Normal bullet 2,List_Paragraph,Multilevel para_II,body 2,List Paragraph11,List Paragraph1,List Paragraph111,List Paragraph1111,List Paragraph11111,List Paragraph111111,Header bold,Bullet Points,Liste Paragraf,List Paragraph2,l"/>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FooterChar">
    <w:name w:val="Footer Char"/>
    <w:basedOn w:val="DefaultParagraphFont"/>
    <w:link w:val="Footer"/>
    <w:uiPriority w:val="99"/>
    <w:rPr>
      <w:lang w:val="en-US" w:eastAsia="en-US"/>
    </w:rPr>
  </w:style>
  <w:style w:type="table" w:styleId="TableGrid">
    <w:name w:val="Table Grid"/>
    <w:basedOn w:val="TableNormal"/>
    <w:uiPriority w:val="39"/>
    <w:pPr>
      <w:spacing w:after="200" w:line="276" w:lineRule="auto"/>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pPr>
    <w:rPr>
      <w:rFonts w:ascii="Verdana" w:eastAsia="Verdana" w:hAnsi="Verdana" w:cs="Verdana"/>
      <w:sz w:val="22"/>
      <w:szCs w:val="22"/>
      <w:lang w:val="ro-RO"/>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lang w:val="en-US" w:eastAsia="en-US"/>
    </w:rPr>
  </w:style>
  <w:style w:type="character" w:styleId="FootnoteReference">
    <w:name w:val="footnote reference"/>
    <w:basedOn w:val="DefaultParagraphFont"/>
    <w:uiPriority w:val="99"/>
    <w:semiHidden/>
    <w:unhideWhenUsed/>
    <w:rPr>
      <w:vertAlign w:val="superscript"/>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NormalWeb1">
    <w:name w:val="Normal (Web)1"/>
    <w:basedOn w:val="Normal"/>
    <w:link w:val="NormalWeb1Char"/>
    <w:rPr>
      <w:rFonts w:ascii="Arial Unicode MS" w:hAnsi="Arial Unicode MS" w:cs="Arial Unicode MS"/>
      <w:color w:val="000000"/>
      <w:sz w:val="24"/>
      <w:szCs w:val="24"/>
      <w:lang w:val="ro-RO" w:eastAsia="ro-RO"/>
    </w:rPr>
  </w:style>
  <w:style w:type="character" w:customStyle="1" w:styleId="NormalWeb1Char">
    <w:name w:val="Normal (Web)1 Char"/>
    <w:link w:val="NormalWeb1"/>
    <w:locked/>
    <w:rPr>
      <w:rFonts w:ascii="Arial Unicode MS" w:hAnsi="Arial Unicode MS" w:cs="Arial Unicode MS"/>
      <w:color w:val="000000"/>
      <w:sz w:val="24"/>
      <w:szCs w:val="24"/>
    </w:rPr>
  </w:style>
  <w:style w:type="paragraph" w:styleId="Revision">
    <w:name w:val="Revision"/>
    <w:hidden/>
    <w:uiPriority w:val="99"/>
    <w:semiHidden/>
    <w:rPr>
      <w:lang w:val="en-US" w:eastAsia="en-US"/>
    </w:rPr>
  </w:style>
  <w:style w:type="table" w:styleId="ListTable4-Accent6">
    <w:name w:val="List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1">
    <w:name w:val="Grid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Forth level Char,Normal bullet 2 Char,List_Paragraph Char,Multilevel para_II Char,body 2 Char,List Paragraph11 Char,List Paragraph1 Char,List Paragraph111 Char,List Paragraph1111 Char,List Paragraph11111 Char,Header bold Char,l Char"/>
    <w:basedOn w:val="DefaultParagraphFont"/>
    <w:link w:val="ListParagraph"/>
    <w:uiPriority w:val="34"/>
    <w:qFormat/>
    <w:rPr>
      <w:lang w:val="en-US" w:eastAsia="en-US"/>
    </w:rPr>
  </w:style>
  <w:style w:type="paragraph" w:styleId="Caption">
    <w:name w:val="caption"/>
    <w:aliases w:val="Char Char Char,Map,Map2,Table/Figure Heading,Caption- Figure,Caption- Figure1,Caption- Figure2,Map Char Char Char Char Char,Caption Char Char Car Car,Caption Char Char Car Car Car,Map Char Char Char Car Car,Caption Char Char,Beschriftung"/>
    <w:basedOn w:val="Normal"/>
    <w:next w:val="Normal"/>
    <w:link w:val="CaptionChar"/>
    <w:uiPriority w:val="35"/>
    <w:unhideWhenUsed/>
    <w:qFormat/>
    <w:pPr>
      <w:spacing w:after="200"/>
    </w:pPr>
    <w:rPr>
      <w:rFonts w:ascii="Verdana" w:eastAsiaTheme="minorEastAsia" w:hAnsi="Verdana" w:cstheme="minorBidi"/>
      <w:i/>
      <w:iCs/>
      <w:color w:val="1F497D" w:themeColor="text2"/>
      <w:sz w:val="18"/>
      <w:szCs w:val="18"/>
      <w:lang w:val="ro-RO" w:eastAsia="ja-JP"/>
    </w:rPr>
  </w:style>
  <w:style w:type="character" w:customStyle="1" w:styleId="CaptionChar">
    <w:name w:val="Caption Char"/>
    <w:aliases w:val="Char Char Char Char,Map Char,Map2 Char,Table/Figure Heading Char,Caption- Figure Char,Caption- Figure1 Char,Caption- Figure2 Char,Map Char Char Char Char Char Char,Caption Char Char Car Car Char,Caption Char Char Car Car Car Char"/>
    <w:basedOn w:val="DefaultParagraphFont"/>
    <w:link w:val="Caption"/>
    <w:uiPriority w:val="35"/>
    <w:locked/>
    <w:rPr>
      <w:rFonts w:ascii="Verdana" w:eastAsiaTheme="minorEastAsia" w:hAnsi="Verdana" w:cstheme="minorBidi"/>
      <w:i/>
      <w:iCs/>
      <w:color w:val="1F497D" w:themeColor="text2"/>
      <w:sz w:val="18"/>
      <w:szCs w:val="18"/>
      <w:lang w:eastAsia="ja-JP"/>
    </w:rPr>
  </w:style>
  <w:style w:type="table" w:styleId="GridTable4-Accent6">
    <w:name w:val="Grid Table 4 Accent 6"/>
    <w:basedOn w:val="TableNormal"/>
    <w:uiPriority w:val="49"/>
    <w:rPr>
      <w:rFonts w:asciiTheme="minorHAnsi" w:eastAsiaTheme="minorEastAsia" w:hAnsiTheme="minorHAnsi" w:cstheme="minorBidi"/>
      <w:color w:val="1F497D" w:themeColor="text2"/>
      <w:lang w:val="de-DE" w:eastAsia="ja-JP"/>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2">
    <w:name w:val="Grid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3-Accent2">
    <w:name w:val="List Table 3 Accent 2"/>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072687">
      <w:bodyDiv w:val="1"/>
      <w:marLeft w:val="0"/>
      <w:marRight w:val="0"/>
      <w:marTop w:val="0"/>
      <w:marBottom w:val="0"/>
      <w:divBdr>
        <w:top w:val="none" w:sz="0" w:space="0" w:color="auto"/>
        <w:left w:val="none" w:sz="0" w:space="0" w:color="auto"/>
        <w:bottom w:val="none" w:sz="0" w:space="0" w:color="auto"/>
        <w:right w:val="none" w:sz="0" w:space="0" w:color="auto"/>
      </w:divBdr>
      <w:divsChild>
        <w:div w:id="924264508">
          <w:marLeft w:val="0"/>
          <w:marRight w:val="0"/>
          <w:marTop w:val="0"/>
          <w:marBottom w:val="0"/>
          <w:divBdr>
            <w:top w:val="none" w:sz="0" w:space="0" w:color="auto"/>
            <w:left w:val="none" w:sz="0" w:space="0" w:color="auto"/>
            <w:bottom w:val="none" w:sz="0" w:space="0" w:color="auto"/>
            <w:right w:val="none" w:sz="0" w:space="0" w:color="auto"/>
          </w:divBdr>
        </w:div>
        <w:div w:id="193347213">
          <w:marLeft w:val="0"/>
          <w:marRight w:val="0"/>
          <w:marTop w:val="0"/>
          <w:marBottom w:val="0"/>
          <w:divBdr>
            <w:top w:val="none" w:sz="0" w:space="0" w:color="auto"/>
            <w:left w:val="none" w:sz="0" w:space="0" w:color="auto"/>
            <w:bottom w:val="none" w:sz="0" w:space="0" w:color="auto"/>
            <w:right w:val="none" w:sz="0" w:space="0" w:color="auto"/>
          </w:divBdr>
        </w:div>
        <w:div w:id="1101879556">
          <w:marLeft w:val="0"/>
          <w:marRight w:val="0"/>
          <w:marTop w:val="0"/>
          <w:marBottom w:val="0"/>
          <w:divBdr>
            <w:top w:val="none" w:sz="0" w:space="0" w:color="auto"/>
            <w:left w:val="none" w:sz="0" w:space="0" w:color="auto"/>
            <w:bottom w:val="none" w:sz="0" w:space="0" w:color="auto"/>
            <w:right w:val="none" w:sz="0" w:space="0" w:color="auto"/>
          </w:divBdr>
        </w:div>
        <w:div w:id="140386375">
          <w:marLeft w:val="0"/>
          <w:marRight w:val="0"/>
          <w:marTop w:val="0"/>
          <w:marBottom w:val="0"/>
          <w:divBdr>
            <w:top w:val="none" w:sz="0" w:space="0" w:color="auto"/>
            <w:left w:val="none" w:sz="0" w:space="0" w:color="auto"/>
            <w:bottom w:val="none" w:sz="0" w:space="0" w:color="auto"/>
            <w:right w:val="none" w:sz="0" w:space="0" w:color="auto"/>
          </w:divBdr>
        </w:div>
        <w:div w:id="1548754907">
          <w:marLeft w:val="0"/>
          <w:marRight w:val="0"/>
          <w:marTop w:val="0"/>
          <w:marBottom w:val="0"/>
          <w:divBdr>
            <w:top w:val="none" w:sz="0" w:space="0" w:color="auto"/>
            <w:left w:val="none" w:sz="0" w:space="0" w:color="auto"/>
            <w:bottom w:val="none" w:sz="0" w:space="0" w:color="auto"/>
            <w:right w:val="none" w:sz="0" w:space="0" w:color="auto"/>
          </w:divBdr>
        </w:div>
        <w:div w:id="756710963">
          <w:marLeft w:val="0"/>
          <w:marRight w:val="0"/>
          <w:marTop w:val="0"/>
          <w:marBottom w:val="0"/>
          <w:divBdr>
            <w:top w:val="none" w:sz="0" w:space="0" w:color="auto"/>
            <w:left w:val="none" w:sz="0" w:space="0" w:color="auto"/>
            <w:bottom w:val="none" w:sz="0" w:space="0" w:color="auto"/>
            <w:right w:val="none" w:sz="0" w:space="0" w:color="auto"/>
          </w:divBdr>
        </w:div>
        <w:div w:id="689181937">
          <w:marLeft w:val="0"/>
          <w:marRight w:val="0"/>
          <w:marTop w:val="0"/>
          <w:marBottom w:val="0"/>
          <w:divBdr>
            <w:top w:val="none" w:sz="0" w:space="0" w:color="auto"/>
            <w:left w:val="none" w:sz="0" w:space="0" w:color="auto"/>
            <w:bottom w:val="none" w:sz="0" w:space="0" w:color="auto"/>
            <w:right w:val="none" w:sz="0" w:space="0" w:color="auto"/>
          </w:divBdr>
        </w:div>
        <w:div w:id="1717269147">
          <w:marLeft w:val="0"/>
          <w:marRight w:val="0"/>
          <w:marTop w:val="0"/>
          <w:marBottom w:val="0"/>
          <w:divBdr>
            <w:top w:val="none" w:sz="0" w:space="0" w:color="auto"/>
            <w:left w:val="none" w:sz="0" w:space="0" w:color="auto"/>
            <w:bottom w:val="none" w:sz="0" w:space="0" w:color="auto"/>
            <w:right w:val="none" w:sz="0" w:space="0" w:color="auto"/>
          </w:divBdr>
        </w:div>
        <w:div w:id="1416396164">
          <w:marLeft w:val="0"/>
          <w:marRight w:val="0"/>
          <w:marTop w:val="0"/>
          <w:marBottom w:val="0"/>
          <w:divBdr>
            <w:top w:val="none" w:sz="0" w:space="0" w:color="auto"/>
            <w:left w:val="none" w:sz="0" w:space="0" w:color="auto"/>
            <w:bottom w:val="none" w:sz="0" w:space="0" w:color="auto"/>
            <w:right w:val="none" w:sz="0" w:space="0" w:color="auto"/>
          </w:divBdr>
        </w:div>
        <w:div w:id="1787460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9D529-F2DA-46A7-8139-6D3644384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21036</Words>
  <Characters>119908</Characters>
  <Application>Microsoft Office Word</Application>
  <DocSecurity>0</DocSecurity>
  <Lines>999</Lines>
  <Paragraphs>281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t-user</cp:lastModifiedBy>
  <cp:revision>7</cp:revision>
  <cp:lastPrinted>2026-05-22T04:43:00Z</cp:lastPrinted>
  <dcterms:created xsi:type="dcterms:W3CDTF">2026-05-20T20:01:00Z</dcterms:created>
  <dcterms:modified xsi:type="dcterms:W3CDTF">2026-05-22T04:46:00Z</dcterms:modified>
</cp:coreProperties>
</file>