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4CA831" w14:textId="77777777" w:rsidR="00CC5E85" w:rsidRDefault="00000000">
      <w:r>
        <w:object w:dxaOrig="1440" w:dyaOrig="1440" w14:anchorId="4536B5AF">
          <v:group id="_x0000_s1026" style="position:absolute;margin-left:-7.55pt;margin-top:-52.2pt;width:524.4pt;height:99pt;z-index:251659264" coordorigin="1800,900" coordsize="9180,1647">
            <v:group id="_x0000_s1027" style="position:absolute;left:1800;top:900;width:9180;height:1647" coordorigin="2111,1264" coordsize="9180,164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8" type="#_x0000_t75" style="position:absolute;left:2444;top:1444;width:848;height:1116">
                <v:imagedata r:id="rId6" o:title=""/>
              </v:shape>
              <v:shape id="_x0000_s1029" type="#_x0000_t75" style="position:absolute;left:9805;top:1264;width:868;height:1156">
                <v:imagedata r:id="rId7" o:title="" gain="0" blacklevel=".5" grayscale="t" bilevel="t"/>
              </v:shape>
              <v:shape id="_x0000_s1030" type="#_x0000_t75" style="position:absolute;left:2111;top:2711;width:9180;height:200">
                <v:imagedata r:id="rId8" o:title=""/>
              </v:shape>
            </v:group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2520;top:927;width:6840;height:1439" filled="f" stroked="f">
              <v:textbox>
                <w:txbxContent>
                  <w:p w14:paraId="0D64E4C9" w14:textId="77777777" w:rsidR="00CC5E85" w:rsidRDefault="00CC5E85">
                    <w:pPr>
                      <w:pStyle w:val="Corptext"/>
                      <w:jc w:val="center"/>
                      <w:rPr>
                        <w:rFonts w:ascii="Book Antiqua" w:hAnsi="Book Antiqua"/>
                        <w:b/>
                        <w:i/>
                        <w:iCs/>
                        <w:color w:val="000080"/>
                        <w:sz w:val="16"/>
                        <w:szCs w:val="16"/>
                      </w:rPr>
                    </w:pPr>
                  </w:p>
                  <w:p w14:paraId="72A9A1B2" w14:textId="77777777" w:rsidR="00CC5E85" w:rsidRDefault="00000000">
                    <w:pPr>
                      <w:pStyle w:val="Corptext"/>
                      <w:jc w:val="center"/>
                      <w:rPr>
                        <w:rFonts w:ascii="Book Antiqua" w:hAnsi="Book Antiqua"/>
                        <w:b/>
                        <w:iCs/>
                        <w:color w:val="000080"/>
                        <w:sz w:val="22"/>
                        <w:szCs w:val="22"/>
                        <w:lang w:val="it-IT"/>
                      </w:rPr>
                    </w:pPr>
                    <w:r>
                      <w:rPr>
                        <w:rFonts w:ascii="Book Antiqua" w:hAnsi="Book Antiqua"/>
                        <w:b/>
                        <w:iCs/>
                        <w:color w:val="000080"/>
                        <w:sz w:val="22"/>
                        <w:szCs w:val="22"/>
                        <w:lang w:val="it-IT"/>
                      </w:rPr>
                      <w:t>COMUNA ION CORVIN</w:t>
                    </w:r>
                  </w:p>
                  <w:p w14:paraId="70AD3015" w14:textId="77777777" w:rsidR="00CC5E85" w:rsidRDefault="00000000">
                    <w:pPr>
                      <w:pStyle w:val="Corptext"/>
                      <w:ind w:firstLineChars="300" w:firstLine="660"/>
                      <w:rPr>
                        <w:rFonts w:ascii="Book Antiqua" w:hAnsi="Book Antiqua"/>
                        <w:sz w:val="22"/>
                        <w:szCs w:val="22"/>
                      </w:rPr>
                    </w:pPr>
                    <w:r>
                      <w:rPr>
                        <w:rFonts w:ascii="Book Antiqua" w:hAnsi="Book Antiqua"/>
                        <w:sz w:val="22"/>
                        <w:szCs w:val="22"/>
                        <w:lang w:val="it-IT"/>
                      </w:rPr>
                      <w:t xml:space="preserve">Str. Sf. </w:t>
                    </w:r>
                    <w:r>
                      <w:rPr>
                        <w:rFonts w:ascii="Book Antiqua" w:hAnsi="Book Antiqua"/>
                        <w:sz w:val="22"/>
                        <w:szCs w:val="22"/>
                      </w:rPr>
                      <w:t xml:space="preserve">Andrei nr. 50 </w:t>
                    </w:r>
                    <w:r>
                      <w:rPr>
                        <w:rFonts w:ascii="Book Antiqua" w:hAnsi="Book Antiqua"/>
                        <w:sz w:val="22"/>
                        <w:szCs w:val="22"/>
                      </w:rPr>
                      <w:tab/>
                    </w:r>
                    <w:r>
                      <w:rPr>
                        <w:rFonts w:ascii="Book Antiqua" w:hAnsi="Book Antiqua"/>
                        <w:sz w:val="22"/>
                        <w:szCs w:val="22"/>
                        <w:lang w:val="ro-RO"/>
                      </w:rPr>
                      <w:t xml:space="preserve">         </w:t>
                    </w:r>
                    <w:r>
                      <w:rPr>
                        <w:rFonts w:ascii="Book Antiqua" w:hAnsi="Book Antiqua"/>
                        <w:sz w:val="22"/>
                        <w:szCs w:val="22"/>
                      </w:rPr>
                      <w:t>Tel. (00 4)  0241 856 200</w:t>
                    </w:r>
                  </w:p>
                  <w:p w14:paraId="3F1A90BD" w14:textId="77777777" w:rsidR="00CC5E85" w:rsidRDefault="00000000">
                    <w:pPr>
                      <w:pStyle w:val="Corptext"/>
                      <w:rPr>
                        <w:rFonts w:ascii="Book Antiqua" w:hAnsi="Book Antiqua"/>
                        <w:i/>
                        <w:iCs/>
                        <w:color w:val="000080"/>
                        <w:sz w:val="22"/>
                        <w:szCs w:val="22"/>
                      </w:rPr>
                    </w:pPr>
                    <w:r>
                      <w:rPr>
                        <w:rFonts w:ascii="Book Antiqua" w:hAnsi="Book Antiqua"/>
                        <w:sz w:val="22"/>
                        <w:szCs w:val="22"/>
                      </w:rPr>
                      <w:t xml:space="preserve">            JudetulConstanţa               </w:t>
                    </w:r>
                    <w:r>
                      <w:rPr>
                        <w:rFonts w:ascii="Book Antiqua" w:hAnsi="Book Antiqua"/>
                        <w:sz w:val="22"/>
                        <w:szCs w:val="22"/>
                        <w:lang w:val="ro-RO"/>
                      </w:rPr>
                      <w:t xml:space="preserve">   </w:t>
                    </w:r>
                    <w:r>
                      <w:rPr>
                        <w:rFonts w:ascii="Book Antiqua" w:hAnsi="Book Antiqua"/>
                        <w:sz w:val="22"/>
                        <w:szCs w:val="22"/>
                      </w:rPr>
                      <w:t xml:space="preserve"> Fax: (00 4)  0241 856 464</w:t>
                    </w:r>
                  </w:p>
                  <w:p w14:paraId="792F66EB" w14:textId="77777777" w:rsidR="00CC5E85" w:rsidRDefault="00000000">
                    <w:pPr>
                      <w:pStyle w:val="Corptext"/>
                      <w:ind w:firstLineChars="300" w:firstLine="660"/>
                      <w:rPr>
                        <w:rFonts w:ascii="Book Antiqua" w:hAnsi="Book Antiqua"/>
                        <w:color w:val="0000FF"/>
                        <w:sz w:val="22"/>
                        <w:szCs w:val="22"/>
                      </w:rPr>
                    </w:pPr>
                    <w:r>
                      <w:rPr>
                        <w:rFonts w:ascii="Book Antiqua" w:hAnsi="Book Antiqua"/>
                        <w:sz w:val="22"/>
                        <w:szCs w:val="22"/>
                      </w:rPr>
                      <w:t>România CUI5515059            E-mail :secretariat@primariaioncorvin.ro</w:t>
                    </w:r>
                  </w:p>
                  <w:p w14:paraId="2A8C316B" w14:textId="77777777" w:rsidR="00CC5E85" w:rsidRDefault="00000000">
                    <w:pPr>
                      <w:pStyle w:val="Corptext"/>
                      <w:jc w:val="center"/>
                      <w:rPr>
                        <w:rFonts w:ascii="Book Antiqua" w:hAnsi="Book Antiqua"/>
                        <w:color w:val="0000FF"/>
                        <w:sz w:val="22"/>
                        <w:szCs w:val="22"/>
                        <w:u w:val="single"/>
                        <w:lang w:val="fr-FR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22"/>
                        <w:szCs w:val="22"/>
                        <w:u w:val="single"/>
                        <w:lang w:val="fr-FR"/>
                      </w:rPr>
                      <w:t>www.primariaioncorvin.ro</w:t>
                    </w:r>
                  </w:p>
                </w:txbxContent>
              </v:textbox>
            </v:shape>
          </v:group>
          <o:OLEObject Type="Embed" ProgID="Word.Picture.8" ShapeID="_x0000_s1029" DrawAspect="Content" ObjectID="_1775025693" r:id="rId9"/>
        </w:object>
      </w:r>
    </w:p>
    <w:p w14:paraId="54DD525D" w14:textId="77777777" w:rsidR="00CC5E85" w:rsidRDefault="00CC5E85"/>
    <w:p w14:paraId="49ADAF92" w14:textId="77777777" w:rsidR="00CC5E85" w:rsidRDefault="00CC5E85"/>
    <w:p w14:paraId="2735628F" w14:textId="77777777" w:rsidR="00CC5E85" w:rsidRDefault="00CC5E85">
      <w:pPr>
        <w:rPr>
          <w:sz w:val="16"/>
          <w:szCs w:val="16"/>
        </w:rPr>
      </w:pPr>
    </w:p>
    <w:p w14:paraId="4612DEB7" w14:textId="77777777" w:rsidR="00CC5E85" w:rsidRDefault="00CC5E85">
      <w:pPr>
        <w:pStyle w:val="Frspaiere"/>
        <w:tabs>
          <w:tab w:val="left" w:pos="3030"/>
        </w:tabs>
        <w:rPr>
          <w:rFonts w:ascii="Times New Roman" w:hAnsi="Times New Roman" w:cs="Times New Roman"/>
          <w:b/>
          <w:sz w:val="24"/>
          <w:szCs w:val="24"/>
        </w:rPr>
      </w:pPr>
    </w:p>
    <w:p w14:paraId="5CF6F95B" w14:textId="44A4443E" w:rsidR="00CC5E85" w:rsidRDefault="00000000">
      <w:pPr>
        <w:pStyle w:val="Frspaiere"/>
        <w:ind w:firstLine="720"/>
        <w:rPr>
          <w:rFonts w:ascii="Times New Roman" w:hAnsi="Times New Roman" w:cs="Times New Roman"/>
          <w:b/>
          <w:sz w:val="24"/>
          <w:szCs w:val="32"/>
          <w:lang w:val="ro-RO"/>
        </w:rPr>
      </w:pPr>
      <w:r>
        <w:rPr>
          <w:rFonts w:ascii="Times New Roman" w:hAnsi="Times New Roman" w:cs="Times New Roman"/>
          <w:b/>
          <w:sz w:val="24"/>
          <w:szCs w:val="32"/>
        </w:rPr>
        <w:t>Nr.</w:t>
      </w:r>
      <w:r>
        <w:rPr>
          <w:rFonts w:ascii="Times New Roman" w:hAnsi="Times New Roman" w:cs="Times New Roman"/>
          <w:b/>
          <w:sz w:val="24"/>
          <w:szCs w:val="32"/>
          <w:lang w:val="ro-RO"/>
        </w:rPr>
        <w:t xml:space="preserve"> 17</w:t>
      </w:r>
      <w:r w:rsidR="00D03F4C">
        <w:rPr>
          <w:rFonts w:ascii="Times New Roman" w:hAnsi="Times New Roman" w:cs="Times New Roman"/>
          <w:b/>
          <w:sz w:val="24"/>
          <w:szCs w:val="32"/>
          <w:lang w:val="ro-RO"/>
        </w:rPr>
        <w:t>4</w:t>
      </w:r>
      <w:r>
        <w:rPr>
          <w:rFonts w:ascii="Times New Roman" w:hAnsi="Times New Roman" w:cs="Times New Roman"/>
          <w:b/>
          <w:sz w:val="24"/>
          <w:szCs w:val="32"/>
          <w:lang w:val="ro-RO"/>
        </w:rPr>
        <w:t>4/19.04.2024</w:t>
      </w:r>
    </w:p>
    <w:p w14:paraId="09C900F6" w14:textId="77777777" w:rsidR="00CC5E85" w:rsidRDefault="00000000">
      <w:pPr>
        <w:tabs>
          <w:tab w:val="left" w:pos="1540"/>
          <w:tab w:val="left" w:pos="552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14:paraId="7F369C3A" w14:textId="77777777" w:rsidR="00CC5E85" w:rsidRDefault="00CC5E85">
      <w:pPr>
        <w:pStyle w:val="Default"/>
      </w:pPr>
    </w:p>
    <w:p w14:paraId="6D146C7B" w14:textId="77777777" w:rsidR="00CC5E85" w:rsidRDefault="0000000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RAPORT</w:t>
      </w:r>
    </w:p>
    <w:p w14:paraId="43929E00" w14:textId="77777777" w:rsidR="00CC5E85" w:rsidRDefault="00000000">
      <w:pPr>
        <w:jc w:val="center"/>
        <w:rPr>
          <w:color w:val="000000"/>
          <w:lang w:eastAsia="ro-RO"/>
        </w:rPr>
      </w:pPr>
      <w:r>
        <w:rPr>
          <w:bCs/>
        </w:rPr>
        <w:t xml:space="preserve">privind proiectul de hotărâre privind stabilirea unor tarife, taxe și taxe locale </w:t>
      </w:r>
      <w:r>
        <w:rPr>
          <w:color w:val="000000"/>
          <w:lang w:eastAsia="ro-RO"/>
        </w:rPr>
        <w:t xml:space="preserve">pentru </w:t>
      </w:r>
      <w:r>
        <w:rPr>
          <w:b/>
          <w:color w:val="000000"/>
          <w:lang w:eastAsia="ro-RO"/>
        </w:rPr>
        <w:t>anul 2025</w:t>
      </w:r>
    </w:p>
    <w:p w14:paraId="6AC42E74" w14:textId="77777777" w:rsidR="00CC5E85" w:rsidRDefault="00CC5E85">
      <w:pPr>
        <w:jc w:val="center"/>
        <w:rPr>
          <w:color w:val="000000"/>
          <w:lang w:eastAsia="ro-RO"/>
        </w:rPr>
      </w:pPr>
    </w:p>
    <w:p w14:paraId="03370AC9" w14:textId="77777777" w:rsidR="00CC5E85" w:rsidRDefault="00CC5E85">
      <w:pPr>
        <w:jc w:val="both"/>
      </w:pPr>
    </w:p>
    <w:p w14:paraId="71A5710C" w14:textId="77777777" w:rsidR="00CC5E85" w:rsidRDefault="00000000">
      <w:pPr>
        <w:ind w:firstLine="720"/>
        <w:jc w:val="both"/>
        <w:rPr>
          <w:b/>
        </w:rPr>
      </w:pPr>
      <w:r>
        <w:rPr>
          <w:color w:val="000000"/>
        </w:rPr>
        <w:t xml:space="preserve">În conformitate cu prevederile Legii </w:t>
      </w:r>
      <w:r>
        <w:rPr>
          <w:bCs/>
          <w:color w:val="000000"/>
          <w:lang w:eastAsia="ro-RO"/>
        </w:rPr>
        <w:t>nr. 227/2015 privind Codul fiscal</w:t>
      </w:r>
      <w:r>
        <w:rPr>
          <w:color w:val="000000"/>
        </w:rPr>
        <w:t xml:space="preserve">, Legii nr. 50/1991 (republicată) privind autorizarea executării lucrărilor de construcţii, Ordinului </w:t>
      </w:r>
      <w:r>
        <w:rPr>
          <w:bCs/>
          <w:color w:val="000000"/>
          <w:lang w:eastAsia="ro-RO"/>
        </w:rPr>
        <w:t xml:space="preserve">nr. 839/2009 (actualizat) pentru aprobarea Normelor metodologice de aplicare a </w:t>
      </w:r>
      <w:bookmarkStart w:id="0" w:name="REFsp23rtd4"/>
      <w:bookmarkEnd w:id="0"/>
      <w:r>
        <w:rPr>
          <w:bCs/>
          <w:color w:val="000000"/>
          <w:u w:val="single"/>
          <w:lang w:eastAsia="ro-RO"/>
        </w:rPr>
        <w:t>Legii nr. 50/1991</w:t>
      </w:r>
      <w:r>
        <w:rPr>
          <w:bCs/>
          <w:color w:val="000000"/>
          <w:lang w:eastAsia="ro-RO"/>
        </w:rPr>
        <w:t xml:space="preserve"> privind autorizarea executării lucrărilor de construcţii</w:t>
      </w:r>
      <w:r>
        <w:rPr>
          <w:color w:val="000000"/>
        </w:rPr>
        <w:t xml:space="preserve">, Legii </w:t>
      </w:r>
      <w:r>
        <w:rPr>
          <w:bCs/>
          <w:color w:val="000000"/>
          <w:lang w:eastAsia="ro-RO"/>
        </w:rPr>
        <w:t>nr. 350/2001 (actualizat</w:t>
      </w:r>
      <w:r>
        <w:rPr>
          <w:bCs/>
          <w:color w:val="000000"/>
          <w:lang w:val="ro-RO" w:eastAsia="ro-RO"/>
        </w:rPr>
        <w:t>ă</w:t>
      </w:r>
      <w:r>
        <w:rPr>
          <w:bCs/>
          <w:color w:val="000000"/>
          <w:lang w:eastAsia="ro-RO"/>
        </w:rPr>
        <w:t xml:space="preserve">) privind amenajarea teritoriului și urbanismul </w:t>
      </w:r>
      <w:r>
        <w:rPr>
          <w:color w:val="000000"/>
        </w:rPr>
        <w:t xml:space="preserve">şi ale </w:t>
      </w:r>
      <w:r>
        <w:t>Ordonanței de Urgență nr. 57/2019 privind Codul administrativ</w:t>
      </w:r>
      <w:r>
        <w:rPr>
          <w:color w:val="000000"/>
        </w:rPr>
        <w:t xml:space="preserve">, propunem următoarele taxe  aplicabile pentru anul </w:t>
      </w:r>
      <w:r>
        <w:rPr>
          <w:b/>
          <w:color w:val="000000"/>
        </w:rPr>
        <w:t>202</w:t>
      </w:r>
      <w:r>
        <w:rPr>
          <w:b/>
          <w:color w:val="000000"/>
          <w:lang w:val="ro-RO"/>
        </w:rPr>
        <w:t>5</w:t>
      </w:r>
      <w:r>
        <w:rPr>
          <w:color w:val="000000"/>
        </w:rPr>
        <w:t xml:space="preserve">:  </w:t>
      </w:r>
    </w:p>
    <w:p w14:paraId="72EEC3C2" w14:textId="77777777" w:rsidR="00CC5E85" w:rsidRDefault="00CC5E85">
      <w:pPr>
        <w:shd w:val="clear" w:color="auto" w:fill="FFFFFF"/>
        <w:rPr>
          <w:sz w:val="16"/>
          <w:szCs w:val="16"/>
          <w:lang w:eastAsia="ro-RO"/>
        </w:rPr>
      </w:pPr>
    </w:p>
    <w:p w14:paraId="4CD8D7B2" w14:textId="77777777" w:rsidR="00CC5E85" w:rsidRDefault="00000000">
      <w:pPr>
        <w:ind w:firstLineChars="100" w:firstLine="241"/>
        <w:jc w:val="both"/>
      </w:pPr>
      <w:r>
        <w:rPr>
          <w:b/>
        </w:rPr>
        <w:t xml:space="preserve"> </w:t>
      </w:r>
      <w:r>
        <w:t xml:space="preserve">Conform actelor legislative sus menţionate Consiliile Locale pot adopta taxe, iar valorile propuse sunt prezentate în </w:t>
      </w:r>
      <w:r>
        <w:rPr>
          <w:lang w:val="ro-RO"/>
        </w:rPr>
        <w:t>astfel</w:t>
      </w:r>
      <w:r>
        <w:t>:</w:t>
      </w:r>
    </w:p>
    <w:p w14:paraId="35D7A8FF" w14:textId="4A08A5E5" w:rsidR="00CC5E85" w:rsidRDefault="00000000">
      <w:pPr>
        <w:jc w:val="both"/>
      </w:pPr>
      <w:bookmarkStart w:id="1" w:name="A56"/>
      <w:r>
        <w:rPr>
          <w:b/>
          <w:bCs/>
        </w:rPr>
        <w:t>1. Taxa pentru verificarea documentației de urbanism P</w:t>
      </w:r>
      <w:r w:rsidR="008E53CF">
        <w:rPr>
          <w:b/>
          <w:bCs/>
        </w:rPr>
        <w:t xml:space="preserve">lan </w:t>
      </w:r>
      <w:r>
        <w:rPr>
          <w:b/>
          <w:bCs/>
        </w:rPr>
        <w:t>U</w:t>
      </w:r>
      <w:r w:rsidR="008E53CF">
        <w:rPr>
          <w:b/>
          <w:bCs/>
        </w:rPr>
        <w:t xml:space="preserve">rbanistic de </w:t>
      </w:r>
      <w:r>
        <w:rPr>
          <w:b/>
          <w:bCs/>
        </w:rPr>
        <w:t>D</w:t>
      </w:r>
      <w:r w:rsidR="008E53CF">
        <w:rPr>
          <w:b/>
          <w:bCs/>
        </w:rPr>
        <w:t>etaliu</w:t>
      </w:r>
      <w:r>
        <w:rPr>
          <w:b/>
          <w:bCs/>
        </w:rPr>
        <w:t xml:space="preserve"> </w:t>
      </w:r>
      <w:r>
        <w:rPr>
          <w:bCs/>
        </w:rPr>
        <w:t xml:space="preserve">de către compartimentul de specialitate din cadrul </w:t>
      </w:r>
      <w:r>
        <w:t xml:space="preserve">Primăriei, se stabilește în valoare de:  </w:t>
      </w:r>
    </w:p>
    <w:p w14:paraId="2D7B169B" w14:textId="77777777" w:rsidR="00CC5E85" w:rsidRDefault="00000000">
      <w:pPr>
        <w:autoSpaceDE w:val="0"/>
        <w:autoSpaceDN w:val="0"/>
        <w:adjustRightInd w:val="0"/>
        <w:jc w:val="both"/>
        <w:rPr>
          <w:color w:val="000000"/>
        </w:rPr>
      </w:pPr>
      <w:r>
        <w:rPr>
          <w:bCs/>
        </w:rPr>
        <w:t xml:space="preserve">- </w:t>
      </w:r>
      <w:r>
        <w:rPr>
          <w:b/>
          <w:bCs/>
        </w:rPr>
        <w:t>500,00 lei</w:t>
      </w:r>
      <w:r>
        <w:rPr>
          <w:bCs/>
        </w:rPr>
        <w:t xml:space="preserve"> </w:t>
      </w:r>
      <w:r>
        <w:t>pentru persoanele juridice, iar pentru persoanele fizice</w:t>
      </w:r>
      <w:r>
        <w:rPr>
          <w:bCs/>
        </w:rPr>
        <w:t xml:space="preserve"> </w:t>
      </w:r>
      <w:r>
        <w:rPr>
          <w:b/>
          <w:bCs/>
        </w:rPr>
        <w:t>250,00 lei -</w:t>
      </w:r>
      <w:r>
        <w:rPr>
          <w:lang w:val="ro-RO"/>
        </w:rPr>
        <w:t xml:space="preserve"> conform art. 56</w:t>
      </w:r>
      <w:bookmarkEnd w:id="1"/>
      <w:r>
        <w:rPr>
          <w:lang w:val="ro-RO"/>
        </w:rPr>
        <w:t xml:space="preserve"> </w:t>
      </w:r>
      <w:r>
        <w:t>(1), (3)  Avizarea şi aprobarea documentaţiilor de amenajare a teritoriului şi de urbanism se face de către autorităţile şi organismele centrale şi teritoriale interesate, potrivit prevederilor anexei nr. 1 la Legea nr. 350/2001 cu modificările şi completările ulterioare.</w:t>
      </w:r>
      <w:r>
        <w:rPr>
          <w:lang w:val="ro-RO"/>
        </w:rPr>
        <w:t xml:space="preserve"> </w:t>
      </w:r>
      <w:r>
        <w:rPr>
          <w:rFonts w:eastAsia="ArialMT"/>
          <w:color w:val="000000"/>
        </w:rPr>
        <w:t>Avizarea documentaţiilor de interes general - toate categoriile din domeniul amenajării teritoriului, precum şi din domeniul urbanismului iniţiate de autorităţile şi instituţiile administraţiei publice - se face fără perceperea de taxe.</w:t>
      </w:r>
    </w:p>
    <w:p w14:paraId="661EF539" w14:textId="77777777" w:rsidR="00CC5E85" w:rsidRDefault="00CC5E85">
      <w:pPr>
        <w:jc w:val="both"/>
        <w:rPr>
          <w:b/>
          <w:sz w:val="16"/>
          <w:szCs w:val="16"/>
          <w:lang w:val="ro-RO"/>
        </w:rPr>
      </w:pPr>
    </w:p>
    <w:p w14:paraId="4CB27F65" w14:textId="40C11327" w:rsidR="00CC5E85" w:rsidRDefault="00000000">
      <w:pPr>
        <w:jc w:val="both"/>
      </w:pPr>
      <w:r>
        <w:rPr>
          <w:b/>
          <w:bCs/>
          <w:lang w:val="ro-RO"/>
        </w:rPr>
        <w:t>2</w:t>
      </w:r>
      <w:r>
        <w:rPr>
          <w:b/>
          <w:bCs/>
        </w:rPr>
        <w:t>. Taxa pentru verificarea documentației de urbanism P</w:t>
      </w:r>
      <w:r w:rsidR="008E53CF">
        <w:rPr>
          <w:b/>
          <w:bCs/>
        </w:rPr>
        <w:t xml:space="preserve">lan </w:t>
      </w:r>
      <w:r>
        <w:rPr>
          <w:b/>
          <w:bCs/>
        </w:rPr>
        <w:t>U</w:t>
      </w:r>
      <w:r w:rsidR="008E53CF">
        <w:rPr>
          <w:b/>
          <w:bCs/>
        </w:rPr>
        <w:t xml:space="preserve">rbanistic </w:t>
      </w:r>
      <w:r>
        <w:rPr>
          <w:b/>
          <w:bCs/>
        </w:rPr>
        <w:t>Z</w:t>
      </w:r>
      <w:r w:rsidR="008E53CF">
        <w:rPr>
          <w:b/>
          <w:bCs/>
        </w:rPr>
        <w:t>onal</w:t>
      </w:r>
      <w:r>
        <w:rPr>
          <w:b/>
          <w:bCs/>
        </w:rPr>
        <w:t xml:space="preserve"> </w:t>
      </w:r>
      <w:r>
        <w:rPr>
          <w:bCs/>
        </w:rPr>
        <w:t xml:space="preserve">de către compartimentul de specialitate din cadrul </w:t>
      </w:r>
      <w:r>
        <w:t xml:space="preserve">Primăriei, se stabilește în valoare de:  </w:t>
      </w:r>
    </w:p>
    <w:p w14:paraId="76CE30E9" w14:textId="77777777" w:rsidR="00CC5E85" w:rsidRDefault="00000000">
      <w:pPr>
        <w:autoSpaceDE w:val="0"/>
        <w:autoSpaceDN w:val="0"/>
        <w:adjustRightInd w:val="0"/>
        <w:jc w:val="both"/>
      </w:pPr>
      <w:r>
        <w:rPr>
          <w:b/>
          <w:bCs/>
        </w:rPr>
        <w:t>-1000,00 lei</w:t>
      </w:r>
      <w:r>
        <w:rPr>
          <w:bCs/>
        </w:rPr>
        <w:t xml:space="preserve"> </w:t>
      </w:r>
      <w:r>
        <w:t>pentru persoanele juridice, iar pentru persoanele fizice</w:t>
      </w:r>
      <w:r>
        <w:rPr>
          <w:bCs/>
        </w:rPr>
        <w:t xml:space="preserve"> </w:t>
      </w:r>
      <w:r>
        <w:rPr>
          <w:b/>
          <w:bCs/>
        </w:rPr>
        <w:t xml:space="preserve">500,00 lei </w:t>
      </w:r>
      <w:r>
        <w:t>– ținând cont de interesul persoanelor fizice şi juridice de a promova proiecte de investiţii care nu se încadrează în prevederile documentaţiilor de urbanism, respectiv Planul Urbanistic General (PUG), şi care pot obţine o derogare de modificare a prevederilor documentaţiilor de urbanism aprobate pentru zonele respective prin elaborarea, avizarea şi aprobarea unor documentaţii de urbanism (PUZ/PUD), totodată ținând cont de faptul că documentaţiile de urbanism au un volum mare de file, respectiv, piese scrise și piese desenate, s-a analizat posibilitatea de instituire a unei taxe în vederea verificării acestora.</w:t>
      </w:r>
    </w:p>
    <w:p w14:paraId="5F375813" w14:textId="77777777" w:rsidR="00CC5E85" w:rsidRDefault="00000000">
      <w:pPr>
        <w:autoSpaceDE w:val="0"/>
        <w:autoSpaceDN w:val="0"/>
        <w:adjustRightInd w:val="0"/>
        <w:jc w:val="both"/>
        <w:rPr>
          <w:color w:val="000000"/>
        </w:rPr>
      </w:pPr>
      <w:r>
        <w:t xml:space="preserve">        </w:t>
      </w:r>
      <w:r>
        <w:rPr>
          <w:rFonts w:eastAsia="ArialMT"/>
          <w:color w:val="000000"/>
        </w:rPr>
        <w:t>Avizarea documentaţiilor de interes general - toate categoriile din domeniul amenajării teritoriului, precum şi din domeniul urbanismului iniţiate de autorităţile şi instituţiile administraţiei publice - se face fără perceperea de taxe.</w:t>
      </w:r>
    </w:p>
    <w:p w14:paraId="693AAD70" w14:textId="77777777" w:rsidR="00CC5E85" w:rsidRDefault="00CC5E85">
      <w:pPr>
        <w:jc w:val="both"/>
        <w:rPr>
          <w:sz w:val="16"/>
          <w:szCs w:val="16"/>
        </w:rPr>
      </w:pPr>
    </w:p>
    <w:p w14:paraId="0B1C880B" w14:textId="48D11D27" w:rsidR="00CC5E85" w:rsidRDefault="00000000">
      <w:pPr>
        <w:jc w:val="both"/>
      </w:pPr>
      <w:r>
        <w:rPr>
          <w:b/>
          <w:lang w:val="ro-RO"/>
        </w:rPr>
        <w:t xml:space="preserve">3. </w:t>
      </w:r>
      <w:r>
        <w:rPr>
          <w:b/>
          <w:bCs/>
        </w:rPr>
        <w:t>Taxa pentru avizul de oportunitate,</w:t>
      </w:r>
      <w:r>
        <w:rPr>
          <w:b/>
          <w:bCs/>
          <w:lang w:val="ro-RO"/>
        </w:rPr>
        <w:t xml:space="preserve"> </w:t>
      </w:r>
      <w:r>
        <w:rPr>
          <w:bCs/>
        </w:rPr>
        <w:t>aprobat de Primarul Comunei, se stabilește în valoare de:</w:t>
      </w:r>
      <w:r>
        <w:t xml:space="preserve">  </w:t>
      </w:r>
    </w:p>
    <w:p w14:paraId="609BC61E" w14:textId="77777777" w:rsidR="00CC5E85" w:rsidRDefault="00000000">
      <w:pPr>
        <w:jc w:val="both"/>
        <w:rPr>
          <w:color w:val="000000"/>
          <w:lang w:val="ro-RO"/>
        </w:rPr>
      </w:pPr>
      <w:r>
        <w:rPr>
          <w:b/>
          <w:bCs/>
        </w:rPr>
        <w:t>-300,00 lei</w:t>
      </w:r>
      <w:r>
        <w:rPr>
          <w:bCs/>
        </w:rPr>
        <w:t xml:space="preserve"> </w:t>
      </w:r>
      <w:r>
        <w:t>pentru persoanele juridice, iar pentru persoanele fizice</w:t>
      </w:r>
      <w:r>
        <w:rPr>
          <w:bCs/>
        </w:rPr>
        <w:t xml:space="preserve"> </w:t>
      </w:r>
      <w:r>
        <w:rPr>
          <w:b/>
          <w:bCs/>
        </w:rPr>
        <w:t>150,00 lei</w:t>
      </w:r>
      <w:r>
        <w:t xml:space="preserve"> – </w:t>
      </w:r>
      <w:bookmarkStart w:id="2" w:name="A32"/>
      <w:r>
        <w:t>conform art</w:t>
      </w:r>
      <w:r>
        <w:rPr>
          <w:lang w:val="ro-RO"/>
        </w:rPr>
        <w:t>. 32</w:t>
      </w:r>
      <w:bookmarkEnd w:id="2"/>
      <w:r>
        <w:rPr>
          <w:lang w:val="ro-RO"/>
        </w:rPr>
        <w:t xml:space="preserve"> din </w:t>
      </w:r>
      <w:r>
        <w:rPr>
          <w:color w:val="000000"/>
        </w:rPr>
        <w:t>Legea nr. 350/2001 cu modificările şi completările ulterioare</w:t>
      </w:r>
      <w:r>
        <w:rPr>
          <w:color w:val="000000"/>
          <w:lang w:val="ro-RO"/>
        </w:rPr>
        <w:t>.</w:t>
      </w:r>
    </w:p>
    <w:p w14:paraId="530C489C" w14:textId="77777777" w:rsidR="00CC5E85" w:rsidRDefault="00CC5E85">
      <w:pPr>
        <w:jc w:val="both"/>
        <w:rPr>
          <w:color w:val="000000"/>
          <w:lang w:val="ro-RO"/>
        </w:rPr>
      </w:pPr>
    </w:p>
    <w:p w14:paraId="194A6F1A" w14:textId="6BCDAB83" w:rsidR="00CC5E85" w:rsidRDefault="00000000">
      <w:pPr>
        <w:jc w:val="both"/>
        <w:rPr>
          <w:color w:val="000000"/>
          <w:lang w:val="ro-RO"/>
        </w:rPr>
      </w:pPr>
      <w:r>
        <w:rPr>
          <w:b/>
          <w:bCs/>
          <w:lang w:val="ro-RO"/>
        </w:rPr>
        <w:t>4</w:t>
      </w:r>
      <w:r>
        <w:rPr>
          <w:b/>
          <w:bCs/>
        </w:rPr>
        <w:t xml:space="preserve">. Taxa pentru </w:t>
      </w:r>
      <w:r w:rsidR="008E53CF">
        <w:rPr>
          <w:b/>
          <w:bCs/>
        </w:rPr>
        <w:t xml:space="preserve">constatarea </w:t>
      </w:r>
      <w:r>
        <w:rPr>
          <w:b/>
          <w:bCs/>
          <w:lang w:val="ro-RO"/>
        </w:rPr>
        <w:t>autodemol</w:t>
      </w:r>
      <w:r w:rsidR="008E53CF">
        <w:rPr>
          <w:b/>
          <w:bCs/>
          <w:lang w:val="ro-RO"/>
        </w:rPr>
        <w:t>ării</w:t>
      </w:r>
      <w:r>
        <w:rPr>
          <w:b/>
          <w:bCs/>
          <w:lang w:val="ro-RO"/>
        </w:rPr>
        <w:t xml:space="preserve"> c</w:t>
      </w:r>
      <w:r w:rsidR="008E53CF">
        <w:rPr>
          <w:b/>
          <w:bCs/>
          <w:lang w:val="ro-RO"/>
        </w:rPr>
        <w:t>o</w:t>
      </w:r>
      <w:r>
        <w:rPr>
          <w:b/>
          <w:bCs/>
          <w:lang w:val="ro-RO"/>
        </w:rPr>
        <w:t>nstrucții</w:t>
      </w:r>
      <w:r w:rsidR="008E53CF">
        <w:rPr>
          <w:b/>
          <w:bCs/>
          <w:lang w:val="ro-RO"/>
        </w:rPr>
        <w:t>lor</w:t>
      </w:r>
      <w:r>
        <w:t>, se stabilește în valoare de:</w:t>
      </w:r>
      <w:r>
        <w:rPr>
          <w:lang w:val="ro-RO"/>
        </w:rPr>
        <w:t xml:space="preserve"> 0,1% din valoarea impozabilă a construcției stabilită pentru determinarea impozitului pe clădiri.</w:t>
      </w:r>
    </w:p>
    <w:p w14:paraId="5794F789" w14:textId="77777777" w:rsidR="00CC5E85" w:rsidRDefault="00000000">
      <w:pPr>
        <w:jc w:val="both"/>
        <w:rPr>
          <w:color w:val="000000"/>
          <w:lang w:val="ro-RO"/>
        </w:rPr>
      </w:pPr>
      <w:r>
        <w:rPr>
          <w:b/>
          <w:bCs/>
        </w:rPr>
        <w:lastRenderedPageBreak/>
        <w:t xml:space="preserve"> </w:t>
      </w:r>
      <w:r>
        <w:rPr>
          <w:b/>
          <w:bCs/>
          <w:lang w:val="ro-RO"/>
        </w:rPr>
        <w:t xml:space="preserve">    5.</w:t>
      </w:r>
      <w:r>
        <w:rPr>
          <w:b/>
          <w:bCs/>
        </w:rPr>
        <w:t xml:space="preserve">Taxa pentru </w:t>
      </w:r>
      <w:r>
        <w:rPr>
          <w:b/>
          <w:bCs/>
          <w:lang w:val="ro-RO"/>
        </w:rPr>
        <w:t>măsurare/delimitare a unei parcele de teren din extravilan</w:t>
      </w:r>
      <w:r>
        <w:t xml:space="preserve"> se stabilește în valoare de:</w:t>
      </w:r>
      <w:r>
        <w:rPr>
          <w:lang w:val="ro-RO"/>
        </w:rPr>
        <w:t xml:space="preserve"> 250 lei/ parcelă</w:t>
      </w:r>
      <w:r>
        <w:t xml:space="preserve"> </w:t>
      </w:r>
      <w:r>
        <w:rPr>
          <w:lang w:val="ro-RO"/>
        </w:rPr>
        <w:t>.</w:t>
      </w:r>
    </w:p>
    <w:p w14:paraId="08E91A5D" w14:textId="77777777" w:rsidR="00CC5E85" w:rsidRDefault="00CC5E85">
      <w:pPr>
        <w:jc w:val="both"/>
        <w:rPr>
          <w:color w:val="000000"/>
          <w:lang w:val="ro-RO"/>
        </w:rPr>
      </w:pPr>
    </w:p>
    <w:p w14:paraId="71A52239" w14:textId="77777777" w:rsidR="00CC5E85" w:rsidRDefault="00000000">
      <w:pPr>
        <w:autoSpaceDE w:val="0"/>
        <w:autoSpaceDN w:val="0"/>
        <w:adjustRightInd w:val="0"/>
        <w:rPr>
          <w:rFonts w:eastAsia="ArialMT"/>
          <w:color w:val="000000"/>
          <w:lang w:val="ro-RO" w:eastAsia="ro-RO"/>
        </w:rPr>
      </w:pPr>
      <w:r>
        <w:rPr>
          <w:rFonts w:eastAsia="ArialMT"/>
          <w:color w:val="000000"/>
          <w:lang w:val="ro-RO" w:eastAsia="ro-RO"/>
        </w:rPr>
        <w:tab/>
        <w:t>În cazul în care prin cererea pentru emiterea certificatului de urbanism se solicită o modificare de la prevederile documentaţiilor de urbanism aprobate pentru zona respectivă sau dacă condiţiile specifice ale amplasamentului ori natura obiectivelor de investiţii o impun, autoritatea publică locală are dreptul ca, după caz, prin certificatul de urbanism:</w:t>
      </w:r>
    </w:p>
    <w:p w14:paraId="671EC6A3" w14:textId="77777777" w:rsidR="00CC5E85" w:rsidRDefault="00000000">
      <w:pPr>
        <w:autoSpaceDE w:val="0"/>
        <w:autoSpaceDN w:val="0"/>
        <w:adjustRightInd w:val="0"/>
        <w:rPr>
          <w:rFonts w:eastAsia="ArialMT"/>
          <w:color w:val="000000"/>
          <w:lang w:val="ro-RO" w:eastAsia="ro-RO"/>
        </w:rPr>
      </w:pPr>
      <w:r>
        <w:rPr>
          <w:rFonts w:eastAsia="Calibri"/>
          <w:b/>
          <w:bCs/>
          <w:color w:val="000000"/>
          <w:lang w:val="ro-RO" w:eastAsia="ro-RO"/>
        </w:rPr>
        <w:t xml:space="preserve">a) </w:t>
      </w:r>
      <w:r>
        <w:rPr>
          <w:rFonts w:eastAsia="ArialMT"/>
          <w:color w:val="000000"/>
          <w:lang w:val="ro-RO" w:eastAsia="ro-RO"/>
        </w:rPr>
        <w:t>să respingă în mod justificat cererea de modificare a prevederilor documentaţiilor de urbanism aprobate;</w:t>
      </w:r>
    </w:p>
    <w:p w14:paraId="22B744A4" w14:textId="77777777" w:rsidR="00CC5E85" w:rsidRDefault="00000000">
      <w:pPr>
        <w:autoSpaceDE w:val="0"/>
        <w:autoSpaceDN w:val="0"/>
        <w:adjustRightInd w:val="0"/>
        <w:rPr>
          <w:rFonts w:eastAsia="ArialMT"/>
          <w:color w:val="000000"/>
          <w:lang w:val="ro-RO" w:eastAsia="ro-RO"/>
        </w:rPr>
      </w:pPr>
      <w:r>
        <w:rPr>
          <w:rFonts w:eastAsia="Calibri"/>
          <w:b/>
          <w:bCs/>
          <w:color w:val="000000"/>
          <w:lang w:val="ro-RO" w:eastAsia="ro-RO"/>
        </w:rPr>
        <w:t xml:space="preserve">b) </w:t>
      </w:r>
      <w:r>
        <w:rPr>
          <w:rFonts w:eastAsia="ArialMT"/>
          <w:color w:val="000000"/>
          <w:lang w:val="ro-RO" w:eastAsia="ro-RO"/>
        </w:rPr>
        <w:t>să condiţioneze autorizarea investiţiei de elaborarea şi aprobarea de către autoritatea publică locală</w:t>
      </w:r>
    </w:p>
    <w:p w14:paraId="6BD110DB" w14:textId="77777777" w:rsidR="00CC5E85" w:rsidRDefault="00000000">
      <w:pPr>
        <w:autoSpaceDE w:val="0"/>
        <w:autoSpaceDN w:val="0"/>
        <w:adjustRightInd w:val="0"/>
        <w:rPr>
          <w:rFonts w:eastAsia="ArialMT"/>
          <w:color w:val="000000"/>
          <w:lang w:val="ro-RO" w:eastAsia="ro-RO"/>
        </w:rPr>
      </w:pPr>
      <w:r>
        <w:rPr>
          <w:rFonts w:eastAsia="ArialMT"/>
          <w:color w:val="000000"/>
          <w:lang w:val="ro-RO" w:eastAsia="ro-RO"/>
        </w:rPr>
        <w:t>competentă a unui plan urbanistic zonal;</w:t>
      </w:r>
    </w:p>
    <w:p w14:paraId="4E809420" w14:textId="77777777" w:rsidR="00CC5E85" w:rsidRDefault="00000000">
      <w:pPr>
        <w:autoSpaceDE w:val="0"/>
        <w:autoSpaceDN w:val="0"/>
        <w:adjustRightInd w:val="0"/>
        <w:rPr>
          <w:rFonts w:eastAsia="ArialMT"/>
          <w:color w:val="000000"/>
          <w:lang w:val="ro-RO" w:eastAsia="ro-RO"/>
        </w:rPr>
      </w:pPr>
      <w:r>
        <w:rPr>
          <w:rFonts w:eastAsia="Calibri"/>
          <w:b/>
          <w:bCs/>
          <w:color w:val="000000"/>
          <w:lang w:val="ro-RO" w:eastAsia="ro-RO"/>
        </w:rPr>
        <w:t xml:space="preserve">c) </w:t>
      </w:r>
      <w:r>
        <w:rPr>
          <w:rFonts w:eastAsia="ArialMT"/>
          <w:color w:val="000000"/>
          <w:lang w:val="ro-RO" w:eastAsia="ro-RO"/>
        </w:rPr>
        <w:t>să condiţioneze autorizarea investiţiei de aprobarea de către autoritatea publică competentă a unui plan urbanistic zonal, elaborat şi finanţat prin grija persoanelor fizice şi/sau juridice interesate, numai în baza unui aviz prealabil de oportunitate întocmit de compartimentul specializat şi aprobat, conform competenţei de Primarul localităţii.</w:t>
      </w:r>
    </w:p>
    <w:p w14:paraId="35BF5F20" w14:textId="77777777" w:rsidR="00CC5E85" w:rsidRDefault="00000000">
      <w:pPr>
        <w:autoSpaceDE w:val="0"/>
        <w:autoSpaceDN w:val="0"/>
        <w:adjustRightInd w:val="0"/>
        <w:rPr>
          <w:rFonts w:eastAsia="ArialMT"/>
          <w:color w:val="000000"/>
          <w:lang w:val="ro-RO" w:eastAsia="ro-RO"/>
        </w:rPr>
      </w:pPr>
      <w:r>
        <w:rPr>
          <w:rFonts w:eastAsia="Calibri"/>
          <w:b/>
          <w:bCs/>
          <w:color w:val="000000"/>
          <w:lang w:val="ro-RO" w:eastAsia="ro-RO"/>
        </w:rPr>
        <w:t xml:space="preserve">d) </w:t>
      </w:r>
      <w:r>
        <w:rPr>
          <w:rFonts w:eastAsia="ArialMT"/>
          <w:color w:val="000000"/>
          <w:lang w:val="ro-RO" w:eastAsia="ro-RO"/>
        </w:rPr>
        <w:t>să solicite elaborarea unui plan urbanistic de detaliu;</w:t>
      </w:r>
    </w:p>
    <w:p w14:paraId="09B11DC1" w14:textId="77777777" w:rsidR="00CC5E85" w:rsidRDefault="00000000">
      <w:pPr>
        <w:autoSpaceDE w:val="0"/>
        <w:autoSpaceDN w:val="0"/>
        <w:adjustRightInd w:val="0"/>
        <w:jc w:val="both"/>
        <w:rPr>
          <w:rFonts w:eastAsia="ArialMT"/>
          <w:color w:val="000000"/>
          <w:lang w:val="ro-RO" w:eastAsia="ro-RO"/>
        </w:rPr>
      </w:pPr>
      <w:r>
        <w:rPr>
          <w:rFonts w:eastAsia="Calibri"/>
          <w:b/>
          <w:bCs/>
          <w:color w:val="000000"/>
          <w:lang w:val="ro-RO" w:eastAsia="ro-RO"/>
        </w:rPr>
        <w:t xml:space="preserve">e) </w:t>
      </w:r>
      <w:r>
        <w:rPr>
          <w:rFonts w:eastAsia="ArialMT"/>
          <w:color w:val="000000"/>
          <w:lang w:val="ro-RO" w:eastAsia="ro-RO"/>
        </w:rPr>
        <w:t>să permită întocmirea documentaţiei tehnice pentru autorizaţia de construire, fără elaborarea unei</w:t>
      </w:r>
    </w:p>
    <w:p w14:paraId="6ACF2165" w14:textId="77777777" w:rsidR="00CC5E85" w:rsidRDefault="00000000">
      <w:pPr>
        <w:autoSpaceDE w:val="0"/>
        <w:autoSpaceDN w:val="0"/>
        <w:adjustRightInd w:val="0"/>
        <w:jc w:val="both"/>
        <w:rPr>
          <w:color w:val="000000"/>
          <w:lang w:eastAsia="ro-RO"/>
        </w:rPr>
      </w:pPr>
      <w:r>
        <w:rPr>
          <w:rFonts w:eastAsia="ArialMT"/>
          <w:color w:val="000000"/>
          <w:lang w:val="ro-RO" w:eastAsia="ro-RO"/>
        </w:rPr>
        <w:t>documentații de urbanism, în situația construirii pe o parcelă în cadrul unui front preexistent, în care clădirile de pe parcelele adiacente au același regim de înălțime cu cel solicitat.</w:t>
      </w:r>
      <w:r>
        <w:rPr>
          <w:color w:val="000000"/>
          <w:lang w:eastAsia="ro-RO"/>
        </w:rPr>
        <w:t xml:space="preserve"> </w:t>
      </w:r>
    </w:p>
    <w:p w14:paraId="274106F2" w14:textId="77777777" w:rsidR="00CC5E85" w:rsidRDefault="00CC5E85">
      <w:pPr>
        <w:jc w:val="both"/>
        <w:rPr>
          <w:color w:val="000000"/>
          <w:sz w:val="16"/>
          <w:szCs w:val="16"/>
        </w:rPr>
      </w:pPr>
    </w:p>
    <w:p w14:paraId="04B43115" w14:textId="77777777" w:rsidR="00CC5E85" w:rsidRDefault="00000000">
      <w:pPr>
        <w:ind w:firstLine="708"/>
        <w:jc w:val="both"/>
        <w:rPr>
          <w:b/>
        </w:rPr>
      </w:pPr>
      <w:r>
        <w:rPr>
          <w:b/>
        </w:rPr>
        <w:t xml:space="preserve">Propunem ca scutirile de la plata taxelor și taxelor locale să fie aplicate conform prevederi </w:t>
      </w:r>
      <w:r>
        <w:rPr>
          <w:b/>
          <w:color w:val="000000"/>
        </w:rPr>
        <w:t xml:space="preserve">Legea </w:t>
      </w:r>
      <w:r>
        <w:rPr>
          <w:b/>
          <w:bCs/>
          <w:color w:val="000000"/>
          <w:lang w:eastAsia="ro-RO"/>
        </w:rPr>
        <w:t>nr. 227/2015 privind Codul fiscal.</w:t>
      </w:r>
      <w:r>
        <w:rPr>
          <w:b/>
        </w:rPr>
        <w:t xml:space="preserve"> </w:t>
      </w:r>
    </w:p>
    <w:p w14:paraId="0FCBAAD4" w14:textId="77777777" w:rsidR="00CC5E85" w:rsidRDefault="0000000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b/>
          <w:caps/>
          <w:color w:val="000000"/>
          <w:sz w:val="22"/>
          <w:szCs w:val="22"/>
          <w:u w:val="single"/>
        </w:rPr>
        <w:t>Scutiri</w:t>
      </w:r>
      <w:r>
        <w:rPr>
          <w:b/>
          <w:caps/>
          <w:sz w:val="22"/>
          <w:szCs w:val="22"/>
          <w:u w:val="single"/>
        </w:rPr>
        <w:br/>
      </w:r>
      <w:r>
        <w:rPr>
          <w:color w:val="000000"/>
          <w:sz w:val="22"/>
          <w:szCs w:val="22"/>
        </w:rPr>
        <w:t xml:space="preserve">1. </w:t>
      </w:r>
      <w:r>
        <w:rPr>
          <w:rFonts w:eastAsia="ArialMT"/>
          <w:color w:val="000000"/>
          <w:sz w:val="22"/>
          <w:szCs w:val="22"/>
        </w:rPr>
        <w:t>Avizarea documentaţiilor de interes general - toate categoriile din domeniul amenajării teritoriului, precum şi din domeniul urbanismului iniţiate de autorităţile şi instituţiile administraţiei publice - se face fără perceperea de taxe.</w:t>
      </w:r>
    </w:p>
    <w:p w14:paraId="13654356" w14:textId="77777777" w:rsidR="00CC5E85" w:rsidRDefault="00000000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 Autorităţile deliberative pot acorda reduceri sau scutiri de la plata taxelor instituite conform </w:t>
      </w:r>
      <w:r>
        <w:rPr>
          <w:b/>
          <w:bCs/>
          <w:color w:val="000000"/>
          <w:sz w:val="22"/>
          <w:szCs w:val="22"/>
        </w:rPr>
        <w:t xml:space="preserve">Legii nr. 227/2015 privind Codul fiscal, </w:t>
      </w:r>
      <w:r>
        <w:rPr>
          <w:color w:val="000000"/>
          <w:sz w:val="22"/>
          <w:szCs w:val="22"/>
        </w:rPr>
        <w:t>următoarelor persoane fizice sau juridice:</w:t>
      </w:r>
    </w:p>
    <w:p w14:paraId="2ED4F630" w14:textId="77777777" w:rsidR="00CC5E85" w:rsidRDefault="00000000">
      <w:pPr>
        <w:autoSpaceDE w:val="0"/>
        <w:autoSpaceDN w:val="0"/>
        <w:adjustRightInd w:val="0"/>
        <w:jc w:val="both"/>
        <w:rPr>
          <w:rFonts w:eastAsia="ArialMT"/>
          <w:color w:val="000000"/>
          <w:sz w:val="22"/>
          <w:szCs w:val="22"/>
        </w:rPr>
      </w:pPr>
      <w:r>
        <w:rPr>
          <w:rFonts w:eastAsia="ArialMT"/>
          <w:b/>
          <w:bCs/>
          <w:color w:val="000000"/>
          <w:sz w:val="22"/>
          <w:szCs w:val="22"/>
        </w:rPr>
        <w:t xml:space="preserve">a) </w:t>
      </w:r>
      <w:r>
        <w:rPr>
          <w:rFonts w:eastAsia="ArialMT"/>
          <w:color w:val="000000"/>
          <w:sz w:val="22"/>
          <w:szCs w:val="22"/>
        </w:rPr>
        <w:t>veteranii de război, văduvele de război şi văduvele nerecăsătorite ale veteranilor de război;</w:t>
      </w:r>
    </w:p>
    <w:p w14:paraId="3AF54EE7" w14:textId="77777777" w:rsidR="00CC5E85" w:rsidRDefault="00000000">
      <w:pPr>
        <w:autoSpaceDE w:val="0"/>
        <w:autoSpaceDN w:val="0"/>
        <w:adjustRightInd w:val="0"/>
        <w:jc w:val="both"/>
        <w:rPr>
          <w:rFonts w:eastAsia="ArialMT"/>
          <w:color w:val="000000"/>
          <w:sz w:val="22"/>
          <w:szCs w:val="22"/>
        </w:rPr>
      </w:pPr>
      <w:r>
        <w:rPr>
          <w:rFonts w:eastAsia="ArialMT"/>
          <w:b/>
          <w:bCs/>
          <w:color w:val="000000"/>
          <w:sz w:val="22"/>
          <w:szCs w:val="22"/>
        </w:rPr>
        <w:t xml:space="preserve">b) </w:t>
      </w:r>
      <w:r>
        <w:rPr>
          <w:rFonts w:eastAsia="ArialMT"/>
          <w:color w:val="000000"/>
          <w:sz w:val="22"/>
          <w:szCs w:val="22"/>
        </w:rPr>
        <w:t>persoanele fizice prevăzute la art. 1 din Decretul-lege nr. 118/1990, republicat, cu modificările şi completările ulterioare;</w:t>
      </w:r>
    </w:p>
    <w:p w14:paraId="6FE0C7FC" w14:textId="77777777" w:rsidR="00CC5E85" w:rsidRDefault="00000000">
      <w:pPr>
        <w:autoSpaceDE w:val="0"/>
        <w:autoSpaceDN w:val="0"/>
        <w:adjustRightInd w:val="0"/>
        <w:jc w:val="both"/>
        <w:rPr>
          <w:rFonts w:eastAsia="ArialMT"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c) </w:t>
      </w:r>
      <w:r>
        <w:rPr>
          <w:rFonts w:eastAsia="ArialMT"/>
          <w:color w:val="000000"/>
          <w:sz w:val="22"/>
          <w:szCs w:val="22"/>
        </w:rPr>
        <w:t>instituţiile sau unităţile care funcţionează sub coordonarea Ministerului Educaţiei şi Cercetării Ştiinţifice sau a</w:t>
      </w:r>
    </w:p>
    <w:p w14:paraId="1D65071C" w14:textId="77777777" w:rsidR="00CC5E85" w:rsidRDefault="00000000">
      <w:pPr>
        <w:autoSpaceDE w:val="0"/>
        <w:autoSpaceDN w:val="0"/>
        <w:adjustRightInd w:val="0"/>
        <w:jc w:val="both"/>
        <w:rPr>
          <w:rFonts w:eastAsia="ArialMT"/>
          <w:color w:val="000000"/>
          <w:sz w:val="22"/>
          <w:szCs w:val="22"/>
        </w:rPr>
      </w:pPr>
      <w:r>
        <w:rPr>
          <w:rFonts w:eastAsia="ArialMT"/>
          <w:color w:val="000000"/>
          <w:sz w:val="22"/>
          <w:szCs w:val="22"/>
        </w:rPr>
        <w:t>Ministerului Tineretului şi Sportului, cu excepţia incintelor folosite pentru activităţi economice;</w:t>
      </w:r>
    </w:p>
    <w:p w14:paraId="47CE7AB0" w14:textId="77777777" w:rsidR="00CC5E85" w:rsidRDefault="00000000">
      <w:pPr>
        <w:autoSpaceDE w:val="0"/>
        <w:autoSpaceDN w:val="0"/>
        <w:adjustRightInd w:val="0"/>
        <w:jc w:val="both"/>
        <w:rPr>
          <w:rFonts w:eastAsia="ArialMT"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d) </w:t>
      </w:r>
      <w:r>
        <w:rPr>
          <w:rFonts w:eastAsia="ArialMT"/>
          <w:color w:val="000000"/>
          <w:sz w:val="22"/>
          <w:szCs w:val="22"/>
        </w:rPr>
        <w:t>fundaţiile înfiinţate prin testament, constituite conform legii, cu scopul de a întreţine, dezvolta şi ajuta instituţii de cultură naţională, precum şi de a susţine acţiuni cu caracter umanitar, social şi cultural;</w:t>
      </w:r>
    </w:p>
    <w:p w14:paraId="574590A5" w14:textId="77777777" w:rsidR="00CC5E85" w:rsidRDefault="00000000">
      <w:pPr>
        <w:autoSpaceDE w:val="0"/>
        <w:autoSpaceDN w:val="0"/>
        <w:adjustRightInd w:val="0"/>
        <w:jc w:val="both"/>
        <w:rPr>
          <w:rFonts w:eastAsia="ArialMT"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e) </w:t>
      </w:r>
      <w:r>
        <w:rPr>
          <w:rFonts w:eastAsia="ArialMT"/>
          <w:color w:val="000000"/>
          <w:sz w:val="22"/>
          <w:szCs w:val="22"/>
        </w:rPr>
        <w:t>organizaţiile care au ca unică activitate acordarea gratuită de servicii sociale în unităţi specializate care</w:t>
      </w:r>
    </w:p>
    <w:p w14:paraId="22CAFA90" w14:textId="77777777" w:rsidR="00CC5E85" w:rsidRDefault="00000000">
      <w:pPr>
        <w:autoSpaceDE w:val="0"/>
        <w:autoSpaceDN w:val="0"/>
        <w:adjustRightInd w:val="0"/>
        <w:jc w:val="both"/>
        <w:rPr>
          <w:rFonts w:eastAsia="ArialMT"/>
          <w:color w:val="000000"/>
          <w:sz w:val="22"/>
          <w:szCs w:val="22"/>
        </w:rPr>
      </w:pPr>
      <w:r>
        <w:rPr>
          <w:rFonts w:eastAsia="ArialMT"/>
          <w:color w:val="000000"/>
          <w:sz w:val="22"/>
          <w:szCs w:val="22"/>
        </w:rPr>
        <w:t>asigură găzduire, îngrijire socială şi medicală, asistenţă, ocrotire, activităţi de recuperare, reabilitare şi reinserţie</w:t>
      </w:r>
    </w:p>
    <w:p w14:paraId="5FFB1A03" w14:textId="77777777" w:rsidR="00CC5E85" w:rsidRDefault="00000000">
      <w:pPr>
        <w:autoSpaceDE w:val="0"/>
        <w:autoSpaceDN w:val="0"/>
        <w:adjustRightInd w:val="0"/>
        <w:jc w:val="both"/>
        <w:rPr>
          <w:rFonts w:eastAsia="ArialMT"/>
          <w:color w:val="000000"/>
          <w:sz w:val="22"/>
          <w:szCs w:val="22"/>
        </w:rPr>
      </w:pPr>
      <w:r>
        <w:rPr>
          <w:rFonts w:eastAsia="ArialMT"/>
          <w:color w:val="000000"/>
          <w:sz w:val="22"/>
          <w:szCs w:val="22"/>
        </w:rPr>
        <w:t>socială pentru copil, familie, persoane cu handicap, persoane vârstnice, precum şi pentru alte persoane aflate în</w:t>
      </w:r>
    </w:p>
    <w:p w14:paraId="3F21CBAB" w14:textId="77777777" w:rsidR="00CC5E85" w:rsidRDefault="00000000">
      <w:pPr>
        <w:autoSpaceDE w:val="0"/>
        <w:autoSpaceDN w:val="0"/>
        <w:adjustRightInd w:val="0"/>
        <w:jc w:val="both"/>
        <w:rPr>
          <w:rFonts w:eastAsia="ArialMT"/>
          <w:color w:val="000000"/>
          <w:sz w:val="22"/>
          <w:szCs w:val="22"/>
          <w:lang w:val="ro-RO"/>
        </w:rPr>
      </w:pPr>
      <w:r>
        <w:rPr>
          <w:rFonts w:eastAsia="ArialMT"/>
          <w:color w:val="000000"/>
          <w:sz w:val="22"/>
          <w:szCs w:val="22"/>
          <w:lang w:val="ro-RO"/>
        </w:rPr>
        <w:t>dificultate în condițiile legii</w:t>
      </w:r>
    </w:p>
    <w:p w14:paraId="0E8F2C27" w14:textId="77777777" w:rsidR="00CC5E85" w:rsidRDefault="00CC5E85">
      <w:pPr>
        <w:shd w:val="clear" w:color="auto" w:fill="FFFFFF"/>
        <w:jc w:val="both"/>
        <w:rPr>
          <w:b/>
        </w:rPr>
      </w:pPr>
    </w:p>
    <w:p w14:paraId="259D7D28" w14:textId="4C39BACC" w:rsidR="00CC5E85" w:rsidRDefault="00000000">
      <w:pPr>
        <w:ind w:firstLine="720"/>
        <w:jc w:val="both"/>
      </w:pPr>
      <w:r>
        <w:t xml:space="preserve">Considerăm că valorile pe care le propunem se încadrează în limitele impuse de </w:t>
      </w:r>
      <w:r>
        <w:rPr>
          <w:lang w:val="ro-RO"/>
        </w:rPr>
        <w:t>legislația</w:t>
      </w:r>
      <w:r>
        <w:t xml:space="preserve"> actuală </w:t>
      </w:r>
      <w:r>
        <w:rPr>
          <w:lang w:val="ro-RO"/>
        </w:rPr>
        <w:t>și</w:t>
      </w:r>
      <w:r>
        <w:t xml:space="preserve"> răspund </w:t>
      </w:r>
      <w:r>
        <w:rPr>
          <w:lang w:val="ro-RO"/>
        </w:rPr>
        <w:t>cerințelor</w:t>
      </w:r>
      <w:r>
        <w:t xml:space="preserve"> de stimulare a mediului </w:t>
      </w:r>
      <w:r>
        <w:rPr>
          <w:lang w:val="ro-RO"/>
        </w:rPr>
        <w:t>investițional</w:t>
      </w:r>
      <w:r>
        <w:t xml:space="preserve"> local, respectiv </w:t>
      </w:r>
      <w:r>
        <w:rPr>
          <w:lang w:val="ro-RO"/>
        </w:rPr>
        <w:t>cerințelor</w:t>
      </w:r>
      <w:r>
        <w:t xml:space="preserve"> de </w:t>
      </w:r>
      <w:r>
        <w:rPr>
          <w:lang w:val="ro-RO"/>
        </w:rPr>
        <w:t>finanțare</w:t>
      </w:r>
      <w:r>
        <w:t xml:space="preserve"> a cheltuielilor publice locale.</w:t>
      </w:r>
    </w:p>
    <w:p w14:paraId="4A41F5BB" w14:textId="77777777" w:rsidR="00CC5E85" w:rsidRDefault="00CC5E85">
      <w:pPr>
        <w:ind w:firstLine="720"/>
        <w:jc w:val="both"/>
      </w:pPr>
    </w:p>
    <w:p w14:paraId="5F7CED6F" w14:textId="77777777" w:rsidR="00CC5E85" w:rsidRDefault="00000000">
      <w:pPr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           </w:t>
      </w:r>
    </w:p>
    <w:p w14:paraId="56ADA7BF" w14:textId="77777777" w:rsidR="00CC5E85" w:rsidRDefault="00000000">
      <w:pPr>
        <w:jc w:val="center"/>
        <w:rPr>
          <w:sz w:val="22"/>
          <w:szCs w:val="22"/>
          <w:lang w:val="ro-RO"/>
        </w:rPr>
      </w:pPr>
      <w:r>
        <w:rPr>
          <w:sz w:val="22"/>
          <w:szCs w:val="22"/>
        </w:rPr>
        <w:t>Compartiment de specialitate</w:t>
      </w:r>
      <w:r>
        <w:rPr>
          <w:sz w:val="22"/>
          <w:szCs w:val="22"/>
          <w:lang w:val="ro-RO"/>
        </w:rPr>
        <w:t>,</w:t>
      </w:r>
    </w:p>
    <w:p w14:paraId="5F091DDB" w14:textId="77777777" w:rsidR="00CC5E85" w:rsidRDefault="00000000">
      <w:pPr>
        <w:jc w:val="center"/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>Responsabil urbanism</w:t>
      </w:r>
    </w:p>
    <w:p w14:paraId="7BCB41BB" w14:textId="77777777" w:rsidR="00CC5E85" w:rsidRDefault="00000000">
      <w:pPr>
        <w:jc w:val="center"/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>Pandele Vasile</w:t>
      </w:r>
    </w:p>
    <w:p w14:paraId="3FA5A7B5" w14:textId="77777777" w:rsidR="00CC5E85" w:rsidRDefault="00CC5E85">
      <w:pPr>
        <w:tabs>
          <w:tab w:val="left" w:pos="1540"/>
          <w:tab w:val="left" w:pos="6195"/>
        </w:tabs>
        <w:rPr>
          <w:sz w:val="28"/>
          <w:szCs w:val="28"/>
        </w:rPr>
      </w:pPr>
    </w:p>
    <w:p w14:paraId="511F9F7F" w14:textId="77777777" w:rsidR="00CC5E85" w:rsidRDefault="00CC5E85">
      <w:pPr>
        <w:tabs>
          <w:tab w:val="left" w:pos="1540"/>
          <w:tab w:val="left" w:pos="6195"/>
        </w:tabs>
        <w:rPr>
          <w:sz w:val="28"/>
          <w:szCs w:val="28"/>
        </w:rPr>
      </w:pPr>
    </w:p>
    <w:sectPr w:rsidR="00CC5E85">
      <w:pgSz w:w="12240" w:h="15840"/>
      <w:pgMar w:top="1620" w:right="900" w:bottom="71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MT">
    <w:altName w:val="MS Mincho"/>
    <w:charset w:val="80"/>
    <w:family w:val="auto"/>
    <w:pitch w:val="default"/>
    <w:sig w:usb0="00000000" w:usb1="0000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1ACE"/>
    <w:rsid w:val="00014C90"/>
    <w:rsid w:val="00026F12"/>
    <w:rsid w:val="000526BE"/>
    <w:rsid w:val="000838D6"/>
    <w:rsid w:val="00094717"/>
    <w:rsid w:val="000B0D02"/>
    <w:rsid w:val="000B6957"/>
    <w:rsid w:val="000D1596"/>
    <w:rsid w:val="000E468C"/>
    <w:rsid w:val="000F1F68"/>
    <w:rsid w:val="000F2EAE"/>
    <w:rsid w:val="00101773"/>
    <w:rsid w:val="001214B6"/>
    <w:rsid w:val="00122B93"/>
    <w:rsid w:val="00130685"/>
    <w:rsid w:val="00132D01"/>
    <w:rsid w:val="00155E4F"/>
    <w:rsid w:val="0015745D"/>
    <w:rsid w:val="001A4B5B"/>
    <w:rsid w:val="001F0086"/>
    <w:rsid w:val="001F6429"/>
    <w:rsid w:val="00225BA3"/>
    <w:rsid w:val="002359D1"/>
    <w:rsid w:val="00247A41"/>
    <w:rsid w:val="00277F2C"/>
    <w:rsid w:val="002844F5"/>
    <w:rsid w:val="0029502A"/>
    <w:rsid w:val="00295EF6"/>
    <w:rsid w:val="00296CF4"/>
    <w:rsid w:val="002A72CA"/>
    <w:rsid w:val="002B3050"/>
    <w:rsid w:val="002F4606"/>
    <w:rsid w:val="002F5940"/>
    <w:rsid w:val="00300A4B"/>
    <w:rsid w:val="003246A6"/>
    <w:rsid w:val="00347D91"/>
    <w:rsid w:val="00366DC4"/>
    <w:rsid w:val="003731E1"/>
    <w:rsid w:val="00377ECF"/>
    <w:rsid w:val="0038001B"/>
    <w:rsid w:val="003A555A"/>
    <w:rsid w:val="003D35F3"/>
    <w:rsid w:val="00402EF1"/>
    <w:rsid w:val="0040497C"/>
    <w:rsid w:val="00410859"/>
    <w:rsid w:val="00470EAB"/>
    <w:rsid w:val="0049040C"/>
    <w:rsid w:val="00493CC5"/>
    <w:rsid w:val="004A2381"/>
    <w:rsid w:val="004D621A"/>
    <w:rsid w:val="0050482D"/>
    <w:rsid w:val="005129D5"/>
    <w:rsid w:val="0052775D"/>
    <w:rsid w:val="00544E36"/>
    <w:rsid w:val="00551ACE"/>
    <w:rsid w:val="005845B7"/>
    <w:rsid w:val="00595B17"/>
    <w:rsid w:val="005D6D4A"/>
    <w:rsid w:val="006079FE"/>
    <w:rsid w:val="00616214"/>
    <w:rsid w:val="006269C7"/>
    <w:rsid w:val="00631F6F"/>
    <w:rsid w:val="006368E3"/>
    <w:rsid w:val="00671454"/>
    <w:rsid w:val="00685A49"/>
    <w:rsid w:val="006A1B49"/>
    <w:rsid w:val="006A380F"/>
    <w:rsid w:val="006C4D66"/>
    <w:rsid w:val="006D3936"/>
    <w:rsid w:val="006F248E"/>
    <w:rsid w:val="00705141"/>
    <w:rsid w:val="00725070"/>
    <w:rsid w:val="0072526D"/>
    <w:rsid w:val="007319AD"/>
    <w:rsid w:val="007453D7"/>
    <w:rsid w:val="00761D2A"/>
    <w:rsid w:val="00775D98"/>
    <w:rsid w:val="007806C1"/>
    <w:rsid w:val="00784AAB"/>
    <w:rsid w:val="007931C2"/>
    <w:rsid w:val="0079386B"/>
    <w:rsid w:val="00797DE4"/>
    <w:rsid w:val="007A486C"/>
    <w:rsid w:val="00820D1E"/>
    <w:rsid w:val="008249C6"/>
    <w:rsid w:val="00870D83"/>
    <w:rsid w:val="008A25F1"/>
    <w:rsid w:val="008B6B12"/>
    <w:rsid w:val="008C3CA9"/>
    <w:rsid w:val="008C7051"/>
    <w:rsid w:val="008E53CF"/>
    <w:rsid w:val="00905C6D"/>
    <w:rsid w:val="00914DED"/>
    <w:rsid w:val="0094544D"/>
    <w:rsid w:val="009469AB"/>
    <w:rsid w:val="00956D01"/>
    <w:rsid w:val="00993BD2"/>
    <w:rsid w:val="00995307"/>
    <w:rsid w:val="009A00D5"/>
    <w:rsid w:val="009B3C8B"/>
    <w:rsid w:val="009B45B8"/>
    <w:rsid w:val="009D1C65"/>
    <w:rsid w:val="009D7952"/>
    <w:rsid w:val="00A411D5"/>
    <w:rsid w:val="00A420E6"/>
    <w:rsid w:val="00A708B1"/>
    <w:rsid w:val="00A71578"/>
    <w:rsid w:val="00A8761E"/>
    <w:rsid w:val="00AE2C64"/>
    <w:rsid w:val="00B026A8"/>
    <w:rsid w:val="00B26E03"/>
    <w:rsid w:val="00B367D2"/>
    <w:rsid w:val="00B43E50"/>
    <w:rsid w:val="00B45C42"/>
    <w:rsid w:val="00B8152A"/>
    <w:rsid w:val="00B87939"/>
    <w:rsid w:val="00BC11BA"/>
    <w:rsid w:val="00BD0174"/>
    <w:rsid w:val="00BE09AC"/>
    <w:rsid w:val="00C444EC"/>
    <w:rsid w:val="00C55652"/>
    <w:rsid w:val="00C56004"/>
    <w:rsid w:val="00CC3F0E"/>
    <w:rsid w:val="00CC5E85"/>
    <w:rsid w:val="00CC77D7"/>
    <w:rsid w:val="00CF3759"/>
    <w:rsid w:val="00D00CFF"/>
    <w:rsid w:val="00D0132D"/>
    <w:rsid w:val="00D03F4C"/>
    <w:rsid w:val="00D20EA8"/>
    <w:rsid w:val="00D25D48"/>
    <w:rsid w:val="00D41B61"/>
    <w:rsid w:val="00D74823"/>
    <w:rsid w:val="00D96338"/>
    <w:rsid w:val="00DB61FD"/>
    <w:rsid w:val="00DD3F28"/>
    <w:rsid w:val="00E01AF3"/>
    <w:rsid w:val="00E328ED"/>
    <w:rsid w:val="00E64338"/>
    <w:rsid w:val="00EB6EBE"/>
    <w:rsid w:val="00EB7637"/>
    <w:rsid w:val="00ED50A9"/>
    <w:rsid w:val="00ED648F"/>
    <w:rsid w:val="00EE00EA"/>
    <w:rsid w:val="00F20295"/>
    <w:rsid w:val="00F735F3"/>
    <w:rsid w:val="00FA418D"/>
    <w:rsid w:val="00FA47DE"/>
    <w:rsid w:val="00FB004E"/>
    <w:rsid w:val="00FB0B37"/>
    <w:rsid w:val="00FB76CD"/>
    <w:rsid w:val="00FE262C"/>
    <w:rsid w:val="00FE72F4"/>
    <w:rsid w:val="02DF5EAF"/>
    <w:rsid w:val="056F2B36"/>
    <w:rsid w:val="0C116D7F"/>
    <w:rsid w:val="11304C98"/>
    <w:rsid w:val="19053240"/>
    <w:rsid w:val="3AD56639"/>
    <w:rsid w:val="4004574D"/>
    <w:rsid w:val="435F6427"/>
    <w:rsid w:val="43933E9D"/>
    <w:rsid w:val="465646B3"/>
    <w:rsid w:val="4D543566"/>
    <w:rsid w:val="4D7220BC"/>
    <w:rsid w:val="6C6642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 fillcolor="white">
      <v:fill color="white"/>
    </o:shapedefaults>
    <o:shapelayout v:ext="edit">
      <o:idmap v:ext="edit" data="1"/>
    </o:shapelayout>
  </w:shapeDefaults>
  <w:decimalSymbol w:val=","/>
  <w:listSeparator w:val=";"/>
  <w14:docId w14:val="0C1B0B76"/>
  <w15:docId w15:val="{0FAFA1A9-B460-419C-A687-4AC93EFCF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qFormat/>
    <w:pPr>
      <w:jc w:val="both"/>
    </w:pPr>
    <w:rPr>
      <w:rFonts w:ascii="Arial" w:hAnsi="Arial"/>
      <w:szCs w:val="20"/>
    </w:rPr>
  </w:style>
  <w:style w:type="character" w:styleId="Hyperlink">
    <w:name w:val="Hyperlink"/>
    <w:basedOn w:val="Fontdeparagrafimplicit"/>
    <w:autoRedefine/>
    <w:rPr>
      <w:color w:val="0000FF"/>
      <w:u w:val="single"/>
    </w:rPr>
  </w:style>
  <w:style w:type="table" w:styleId="Tabelgril">
    <w:name w:val="Table Grid"/>
    <w:basedOn w:val="Tabel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2">
    <w:name w:val="Default Text:2"/>
    <w:basedOn w:val="Normal"/>
    <w:qFormat/>
    <w:pPr>
      <w:suppressAutoHyphens/>
    </w:pPr>
    <w:rPr>
      <w:szCs w:val="20"/>
      <w:lang w:eastAsia="ar-SA"/>
    </w:rPr>
  </w:style>
  <w:style w:type="paragraph" w:styleId="Frspaiere">
    <w:name w:val="No Spacing"/>
    <w:uiPriority w:val="1"/>
    <w:qFormat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Listparagraf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29"/>
    <customShpInfo spid="_x0000_s1030"/>
    <customShpInfo spid="_x0000_s1027"/>
    <customShpInfo spid="_x0000_s1031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4CD128-93E5-405B-BD9F-5B0827A68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964</Words>
  <Characters>5592</Characters>
  <Application>Microsoft Office Word</Application>
  <DocSecurity>0</DocSecurity>
  <Lines>46</Lines>
  <Paragraphs>13</Paragraphs>
  <ScaleCrop>false</ScaleCrop>
  <Company> Ion Corvin</Company>
  <LinksUpToDate>false</LinksUpToDate>
  <CharactersWithSpaces>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Primaria </dc:creator>
  <cp:lastModifiedBy>Iacoboaia Cristian</cp:lastModifiedBy>
  <cp:revision>51</cp:revision>
  <cp:lastPrinted>2023-09-11T10:47:00Z</cp:lastPrinted>
  <dcterms:created xsi:type="dcterms:W3CDTF">2014-01-13T09:53:00Z</dcterms:created>
  <dcterms:modified xsi:type="dcterms:W3CDTF">2024-04-19T06:55:00Z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1996989DF5B44D50B64B0286AE385362_12</vt:lpwstr>
  </property>
</Properties>
</file>