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9pt;height:59.55pt" o:ole="">
                  <v:imagedata r:id="rId8" o:title=""/>
                </v:shape>
                <o:OLEObject Type="Embed" ProgID="PBrush" ShapeID="_x0000_i1025" DrawAspect="Content" ObjectID="_1777448764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45pt" o:ole="">
                  <v:imagedata r:id="rId10" o:title=""/>
                </v:shape>
                <o:OLEObject Type="Embed" ProgID="PBrush" ShapeID="_x0000_i1026" DrawAspect="Content" ObjectID="_1777448765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4C792F65" w14:textId="77777777" w:rsidR="00510F35" w:rsidRDefault="00510F35" w:rsidP="00510F35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ării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21043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61518,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0" w:name="_Hlk164775281"/>
      <w:bookmarkStart w:id="1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Al. Constructorilor</w:t>
      </w:r>
      <w:bookmarkEnd w:id="0"/>
    </w:p>
    <w:bookmarkEnd w:id="1"/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7D22B558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7125F">
        <w:rPr>
          <w:rFonts w:ascii="Times New Roman" w:hAnsi="Times New Roman"/>
          <w:sz w:val="26"/>
          <w:szCs w:val="26"/>
          <w:lang w:val="ro-RO"/>
        </w:rPr>
        <w:t xml:space="preserve">Daniel </w:t>
      </w:r>
      <w:r w:rsidR="00E92728">
        <w:rPr>
          <w:rFonts w:ascii="Times New Roman" w:hAnsi="Times New Roman"/>
          <w:sz w:val="26"/>
          <w:szCs w:val="26"/>
          <w:lang w:val="ro-RO"/>
        </w:rPr>
        <w:t xml:space="preserve">Olimpiu </w:t>
      </w:r>
      <w:proofErr w:type="spellStart"/>
      <w:r w:rsidR="00F7125F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proofErr w:type="spellStart"/>
      <w:r w:rsidRPr="00CF7957">
        <w:rPr>
          <w:rFonts w:ascii="Times New Roman" w:hAnsi="Times New Roman"/>
          <w:sz w:val="26"/>
          <w:szCs w:val="26"/>
          <w:lang w:val="ro-RO"/>
        </w:rPr>
        <w:t>dezmembr</w:t>
      </w:r>
      <w:r w:rsidR="009D5A18">
        <w:rPr>
          <w:rFonts w:ascii="Times New Roman" w:hAnsi="Times New Roman"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imobilului</w:t>
      </w:r>
      <w:proofErr w:type="spellEnd"/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>n CF a UAT Drobeta Turnu Severin</w:t>
      </w:r>
      <w:r w:rsidR="00585D5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10F35">
        <w:rPr>
          <w:rFonts w:ascii="Times New Roman" w:hAnsi="Times New Roman"/>
          <w:sz w:val="26"/>
          <w:szCs w:val="26"/>
          <w:lang w:val="ro-RO"/>
        </w:rPr>
        <w:t>61518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AF2F9E">
        <w:rPr>
          <w:rFonts w:ascii="Times New Roman" w:hAnsi="Times New Roman"/>
          <w:sz w:val="26"/>
          <w:szCs w:val="26"/>
          <w:lang w:val="ro-RO"/>
        </w:rPr>
        <w:t>6</w:t>
      </w:r>
      <w:r w:rsidR="00510F35">
        <w:rPr>
          <w:rFonts w:ascii="Times New Roman" w:hAnsi="Times New Roman"/>
          <w:sz w:val="26"/>
          <w:szCs w:val="26"/>
          <w:lang w:val="ro-RO"/>
        </w:rPr>
        <w:t>1518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510F35" w:rsidRPr="00510F35">
        <w:rPr>
          <w:rFonts w:ascii="Times New Roman" w:hAnsi="Times New Roman"/>
          <w:bCs/>
          <w:iCs/>
          <w:sz w:val="26"/>
          <w:szCs w:val="26"/>
          <w:lang w:val="ro-RO"/>
        </w:rPr>
        <w:t>Al. Constructorilor</w:t>
      </w:r>
      <w:r w:rsidR="00750A2D" w:rsidRPr="00AF2F9E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4621FBEB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04C0BEF8" w14:textId="620D89A9" w:rsidR="00CC17B5" w:rsidRDefault="00E2299A" w:rsidP="00CC17B5">
      <w:pPr>
        <w:spacing w:after="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44663B">
        <w:rPr>
          <w:rFonts w:ascii="Times New Roman" w:hAnsi="Times New Roman"/>
          <w:sz w:val="26"/>
          <w:szCs w:val="26"/>
          <w:lang w:val="ro-RO"/>
        </w:rPr>
        <w:t>Adoptarea proiectului este necesară și oportună</w:t>
      </w:r>
      <w:r w:rsidR="00CC17B5">
        <w:rPr>
          <w:rFonts w:ascii="Times New Roman" w:hAnsi="Times New Roman"/>
          <w:sz w:val="26"/>
          <w:szCs w:val="26"/>
          <w:lang w:val="ro-RO"/>
        </w:rPr>
        <w:t xml:space="preserve"> din următoarele considerente:</w:t>
      </w:r>
    </w:p>
    <w:p w14:paraId="602161AB" w14:textId="5F852A62" w:rsidR="00CC17B5" w:rsidRPr="00CC17B5" w:rsidRDefault="00CC17B5" w:rsidP="00CC17B5">
      <w:pPr>
        <w:spacing w:after="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CC17B5">
        <w:rPr>
          <w:rFonts w:ascii="Times New Roman" w:hAnsi="Times New Roman"/>
          <w:sz w:val="26"/>
          <w:szCs w:val="26"/>
          <w:lang w:val="ro-RO"/>
        </w:rPr>
        <w:t>-</w:t>
      </w:r>
      <w:r w:rsidRPr="00CC17B5">
        <w:rPr>
          <w:rFonts w:ascii="Times New Roman" w:hAnsi="Times New Roman"/>
          <w:sz w:val="26"/>
          <w:szCs w:val="26"/>
          <w:lang w:val="ro-RO"/>
        </w:rPr>
        <w:tab/>
        <w:t>necesitatea de a realiza un drum de legătură între Aleea Constructorului și Strada Padeș, astfel asigurându-se fluidizarea traficului în zonă</w:t>
      </w:r>
      <w:r w:rsidR="00080953">
        <w:rPr>
          <w:rFonts w:ascii="Times New Roman" w:hAnsi="Times New Roman"/>
          <w:sz w:val="26"/>
          <w:szCs w:val="26"/>
          <w:lang w:val="ro-RO"/>
        </w:rPr>
        <w:t xml:space="preserve"> și </w:t>
      </w:r>
      <w:r w:rsidRPr="00CC17B5">
        <w:rPr>
          <w:rFonts w:ascii="Times New Roman" w:hAnsi="Times New Roman"/>
          <w:sz w:val="26"/>
          <w:szCs w:val="26"/>
          <w:lang w:val="ro-RO"/>
        </w:rPr>
        <w:t>modernizarea rețelei rutiere;</w:t>
      </w:r>
    </w:p>
    <w:p w14:paraId="645BE01C" w14:textId="77777777" w:rsidR="00CC17B5" w:rsidRDefault="00CC17B5" w:rsidP="00CC17B5">
      <w:pPr>
        <w:spacing w:after="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CC17B5">
        <w:rPr>
          <w:rFonts w:ascii="Times New Roman" w:hAnsi="Times New Roman"/>
          <w:sz w:val="26"/>
          <w:szCs w:val="26"/>
          <w:lang w:val="ro-RO"/>
        </w:rPr>
        <w:t>-</w:t>
      </w:r>
      <w:r w:rsidRPr="00CC17B5">
        <w:rPr>
          <w:rFonts w:ascii="Times New Roman" w:hAnsi="Times New Roman"/>
          <w:sz w:val="26"/>
          <w:szCs w:val="26"/>
          <w:lang w:val="ro-RO"/>
        </w:rPr>
        <w:tab/>
        <w:t xml:space="preserve"> faptul că terenul în suprafață de 21043 mp se află într-o zonă industrială, astfel se creează premisele realizării de investiții ale unor persoane fizice sau juridice, fapt cu implicații în procesul de dezvoltare al municipiului;</w:t>
      </w:r>
    </w:p>
    <w:p w14:paraId="36D9F10A" w14:textId="2CFC4124" w:rsidR="009944F8" w:rsidRPr="00CF7957" w:rsidRDefault="009944F8" w:rsidP="00CC17B5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D5A18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>
        <w:rPr>
          <w:rFonts w:ascii="Times New Roman" w:hAnsi="Times New Roman"/>
          <w:sz w:val="26"/>
          <w:szCs w:val="26"/>
          <w:lang w:val="ro-RO"/>
        </w:rPr>
        <w:t xml:space="preserve">d Codul administrativ,  </w:t>
      </w:r>
      <w:r w:rsidR="009D5A18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(2)</w:t>
      </w:r>
      <w:r w:rsidR="009D5A18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>
        <w:rPr>
          <w:rFonts w:ascii="Times New Roman" w:hAnsi="Times New Roman"/>
          <w:sz w:val="26"/>
          <w:szCs w:val="26"/>
          <w:lang w:val="ro-RO"/>
        </w:rPr>
        <w:t xml:space="preserve">09 privind Codul civil, </w:t>
      </w:r>
      <w:r w:rsidR="009D5A18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>
        <w:rPr>
          <w:rFonts w:ascii="Times New Roman" w:hAnsi="Times New Roman"/>
          <w:sz w:val="26"/>
          <w:szCs w:val="26"/>
          <w:lang w:val="ro-RO"/>
        </w:rPr>
        <w:t>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5A401438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Pr="00CF7957">
        <w:rPr>
          <w:rFonts w:ascii="Times New Roman" w:hAnsi="Times New Roman"/>
          <w:sz w:val="26"/>
          <w:szCs w:val="26"/>
          <w:lang w:val="ro-RO"/>
        </w:rPr>
        <w:t>dezmembr</w:t>
      </w:r>
      <w:r w:rsidR="0026593A">
        <w:rPr>
          <w:rFonts w:ascii="Times New Roman" w:hAnsi="Times New Roman"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510F35">
        <w:rPr>
          <w:rFonts w:ascii="Times New Roman" w:hAnsi="Times New Roman"/>
          <w:sz w:val="26"/>
          <w:szCs w:val="26"/>
          <w:lang w:val="ro-RO"/>
        </w:rPr>
        <w:t>61518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8A4407">
        <w:rPr>
          <w:rFonts w:ascii="Times New Roman" w:hAnsi="Times New Roman"/>
          <w:sz w:val="26"/>
          <w:szCs w:val="26"/>
          <w:lang w:val="ro-RO"/>
        </w:rPr>
        <w:t>6</w:t>
      </w:r>
      <w:r w:rsidR="00510F35">
        <w:rPr>
          <w:rFonts w:ascii="Times New Roman" w:hAnsi="Times New Roman"/>
          <w:sz w:val="26"/>
          <w:szCs w:val="26"/>
          <w:lang w:val="ro-RO"/>
        </w:rPr>
        <w:t>1518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510F35" w:rsidRPr="00510F35">
        <w:rPr>
          <w:rFonts w:ascii="Times New Roman" w:hAnsi="Times New Roman"/>
          <w:bCs/>
          <w:iCs/>
          <w:sz w:val="26"/>
          <w:szCs w:val="26"/>
          <w:lang w:val="ro-RO"/>
        </w:rPr>
        <w:t>Al. Constructorilor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86F6163" w14:textId="566435B4" w:rsidR="009944F8" w:rsidRPr="00FF5960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/>
          <w:bCs/>
          <w:sz w:val="26"/>
          <w:szCs w:val="26"/>
          <w:lang w:val="ro-RO"/>
        </w:rPr>
      </w:pPr>
    </w:p>
    <w:p w14:paraId="23F7F559" w14:textId="50B6B8D6" w:rsidR="009944F8" w:rsidRPr="00FF5960" w:rsidRDefault="009944F8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FF5960">
        <w:rPr>
          <w:rFonts w:ascii="Times New Roman" w:hAnsi="Times New Roman"/>
          <w:b/>
          <w:bCs/>
          <w:sz w:val="26"/>
          <w:szCs w:val="26"/>
        </w:rPr>
        <w:t xml:space="preserve">          Director,             </w:t>
      </w:r>
      <w:r w:rsidR="00C7747B" w:rsidRPr="00FF5960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F5960">
        <w:rPr>
          <w:rFonts w:ascii="Times New Roman" w:hAnsi="Times New Roman"/>
          <w:b/>
          <w:bCs/>
          <w:sz w:val="26"/>
          <w:szCs w:val="26"/>
        </w:rPr>
        <w:t xml:space="preserve">  Șef Serviciu Administrare Terenuri,                </w:t>
      </w:r>
    </w:p>
    <w:p w14:paraId="76439EF9" w14:textId="7630D4C7" w:rsidR="00C7747B" w:rsidRDefault="009944F8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A40D3">
        <w:rPr>
          <w:rFonts w:ascii="Times New Roman" w:hAnsi="Times New Roman"/>
          <w:sz w:val="26"/>
          <w:szCs w:val="26"/>
        </w:rPr>
        <w:t xml:space="preserve">Felix </w:t>
      </w:r>
      <w:proofErr w:type="spellStart"/>
      <w:r w:rsidRPr="004A40D3">
        <w:rPr>
          <w:rFonts w:ascii="Times New Roman" w:hAnsi="Times New Roman"/>
          <w:sz w:val="26"/>
          <w:szCs w:val="26"/>
        </w:rPr>
        <w:t>Nuhaiu</w:t>
      </w:r>
      <w:proofErr w:type="spellEnd"/>
      <w:r w:rsidRPr="004A40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44D9383" w14:textId="77777777" w:rsidR="00FF5960" w:rsidRPr="00FC6A29" w:rsidRDefault="00C7747B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F5960">
        <w:rPr>
          <w:rFonts w:ascii="Times New Roman" w:hAnsi="Times New Roman"/>
          <w:sz w:val="26"/>
          <w:szCs w:val="26"/>
        </w:rPr>
        <w:t xml:space="preserve">      </w:t>
      </w:r>
      <w:r w:rsidR="00FF5960" w:rsidRPr="00F77E2C">
        <w:rPr>
          <w:rFonts w:ascii="Times New Roman" w:hAnsi="Times New Roman"/>
          <w:b/>
          <w:bCs/>
          <w:sz w:val="26"/>
          <w:szCs w:val="26"/>
        </w:rPr>
        <w:t>Direcția Arhitect Șef,</w:t>
      </w:r>
      <w:r w:rsidR="00FF5960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FF5960">
        <w:rPr>
          <w:rFonts w:ascii="Times New Roman" w:hAnsi="Times New Roman"/>
          <w:b/>
          <w:bCs/>
          <w:sz w:val="26"/>
          <w:szCs w:val="26"/>
        </w:rPr>
        <w:t>Referent</w:t>
      </w:r>
      <w:r w:rsidR="00FF5960" w:rsidRPr="00F77E2C">
        <w:rPr>
          <w:rFonts w:ascii="Times New Roman" w:hAnsi="Times New Roman"/>
          <w:b/>
          <w:bCs/>
          <w:sz w:val="26"/>
          <w:szCs w:val="26"/>
        </w:rPr>
        <w:t>,</w:t>
      </w:r>
      <w:r w:rsidR="00FF5960">
        <w:rPr>
          <w:rFonts w:ascii="Times New Roman" w:hAnsi="Times New Roman"/>
          <w:sz w:val="26"/>
          <w:szCs w:val="26"/>
        </w:rPr>
        <w:t xml:space="preserve">       </w:t>
      </w:r>
    </w:p>
    <w:p w14:paraId="7F20B279" w14:textId="3CCF2E1A" w:rsidR="00FF5960" w:rsidRDefault="00FF5960" w:rsidP="00FF5960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Șef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Serviciu</w:t>
      </w:r>
      <w:proofErr w:type="spellEnd"/>
      <w:r>
        <w:rPr>
          <w:rFonts w:ascii="Times New Roman" w:hAnsi="Times New Roman"/>
          <w:sz w:val="26"/>
          <w:szCs w:val="26"/>
        </w:rPr>
        <w:t xml:space="preserve"> Urbanism ___________                                              Laura Stoican</w:t>
      </w:r>
    </w:p>
    <w:p w14:paraId="246BBA67" w14:textId="77777777" w:rsidR="00FF5960" w:rsidRDefault="00FF5960" w:rsidP="00FF5960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77E2C">
        <w:rPr>
          <w:rFonts w:ascii="Times New Roman" w:hAnsi="Times New Roman"/>
          <w:sz w:val="26"/>
          <w:szCs w:val="26"/>
        </w:rPr>
        <w:t>Șef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Serviciu </w:t>
      </w:r>
      <w:proofErr w:type="spellStart"/>
      <w:r>
        <w:rPr>
          <w:rFonts w:ascii="Times New Roman" w:hAnsi="Times New Roman"/>
          <w:sz w:val="26"/>
          <w:szCs w:val="26"/>
        </w:rPr>
        <w:t>Cadastru</w:t>
      </w:r>
      <w:proofErr w:type="spellEnd"/>
      <w:r>
        <w:rPr>
          <w:rFonts w:ascii="Times New Roman" w:hAnsi="Times New Roman"/>
          <w:sz w:val="26"/>
          <w:szCs w:val="26"/>
        </w:rPr>
        <w:t xml:space="preserve">   ___________</w:t>
      </w:r>
    </w:p>
    <w:p w14:paraId="53DAD15E" w14:textId="77777777" w:rsidR="00FF5960" w:rsidRDefault="00FF5960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780C32E1" w14:textId="0C9ED5B9" w:rsidR="00C7747B" w:rsidRDefault="00C7747B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7A8C1DC3" w14:textId="3FC15CA6" w:rsidR="009226CA" w:rsidRPr="009226AC" w:rsidRDefault="009944F8" w:rsidP="00FF5960">
      <w:pPr>
        <w:pStyle w:val="Frspaiere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C11237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3270C"/>
    <w:rsid w:val="00047735"/>
    <w:rsid w:val="00051499"/>
    <w:rsid w:val="000567CC"/>
    <w:rsid w:val="00063F04"/>
    <w:rsid w:val="00072AD9"/>
    <w:rsid w:val="00080953"/>
    <w:rsid w:val="00082BC8"/>
    <w:rsid w:val="000908FB"/>
    <w:rsid w:val="000A35FF"/>
    <w:rsid w:val="000B1376"/>
    <w:rsid w:val="000C0DC9"/>
    <w:rsid w:val="000D435B"/>
    <w:rsid w:val="000E0A83"/>
    <w:rsid w:val="000E782E"/>
    <w:rsid w:val="000F051A"/>
    <w:rsid w:val="00100ABD"/>
    <w:rsid w:val="001037C0"/>
    <w:rsid w:val="00114056"/>
    <w:rsid w:val="00115BC4"/>
    <w:rsid w:val="00142D80"/>
    <w:rsid w:val="00143D9D"/>
    <w:rsid w:val="00157A93"/>
    <w:rsid w:val="001611B5"/>
    <w:rsid w:val="00162275"/>
    <w:rsid w:val="00165D74"/>
    <w:rsid w:val="0016747B"/>
    <w:rsid w:val="00171B76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55300"/>
    <w:rsid w:val="0026593A"/>
    <w:rsid w:val="002762F4"/>
    <w:rsid w:val="0028061B"/>
    <w:rsid w:val="0029417E"/>
    <w:rsid w:val="002B6DB9"/>
    <w:rsid w:val="00320402"/>
    <w:rsid w:val="00321DFE"/>
    <w:rsid w:val="00331912"/>
    <w:rsid w:val="00345390"/>
    <w:rsid w:val="003636C2"/>
    <w:rsid w:val="003D0163"/>
    <w:rsid w:val="003E73EA"/>
    <w:rsid w:val="004142B8"/>
    <w:rsid w:val="0044663B"/>
    <w:rsid w:val="00472421"/>
    <w:rsid w:val="00473120"/>
    <w:rsid w:val="00480AB9"/>
    <w:rsid w:val="004D3FD3"/>
    <w:rsid w:val="004D5281"/>
    <w:rsid w:val="00503EBC"/>
    <w:rsid w:val="00510F35"/>
    <w:rsid w:val="00521755"/>
    <w:rsid w:val="00524EBF"/>
    <w:rsid w:val="005358F6"/>
    <w:rsid w:val="0054150B"/>
    <w:rsid w:val="00547A42"/>
    <w:rsid w:val="00550030"/>
    <w:rsid w:val="00585D5F"/>
    <w:rsid w:val="00593AB1"/>
    <w:rsid w:val="005D7FDC"/>
    <w:rsid w:val="005F6621"/>
    <w:rsid w:val="006164EB"/>
    <w:rsid w:val="00697644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3325"/>
    <w:rsid w:val="007C068E"/>
    <w:rsid w:val="007C0C8B"/>
    <w:rsid w:val="008312FE"/>
    <w:rsid w:val="00834E0D"/>
    <w:rsid w:val="00835FE8"/>
    <w:rsid w:val="00842ECD"/>
    <w:rsid w:val="008469CA"/>
    <w:rsid w:val="0088326F"/>
    <w:rsid w:val="008A4407"/>
    <w:rsid w:val="008A7780"/>
    <w:rsid w:val="008B3B76"/>
    <w:rsid w:val="008D0A9B"/>
    <w:rsid w:val="008D501F"/>
    <w:rsid w:val="008F5673"/>
    <w:rsid w:val="009226AC"/>
    <w:rsid w:val="009226CA"/>
    <w:rsid w:val="0093642C"/>
    <w:rsid w:val="00941E70"/>
    <w:rsid w:val="009638F4"/>
    <w:rsid w:val="00977EF5"/>
    <w:rsid w:val="0099106A"/>
    <w:rsid w:val="00992629"/>
    <w:rsid w:val="009944F8"/>
    <w:rsid w:val="009D0965"/>
    <w:rsid w:val="009D5A18"/>
    <w:rsid w:val="009E27D9"/>
    <w:rsid w:val="009F7EC2"/>
    <w:rsid w:val="00A04629"/>
    <w:rsid w:val="00A12F72"/>
    <w:rsid w:val="00A36514"/>
    <w:rsid w:val="00A37703"/>
    <w:rsid w:val="00A55EA8"/>
    <w:rsid w:val="00A86DAC"/>
    <w:rsid w:val="00AC3FB5"/>
    <w:rsid w:val="00AD70ED"/>
    <w:rsid w:val="00AE0D77"/>
    <w:rsid w:val="00AE7D9D"/>
    <w:rsid w:val="00AF07CE"/>
    <w:rsid w:val="00AF2F9E"/>
    <w:rsid w:val="00B251FD"/>
    <w:rsid w:val="00B26E05"/>
    <w:rsid w:val="00B43055"/>
    <w:rsid w:val="00B52447"/>
    <w:rsid w:val="00B662C7"/>
    <w:rsid w:val="00B8642E"/>
    <w:rsid w:val="00BA0EE6"/>
    <w:rsid w:val="00BE4DB8"/>
    <w:rsid w:val="00C11237"/>
    <w:rsid w:val="00C11DE0"/>
    <w:rsid w:val="00C304D6"/>
    <w:rsid w:val="00C32485"/>
    <w:rsid w:val="00C442DB"/>
    <w:rsid w:val="00C53F80"/>
    <w:rsid w:val="00C54D00"/>
    <w:rsid w:val="00C74F8C"/>
    <w:rsid w:val="00C7747B"/>
    <w:rsid w:val="00C83517"/>
    <w:rsid w:val="00CC17B5"/>
    <w:rsid w:val="00CD4383"/>
    <w:rsid w:val="00CD5387"/>
    <w:rsid w:val="00CD652D"/>
    <w:rsid w:val="00CE7577"/>
    <w:rsid w:val="00D003B3"/>
    <w:rsid w:val="00D26395"/>
    <w:rsid w:val="00D27887"/>
    <w:rsid w:val="00D6690F"/>
    <w:rsid w:val="00D70604"/>
    <w:rsid w:val="00D86369"/>
    <w:rsid w:val="00D95B9A"/>
    <w:rsid w:val="00DE2835"/>
    <w:rsid w:val="00E06E4A"/>
    <w:rsid w:val="00E2299A"/>
    <w:rsid w:val="00E34BA8"/>
    <w:rsid w:val="00E4724A"/>
    <w:rsid w:val="00E714D7"/>
    <w:rsid w:val="00E91F60"/>
    <w:rsid w:val="00E92728"/>
    <w:rsid w:val="00EA09EC"/>
    <w:rsid w:val="00EC6605"/>
    <w:rsid w:val="00ED645F"/>
    <w:rsid w:val="00EE0E9E"/>
    <w:rsid w:val="00F00A15"/>
    <w:rsid w:val="00F130B1"/>
    <w:rsid w:val="00F137F1"/>
    <w:rsid w:val="00F216CF"/>
    <w:rsid w:val="00F22EFC"/>
    <w:rsid w:val="00F56F3C"/>
    <w:rsid w:val="00F576A0"/>
    <w:rsid w:val="00F7125F"/>
    <w:rsid w:val="00F85867"/>
    <w:rsid w:val="00F87C82"/>
    <w:rsid w:val="00FB6118"/>
    <w:rsid w:val="00FC1943"/>
    <w:rsid w:val="00FC2DC0"/>
    <w:rsid w:val="00FF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748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50</cp:revision>
  <cp:lastPrinted>2022-10-13T06:23:00Z</cp:lastPrinted>
  <dcterms:created xsi:type="dcterms:W3CDTF">2022-10-07T06:38:00Z</dcterms:created>
  <dcterms:modified xsi:type="dcterms:W3CDTF">2024-05-17T08:00:00Z</dcterms:modified>
</cp:coreProperties>
</file>