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0A" w:rsidRPr="00BC1CA6" w:rsidRDefault="0038190A" w:rsidP="0038190A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</w:pPr>
      <w:r w:rsidRPr="00BC1CA6"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4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661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25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  <w:t>.07.2024</w:t>
      </w:r>
    </w:p>
    <w:p w:rsidR="0038190A" w:rsidRPr="00BC1CA6" w:rsidRDefault="0038190A" w:rsidP="0038190A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val="ro-RO" w:eastAsia="ro-RO"/>
        </w:rPr>
      </w:pPr>
    </w:p>
    <w:p w:rsidR="0038190A" w:rsidRPr="0059206C" w:rsidRDefault="0038190A" w:rsidP="003819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Cs w:val="24"/>
          <w:lang w:val="ro-RO" w:eastAsia="ro-RO"/>
        </w:rPr>
      </w:pPr>
      <w:r w:rsidRPr="0059206C">
        <w:rPr>
          <w:rFonts w:ascii="Times New Roman" w:eastAsia="Times New Roman" w:hAnsi="Times New Roman"/>
          <w:b/>
          <w:bCs/>
          <w:caps/>
          <w:szCs w:val="24"/>
          <w:lang w:val="ro-RO" w:eastAsia="ro-RO"/>
        </w:rPr>
        <w:t xml:space="preserve">REFERAT DE APROBARE PRIMAR </w:t>
      </w:r>
    </w:p>
    <w:p w:rsidR="0038190A" w:rsidRPr="0038190A" w:rsidRDefault="0038190A" w:rsidP="0038190A">
      <w:pPr>
        <w:pStyle w:val="Heading2"/>
        <w:shd w:val="clear" w:color="auto" w:fill="FFFFFF"/>
        <w:spacing w:before="0"/>
        <w:jc w:val="center"/>
        <w:rPr>
          <w:b/>
          <w:bCs/>
          <w:iCs/>
          <w:sz w:val="24"/>
          <w:szCs w:val="24"/>
        </w:rPr>
      </w:pPr>
      <w:proofErr w:type="spellStart"/>
      <w:proofErr w:type="gram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privind</w:t>
      </w:r>
      <w:proofErr w:type="spellEnd"/>
      <w:proofErr w:type="gram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trecerea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din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domeniul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public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domeniul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privat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Comunei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Liebling a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terenului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înscris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C.F. nr.405972 Liebling,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situat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sat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Iosif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(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comuna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Liebling)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transmiterea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,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fără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plată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, a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dreptului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de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proprietate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către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Parohia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Catolică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Ciacova</w:t>
      </w:r>
      <w:proofErr w:type="spellEnd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sat </w:t>
      </w:r>
      <w:proofErr w:type="spellStart"/>
      <w:r w:rsidRPr="0038190A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Iosif</w:t>
      </w:r>
      <w:proofErr w:type="spellEnd"/>
    </w:p>
    <w:p w:rsidR="0038190A" w:rsidRPr="0038190A" w:rsidRDefault="0038190A" w:rsidP="0038190A">
      <w:pPr>
        <w:pStyle w:val="Heading2"/>
        <w:shd w:val="clear" w:color="auto" w:fill="FFFFFF"/>
        <w:spacing w:before="0"/>
        <w:ind w:left="528" w:right="113" w:firstLine="323"/>
        <w:rPr>
          <w:b/>
          <w:bCs/>
          <w:iCs/>
          <w:sz w:val="24"/>
          <w:szCs w:val="24"/>
        </w:rPr>
      </w:pPr>
    </w:p>
    <w:p w:rsidR="007F26D5" w:rsidRDefault="0038190A">
      <w:pPr>
        <w:spacing w:after="22" w:line="259" w:lineRule="auto"/>
        <w:ind w:left="832" w:firstLine="0"/>
        <w:jc w:val="center"/>
      </w:pPr>
      <w:r>
        <w:t xml:space="preserve"> </w:t>
      </w:r>
    </w:p>
    <w:p w:rsidR="007F26D5" w:rsidRPr="0038190A" w:rsidRDefault="0038190A">
      <w:pPr>
        <w:pStyle w:val="Heading1"/>
        <w:ind w:left="1476" w:hanging="36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Descrierea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situației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actuale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</w:p>
    <w:p w:rsidR="0038190A" w:rsidRPr="0038190A" w:rsidRDefault="0038190A" w:rsidP="0038190A">
      <w:pPr>
        <w:spacing w:after="0" w:line="240" w:lineRule="auto"/>
        <w:ind w:left="720" w:right="113" w:firstLine="387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cererea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nr.14/2024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Parohiei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Catolice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înregistrată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Primăria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Comunei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Liebling sub nr.1113/22.02.2024,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sat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solicită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atribuirea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proprietate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gratuită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>terenului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către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proprietară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construcției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sub BII, B5,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niveluri:</w:t>
      </w:r>
      <w:proofErr w:type="gram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1, S.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:264mp.. </w:t>
      </w:r>
      <w:proofErr w:type="spellStart"/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nr.239/2007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reglementarea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regimului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juridic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bunuri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aflate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folosința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cult,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modificată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194/2020. </w:t>
      </w:r>
    </w:p>
    <w:p w:rsidR="0038190A" w:rsidRPr="0038190A" w:rsidRDefault="0038190A" w:rsidP="0038190A">
      <w:pPr>
        <w:spacing w:after="0" w:line="240" w:lineRule="auto"/>
        <w:ind w:left="720" w:right="113" w:firstLine="720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Imobilul-teren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proofErr w:type="gram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este</w:t>
      </w:r>
      <w:proofErr w:type="spellEnd"/>
      <w:proofErr w:type="gram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situat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sat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(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comuna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Liebling),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jud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Timiș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, 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înscris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>.,</w:t>
      </w:r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iar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sat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este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proprietară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construcției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de sub </w:t>
      </w:r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BII, B5,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Parohială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, nr.145-146, niveluri:1, S.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>:264mp..</w:t>
      </w:r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Aceste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sunt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înscrise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inventarul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Liebling. </w:t>
      </w:r>
    </w:p>
    <w:p w:rsidR="007F26D5" w:rsidRPr="0038190A" w:rsidRDefault="007F26D5">
      <w:pPr>
        <w:spacing w:after="114" w:line="259" w:lineRule="auto"/>
        <w:ind w:left="771" w:firstLine="0"/>
        <w:jc w:val="left"/>
        <w:rPr>
          <w:rFonts w:ascii="Times New Roman" w:hAnsi="Times New Roman" w:cs="Times New Roman"/>
          <w:color w:val="auto"/>
        </w:rPr>
      </w:pPr>
    </w:p>
    <w:p w:rsidR="007F26D5" w:rsidRPr="0038190A" w:rsidRDefault="0038190A">
      <w:pPr>
        <w:pStyle w:val="Heading1"/>
        <w:ind w:left="1476" w:hanging="36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Schimbări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preconizate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rezultate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așteptate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</w:p>
    <w:p w:rsidR="007F26D5" w:rsidRPr="0038190A" w:rsidRDefault="0038190A">
      <w:pPr>
        <w:ind w:left="1141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Potrivit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HG 1218 din 1 </w:t>
      </w:r>
      <w:proofErr w:type="spellStart"/>
      <w:r w:rsidRPr="0038190A">
        <w:rPr>
          <w:rFonts w:ascii="Times New Roman" w:hAnsi="Times New Roman" w:cs="Times New Roman"/>
          <w:color w:val="auto"/>
        </w:rPr>
        <w:t>octombrie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2008, a </w:t>
      </w:r>
      <w:proofErr w:type="spellStart"/>
      <w:r w:rsidRPr="0038190A">
        <w:rPr>
          <w:rFonts w:ascii="Times New Roman" w:hAnsi="Times New Roman" w:cs="Times New Roman"/>
          <w:color w:val="auto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recunoscut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Codul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8190A">
        <w:rPr>
          <w:rFonts w:ascii="Times New Roman" w:hAnsi="Times New Roman" w:cs="Times New Roman"/>
          <w:color w:val="auto"/>
        </w:rPr>
        <w:t>drept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canonic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al </w:t>
      </w:r>
    </w:p>
    <w:p w:rsidR="007F26D5" w:rsidRPr="0038190A" w:rsidRDefault="0038190A">
      <w:pPr>
        <w:ind w:left="766" w:right="149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Bisericii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Româno-Catolice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Codul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Canoanelor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Bisericilor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Orientale, </w:t>
      </w:r>
      <w:proofErr w:type="spellStart"/>
      <w:r w:rsidRPr="0038190A">
        <w:rPr>
          <w:rFonts w:ascii="Times New Roman" w:hAnsi="Times New Roman" w:cs="Times New Roman"/>
          <w:color w:val="auto"/>
        </w:rPr>
        <w:t>pe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cărora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se </w:t>
      </w:r>
      <w:proofErr w:type="spellStart"/>
      <w:r w:rsidRPr="0038190A">
        <w:rPr>
          <w:rFonts w:ascii="Times New Roman" w:hAnsi="Times New Roman" w:cs="Times New Roman"/>
          <w:color w:val="auto"/>
        </w:rPr>
        <w:t>organizează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funcţionează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Ro</w:t>
      </w:r>
      <w:r w:rsidRPr="0038190A">
        <w:rPr>
          <w:rFonts w:ascii="Times New Roman" w:hAnsi="Times New Roman" w:cs="Times New Roman"/>
          <w:color w:val="auto"/>
        </w:rPr>
        <w:t>mano-</w:t>
      </w:r>
      <w:proofErr w:type="spellStart"/>
      <w:r w:rsidRPr="0038190A">
        <w:rPr>
          <w:rFonts w:ascii="Times New Roman" w:hAnsi="Times New Roman" w:cs="Times New Roman"/>
          <w:color w:val="auto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38190A">
        <w:rPr>
          <w:rFonts w:ascii="Times New Roman" w:hAnsi="Times New Roman" w:cs="Times New Roman"/>
          <w:color w:val="auto"/>
        </w:rPr>
        <w:t>România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</w:rPr>
        <w:t>respectiv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Română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Unită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cu Roma, Greco-</w:t>
      </w:r>
      <w:proofErr w:type="spellStart"/>
      <w:r w:rsidRPr="0038190A">
        <w:rPr>
          <w:rFonts w:ascii="Times New Roman" w:hAnsi="Times New Roman" w:cs="Times New Roman"/>
          <w:color w:val="auto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.  </w:t>
      </w:r>
    </w:p>
    <w:p w:rsidR="007F26D5" w:rsidRPr="0038190A" w:rsidRDefault="0038190A">
      <w:pPr>
        <w:ind w:left="756" w:firstLine="36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conformitate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cu art.8 </w:t>
      </w:r>
      <w:proofErr w:type="spellStart"/>
      <w:r w:rsidRPr="0038190A">
        <w:rPr>
          <w:rFonts w:ascii="Times New Roman" w:hAnsi="Times New Roman" w:cs="Times New Roman"/>
          <w:color w:val="auto"/>
        </w:rPr>
        <w:t>alin</w:t>
      </w:r>
      <w:proofErr w:type="spellEnd"/>
      <w:proofErr w:type="gramStart"/>
      <w:r w:rsidRPr="0038190A">
        <w:rPr>
          <w:rFonts w:ascii="Times New Roman" w:hAnsi="Times New Roman" w:cs="Times New Roman"/>
          <w:color w:val="auto"/>
        </w:rPr>
        <w:t>.(</w:t>
      </w:r>
      <w:proofErr w:type="gramEnd"/>
      <w:r w:rsidRPr="0038190A">
        <w:rPr>
          <w:rFonts w:ascii="Times New Roman" w:hAnsi="Times New Roman" w:cs="Times New Roman"/>
          <w:color w:val="auto"/>
        </w:rPr>
        <w:t xml:space="preserve">1) din </w:t>
      </w:r>
      <w:proofErr w:type="spellStart"/>
      <w:r w:rsidRPr="0038190A">
        <w:rPr>
          <w:rFonts w:ascii="Times New Roman" w:hAnsi="Times New Roman" w:cs="Times New Roman"/>
          <w:color w:val="auto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489/2006 </w:t>
      </w:r>
      <w:proofErr w:type="spellStart"/>
      <w:r w:rsidRPr="0038190A">
        <w:rPr>
          <w:rFonts w:ascii="Times New Roman" w:hAnsi="Times New Roman" w:cs="Times New Roman"/>
          <w:color w:val="auto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libertatea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religioasă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regimul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general al </w:t>
      </w:r>
      <w:proofErr w:type="spellStart"/>
      <w:r w:rsidRPr="0038190A">
        <w:rPr>
          <w:rFonts w:ascii="Times New Roman" w:hAnsi="Times New Roman" w:cs="Times New Roman"/>
          <w:color w:val="auto"/>
        </w:rPr>
        <w:t>cultelor</w:t>
      </w:r>
      <w:proofErr w:type="spellEnd"/>
      <w:r w:rsidRPr="0038190A">
        <w:rPr>
          <w:rFonts w:ascii="Times New Roman" w:hAnsi="Times New Roman" w:cs="Times New Roman"/>
          <w:color w:val="auto"/>
        </w:rPr>
        <w:t>, ,,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Cultele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recunoscute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sunt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persoane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juridice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de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utilitate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publică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. </w:t>
      </w:r>
    </w:p>
    <w:p w:rsidR="007F26D5" w:rsidRPr="0038190A" w:rsidRDefault="0038190A">
      <w:pPr>
        <w:spacing w:after="0"/>
        <w:ind w:left="766" w:right="145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i/>
          <w:color w:val="auto"/>
        </w:rPr>
        <w:t>Ele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se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organizează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funcţionează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baza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prevederilor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constituţionale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ale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prezentei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legi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mod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autonom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potrivit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propriilor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statute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sau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coduri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canonice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”. </w:t>
      </w:r>
    </w:p>
    <w:p w:rsidR="0038190A" w:rsidRPr="0038190A" w:rsidRDefault="0038190A" w:rsidP="0038190A">
      <w:pPr>
        <w:spacing w:after="0" w:line="240" w:lineRule="auto"/>
        <w:ind w:left="720" w:right="113" w:firstLine="397"/>
        <w:rPr>
          <w:rFonts w:ascii="Times New Roman" w:hAnsi="Times New Roman" w:cs="Times New Roman"/>
          <w:color w:val="auto"/>
          <w:szCs w:val="24"/>
        </w:rPr>
      </w:pPr>
      <w:r w:rsidRPr="0038190A">
        <w:rPr>
          <w:rFonts w:ascii="Times New Roman" w:hAnsi="Times New Roman" w:cs="Times New Roman"/>
          <w:color w:val="auto"/>
        </w:rPr>
        <w:t xml:space="preserve">Conform OUG 57/2019 </w:t>
      </w:r>
      <w:proofErr w:type="spellStart"/>
      <w:r w:rsidRPr="0038190A">
        <w:rPr>
          <w:rFonts w:ascii="Times New Roman" w:hAnsi="Times New Roman" w:cs="Times New Roman"/>
          <w:color w:val="auto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Codul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Administrativ</w:t>
      </w:r>
      <w:proofErr w:type="spellEnd"/>
      <w:r w:rsidRPr="0038190A">
        <w:rPr>
          <w:rFonts w:ascii="Times New Roman" w:hAnsi="Times New Roman" w:cs="Times New Roman"/>
          <w:color w:val="auto"/>
        </w:rPr>
        <w:t>, art</w:t>
      </w:r>
      <w:r w:rsidRPr="0038190A">
        <w:rPr>
          <w:rFonts w:ascii="Times New Roman" w:hAnsi="Times New Roman" w:cs="Times New Roman"/>
          <w:color w:val="auto"/>
        </w:rPr>
        <w:t xml:space="preserve">.361 </w:t>
      </w:r>
      <w:proofErr w:type="spellStart"/>
      <w:r w:rsidRPr="0038190A">
        <w:rPr>
          <w:rFonts w:ascii="Times New Roman" w:hAnsi="Times New Roman" w:cs="Times New Roman"/>
          <w:color w:val="auto"/>
        </w:rPr>
        <w:t>alin</w:t>
      </w:r>
      <w:proofErr w:type="spellEnd"/>
      <w:r w:rsidRPr="0038190A">
        <w:rPr>
          <w:rFonts w:ascii="Times New Roman" w:hAnsi="Times New Roman" w:cs="Times New Roman"/>
          <w:color w:val="auto"/>
        </w:rPr>
        <w:t>.(2) ,,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Trecerea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unui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bun din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domeniul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public al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unei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unităţi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administrativ-teritoriale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domeniul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privat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acesteia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se face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prin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hotărâre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consiliului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judeţean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respectiv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Consiliului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General al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Municipiului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Bucureşti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ori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consiliului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local a</w:t>
      </w:r>
      <w:r w:rsidRPr="0038190A">
        <w:rPr>
          <w:rFonts w:ascii="Times New Roman" w:hAnsi="Times New Roman" w:cs="Times New Roman"/>
          <w:i/>
          <w:color w:val="auto"/>
        </w:rPr>
        <w:t xml:space="preserve">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comunei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al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oraşului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sau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al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municipiului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după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caz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dacă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prin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lege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nu se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dispune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altfel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.”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Astfel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se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aprobă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trecerea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către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proprietară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construcției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sub BII, B5,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Parohială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niveluri:</w:t>
      </w:r>
      <w:proofErr w:type="gram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1, S.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>:264mp..</w:t>
      </w:r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către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Parohia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Ciacova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așa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cum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prevede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art.3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.(2) din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239/2007,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respectiv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,,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situaţia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care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momentul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atribuirii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imobilul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se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afla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public,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prin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hotărâre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se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va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aproba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trecerea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acestuia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privat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statului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sau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unităţii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administrativ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teritoriale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potrivit</w:t>
      </w:r>
      <w:proofErr w:type="spellEnd"/>
      <w:r w:rsidRPr="0038190A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”.  </w:t>
      </w:r>
    </w:p>
    <w:p w:rsidR="007F26D5" w:rsidRPr="0038190A" w:rsidRDefault="0038190A">
      <w:pPr>
        <w:spacing w:after="0" w:line="291" w:lineRule="auto"/>
        <w:ind w:left="771" w:right="147" w:firstLine="360"/>
        <w:rPr>
          <w:rFonts w:ascii="Times New Roman" w:hAnsi="Times New Roman" w:cs="Times New Roman"/>
          <w:color w:val="auto"/>
        </w:rPr>
      </w:pPr>
      <w:r w:rsidRPr="0038190A">
        <w:rPr>
          <w:rFonts w:ascii="Times New Roman" w:hAnsi="Times New Roman" w:cs="Times New Roman"/>
          <w:color w:val="auto"/>
        </w:rPr>
        <w:t xml:space="preserve">  </w:t>
      </w:r>
    </w:p>
    <w:p w:rsidR="0038190A" w:rsidRPr="0038190A" w:rsidRDefault="0038190A" w:rsidP="0038190A">
      <w:pPr>
        <w:spacing w:after="0" w:line="240" w:lineRule="auto"/>
        <w:ind w:left="720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lastRenderedPageBreak/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art.1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.(</w:t>
      </w:r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1) din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239/2007,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modificat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ARTICOLUL UNIC din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nr.194/2020,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aflate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administrativ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teritoriale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date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folosința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gratuită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cultelor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religioase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pot fi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transmise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fără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plată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cult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deținătoare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Raportat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oportunitatea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aplicării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prevederilor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194/2020,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precizăm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faptul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noul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va</w:t>
      </w:r>
      <w:proofErr w:type="spellEnd"/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avea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tot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interesul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regelementa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situația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juridică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documente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necesare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conservării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întreținerii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bisericii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proiecte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vederea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solicitării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sprijinului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financiar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autoritățile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competente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promoveze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patrimoniul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bisericesc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38190A" w:rsidRPr="0038190A" w:rsidRDefault="0038190A" w:rsidP="0038190A">
      <w:pPr>
        <w:spacing w:after="0" w:line="240" w:lineRule="auto"/>
        <w:ind w:left="720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urma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verificărilor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către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Compartimentul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Financiar-Cotabilitate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Taxe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Impozite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Locale ale UAT, cu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privire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situat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sat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</w:t>
      </w:r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(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comuna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Liebling),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jud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Timiș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, </w:t>
      </w:r>
      <w:r w:rsidRPr="0038190A">
        <w:rPr>
          <w:rFonts w:ascii="Times New Roman" w:hAnsi="Times New Roman" w:cs="Times New Roman"/>
          <w:color w:val="auto"/>
          <w:szCs w:val="24"/>
        </w:rPr>
        <w:t xml:space="preserve">nr.145-146, nu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figurează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revendicări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10/2001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regimul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juridic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preluate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mod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abuziv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perioada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6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martie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1945 - 22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decembrie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1989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nu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solicitată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nici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nu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atribuită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fondului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funciar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7F26D5" w:rsidRPr="0038190A" w:rsidRDefault="0038190A">
      <w:pPr>
        <w:spacing w:after="19" w:line="259" w:lineRule="auto"/>
        <w:ind w:left="1131" w:firstLine="0"/>
        <w:jc w:val="lef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8190A">
        <w:rPr>
          <w:rFonts w:ascii="Times New Roman" w:hAnsi="Times New Roman" w:cs="Times New Roman"/>
          <w:color w:val="auto"/>
        </w:rPr>
        <w:t xml:space="preserve"> </w:t>
      </w:r>
    </w:p>
    <w:p w:rsidR="007F26D5" w:rsidRPr="0038190A" w:rsidRDefault="0038190A">
      <w:pPr>
        <w:pStyle w:val="Heading1"/>
        <w:spacing w:after="220"/>
        <w:ind w:left="1476" w:hanging="36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Concluzii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</w:p>
    <w:p w:rsidR="007F26D5" w:rsidRDefault="0038190A" w:rsidP="0038190A">
      <w:pPr>
        <w:spacing w:after="102"/>
        <w:ind w:left="756" w:firstLine="360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Proiectul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8190A">
        <w:rPr>
          <w:rFonts w:ascii="Times New Roman" w:hAnsi="Times New Roman" w:cs="Times New Roman"/>
          <w:color w:val="auto"/>
        </w:rPr>
        <w:t>hotărâre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trecerea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38190A">
        <w:rPr>
          <w:rFonts w:ascii="Times New Roman" w:hAnsi="Times New Roman" w:cs="Times New Roman"/>
          <w:color w:val="auto"/>
        </w:rPr>
        <w:t>domeniul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public </w:t>
      </w:r>
      <w:proofErr w:type="spellStart"/>
      <w:r w:rsidRPr="0038190A">
        <w:rPr>
          <w:rFonts w:ascii="Times New Roman" w:hAnsi="Times New Roman" w:cs="Times New Roman"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domeniul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privat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Liebling </w:t>
      </w:r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a</w:t>
      </w:r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înscris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C.F. nr.405972 Liebling, cu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Pr="0038190A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Pr="0038190A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și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transmiterea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fără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plată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a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dreptului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de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proprietate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către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Parohia</w:t>
      </w:r>
      <w:proofErr w:type="spellEnd"/>
      <w:r w:rsidRPr="0038190A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Romano-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Catolică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Ciacova</w:t>
      </w:r>
      <w:proofErr w:type="spellEnd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sat </w:t>
      </w:r>
      <w:proofErr w:type="spellStart"/>
      <w:r w:rsidRPr="001D5565">
        <w:rPr>
          <w:rFonts w:ascii="Times New Roman" w:eastAsia="Times New Roman" w:hAnsi="Times New Roman" w:cs="Times New Roman"/>
          <w:iCs/>
          <w:color w:val="auto"/>
          <w:szCs w:val="24"/>
        </w:rPr>
        <w:t>Iosif</w:t>
      </w:r>
      <w:proofErr w:type="spellEnd"/>
      <w:r w:rsidRPr="0038190A">
        <w:rPr>
          <w:rFonts w:ascii="Times New Roman" w:eastAsia="Times New Roman" w:hAnsi="Times New Roman" w:cs="Times New Roman"/>
          <w:iCs/>
          <w:color w:val="auto"/>
          <w:szCs w:val="24"/>
        </w:rPr>
        <w:t>,</w:t>
      </w:r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îndeplinește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condițiile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pentru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 fi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supus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dezbaterii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aprobării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plenul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Consiliului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Local al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Liebling</w:t>
      </w:r>
      <w:r w:rsidRPr="0038190A">
        <w:rPr>
          <w:rFonts w:ascii="Times New Roman" w:hAnsi="Times New Roman" w:cs="Times New Roman"/>
          <w:color w:val="auto"/>
          <w:szCs w:val="24"/>
        </w:rPr>
        <w:t>.</w:t>
      </w:r>
    </w:p>
    <w:p w:rsidR="0038190A" w:rsidRDefault="0038190A" w:rsidP="0038190A">
      <w:pPr>
        <w:spacing w:after="102"/>
        <w:ind w:left="756" w:firstLine="360"/>
        <w:rPr>
          <w:rFonts w:ascii="Times New Roman" w:hAnsi="Times New Roman" w:cs="Times New Roman"/>
          <w:color w:val="auto"/>
          <w:szCs w:val="24"/>
        </w:rPr>
      </w:pPr>
    </w:p>
    <w:p w:rsidR="0038190A" w:rsidRPr="00BC1CA6" w:rsidRDefault="0038190A" w:rsidP="0038190A">
      <w:pPr>
        <w:spacing w:after="0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</w:p>
    <w:p w:rsidR="0038190A" w:rsidRPr="0038190A" w:rsidRDefault="0038190A" w:rsidP="0038190A">
      <w:pPr>
        <w:spacing w:after="0"/>
        <w:jc w:val="center"/>
        <w:rPr>
          <w:rFonts w:ascii="Times New Roman" w:eastAsia="Times New Roman" w:hAnsi="Times New Roman"/>
          <w:szCs w:val="24"/>
          <w:lang w:val="ro-RO" w:eastAsia="ro-RO"/>
        </w:rPr>
      </w:pPr>
      <w:r w:rsidRPr="0038190A">
        <w:rPr>
          <w:rFonts w:ascii="Times New Roman" w:eastAsia="Times New Roman" w:hAnsi="Times New Roman"/>
          <w:szCs w:val="24"/>
          <w:lang w:val="ro-RO" w:eastAsia="ro-RO"/>
        </w:rPr>
        <w:t xml:space="preserve">Primar, </w:t>
      </w:r>
    </w:p>
    <w:p w:rsidR="0038190A" w:rsidRPr="0038190A" w:rsidRDefault="0038190A" w:rsidP="0038190A">
      <w:pPr>
        <w:spacing w:after="0"/>
        <w:jc w:val="center"/>
        <w:rPr>
          <w:rFonts w:ascii="Times New Roman" w:eastAsia="Times New Roman" w:hAnsi="Times New Roman"/>
          <w:szCs w:val="24"/>
          <w:lang w:val="ro-RO" w:eastAsia="ro-RO"/>
        </w:rPr>
      </w:pPr>
      <w:r w:rsidRPr="0038190A">
        <w:rPr>
          <w:rFonts w:ascii="Times New Roman" w:eastAsia="Times New Roman" w:hAnsi="Times New Roman"/>
          <w:szCs w:val="24"/>
          <w:lang w:val="ro-RO" w:eastAsia="ro-RO"/>
        </w:rPr>
        <w:t>IOAN GHEORGHE MUNTEANU</w:t>
      </w:r>
    </w:p>
    <w:p w:rsidR="0038190A" w:rsidRPr="0038190A" w:rsidRDefault="0038190A" w:rsidP="0038190A">
      <w:pPr>
        <w:spacing w:after="102"/>
        <w:ind w:left="756" w:firstLine="360"/>
        <w:rPr>
          <w:rFonts w:ascii="Times New Roman" w:hAnsi="Times New Roman" w:cs="Times New Roman"/>
          <w:color w:val="auto"/>
        </w:rPr>
      </w:pPr>
    </w:p>
    <w:sectPr w:rsidR="0038190A" w:rsidRPr="00381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19" w:right="847" w:bottom="202" w:left="648" w:header="595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190A">
      <w:pPr>
        <w:spacing w:after="0" w:line="240" w:lineRule="auto"/>
      </w:pPr>
      <w:r>
        <w:separator/>
      </w:r>
    </w:p>
  </w:endnote>
  <w:endnote w:type="continuationSeparator" w:id="0">
    <w:p w:rsidR="00000000" w:rsidRDefault="0038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D5" w:rsidRDefault="0038190A">
    <w:pPr>
      <w:spacing w:after="271" w:line="259" w:lineRule="auto"/>
      <w:ind w:left="771" w:firstLine="0"/>
      <w:jc w:val="left"/>
    </w:pPr>
    <w:r>
      <w:rPr>
        <w:sz w:val="20"/>
      </w:rPr>
      <w:t xml:space="preserve"> </w:t>
    </w:r>
  </w:p>
  <w:p w:rsidR="007F26D5" w:rsidRDefault="0038190A">
    <w:pPr>
      <w:tabs>
        <w:tab w:val="center" w:pos="778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Pr="0038190A">
      <w:rPr>
        <w:rFonts w:ascii="Calibri" w:eastAsia="Calibri" w:hAnsi="Calibri" w:cs="Calibri"/>
        <w:noProof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D5" w:rsidRDefault="0038190A">
    <w:pPr>
      <w:spacing w:after="271" w:line="259" w:lineRule="auto"/>
      <w:ind w:left="771" w:firstLine="0"/>
      <w:jc w:val="left"/>
    </w:pPr>
    <w:r>
      <w:rPr>
        <w:sz w:val="20"/>
      </w:rPr>
      <w:t xml:space="preserve"> </w:t>
    </w:r>
  </w:p>
  <w:p w:rsidR="007F26D5" w:rsidRDefault="0038190A">
    <w:pPr>
      <w:tabs>
        <w:tab w:val="center" w:pos="778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Pr="0038190A">
      <w:rPr>
        <w:rFonts w:ascii="Calibri" w:eastAsia="Calibri" w:hAnsi="Calibri" w:cs="Calibri"/>
        <w:noProof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Pr="0038190A">
      <w:rPr>
        <w:rFonts w:ascii="Calibri" w:eastAsia="Calibri" w:hAnsi="Calibri" w:cs="Calibri"/>
        <w:noProof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D5" w:rsidRDefault="0038190A">
    <w:pPr>
      <w:spacing w:after="271" w:line="259" w:lineRule="auto"/>
      <w:ind w:left="771" w:firstLine="0"/>
      <w:jc w:val="left"/>
    </w:pPr>
    <w:r>
      <w:rPr>
        <w:sz w:val="20"/>
      </w:rPr>
      <w:t xml:space="preserve"> </w:t>
    </w:r>
  </w:p>
  <w:p w:rsidR="007F26D5" w:rsidRDefault="0038190A">
    <w:pPr>
      <w:tabs>
        <w:tab w:val="center" w:pos="778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Pr="0038190A">
      <w:rPr>
        <w:rFonts w:ascii="Calibri" w:eastAsia="Calibri" w:hAnsi="Calibri" w:cs="Calibri"/>
        <w:noProof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190A">
      <w:pPr>
        <w:spacing w:after="0" w:line="240" w:lineRule="auto"/>
      </w:pPr>
      <w:r>
        <w:separator/>
      </w:r>
    </w:p>
  </w:footnote>
  <w:footnote w:type="continuationSeparator" w:id="0">
    <w:p w:rsidR="00000000" w:rsidRDefault="0038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D5" w:rsidRDefault="0038190A">
    <w:pPr>
      <w:spacing w:after="0" w:line="259" w:lineRule="auto"/>
      <w:ind w:left="114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92" name="Picture 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7F26D5" w:rsidRDefault="0038190A">
    <w:pPr>
      <w:spacing w:after="0" w:line="259" w:lineRule="auto"/>
      <w:ind w:left="1145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7F26D5" w:rsidRDefault="0038190A">
    <w:pPr>
      <w:spacing w:after="0" w:line="259" w:lineRule="auto"/>
      <w:ind w:left="1145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7F26D5" w:rsidRDefault="0038190A">
    <w:pPr>
      <w:spacing w:after="170" w:line="259" w:lineRule="auto"/>
      <w:ind w:left="1145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7F26D5" w:rsidRDefault="0038190A">
    <w:pPr>
      <w:spacing w:after="0" w:line="259" w:lineRule="auto"/>
      <w:ind w:left="999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0A" w:rsidRPr="009B5B1E" w:rsidRDefault="0038190A" w:rsidP="003819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9CDCB4C" wp14:editId="56FCEAD7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0" t="0" r="5080" b="0"/>
          <wp:wrapSquare wrapText="bothSides"/>
          <wp:docPr id="3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:rsidR="0038190A" w:rsidRPr="009B5B1E" w:rsidRDefault="0038190A" w:rsidP="003819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:rsidR="0038190A" w:rsidRPr="009B5B1E" w:rsidRDefault="0038190A" w:rsidP="003819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:rsidR="0038190A" w:rsidRDefault="0038190A" w:rsidP="0038190A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</w:t>
    </w:r>
    <w:proofErr w:type="spellStart"/>
    <w:r>
      <w:rPr>
        <w:rFonts w:ascii="Times New Roman" w:hAnsi="Times New Roman"/>
        <w:sz w:val="24"/>
        <w:szCs w:val="24"/>
      </w:rPr>
      <w:t>Nr</w:t>
    </w:r>
    <w:proofErr w:type="spellEnd"/>
    <w:r>
      <w:rPr>
        <w:rFonts w:ascii="Times New Roman" w:hAnsi="Times New Roman"/>
        <w:sz w:val="24"/>
        <w:szCs w:val="24"/>
      </w:rPr>
      <w:t xml:space="preserve">. 528-529,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:rsidR="0038190A" w:rsidRPr="009B5B1E" w:rsidRDefault="0038190A" w:rsidP="0038190A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:rsidR="0038190A" w:rsidRPr="00487C7F" w:rsidRDefault="0038190A" w:rsidP="0038190A">
    <w:pPr>
      <w:pStyle w:val="Header"/>
      <w:ind w:firstLine="2880"/>
      <w:rPr>
        <w:lang w:val="ro-RO"/>
      </w:rPr>
    </w:pPr>
    <w:proofErr w:type="gramStart"/>
    <w:r w:rsidRPr="009B5B1E">
      <w:rPr>
        <w:rFonts w:ascii="Times New Roman" w:hAnsi="Times New Roman"/>
        <w:szCs w:val="24"/>
      </w:rPr>
      <w:t>e-mail</w:t>
    </w:r>
    <w:proofErr w:type="gramEnd"/>
    <w:r w:rsidRPr="009B5B1E">
      <w:rPr>
        <w:rFonts w:ascii="Times New Roman" w:hAnsi="Times New Roman"/>
        <w:szCs w:val="24"/>
      </w:rPr>
      <w:t xml:space="preserve">. </w:t>
    </w:r>
    <w:hyperlink r:id="rId2" w:history="1">
      <w:r w:rsidRPr="009B5B1E">
        <w:rPr>
          <w:rStyle w:val="Hyperlink"/>
          <w:rFonts w:ascii="Times New Roman" w:hAnsi="Times New Roman"/>
          <w:b/>
          <w:szCs w:val="24"/>
        </w:rPr>
        <w:t>contact@primarialiebling.ro</w:t>
      </w:r>
    </w:hyperlink>
  </w:p>
  <w:p w:rsidR="0038190A" w:rsidRDefault="0038190A" w:rsidP="0038190A">
    <w:pPr>
      <w:spacing w:after="0" w:line="259" w:lineRule="auto"/>
      <w:ind w:left="999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D5" w:rsidRDefault="0038190A">
    <w:pPr>
      <w:spacing w:after="0" w:line="259" w:lineRule="auto"/>
      <w:ind w:left="114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7F26D5" w:rsidRDefault="0038190A">
    <w:pPr>
      <w:spacing w:after="0" w:line="259" w:lineRule="auto"/>
      <w:ind w:left="1145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7F26D5" w:rsidRDefault="0038190A">
    <w:pPr>
      <w:spacing w:after="0" w:line="259" w:lineRule="auto"/>
      <w:ind w:left="1145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7F26D5" w:rsidRDefault="0038190A">
    <w:pPr>
      <w:spacing w:after="170" w:line="259" w:lineRule="auto"/>
      <w:ind w:left="1145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7F26D5" w:rsidRDefault="0038190A">
    <w:pPr>
      <w:spacing w:after="0" w:line="259" w:lineRule="auto"/>
      <w:ind w:left="999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496"/>
    <w:multiLevelType w:val="hybridMultilevel"/>
    <w:tmpl w:val="C50E46E6"/>
    <w:lvl w:ilvl="0" w:tplc="3F0ADE4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00780">
      <w:start w:val="1"/>
      <w:numFmt w:val="lowerLetter"/>
      <w:lvlText w:val="%2"/>
      <w:lvlJc w:val="left"/>
      <w:pPr>
        <w:ind w:left="1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A2EBA">
      <w:start w:val="1"/>
      <w:numFmt w:val="lowerRoman"/>
      <w:lvlText w:val="%3"/>
      <w:lvlJc w:val="left"/>
      <w:pPr>
        <w:ind w:left="2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A304E">
      <w:start w:val="1"/>
      <w:numFmt w:val="decimal"/>
      <w:lvlText w:val="%4"/>
      <w:lvlJc w:val="left"/>
      <w:pPr>
        <w:ind w:left="3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C34B6">
      <w:start w:val="1"/>
      <w:numFmt w:val="lowerLetter"/>
      <w:lvlText w:val="%5"/>
      <w:lvlJc w:val="left"/>
      <w:pPr>
        <w:ind w:left="3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4873C">
      <w:start w:val="1"/>
      <w:numFmt w:val="lowerRoman"/>
      <w:lvlText w:val="%6"/>
      <w:lvlJc w:val="left"/>
      <w:pPr>
        <w:ind w:left="4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352">
      <w:start w:val="1"/>
      <w:numFmt w:val="decimal"/>
      <w:lvlText w:val="%7"/>
      <w:lvlJc w:val="left"/>
      <w:pPr>
        <w:ind w:left="5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86872">
      <w:start w:val="1"/>
      <w:numFmt w:val="lowerLetter"/>
      <w:lvlText w:val="%8"/>
      <w:lvlJc w:val="left"/>
      <w:pPr>
        <w:ind w:left="5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852BA">
      <w:start w:val="1"/>
      <w:numFmt w:val="lowerRoman"/>
      <w:lvlText w:val="%9"/>
      <w:lvlJc w:val="left"/>
      <w:pPr>
        <w:ind w:left="6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D5"/>
    <w:rsid w:val="0038190A"/>
    <w:rsid w:val="007F26D5"/>
    <w:rsid w:val="008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B540"/>
  <w15:docId w15:val="{5ABA542C-B9B6-4508-86FA-CB0276B0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86" w:lineRule="auto"/>
      <w:ind w:left="78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9"/>
      <w:ind w:left="781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0A"/>
    <w:rPr>
      <w:rFonts w:ascii="Arial" w:eastAsia="Arial" w:hAnsi="Arial" w:cs="Arial"/>
      <w:color w:val="000000"/>
      <w:sz w:val="24"/>
    </w:rPr>
  </w:style>
  <w:style w:type="paragraph" w:styleId="NoSpacing">
    <w:name w:val="No Spacing"/>
    <w:uiPriority w:val="1"/>
    <w:qFormat/>
    <w:rsid w:val="0038190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38190A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Campianu</dc:creator>
  <cp:keywords/>
  <cp:lastModifiedBy>Juridic</cp:lastModifiedBy>
  <cp:revision>3</cp:revision>
  <cp:lastPrinted>2024-07-26T06:56:00Z</cp:lastPrinted>
  <dcterms:created xsi:type="dcterms:W3CDTF">2024-07-26T06:49:00Z</dcterms:created>
  <dcterms:modified xsi:type="dcterms:W3CDTF">2024-07-26T06:57:00Z</dcterms:modified>
</cp:coreProperties>
</file>