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3E2B3" w14:textId="77777777" w:rsidR="003D3FCF" w:rsidRPr="00EC3A3A" w:rsidRDefault="003D3FCF" w:rsidP="003D3FCF">
      <w:pPr>
        <w:spacing w:after="34" w:line="2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A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ROMANIA</w:t>
      </w:r>
    </w:p>
    <w:p w14:paraId="45FCCC43" w14:textId="77777777" w:rsidR="003D3FCF" w:rsidRPr="00EC3A3A" w:rsidRDefault="003D3FCF" w:rsidP="003D3FCF">
      <w:pPr>
        <w:spacing w:after="34" w:line="240" w:lineRule="exact"/>
        <w:rPr>
          <w:rFonts w:ascii="Times New Roman" w:eastAsia="Arial" w:hAnsi="Times New Roman" w:cs="Times New Roman"/>
          <w:sz w:val="24"/>
          <w:szCs w:val="24"/>
        </w:rPr>
      </w:pPr>
      <w:r w:rsidRPr="00EC3A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JUDETUL PRAHOVA</w:t>
      </w:r>
    </w:p>
    <w:p w14:paraId="0E34FB03" w14:textId="77777777" w:rsidR="003D3FCF" w:rsidRPr="00EC3A3A" w:rsidRDefault="003D3FCF" w:rsidP="003D3FCF">
      <w:pPr>
        <w:spacing w:after="0" w:line="0" w:lineRule="atLeast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EC3A3A">
        <w:rPr>
          <w:rFonts w:ascii="Times New Roman" w:eastAsia="Arial" w:hAnsi="Times New Roman" w:cs="Times New Roman"/>
          <w:sz w:val="24"/>
          <w:szCs w:val="24"/>
        </w:rPr>
        <w:t>COMUNA SOTRILE</w:t>
      </w:r>
    </w:p>
    <w:p w14:paraId="218E5F4F" w14:textId="3CE934E9" w:rsidR="003D3FCF" w:rsidRPr="00EC3A3A" w:rsidRDefault="003D3FCF" w:rsidP="003D3FCF">
      <w:pPr>
        <w:spacing w:after="0" w:line="0" w:lineRule="atLeast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EC3A3A">
        <w:rPr>
          <w:rFonts w:ascii="Times New Roman" w:eastAsia="Arial" w:hAnsi="Times New Roman" w:cs="Times New Roman"/>
          <w:sz w:val="24"/>
          <w:szCs w:val="24"/>
        </w:rPr>
        <w:t xml:space="preserve">COMPARTIMENT </w:t>
      </w:r>
      <w:r>
        <w:rPr>
          <w:rFonts w:ascii="Times New Roman" w:eastAsia="Arial" w:hAnsi="Times New Roman" w:cs="Times New Roman"/>
          <w:sz w:val="24"/>
          <w:szCs w:val="24"/>
        </w:rPr>
        <w:t>FINANCIAR-CONTABIL, IMPOZITE ȘI TAXE</w:t>
      </w:r>
    </w:p>
    <w:p w14:paraId="6DEB1C88" w14:textId="6E8C1B03" w:rsidR="003D3FCF" w:rsidRPr="00EC3A3A" w:rsidRDefault="003D3FCF" w:rsidP="003D3FCF">
      <w:pPr>
        <w:spacing w:after="0" w:line="0" w:lineRule="atLeast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EC3A3A">
        <w:rPr>
          <w:rFonts w:ascii="Times New Roman" w:eastAsia="Arial" w:hAnsi="Times New Roman" w:cs="Times New Roman"/>
          <w:sz w:val="24"/>
          <w:szCs w:val="24"/>
        </w:rPr>
        <w:t xml:space="preserve">NR </w:t>
      </w:r>
      <w:r>
        <w:rPr>
          <w:rFonts w:ascii="Times New Roman" w:eastAsia="Arial" w:hAnsi="Times New Roman" w:cs="Times New Roman"/>
          <w:sz w:val="24"/>
          <w:szCs w:val="24"/>
        </w:rPr>
        <w:t>10</w:t>
      </w:r>
      <w:r>
        <w:rPr>
          <w:rFonts w:ascii="Times New Roman" w:eastAsia="Arial" w:hAnsi="Times New Roman" w:cs="Times New Roman"/>
          <w:sz w:val="24"/>
          <w:szCs w:val="24"/>
        </w:rPr>
        <w:t>4</w:t>
      </w:r>
      <w:r>
        <w:rPr>
          <w:rFonts w:ascii="Times New Roman" w:eastAsia="Arial" w:hAnsi="Times New Roman" w:cs="Times New Roman"/>
          <w:sz w:val="24"/>
          <w:szCs w:val="24"/>
        </w:rPr>
        <w:t xml:space="preserve"> din</w:t>
      </w:r>
      <w:r w:rsidRPr="00EC3A3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16 08/ 2024</w:t>
      </w:r>
    </w:p>
    <w:p w14:paraId="6FB28E81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11E9DE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45BEFE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CEBD8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B08195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67E8E0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5DB89C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800D58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8CA62F" w14:textId="77777777" w:rsidR="003D3FCF" w:rsidRPr="00EC3A3A" w:rsidRDefault="003D3FCF" w:rsidP="003D3FCF">
      <w:pPr>
        <w:spacing w:after="4" w:line="14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04246" w14:textId="77777777" w:rsidR="003D3FCF" w:rsidRPr="00EC3A3A" w:rsidRDefault="003D3FCF" w:rsidP="003D3FCF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B522B" w14:textId="77777777" w:rsidR="003D3FCF" w:rsidRPr="00C5065E" w:rsidRDefault="003D3FCF" w:rsidP="003D3FC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065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RAPORT DE SPECIALITATE</w:t>
      </w:r>
    </w:p>
    <w:p w14:paraId="7FDC142F" w14:textId="77777777" w:rsidR="003D3FCF" w:rsidRPr="00A619EF" w:rsidRDefault="003D3FCF" w:rsidP="003D3FCF">
      <w:pPr>
        <w:spacing w:after="2" w:line="276" w:lineRule="auto"/>
        <w:jc w:val="center"/>
        <w:rPr>
          <w:rFonts w:ascii="Times New Roman" w:hAnsi="Times New Roman" w:cs="Times New Roman"/>
          <w:b/>
          <w:bCs/>
          <w:color w:val="48484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actualizarea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indicatorilor</w:t>
      </w:r>
      <w:proofErr w:type="spellEnd"/>
      <w:proofErr w:type="gram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tehnico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-economici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și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a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devizului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general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, ca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aditional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nr. 1</w:t>
      </w:r>
      <w:r w:rsidRPr="00A619EF">
        <w:t xml:space="preserve"> </w:t>
      </w:r>
      <w:r w:rsidRPr="00A619EF">
        <w:rPr>
          <w:rFonts w:ascii="Times New Roman" w:hAnsi="Times New Roman" w:cs="Times New Roman"/>
          <w:b/>
          <w:bCs/>
          <w:color w:val="484848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lucrari</w:t>
      </w:r>
      <w:proofErr w:type="spellEnd"/>
      <w:r w:rsidRPr="00A619EF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n</w:t>
      </w:r>
      <w:r w:rsidRPr="00A619EF">
        <w:rPr>
          <w:rFonts w:ascii="Times New Roman" w:hAnsi="Times New Roman" w:cs="Times New Roman"/>
          <w:b/>
          <w:bCs/>
          <w:color w:val="484848"/>
          <w:sz w:val="24"/>
          <w:szCs w:val="24"/>
        </w:rPr>
        <w:t>r.1540 /07.03.2024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,</w:t>
      </w:r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pentru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obiectivul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de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investiții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„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Extindere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rețea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distribuție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apă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în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Plaiul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Cornului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,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Seciuri-comuna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Șotrile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”,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aprobat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pentru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finanțare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prin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Programul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național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de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investiții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„Anghel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Saligny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”, precum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și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</w:rPr>
        <w:t>aprobarea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sumei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reprezentând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categoriile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de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cheltuieli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finanțate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de la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bugetul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local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pentru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realizarea</w:t>
      </w:r>
      <w:proofErr w:type="spellEnd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proofErr w:type="spellStart"/>
      <w:r w:rsidRPr="00EC3A3A">
        <w:rPr>
          <w:rFonts w:ascii="Times New Roman" w:hAnsi="Times New Roman" w:cs="Times New Roman"/>
          <w:b/>
          <w:bCs/>
          <w:color w:val="484848"/>
          <w:sz w:val="24"/>
          <w:szCs w:val="24"/>
        </w:rPr>
        <w:t>obiectivului</w:t>
      </w:r>
      <w:proofErr w:type="spellEnd"/>
    </w:p>
    <w:p w14:paraId="38FF43BD" w14:textId="77777777" w:rsidR="003D3FCF" w:rsidRPr="00EC3A3A" w:rsidRDefault="003D3FCF" w:rsidP="003D3FCF">
      <w:pPr>
        <w:spacing w:after="2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67C75" w14:textId="77777777" w:rsidR="003D3FCF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Avand in </w:t>
      </w:r>
      <w:proofErr w:type="spellStart"/>
      <w:proofErr w:type="gram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vedere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proofErr w:type="gramEnd"/>
    </w:p>
    <w:p w14:paraId="46716354" w14:textId="77777777" w:rsidR="003D3FCF" w:rsidRPr="0025312F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ecesitatea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refacerii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devizului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</w:t>
      </w:r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25312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25312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</w:t>
      </w:r>
      <w:r w:rsidRPr="0025312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es</w:t>
      </w:r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„</w:t>
      </w:r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Extindere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rețea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distribuție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apă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Plaiul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Cornului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Seciuri-comuna</w:t>
      </w:r>
      <w:proofErr w:type="spellEnd"/>
      <w:r w:rsidRPr="002531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5312F">
        <w:rPr>
          <w:rFonts w:ascii="Times New Roman" w:hAnsi="Times New Roman" w:cs="Times New Roman"/>
          <w:kern w:val="0"/>
          <w:sz w:val="24"/>
          <w:szCs w:val="24"/>
        </w:rPr>
        <w:t>Sotrile</w:t>
      </w:r>
      <w:proofErr w:type="spellEnd"/>
      <w:proofErr w:type="gram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”,</w:t>
      </w:r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conf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orm</w:t>
      </w:r>
      <w:proofErr w:type="gramEnd"/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 </w:t>
      </w:r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.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Ordinului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 1333/2021, art.9 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alin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(3): 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“</w:t>
      </w:r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Ulterior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incheierii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contractelor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finantare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anterior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depunerii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fiecarei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solicitari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transfer,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beneficiarii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sunt obligati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incarce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in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platforma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digitala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documentele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prevazute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la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alin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. (1),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actualizate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daca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este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cazul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urmatoarele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documente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in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functie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stadiul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implementare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al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obiectivului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investitie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sub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sanctiunea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neefectuarii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transferului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sumelor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solicitate de la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bugetul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stat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pana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la data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actualizarii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/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completarii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documentatiei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:</w:t>
      </w:r>
    </w:p>
    <w:p w14:paraId="06FC6AA8" w14:textId="77777777" w:rsidR="003D3FCF" w:rsidRPr="0025312F" w:rsidRDefault="003D3FCF" w:rsidP="003D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   a)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procesul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-verbal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predare-primire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proiectului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tehnic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intocmit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verificat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legislatiei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in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vigoare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;</w:t>
      </w:r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br/>
        <w:t xml:space="preserve">   b)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ordinul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incepere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lucrarilor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;</w:t>
      </w:r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br/>
        <w:t xml:space="preserve">   c)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comunicare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catre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Inspectoratul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Stat in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Constructii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privind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inceperea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lucrarilor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de </w:t>
      </w:r>
      <w:proofErr w:type="spellStart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executie</w:t>
      </w:r>
      <w:proofErr w:type="spellEnd"/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;</w:t>
      </w:r>
      <w:r w:rsidRPr="0025312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br/>
      </w:r>
    </w:p>
    <w:p w14:paraId="1C945A0B" w14:textId="77777777" w:rsidR="003D3FCF" w:rsidRPr="0025312F" w:rsidRDefault="003D3FCF" w:rsidP="003D3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</w:pPr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   d) 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dovada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platii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cotelor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, </w:t>
      </w:r>
      <w:proofErr w:type="spellStart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taxelor</w:t>
      </w:r>
      <w:proofErr w:type="spellEnd"/>
      <w:r w:rsidRPr="0025312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 xml:space="preserve"> etc.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  <w:t>”</w:t>
      </w:r>
    </w:p>
    <w:p w14:paraId="024F1584" w14:textId="77777777" w:rsidR="003D3FCF" w:rsidRPr="0025312F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2EF9214D" w14:textId="77777777" w:rsidR="003D3FCF" w:rsidRPr="0025312F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Documentele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prevazute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art.9,</w:t>
      </w:r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alin</w:t>
      </w:r>
      <w:proofErr w:type="spellEnd"/>
      <w:r w:rsidRPr="002531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1 sunt:</w:t>
      </w:r>
    </w:p>
    <w:p w14:paraId="267F513B" w14:textId="77777777" w:rsidR="003D3FCF" w:rsidRPr="0025312F" w:rsidRDefault="003D3FCF" w:rsidP="003D3FCF">
      <w:pPr>
        <w:pStyle w:val="Listparagraf"/>
        <w:widowControl w:val="0"/>
        <w:numPr>
          <w:ilvl w:val="0"/>
          <w:numId w:val="1"/>
        </w:numPr>
        <w:spacing w:line="285" w:lineRule="auto"/>
        <w:ind w:left="360" w:firstLine="540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consiliului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local/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consiliului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judetean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asociatiei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dezvoltare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intercomunitara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aprobarea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studiului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fezabilitate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documentatiei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avizare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lucrarilor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interventii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gram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</w:t>
      </w:r>
      <w:proofErr w:type="gram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indicatorilor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tehnico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-economici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initiali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actualizati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devizului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general al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obiectivului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investitii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initial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actualizat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7D5C0F22" w14:textId="77777777" w:rsidR="003D3FCF" w:rsidRPr="0025312F" w:rsidRDefault="003D3FCF" w:rsidP="003D3FCF">
      <w:pPr>
        <w:pStyle w:val="Listparagraf"/>
        <w:widowControl w:val="0"/>
        <w:numPr>
          <w:ilvl w:val="0"/>
          <w:numId w:val="1"/>
        </w:numPr>
        <w:spacing w:line="285" w:lineRule="auto"/>
        <w:ind w:left="360" w:firstLine="540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devizul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general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lucrarile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rest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executat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defalcat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categorii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lucrari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categorii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cheltuieli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daca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este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cazul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4FBD8F3A" w14:textId="77777777" w:rsidR="003D3FCF" w:rsidRPr="009C6EAE" w:rsidRDefault="003D3FCF" w:rsidP="003D3FCF">
      <w:pPr>
        <w:pStyle w:val="Listparagraf"/>
        <w:widowControl w:val="0"/>
        <w:numPr>
          <w:ilvl w:val="0"/>
          <w:numId w:val="1"/>
        </w:numPr>
        <w:spacing w:line="285" w:lineRule="auto"/>
        <w:ind w:left="360" w:firstLine="540"/>
        <w:contextualSpacing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consiliului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local/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consiliului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judetean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asociatiei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dezvoltare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intercomunitara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categoriile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cheltuieli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finantate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la </w:t>
      </w:r>
      <w:proofErr w:type="spellStart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bugetul</w:t>
      </w:r>
      <w:proofErr w:type="spellEnd"/>
      <w:r w:rsidRPr="002531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local;</w:t>
      </w:r>
    </w:p>
    <w:p w14:paraId="362C71EC" w14:textId="77777777" w:rsidR="003D3FCF" w:rsidRPr="0025312F" w:rsidRDefault="003D3FCF" w:rsidP="003D3FCF">
      <w:pPr>
        <w:pStyle w:val="Listparagraf"/>
        <w:widowControl w:val="0"/>
        <w:spacing w:line="285" w:lineRule="auto"/>
        <w:ind w:left="900" w:firstLine="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21B3A02" w14:textId="77777777" w:rsidR="003D3FCF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Refe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b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maru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Comunei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Sotrile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102 din 16 08 2024</w:t>
      </w:r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propune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proofErr w:type="gram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actualizarea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indicatorilor</w:t>
      </w:r>
      <w:proofErr w:type="spellEnd"/>
      <w:proofErr w:type="gram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tehnico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-economici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devizului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general, ca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urmare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Actului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aditional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nr. 1 la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Contractul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lucrari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nr.1540 /07.03.2024,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obiectivul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„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Extindere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rețea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distribuție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apă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Plaiul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Cornului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Seciuri-comuna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Șotrile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”,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aprobat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finanțare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Programul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național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„Anghel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Saligny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”, precum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sumei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reprezentând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categoriile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cheltuieli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finanțate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la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bugetul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local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realizarea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obiectivului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98D3F4F" w14:textId="77777777" w:rsidR="003D3FCF" w:rsidRPr="00EC3A3A" w:rsidRDefault="003D3FCF" w:rsidP="003D3FCF">
      <w:pPr>
        <w:widowControl w:val="0"/>
        <w:spacing w:line="285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Programu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Anghe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",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1.321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2021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andarde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prevăzu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(1)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a)-c)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021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Anghe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",</w:t>
      </w:r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3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3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2021</w:t>
      </w:r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Norme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odo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og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punerea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preveder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0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ramu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"Anghe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",</w:t>
      </w:r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ăzu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(1)</w:t>
      </w:r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a)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d)</w:t>
      </w:r>
      <w:r w:rsidRPr="00EC3A3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Ordo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1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actualizarea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indicatorilor</w:t>
      </w:r>
      <w:proofErr w:type="spellEnd"/>
      <w:proofErr w:type="gram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tehnico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-economici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devizului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general, ca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urmare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Actului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aditional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nr. 1 la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Contractul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lucrari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nr.1540 /07.03.2024,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obiectivul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„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Extindere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rețea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distribuție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apă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Plaiul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Cornului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Seciuri-comuna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Șotrile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”,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aprobat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finanțare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Programul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național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„Anghel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Saligny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”, precum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sumei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reprezentând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categoriile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cheltuieli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finanțate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de la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bugetul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local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realizarea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obiectivului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conc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z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</w:p>
    <w:p w14:paraId="4AC298B5" w14:textId="77777777" w:rsidR="003D3FCF" w:rsidRPr="00EC3A3A" w:rsidRDefault="003D3FCF" w:rsidP="003D3FCF">
      <w:pPr>
        <w:spacing w:after="19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93DE2" w14:textId="77777777" w:rsidR="003D3FCF" w:rsidRPr="00EC3A3A" w:rsidRDefault="003D3FCF" w:rsidP="003D3FCF">
      <w:pPr>
        <w:widowControl w:val="0"/>
        <w:spacing w:line="237" w:lineRule="auto"/>
        <w:ind w:right="23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confo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veder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.44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n.1</w:t>
      </w:r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Legea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nr.273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2006</w:t>
      </w:r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e,</w:t>
      </w:r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H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ărâ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.907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016</w:t>
      </w:r>
      <w:r w:rsidRPr="00EC3A3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aborare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-cadru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docume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ehn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co-ec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nom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aferen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ro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ndur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ern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nr.114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2018</w:t>
      </w:r>
      <w:r w:rsidRPr="00EC3A3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mă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domen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măsur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buge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mod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mp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</w:t>
      </w:r>
      <w:r w:rsidRPr="00EC3A3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prorogarea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ermene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</w:t>
      </w:r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0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</w:t>
      </w:r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gramu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1.321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2021</w:t>
      </w:r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anda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aferen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văzu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(1)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-c)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2021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",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1333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021</w:t>
      </w:r>
      <w:r w:rsidRPr="00EC3A3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odo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og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punerea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preveder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0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</w:t>
      </w:r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gra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Anghe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egor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prevăzu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(1)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a)-d)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1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77D0AF" w14:textId="77777777" w:rsidR="003D3FCF" w:rsidRPr="00EC3A3A" w:rsidRDefault="003D3FCF" w:rsidP="003D3FCF">
      <w:pPr>
        <w:widowControl w:val="0"/>
        <w:spacing w:before="1" w:line="237" w:lineRule="auto"/>
        <w:ind w:right="189" w:firstLine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12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n.2</w:t>
      </w:r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proofErr w:type="gram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.b</w:t>
      </w:r>
      <w:proofErr w:type="spellEnd"/>
      <w:proofErr w:type="gram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orobor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n.4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.139</w:t>
      </w:r>
      <w:r w:rsidRPr="00EC3A3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n.3</w:t>
      </w:r>
      <w:r w:rsidRPr="00EC3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.h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.154</w:t>
      </w:r>
      <w:r w:rsidRPr="00EC3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.1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.1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9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Pr="00EC3A3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.1</w:t>
      </w:r>
      <w:r w:rsidRPr="00EC3A3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onan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gen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r.57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2019</w:t>
      </w:r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Ad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mod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căr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mp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ăr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oare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opun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8D8B49" w14:textId="77777777" w:rsidR="003D3FCF" w:rsidRPr="00EC3A3A" w:rsidRDefault="003D3FCF" w:rsidP="003D3F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2554D2" w14:textId="77777777" w:rsidR="003D3FCF" w:rsidRDefault="003D3FCF" w:rsidP="003D3FCF">
      <w:pPr>
        <w:pStyle w:val="Listparagraf"/>
        <w:widowControl w:val="0"/>
        <w:spacing w:line="276" w:lineRule="auto"/>
        <w:ind w:left="0" w:right="165" w:firstLine="450"/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</w:pP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A</w:t>
      </w:r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ctualizarea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indicatorilor</w:t>
      </w:r>
      <w:proofErr w:type="spellEnd"/>
      <w:proofErr w:type="gram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tehnico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-economici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și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devizului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general, ca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urmare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Actului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aditional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nr. 1 la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Contractul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lucrari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nr.1540 /07.03.2024,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obiectivul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„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Extindere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rețea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distribuție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apă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în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Plaiul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Cornului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Seciuri-comuna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Șotrile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”,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aprobat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pentru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finanțare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prin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Programul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național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de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investiții</w:t>
      </w:r>
      <w:proofErr w:type="spellEnd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„Anghel </w:t>
      </w:r>
      <w:proofErr w:type="spellStart"/>
      <w:r w:rsidRPr="00D123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Saligny</w:t>
      </w:r>
      <w:proofErr w:type="spellEnd"/>
    </w:p>
    <w:p w14:paraId="4D33EC4E" w14:textId="77777777" w:rsidR="003D3FCF" w:rsidRPr="00EC3A3A" w:rsidRDefault="003D3FCF" w:rsidP="003D3FCF">
      <w:pPr>
        <w:pStyle w:val="Listparagraf"/>
        <w:widowControl w:val="0"/>
        <w:spacing w:line="276" w:lineRule="auto"/>
        <w:ind w:left="0" w:right="165" w:firstLine="45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Aprobarea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nanț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ă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bugetu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oc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Comunei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Sotrile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461335,51</w:t>
      </w:r>
      <w:r w:rsidRPr="00EC3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epre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z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ând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cate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g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h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anțate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buget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oca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onf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preve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art.</w:t>
      </w:r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(6)</w:t>
      </w:r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etodo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og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pu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î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preve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Ordon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nțe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urgen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v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ern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021</w:t>
      </w:r>
      <w:r w:rsidRPr="00EC3A3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proba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Progra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naț</w:t>
      </w:r>
      <w:r w:rsidRPr="00EC3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nvest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ng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gn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y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",</w:t>
      </w:r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entru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categor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vest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prevăzute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art.</w:t>
      </w:r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(1)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a)-d)</w:t>
      </w:r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donanța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rgență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Guvernu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EC3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95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0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21,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apr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ezvo</w:t>
      </w:r>
      <w:r w:rsidRPr="00EC3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tăr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ucră</w:t>
      </w:r>
      <w:r w:rsidRPr="00EC3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or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ub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C3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adm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straț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C3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e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3A3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1333</w:t>
      </w:r>
      <w:r w:rsidRPr="00EC3A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C3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0</w:t>
      </w:r>
      <w:r w:rsidRPr="00EC3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21.</w:t>
      </w:r>
    </w:p>
    <w:p w14:paraId="5BFD5B61" w14:textId="77777777" w:rsidR="003D3FCF" w:rsidRPr="00DE74CD" w:rsidRDefault="003D3FCF" w:rsidP="003D3FCF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E74CD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74CD">
        <w:rPr>
          <w:rFonts w:ascii="Times New Roman" w:hAnsi="Times New Roman" w:cs="Times New Roman"/>
          <w:sz w:val="24"/>
          <w:szCs w:val="24"/>
        </w:rPr>
        <w:t xml:space="preserve">sus, 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prerogativelor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74C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E74CD">
        <w:rPr>
          <w:rFonts w:ascii="Times New Roman" w:hAnsi="Times New Roman" w:cs="Times New Roman"/>
          <w:sz w:val="24"/>
          <w:szCs w:val="24"/>
        </w:rPr>
        <w:t xml:space="preserve"> </w:t>
      </w:r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art 136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(8) lit a) din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>Urgență</w:t>
      </w:r>
      <w:proofErr w:type="spellEnd"/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>Guvernului</w:t>
      </w:r>
      <w:proofErr w:type="spellEnd"/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proofErr w:type="gram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4C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proofErr w:type="gram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propun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spre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avizare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dezbatere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E74CD"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DE7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A7796C" w14:textId="77777777" w:rsidR="003D3FCF" w:rsidRPr="00DE74CD" w:rsidRDefault="003D3FCF" w:rsidP="003D3FCF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0E9EE44" w14:textId="77777777" w:rsidR="003D3FCF" w:rsidRPr="00EC3A3A" w:rsidRDefault="003D3FCF" w:rsidP="003D3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66BDD" w14:textId="77777777" w:rsidR="003D3FCF" w:rsidRDefault="003D3FCF" w:rsidP="003D3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A3A">
        <w:rPr>
          <w:rFonts w:ascii="Times New Roman" w:hAnsi="Times New Roman" w:cs="Times New Roman"/>
          <w:sz w:val="24"/>
          <w:szCs w:val="24"/>
        </w:rPr>
        <w:t>Inspector,</w:t>
      </w:r>
    </w:p>
    <w:p w14:paraId="597D57D8" w14:textId="27101577" w:rsidR="003D3FCF" w:rsidRPr="00EC3A3A" w:rsidRDefault="003D3FCF" w:rsidP="003D3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Gabriel NECULA</w:t>
      </w:r>
    </w:p>
    <w:p w14:paraId="04087176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0093C"/>
    <w:multiLevelType w:val="hybridMultilevel"/>
    <w:tmpl w:val="EEEA4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850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FF"/>
    <w:rsid w:val="003B2FEE"/>
    <w:rsid w:val="003D3FCF"/>
    <w:rsid w:val="007D2D47"/>
    <w:rsid w:val="00F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3F8"/>
  <w15:chartTrackingRefBased/>
  <w15:docId w15:val="{8B13A9A8-995E-40D4-A7AB-ADA66B4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CF"/>
  </w:style>
  <w:style w:type="paragraph" w:styleId="Titlu1">
    <w:name w:val="heading 1"/>
    <w:basedOn w:val="Normal"/>
    <w:link w:val="Titlu1Caracter"/>
    <w:uiPriority w:val="9"/>
    <w:qFormat/>
    <w:rsid w:val="003D3FCF"/>
    <w:pPr>
      <w:spacing w:line="274" w:lineRule="exact"/>
      <w:ind w:left="1290" w:hanging="360"/>
      <w:jc w:val="both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D3F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D3F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D3F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D3F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D3F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D3F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D3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D3F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3FCF"/>
    <w:rPr>
      <w:rFonts w:eastAsiaTheme="majorEastAsia" w:cstheme="majorBidi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D3F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3D3F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D3F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D3F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D3F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D3F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D3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D3F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3D3FC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itlu">
    <w:name w:val="Title"/>
    <w:basedOn w:val="Normal"/>
    <w:link w:val="TitluCaracter"/>
    <w:uiPriority w:val="10"/>
    <w:qFormat/>
    <w:rsid w:val="003D3FCF"/>
    <w:pPr>
      <w:spacing w:before="85"/>
      <w:ind w:left="280" w:right="282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3D3FCF"/>
    <w:rPr>
      <w:rFonts w:ascii="Arial" w:eastAsia="Arial" w:hAnsi="Arial" w:cs="Arial"/>
      <w:b/>
      <w:bCs/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D3F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D3FCF"/>
    <w:rPr>
      <w:rFonts w:eastAsiaTheme="minorEastAsia"/>
      <w:color w:val="5A5A5A" w:themeColor="text1" w:themeTint="A5"/>
      <w:spacing w:val="15"/>
    </w:rPr>
  </w:style>
  <w:style w:type="character" w:styleId="Robust">
    <w:name w:val="Strong"/>
    <w:basedOn w:val="Fontdeparagrafimplicit"/>
    <w:uiPriority w:val="22"/>
    <w:qFormat/>
    <w:rsid w:val="003D3FCF"/>
    <w:rPr>
      <w:b/>
      <w:bCs/>
    </w:rPr>
  </w:style>
  <w:style w:type="character" w:styleId="Accentuat">
    <w:name w:val="Emphasis"/>
    <w:basedOn w:val="Fontdeparagrafimplicit"/>
    <w:uiPriority w:val="20"/>
    <w:qFormat/>
    <w:rsid w:val="003D3FCF"/>
    <w:rPr>
      <w:i/>
      <w:iCs/>
    </w:rPr>
  </w:style>
  <w:style w:type="paragraph" w:styleId="Frspaiere">
    <w:name w:val="No Spacing"/>
    <w:link w:val="FrspaiereCaracter"/>
    <w:uiPriority w:val="1"/>
    <w:qFormat/>
    <w:rsid w:val="003D3F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lang w:val="ro-RO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D3FCF"/>
    <w:rPr>
      <w:rFonts w:ascii="Times New Roman" w:hAnsi="Times New Roman"/>
      <w:kern w:val="0"/>
      <w:lang w:val="ro-RO"/>
      <w14:ligatures w14:val="none"/>
    </w:rPr>
  </w:style>
  <w:style w:type="paragraph" w:styleId="Listparagraf">
    <w:name w:val="List Paragraph"/>
    <w:basedOn w:val="Normal"/>
    <w:uiPriority w:val="34"/>
    <w:qFormat/>
    <w:rsid w:val="003D3FCF"/>
    <w:pPr>
      <w:ind w:left="579" w:hanging="360"/>
      <w:jc w:val="both"/>
    </w:pPr>
  </w:style>
  <w:style w:type="paragraph" w:styleId="Citat">
    <w:name w:val="Quote"/>
    <w:basedOn w:val="Normal"/>
    <w:next w:val="Normal"/>
    <w:link w:val="CitatCaracter"/>
    <w:uiPriority w:val="29"/>
    <w:qFormat/>
    <w:rsid w:val="003D3FC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D3FCF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D3F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472C4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D3FCF"/>
    <w:rPr>
      <w:rFonts w:eastAsiaTheme="majorEastAsia" w:cstheme="majorBidi"/>
      <w:i/>
      <w:iCs/>
      <w:color w:val="4472C4" w:themeColor="accent1"/>
    </w:rPr>
  </w:style>
  <w:style w:type="character" w:styleId="Accentuaresubtil">
    <w:name w:val="Subtle Emphasis"/>
    <w:basedOn w:val="Fontdeparagrafimplicit"/>
    <w:uiPriority w:val="19"/>
    <w:qFormat/>
    <w:rsid w:val="003D3FCF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3D3FCF"/>
    <w:rPr>
      <w:i/>
      <w:iCs/>
      <w:color w:val="4472C4" w:themeColor="accent1"/>
    </w:rPr>
  </w:style>
  <w:style w:type="character" w:styleId="Referiresubtil">
    <w:name w:val="Subtle Reference"/>
    <w:basedOn w:val="Fontdeparagrafimplicit"/>
    <w:uiPriority w:val="31"/>
    <w:qFormat/>
    <w:rsid w:val="003D3FCF"/>
    <w:rPr>
      <w:smallCaps/>
      <w:color w:val="5A5A5A" w:themeColor="text1" w:themeTint="A5"/>
    </w:rPr>
  </w:style>
  <w:style w:type="character" w:styleId="Referireintens">
    <w:name w:val="Intense Reference"/>
    <w:basedOn w:val="Fontdeparagrafimplicit"/>
    <w:uiPriority w:val="32"/>
    <w:qFormat/>
    <w:rsid w:val="003D3FCF"/>
    <w:rPr>
      <w:b/>
      <w:bCs/>
      <w:smallCaps/>
      <w:color w:val="4472C4" w:themeColor="accent1"/>
      <w:spacing w:val="5"/>
    </w:rPr>
  </w:style>
  <w:style w:type="character" w:styleId="Titlulcrii">
    <w:name w:val="Book Title"/>
    <w:basedOn w:val="Fontdeparagrafimplicit"/>
    <w:uiPriority w:val="33"/>
    <w:qFormat/>
    <w:rsid w:val="003D3FCF"/>
    <w:rPr>
      <w:b/>
      <w:bCs/>
      <w:i/>
      <w:iC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D3FCF"/>
    <w:pPr>
      <w:keepNext/>
      <w:keepLines/>
      <w:spacing w:before="240" w:after="0" w:line="276" w:lineRule="auto"/>
      <w:ind w:left="0" w:firstLine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D3FCF"/>
    <w:rPr>
      <w:rFonts w:eastAsia="Times New Roman" w:cs="Times New Roman"/>
    </w:rPr>
  </w:style>
  <w:style w:type="paragraph" w:styleId="Corptext">
    <w:name w:val="Body Text"/>
    <w:basedOn w:val="Normal"/>
    <w:link w:val="CorptextCaracter"/>
    <w:uiPriority w:val="1"/>
    <w:qFormat/>
    <w:rsid w:val="003D3FCF"/>
    <w:pPr>
      <w:ind w:left="222"/>
    </w:pPr>
    <w:rPr>
      <w:rFonts w:eastAsia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D3FC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2024-08-28T10:39:00Z</cp:lastPrinted>
  <dcterms:created xsi:type="dcterms:W3CDTF">2024-08-28T10:37:00Z</dcterms:created>
  <dcterms:modified xsi:type="dcterms:W3CDTF">2024-08-28T10:39:00Z</dcterms:modified>
</cp:coreProperties>
</file>