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FA6FC" w14:textId="77777777" w:rsidR="00F34AB9" w:rsidRDefault="00000000">
      <w:pPr>
        <w:ind w:left="2160" w:firstLine="720"/>
        <w:jc w:val="both"/>
        <w:rPr>
          <w:b/>
        </w:rPr>
      </w:pPr>
      <w:r>
        <w:rPr>
          <w:b/>
          <w:sz w:val="28"/>
          <w:szCs w:val="28"/>
        </w:rPr>
        <w:tab/>
      </w:r>
    </w:p>
    <w:p w14:paraId="00E219A6" w14:textId="77777777" w:rsidR="00F34AB9" w:rsidRDefault="00F34AB9">
      <w:pPr>
        <w:jc w:val="center"/>
        <w:rPr>
          <w:b/>
          <w:sz w:val="28"/>
          <w:szCs w:val="28"/>
        </w:rPr>
      </w:pPr>
    </w:p>
    <w:p w14:paraId="7CFEAACD" w14:textId="77777777" w:rsidR="00F34AB9" w:rsidRDefault="00000000">
      <w:pPr>
        <w:jc w:val="both"/>
      </w:pPr>
      <w:r>
        <w:rPr>
          <w:b/>
          <w:sz w:val="28"/>
          <w:szCs w:val="28"/>
        </w:rPr>
        <w:t xml:space="preserve">          R O M Â N I A</w:t>
      </w:r>
    </w:p>
    <w:p w14:paraId="50EB6ED6" w14:textId="77777777" w:rsidR="00F34AB9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7307F090" w14:textId="77777777" w:rsidR="00F34AB9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2A4C8F0" w14:textId="1E36A3CA" w:rsidR="00F34AB9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</w:t>
      </w:r>
      <w:r w:rsidR="00312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312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312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312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3121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3121C2">
        <w:rPr>
          <w:b/>
          <w:sz w:val="28"/>
          <w:szCs w:val="28"/>
        </w:rPr>
        <w:t xml:space="preserve"> U L</w:t>
      </w:r>
    </w:p>
    <w:p w14:paraId="08666A9F" w14:textId="3DA7D599" w:rsidR="003121C2" w:rsidRPr="007D4B7B" w:rsidRDefault="00000000" w:rsidP="003121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121C2" w:rsidRPr="00D85589">
        <w:rPr>
          <w:b/>
          <w:sz w:val="28"/>
          <w:szCs w:val="28"/>
        </w:rPr>
        <w:t>Nr.</w:t>
      </w:r>
      <w:r w:rsidR="003121C2">
        <w:rPr>
          <w:b/>
          <w:sz w:val="28"/>
          <w:szCs w:val="28"/>
        </w:rPr>
        <w:t xml:space="preserve"> 161/12077/31.10.2024</w:t>
      </w:r>
    </w:p>
    <w:p w14:paraId="56BD6625" w14:textId="5C150B69" w:rsidR="00F34AB9" w:rsidRDefault="00F34AB9"/>
    <w:p w14:paraId="3B0473CE" w14:textId="77777777" w:rsidR="00F34AB9" w:rsidRDefault="00F34AB9">
      <w:pPr>
        <w:rPr>
          <w:b/>
          <w:sz w:val="28"/>
          <w:szCs w:val="28"/>
        </w:rPr>
      </w:pPr>
    </w:p>
    <w:p w14:paraId="34DB81EC" w14:textId="77777777" w:rsidR="00F34AB9" w:rsidRDefault="00F34AB9">
      <w:pPr>
        <w:ind w:right="-709"/>
        <w:jc w:val="both"/>
        <w:rPr>
          <w:sz w:val="28"/>
          <w:szCs w:val="28"/>
        </w:rPr>
      </w:pPr>
    </w:p>
    <w:p w14:paraId="64141DA3" w14:textId="77777777" w:rsidR="00F34AB9" w:rsidRDefault="00F34AB9">
      <w:pPr>
        <w:ind w:right="-709"/>
        <w:jc w:val="both"/>
        <w:rPr>
          <w:sz w:val="28"/>
          <w:szCs w:val="28"/>
        </w:rPr>
      </w:pPr>
    </w:p>
    <w:p w14:paraId="72C1ED6C" w14:textId="77777777" w:rsidR="00F34AB9" w:rsidRDefault="00000000">
      <w:pPr>
        <w:ind w:right="-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14BE4811" w14:textId="77777777" w:rsidR="00F34AB9" w:rsidRDefault="00000000">
      <w:pPr>
        <w:pStyle w:val="Titlu1"/>
        <w:spacing w:before="0" w:after="0"/>
        <w:ind w:righ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organizarea comisiilor de specialitate ale Consiliului </w:t>
      </w:r>
    </w:p>
    <w:p w14:paraId="62DF6327" w14:textId="77777777" w:rsidR="00F34AB9" w:rsidRDefault="00000000">
      <w:pPr>
        <w:pStyle w:val="Titlu1"/>
        <w:spacing w:before="0" w:after="0"/>
        <w:ind w:right="-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Local al Municipiului Brad</w:t>
      </w:r>
    </w:p>
    <w:p w14:paraId="2EEBCB1A" w14:textId="77777777" w:rsidR="00F34AB9" w:rsidRDefault="00F34AB9">
      <w:pPr>
        <w:ind w:right="-709"/>
        <w:jc w:val="center"/>
        <w:rPr>
          <w:sz w:val="28"/>
          <w:szCs w:val="28"/>
        </w:rPr>
      </w:pPr>
    </w:p>
    <w:p w14:paraId="4A46EDB2" w14:textId="77777777" w:rsidR="00F34AB9" w:rsidRDefault="00F34AB9" w:rsidP="00B8032C">
      <w:pPr>
        <w:ind w:right="-709"/>
        <w:rPr>
          <w:sz w:val="28"/>
          <w:szCs w:val="28"/>
        </w:rPr>
      </w:pPr>
    </w:p>
    <w:p w14:paraId="1E19A4E6" w14:textId="77777777" w:rsidR="00F34AB9" w:rsidRDefault="00000000">
      <w:pPr>
        <w:ind w:right="-709"/>
        <w:jc w:val="both"/>
      </w:pPr>
      <w:r>
        <w:rPr>
          <w:sz w:val="28"/>
          <w:szCs w:val="28"/>
        </w:rPr>
        <w:tab/>
      </w:r>
    </w:p>
    <w:p w14:paraId="58D7E039" w14:textId="1B6D43B0" w:rsidR="00F34AB9" w:rsidRDefault="00000000">
      <w:pPr>
        <w:ind w:right="-709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bookmarkStart w:id="0" w:name="_Hlk181196860"/>
      <w:r>
        <w:rPr>
          <w:sz w:val="28"/>
          <w:szCs w:val="28"/>
        </w:rPr>
        <w:t xml:space="preserve">Conform prevederilor art. 124 alin. 1 din Ordonanța de </w:t>
      </w:r>
      <w:r w:rsidR="003121C2">
        <w:rPr>
          <w:sz w:val="28"/>
          <w:szCs w:val="28"/>
        </w:rPr>
        <w:t>U</w:t>
      </w:r>
      <w:r>
        <w:rPr>
          <w:sz w:val="28"/>
          <w:szCs w:val="28"/>
        </w:rPr>
        <w:t xml:space="preserve">rgență a Guvernului nr. 57/2019 privind Codul administrativ, cu modificările și completările ulterioare </w:t>
      </w:r>
      <w:r>
        <w:rPr>
          <w:i/>
          <w:sz w:val="28"/>
          <w:szCs w:val="28"/>
        </w:rPr>
        <w:t>”după constituire, consiliul local își organizează comisii de specialitate, pe principalele domenii de activitate….”.</w:t>
      </w:r>
    </w:p>
    <w:p w14:paraId="6CC1CE49" w14:textId="516658AC" w:rsidR="00F34AB9" w:rsidRDefault="00000000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Membri ai acestor comisii de specialitate pot fi doar consilierii locali. </w:t>
      </w:r>
      <w:r>
        <w:rPr>
          <w:sz w:val="28"/>
          <w:szCs w:val="28"/>
        </w:rPr>
        <w:tab/>
        <w:t xml:space="preserve">Numărul membrilor unei comisii este întotdeauna impar. </w:t>
      </w:r>
    </w:p>
    <w:p w14:paraId="6213AFB8" w14:textId="52F4128F" w:rsidR="00F34AB9" w:rsidRDefault="00000000">
      <w:pPr>
        <w:ind w:right="-709"/>
        <w:jc w:val="both"/>
      </w:pPr>
      <w:r>
        <w:rPr>
          <w:sz w:val="28"/>
          <w:szCs w:val="28"/>
        </w:rPr>
        <w:tab/>
        <w:t>Numărul locurilor c</w:t>
      </w:r>
      <w:r w:rsidR="003121C2">
        <w:rPr>
          <w:sz w:val="28"/>
          <w:szCs w:val="28"/>
        </w:rPr>
        <w:t>are</w:t>
      </w:r>
      <w:r>
        <w:rPr>
          <w:sz w:val="28"/>
          <w:szCs w:val="28"/>
        </w:rPr>
        <w:t xml:space="preserve"> revine fiecărui grup de consilieri se stabilește cu respectarea configurației politice de la ultimele alegeri locale, conform prevederilor art. 124 alin. (4) din Ordonanța de Urgență a Guvernului nr. 57/2019 privind </w:t>
      </w:r>
      <w:r>
        <w:rPr>
          <w:rFonts w:cs="Arial"/>
          <w:color w:val="000000"/>
          <w:sz w:val="28"/>
          <w:szCs w:val="28"/>
        </w:rPr>
        <w:t>Codul administrativ, cu modificările și completările ulterioare.</w:t>
      </w:r>
    </w:p>
    <w:p w14:paraId="13A82CB2" w14:textId="48D88512" w:rsidR="00F34AB9" w:rsidRPr="00B8032C" w:rsidRDefault="00000000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funcție de numărul membrilor consiliului, un consilier poate face parte din cel puțin o comisie și din cel mult 3 comisii, dintre care una este comisia de bază, conform prevederilor </w:t>
      </w:r>
      <w:r>
        <w:rPr>
          <w:rFonts w:cs="Arial"/>
          <w:color w:val="000000"/>
          <w:sz w:val="28"/>
          <w:szCs w:val="28"/>
        </w:rPr>
        <w:t>art. 124 alin. (5) din același act normativ</w:t>
      </w:r>
      <w:r>
        <w:rPr>
          <w:sz w:val="28"/>
          <w:szCs w:val="28"/>
        </w:rPr>
        <w:t>.</w:t>
      </w:r>
      <w:bookmarkEnd w:id="0"/>
      <w:r>
        <w:rPr>
          <w:sz w:val="28"/>
          <w:szCs w:val="28"/>
        </w:rPr>
        <w:tab/>
      </w:r>
    </w:p>
    <w:p w14:paraId="35C776F7" w14:textId="1FA3EBF3" w:rsidR="00F34AB9" w:rsidRDefault="00000000" w:rsidP="000B0798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28D4">
        <w:rPr>
          <w:sz w:val="28"/>
          <w:szCs w:val="28"/>
        </w:rPr>
        <w:t>Astfel,</w:t>
      </w:r>
      <w:r>
        <w:rPr>
          <w:sz w:val="28"/>
          <w:szCs w:val="28"/>
        </w:rPr>
        <w:t xml:space="preserve"> am propus un număr de 5 </w:t>
      </w:r>
      <w:r w:rsidR="005A28D4">
        <w:rPr>
          <w:sz w:val="28"/>
          <w:szCs w:val="28"/>
        </w:rPr>
        <w:t xml:space="preserve">(cinci) </w:t>
      </w:r>
      <w:r>
        <w:rPr>
          <w:sz w:val="28"/>
          <w:szCs w:val="28"/>
        </w:rPr>
        <w:t>comisii de specialitate în principalele domenii de activitate, după cum urmează:</w:t>
      </w:r>
    </w:p>
    <w:p w14:paraId="402BB474" w14:textId="77777777" w:rsidR="00F34AB9" w:rsidRDefault="00000000" w:rsidP="000B0798">
      <w:pPr>
        <w:ind w:right="-709" w:firstLine="720"/>
        <w:jc w:val="both"/>
      </w:pPr>
      <w:r>
        <w:rPr>
          <w:b/>
          <w:sz w:val="28"/>
          <w:szCs w:val="28"/>
        </w:rPr>
        <w:tab/>
        <w:t xml:space="preserve">I. </w:t>
      </w:r>
      <w:r>
        <w:rPr>
          <w:sz w:val="28"/>
          <w:szCs w:val="28"/>
        </w:rPr>
        <w:t xml:space="preserve">Comisia de studii economice, prognoze, buget, </w:t>
      </w:r>
      <w:proofErr w:type="spellStart"/>
      <w:r>
        <w:rPr>
          <w:sz w:val="28"/>
          <w:szCs w:val="28"/>
        </w:rPr>
        <w:t>finanţe</w:t>
      </w:r>
      <w:proofErr w:type="spellEnd"/>
      <w:r>
        <w:rPr>
          <w:sz w:val="28"/>
          <w:szCs w:val="28"/>
        </w:rPr>
        <w:t xml:space="preserve"> compusă din 7 membri.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14:paraId="67B68DFF" w14:textId="77777777" w:rsidR="00F34AB9" w:rsidRDefault="00000000" w:rsidP="000B0798">
      <w:pPr>
        <w:ind w:right="-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II</w:t>
      </w:r>
      <w:r>
        <w:rPr>
          <w:sz w:val="28"/>
          <w:szCs w:val="28"/>
        </w:rPr>
        <w:t xml:space="preserve">. Comisia de urbanism, amenajarea teritoriului, lucrări publice, </w:t>
      </w:r>
      <w:proofErr w:type="spellStart"/>
      <w:r>
        <w:rPr>
          <w:sz w:val="28"/>
          <w:szCs w:val="28"/>
        </w:rPr>
        <w:t>protecţia</w:t>
      </w:r>
      <w:proofErr w:type="spellEnd"/>
      <w:r>
        <w:rPr>
          <w:sz w:val="28"/>
          <w:szCs w:val="28"/>
        </w:rPr>
        <w:t xml:space="preserve"> mediului înconjurător, conservarea monumentelor istorice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de arhitectură compusă din 7 membri.</w:t>
      </w:r>
    </w:p>
    <w:p w14:paraId="617250E4" w14:textId="77777777" w:rsidR="00F34AB9" w:rsidRDefault="00000000" w:rsidP="000B0798">
      <w:pPr>
        <w:ind w:right="-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III</w:t>
      </w:r>
      <w:r>
        <w:rPr>
          <w:sz w:val="28"/>
          <w:szCs w:val="28"/>
        </w:rPr>
        <w:t xml:space="preserve">. Comisia pentru </w:t>
      </w:r>
      <w:proofErr w:type="spellStart"/>
      <w:r>
        <w:rPr>
          <w:sz w:val="28"/>
          <w:szCs w:val="28"/>
        </w:rPr>
        <w:t>activităţi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ştiinţifice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învăţământ</w:t>
      </w:r>
      <w:proofErr w:type="spellEnd"/>
      <w:r>
        <w:rPr>
          <w:sz w:val="28"/>
          <w:szCs w:val="28"/>
        </w:rPr>
        <w:t xml:space="preserve">, sănătate, cultură, </w:t>
      </w:r>
      <w:proofErr w:type="spellStart"/>
      <w:r>
        <w:rPr>
          <w:sz w:val="28"/>
          <w:szCs w:val="28"/>
        </w:rPr>
        <w:t>protecţie</w:t>
      </w:r>
      <w:proofErr w:type="spellEnd"/>
      <w:r>
        <w:rPr>
          <w:sz w:val="28"/>
          <w:szCs w:val="28"/>
        </w:rPr>
        <w:t xml:space="preserve"> socială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de agrement compusă din 7 membri.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963230" w14:textId="598285B9" w:rsidR="00F34AB9" w:rsidRDefault="00000000" w:rsidP="000B0798">
      <w:pPr>
        <w:ind w:right="-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IV</w:t>
      </w:r>
      <w:r>
        <w:rPr>
          <w:sz w:val="28"/>
          <w:szCs w:val="28"/>
        </w:rPr>
        <w:t xml:space="preserve">. Comisia pentru </w:t>
      </w:r>
      <w:proofErr w:type="spellStart"/>
      <w:r>
        <w:rPr>
          <w:sz w:val="28"/>
          <w:szCs w:val="28"/>
        </w:rPr>
        <w:t>administraţie</w:t>
      </w:r>
      <w:proofErr w:type="spellEnd"/>
      <w:r>
        <w:rPr>
          <w:sz w:val="28"/>
          <w:szCs w:val="28"/>
        </w:rPr>
        <w:t xml:space="preserve"> publică locală, juridică, apărarea ordinii publice, respectarea drepturilor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cetăţenilor</w:t>
      </w:r>
      <w:proofErr w:type="spellEnd"/>
      <w:r>
        <w:rPr>
          <w:sz w:val="28"/>
          <w:szCs w:val="28"/>
        </w:rPr>
        <w:t xml:space="preserve"> compusă din 7 membri.</w:t>
      </w:r>
    </w:p>
    <w:p w14:paraId="121042D7" w14:textId="77777777" w:rsidR="00F34AB9" w:rsidRDefault="00000000" w:rsidP="000B0798">
      <w:pPr>
        <w:ind w:right="-709" w:firstLine="720"/>
        <w:jc w:val="both"/>
      </w:pPr>
      <w:r>
        <w:rPr>
          <w:b/>
          <w:sz w:val="28"/>
          <w:szCs w:val="28"/>
        </w:rPr>
        <w:tab/>
        <w:t xml:space="preserve">V. </w:t>
      </w:r>
      <w:r>
        <w:rPr>
          <w:sz w:val="28"/>
          <w:szCs w:val="28"/>
        </w:rPr>
        <w:t xml:space="preserve">Comisia pentru administrarea domeniului public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privat, servicii publice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comerţ</w:t>
      </w:r>
      <w:proofErr w:type="spellEnd"/>
      <w:r>
        <w:rPr>
          <w:sz w:val="28"/>
          <w:szCs w:val="28"/>
        </w:rPr>
        <w:t xml:space="preserve"> compusă din 7 membri.</w:t>
      </w:r>
    </w:p>
    <w:p w14:paraId="14E0FF0F" w14:textId="77777777" w:rsidR="00F34AB9" w:rsidRDefault="00000000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Componența nominală a acestor comisii se stabilește prin hotărâre a consiliului local, cu respectarea configurației politice de la ultimele alegeri.</w:t>
      </w:r>
    </w:p>
    <w:p w14:paraId="29A7F61F" w14:textId="25529226" w:rsidR="00310BC3" w:rsidRDefault="00310BC3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>Conform configurației politice de la ultimele alegeri</w:t>
      </w:r>
      <w:r w:rsidRPr="00310BC3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numărul locurilor care revine fiecărui grup de consilieri în cele 5 comisii de specialitate este:</w:t>
      </w:r>
    </w:p>
    <w:p w14:paraId="2F7A4C67" w14:textId="6BBD70B4" w:rsidR="00310BC3" w:rsidRDefault="00310BC3" w:rsidP="00310BC3">
      <w:pPr>
        <w:spacing w:line="276" w:lineRule="auto"/>
        <w:ind w:right="-828" w:firstLine="708"/>
        <w:jc w:val="both"/>
      </w:pPr>
      <w:r>
        <w:rPr>
          <w:rFonts w:cs="Arial"/>
          <w:color w:val="000000"/>
          <w:sz w:val="28"/>
          <w:szCs w:val="28"/>
        </w:rPr>
        <w:t>- Partidul Social Democrat: maxim 4 locuri;</w:t>
      </w:r>
    </w:p>
    <w:p w14:paraId="01D1D35A" w14:textId="5D998C5F" w:rsidR="00310BC3" w:rsidRDefault="00310BC3" w:rsidP="00310BC3">
      <w:pPr>
        <w:spacing w:line="276" w:lineRule="auto"/>
        <w:ind w:right="-828" w:firstLine="708"/>
        <w:jc w:val="both"/>
      </w:pPr>
      <w:r>
        <w:rPr>
          <w:rFonts w:cs="Arial"/>
          <w:color w:val="000000"/>
          <w:sz w:val="28"/>
          <w:szCs w:val="28"/>
        </w:rPr>
        <w:t>- Partidul Național Liberal: maxim 2 locuri;</w:t>
      </w:r>
    </w:p>
    <w:p w14:paraId="69A5E58E" w14:textId="4C1CA0D9" w:rsidR="00310BC3" w:rsidRDefault="00310BC3" w:rsidP="00310BC3">
      <w:pPr>
        <w:spacing w:line="276" w:lineRule="auto"/>
        <w:ind w:right="-828" w:firstLine="708"/>
        <w:jc w:val="both"/>
      </w:pPr>
      <w:r>
        <w:rPr>
          <w:rFonts w:cs="Arial"/>
          <w:color w:val="000000"/>
          <w:sz w:val="28"/>
          <w:szCs w:val="28"/>
        </w:rPr>
        <w:lastRenderedPageBreak/>
        <w:t>- Alianța pentru Unirea Românilor: maxim 2 locuri;</w:t>
      </w:r>
    </w:p>
    <w:p w14:paraId="0FF39004" w14:textId="505AD04C" w:rsidR="00310BC3" w:rsidRPr="00330ED1" w:rsidRDefault="00310BC3" w:rsidP="00330ED1">
      <w:pPr>
        <w:spacing w:line="276" w:lineRule="auto"/>
        <w:ind w:right="-828" w:firstLine="708"/>
        <w:jc w:val="both"/>
      </w:pPr>
      <w:r>
        <w:rPr>
          <w:rFonts w:cs="Arial"/>
          <w:color w:val="000000"/>
          <w:sz w:val="28"/>
          <w:szCs w:val="28"/>
        </w:rPr>
        <w:t xml:space="preserve">- Uniunea Salvați România: maxim 1 </w:t>
      </w:r>
      <w:r w:rsidR="00330ED1">
        <w:rPr>
          <w:rFonts w:cs="Arial"/>
          <w:color w:val="000000"/>
          <w:sz w:val="28"/>
          <w:szCs w:val="28"/>
        </w:rPr>
        <w:t xml:space="preserve">(un) </w:t>
      </w:r>
      <w:r>
        <w:rPr>
          <w:rFonts w:cs="Arial"/>
          <w:color w:val="000000"/>
          <w:sz w:val="28"/>
          <w:szCs w:val="28"/>
        </w:rPr>
        <w:t>loc.</w:t>
      </w:r>
    </w:p>
    <w:p w14:paraId="10400602" w14:textId="6C2C54BF" w:rsidR="003121C2" w:rsidRDefault="003121C2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>Atribuțiile comisiilor de specialitate sunt cele prevăzute la art. 125 din O.U.G. nr. 57/2019 privind Codul administrativ, cu modificările și completările ulterioare.</w:t>
      </w:r>
    </w:p>
    <w:p w14:paraId="78BD0B7C" w14:textId="4611887E" w:rsidR="003121C2" w:rsidRDefault="003121C2">
      <w:pPr>
        <w:ind w:righ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>Am propus, de asemenea, ca</w:t>
      </w:r>
      <w:r w:rsidR="00330ED1">
        <w:rPr>
          <w:sz w:val="28"/>
          <w:szCs w:val="28"/>
        </w:rPr>
        <w:t>,</w:t>
      </w:r>
      <w:r>
        <w:rPr>
          <w:sz w:val="28"/>
          <w:szCs w:val="28"/>
        </w:rPr>
        <w:t xml:space="preserve"> pe durata mandatului Consiliului Local al Municipiului Brad 2024 – 2028, orice loc devenit vacant în comisiile de specialitate prin încetarea de drept înainte de expirarea duratei normale a unui mandat de consilier local, </w:t>
      </w:r>
      <w:r w:rsidR="00E379D4">
        <w:rPr>
          <w:sz w:val="28"/>
          <w:szCs w:val="28"/>
        </w:rPr>
        <w:t xml:space="preserve">să fie ocupat de </w:t>
      </w:r>
      <w:r w:rsidR="00330ED1">
        <w:rPr>
          <w:sz w:val="28"/>
          <w:szCs w:val="28"/>
        </w:rPr>
        <w:t xml:space="preserve">către </w:t>
      </w:r>
      <w:r w:rsidR="00E379D4">
        <w:rPr>
          <w:sz w:val="28"/>
          <w:szCs w:val="28"/>
        </w:rPr>
        <w:t>următorul supleant validat de Judecătoria Brad, după depunerea jurământului.</w:t>
      </w:r>
    </w:p>
    <w:p w14:paraId="2887D0A4" w14:textId="6496724B" w:rsidR="00B8032C" w:rsidRDefault="00B8032C" w:rsidP="00B8032C">
      <w:pPr>
        <w:ind w:right="-709" w:firstLine="708"/>
        <w:jc w:val="both"/>
      </w:pPr>
      <w:r>
        <w:rPr>
          <w:sz w:val="28"/>
          <w:szCs w:val="28"/>
        </w:rPr>
        <w:t xml:space="preserve">În contextul celor de mai sus și ținând cont de </w:t>
      </w:r>
      <w:bookmarkStart w:id="1" w:name="_Hlk181197253"/>
      <w:r>
        <w:rPr>
          <w:sz w:val="28"/>
          <w:szCs w:val="28"/>
        </w:rPr>
        <w:t xml:space="preserve">Încheierile civile nr. 1704/CC/2024 și respectiv nr. 1814/CC/2024 pronunțate de către Judecătoria Brad prin care au fost validate mandatele consilierilor locali și respectiv a supleanților în Consiliul Local al Municipiului Brad, de Procesul verbal al ședinței privind ceremonia de constituire a Consiliului Local al Municipiului Brad încheiat în data de 24 octombrie 2024, de Ordinul Prefectului Județului Hunedoara nr. 460/28.10.2024 privind constatarea ca legal constituit a Consiliului Local al Municipiului Brad, precum și de Hotărârea Consiliului Local nr. </w:t>
      </w:r>
      <w:r w:rsidRPr="005A28D4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3</w:t>
      </w:r>
      <w:r w:rsidRPr="005A28D4">
        <w:rPr>
          <w:color w:val="auto"/>
          <w:sz w:val="28"/>
          <w:szCs w:val="28"/>
        </w:rPr>
        <w:t>/2021</w:t>
      </w:r>
      <w:r>
        <w:rPr>
          <w:sz w:val="28"/>
          <w:szCs w:val="28"/>
        </w:rPr>
        <w:t xml:space="preserve"> privind aprobarea regulamentului de organizare și funcționare a Consiliului Local al Municipiului Brad</w:t>
      </w:r>
      <w:bookmarkEnd w:id="1"/>
      <w:r>
        <w:rPr>
          <w:sz w:val="28"/>
          <w:szCs w:val="28"/>
        </w:rPr>
        <w:t xml:space="preserve">, supun spre dezbatere și aprobare plenului Consiliului Local al Municipiului Brad </w:t>
      </w:r>
      <w:r>
        <w:rPr>
          <w:sz w:val="28"/>
          <w:szCs w:val="28"/>
        </w:rPr>
        <w:t xml:space="preserve">proiectul de hotărâre </w:t>
      </w:r>
      <w:r>
        <w:rPr>
          <w:sz w:val="28"/>
          <w:szCs w:val="28"/>
        </w:rPr>
        <w:t>în forma prezentată.</w:t>
      </w:r>
    </w:p>
    <w:p w14:paraId="16A5AAD5" w14:textId="4527FBE5" w:rsidR="00F34AB9" w:rsidRDefault="00000000">
      <w:pPr>
        <w:pStyle w:val="Corptext"/>
        <w:spacing w:after="0"/>
        <w:ind w:right="-709"/>
        <w:jc w:val="both"/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art.124, art. 129 alin. 1, art. 139 </w:t>
      </w:r>
      <w:r w:rsidR="00330ED1">
        <w:rPr>
          <w:rFonts w:ascii="Times New Roman" w:hAnsi="Times New Roman"/>
          <w:sz w:val="28"/>
          <w:szCs w:val="28"/>
        </w:rPr>
        <w:t xml:space="preserve">alin. 1, </w:t>
      </w:r>
      <w:r>
        <w:rPr>
          <w:rFonts w:ascii="Times New Roman" w:hAnsi="Times New Roman"/>
          <w:sz w:val="28"/>
          <w:szCs w:val="28"/>
        </w:rPr>
        <w:t>alin. 3 lit. i</w:t>
      </w:r>
      <w:r w:rsidR="00330ED1">
        <w:rPr>
          <w:rFonts w:ascii="Times New Roman" w:hAnsi="Times New Roman"/>
          <w:sz w:val="28"/>
          <w:szCs w:val="28"/>
        </w:rPr>
        <w:t xml:space="preserve"> și alin. 6, </w:t>
      </w:r>
      <w:r>
        <w:rPr>
          <w:rFonts w:ascii="Times New Roman" w:hAnsi="Times New Roman"/>
          <w:color w:val="000000"/>
          <w:sz w:val="28"/>
          <w:szCs w:val="28"/>
        </w:rPr>
        <w:t xml:space="preserve">art. 196 alin. 1 lit. a </w:t>
      </w:r>
      <w:r>
        <w:rPr>
          <w:rFonts w:ascii="Times New Roman" w:hAnsi="Times New Roman"/>
          <w:sz w:val="28"/>
          <w:szCs w:val="28"/>
        </w:rPr>
        <w:t>din O.U.G. nr. 57/2019 privind Codul administrativ, cu modificările și completările ulterioare</w:t>
      </w:r>
      <w:r w:rsidR="00330E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precum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ale art. 11 alin. 4 din Legea nr. 554/2004 a contenciosului administrativ, actualizată.</w:t>
      </w:r>
    </w:p>
    <w:p w14:paraId="6C9772AF" w14:textId="77777777" w:rsidR="00F34AB9" w:rsidRDefault="00F34AB9">
      <w:pPr>
        <w:pStyle w:val="Corptext"/>
        <w:spacing w:after="0"/>
        <w:ind w:right="-709"/>
        <w:jc w:val="both"/>
        <w:rPr>
          <w:rFonts w:ascii="Times New Roman" w:hAnsi="Times New Roman"/>
          <w:sz w:val="28"/>
          <w:szCs w:val="28"/>
        </w:rPr>
      </w:pPr>
    </w:p>
    <w:p w14:paraId="0917A474" w14:textId="77777777" w:rsidR="00F34AB9" w:rsidRDefault="00F34AB9">
      <w:pPr>
        <w:pStyle w:val="Corptext"/>
        <w:spacing w:after="0"/>
        <w:ind w:right="-709"/>
        <w:jc w:val="both"/>
        <w:rPr>
          <w:rFonts w:ascii="Times New Roman" w:hAnsi="Times New Roman"/>
          <w:sz w:val="28"/>
          <w:szCs w:val="28"/>
        </w:rPr>
      </w:pPr>
    </w:p>
    <w:p w14:paraId="6B0CB9CC" w14:textId="77777777" w:rsidR="00F34AB9" w:rsidRDefault="00F34AB9">
      <w:pPr>
        <w:ind w:right="-709"/>
        <w:jc w:val="both"/>
        <w:rPr>
          <w:b/>
          <w:sz w:val="28"/>
          <w:szCs w:val="28"/>
        </w:rPr>
      </w:pPr>
    </w:p>
    <w:p w14:paraId="6240C822" w14:textId="77777777" w:rsidR="00F34AB9" w:rsidRDefault="00000000">
      <w:pPr>
        <w:ind w:righ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6A4AB876" w14:textId="77777777" w:rsidR="00F34AB9" w:rsidRDefault="00000000">
      <w:pPr>
        <w:ind w:righ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4F936739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64EBE62C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48EA1879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57B9C8C6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0D584693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0E98256F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7DE0D75B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35B2BB90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24D266BF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36BC6249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74136D7F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285C9F51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0458BBC6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5B284A22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33B0E4D3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244750C4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5EF22812" w14:textId="77777777" w:rsidR="00F34AB9" w:rsidRDefault="00F34AB9">
      <w:pPr>
        <w:ind w:right="-709"/>
        <w:jc w:val="center"/>
        <w:rPr>
          <w:b/>
          <w:sz w:val="28"/>
          <w:szCs w:val="28"/>
        </w:rPr>
      </w:pPr>
    </w:p>
    <w:p w14:paraId="75ECF5F7" w14:textId="79638177" w:rsidR="00F34AB9" w:rsidRDefault="00F34AB9" w:rsidP="008537B4"/>
    <w:sectPr w:rsidR="00F34AB9">
      <w:pgSz w:w="11906" w:h="16838"/>
      <w:pgMar w:top="426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AB9"/>
    <w:rsid w:val="00041F5F"/>
    <w:rsid w:val="000B0798"/>
    <w:rsid w:val="002E1279"/>
    <w:rsid w:val="002F3402"/>
    <w:rsid w:val="00310BC3"/>
    <w:rsid w:val="003121C2"/>
    <w:rsid w:val="00330ED1"/>
    <w:rsid w:val="003B1F45"/>
    <w:rsid w:val="00547F0C"/>
    <w:rsid w:val="00556862"/>
    <w:rsid w:val="005A28D4"/>
    <w:rsid w:val="006472D1"/>
    <w:rsid w:val="00685430"/>
    <w:rsid w:val="008537B4"/>
    <w:rsid w:val="00860ED1"/>
    <w:rsid w:val="00961A6E"/>
    <w:rsid w:val="009E6D52"/>
    <w:rsid w:val="00B8032C"/>
    <w:rsid w:val="00E379D4"/>
    <w:rsid w:val="00F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C415"/>
  <w15:docId w15:val="{B3DDEFBB-DE62-48F9-9C07-BA8C34A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4E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1004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01004E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01004E"/>
    <w:rPr>
      <w:rFonts w:ascii="CenturionOld" w:eastAsia="Times New Roman" w:hAnsi="CenturionOld" w:cs="Times New Roman"/>
      <w:sz w:val="24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01004E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621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Primaria Brad</cp:lastModifiedBy>
  <cp:revision>30</cp:revision>
  <cp:lastPrinted>2020-11-16T20:20:00Z</cp:lastPrinted>
  <dcterms:created xsi:type="dcterms:W3CDTF">2020-11-05T08:07:00Z</dcterms:created>
  <dcterms:modified xsi:type="dcterms:W3CDTF">2024-11-04T08:40:00Z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