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BBF10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8"/>
          <w:szCs w:val="28"/>
          <w:lang w:val="ro-RO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2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ro-RO"/>
        </w:rPr>
        <w:t>ROMÂNIA</w:t>
      </w:r>
    </w:p>
    <w:p w14:paraId="40CB72DF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JUDEȚUL BIHOR</w:t>
      </w:r>
    </w:p>
    <w:p w14:paraId="76E214C5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color w:val="000000"/>
          <w:sz w:val="28"/>
          <w:szCs w:val="28"/>
          <w:lang w:val="ro-RO"/>
        </w:rPr>
      </w:pPr>
      <w:r>
        <w:rPr>
          <w:b/>
          <w:bCs/>
          <w:color w:val="000000"/>
          <w:sz w:val="28"/>
          <w:szCs w:val="28"/>
          <w:lang w:val="ro-RO"/>
        </w:rPr>
        <w:t>MUNICIPIUL MARGHITA</w:t>
      </w:r>
    </w:p>
    <w:p w14:paraId="379D840B">
      <w:pPr>
        <w:widowControl/>
        <w:tabs>
          <w:tab w:val="left" w:pos="1193"/>
        </w:tabs>
        <w:bidi w:val="0"/>
        <w:ind w:left="-680" w:right="-397" w:firstLine="0"/>
        <w:jc w:val="center"/>
        <w:rPr>
          <w:rFonts w:ascii="Times New Roman" w:hAnsi="Times New Roman"/>
          <w:b/>
          <w:bCs/>
          <w:color w:val="000000"/>
          <w:sz w:val="28"/>
          <w:szCs w:val="28"/>
          <w:u w:val="none"/>
          <w:lang w:val="ro-RO" w:eastAsia="ro-RO"/>
        </w:rPr>
      </w:pPr>
      <w:r>
        <w:rPr>
          <w:b/>
          <w:bCs/>
          <w:color w:val="000000"/>
          <w:sz w:val="28"/>
          <w:szCs w:val="28"/>
          <w:u w:val="none"/>
          <w:lang w:val="ro-RO" w:eastAsia="ro-RO"/>
        </w:rPr>
        <w:t>MARGITTA MEGYEI JOGÚ VÁROS</w:t>
      </w:r>
    </w:p>
    <w:p w14:paraId="57A748C2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sz w:val="36"/>
          <w:szCs w:val="36"/>
          <w:u w:val="none"/>
          <w:lang w:val="ro-RO"/>
        </w:rPr>
      </w:pPr>
    </w:p>
    <w:p w14:paraId="4C0ADE68">
      <w:pPr>
        <w:tabs>
          <w:tab w:val="left" w:pos="6225"/>
        </w:tabs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415300 - Marghita, jud. Bihor                                                                          telefon : +40259362001</w:t>
      </w:r>
    </w:p>
    <w:p w14:paraId="68702A8E">
      <w:pPr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Calea Republicii, nr.1                                                                                                     +40359409977</w:t>
      </w:r>
    </w:p>
    <w:p w14:paraId="180374DC">
      <w:r>
        <w:rPr>
          <w:sz w:val="22"/>
          <w:szCs w:val="22"/>
          <w:lang w:val="ro-RO"/>
        </w:rPr>
        <w:t xml:space="preserve">Cod fiscal 4348947                         </w:t>
      </w:r>
      <w:r>
        <w:rPr>
          <w:b/>
          <w:sz w:val="22"/>
          <w:szCs w:val="22"/>
          <w:lang w:val="ro-RO"/>
        </w:rPr>
        <w:t xml:space="preserve">e-mail: </w:t>
      </w:r>
      <w:r>
        <w:fldChar w:fldCharType="begin"/>
      </w:r>
      <w:r>
        <w:instrText xml:space="preserve"> HYPERLINK "mailto:primaria@marghitaonline.ro" \h </w:instrText>
      </w:r>
      <w:r>
        <w:fldChar w:fldCharType="separate"/>
      </w:r>
      <w:r>
        <w:rPr>
          <w:rStyle w:val="15"/>
          <w:b/>
          <w:sz w:val="22"/>
          <w:szCs w:val="22"/>
          <w:lang w:val="ro-RO"/>
        </w:rPr>
        <w:t>primaria@marghita.ro</w:t>
      </w:r>
      <w:r>
        <w:rPr>
          <w:rStyle w:val="15"/>
          <w:b/>
          <w:sz w:val="22"/>
          <w:szCs w:val="22"/>
          <w:lang w:val="ro-RO"/>
        </w:rPr>
        <w:fldChar w:fldCharType="end"/>
      </w:r>
      <w:r>
        <w:rPr>
          <w:sz w:val="22"/>
          <w:szCs w:val="22"/>
          <w:lang w:val="ro-RO"/>
        </w:rPr>
        <w:t xml:space="preserve">                    fax: +40359409982</w:t>
      </w:r>
      <w:r>
        <w:rPr>
          <w:b/>
          <w:sz w:val="22"/>
          <w:szCs w:val="22"/>
          <w:lang w:val="ro-RO"/>
        </w:rPr>
        <w:t xml:space="preserve">                                                   </w:t>
      </w:r>
    </w:p>
    <w:p w14:paraId="138AE1E8">
      <w:r>
        <w:drawing>
          <wp:inline distT="0" distB="0" distL="0" distR="0">
            <wp:extent cx="5591175" cy="183515"/>
            <wp:effectExtent l="0" t="0" r="0" b="0"/>
            <wp:docPr id="3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13A17">
      <w:pPr>
        <w:rPr>
          <w:rFonts w:hint="default"/>
          <w:b/>
          <w:sz w:val="24"/>
          <w:szCs w:val="24"/>
          <w:lang w:val="en-US"/>
        </w:rPr>
      </w:pPr>
      <w:r>
        <w:rPr>
          <w:b/>
          <w:sz w:val="24"/>
          <w:szCs w:val="24"/>
          <w:lang w:val="ro-RO"/>
        </w:rPr>
        <w:t>Nr.</w:t>
      </w:r>
      <w:r>
        <w:rPr>
          <w:rFonts w:hint="default"/>
          <w:b/>
          <w:sz w:val="24"/>
          <w:szCs w:val="24"/>
          <w:lang w:val="en-US"/>
        </w:rPr>
        <w:t xml:space="preserve">                 </w:t>
      </w:r>
      <w:r>
        <w:rPr>
          <w:b/>
          <w:sz w:val="24"/>
          <w:szCs w:val="24"/>
          <w:lang w:val="ro-RO"/>
        </w:rPr>
        <w:t xml:space="preserve"> din</w:t>
      </w:r>
      <w:r>
        <w:rPr>
          <w:rFonts w:hint="default"/>
          <w:b/>
          <w:sz w:val="24"/>
          <w:szCs w:val="24"/>
          <w:lang w:val="en-US"/>
        </w:rPr>
        <w:t xml:space="preserve"> 12.11.2024</w:t>
      </w:r>
    </w:p>
    <w:p w14:paraId="0DC819D1">
      <w:pPr>
        <w:widowControl/>
        <w:tabs>
          <w:tab w:val="left" w:pos="1193"/>
        </w:tabs>
        <w:bidi w:val="0"/>
        <w:ind w:left="0" w:right="-397" w:firstLine="0"/>
        <w:jc w:val="center"/>
        <w:rPr>
          <w:b/>
          <w:bCs/>
          <w:sz w:val="24"/>
          <w:szCs w:val="24"/>
          <w:lang w:val="ro-RO"/>
        </w:rPr>
      </w:pPr>
    </w:p>
    <w:p w14:paraId="60B13DE7">
      <w:pPr>
        <w:rPr>
          <w:sz w:val="24"/>
          <w:szCs w:val="24"/>
          <w:lang w:val="ro-RO"/>
        </w:rPr>
      </w:pPr>
    </w:p>
    <w:p w14:paraId="1E84F38A">
      <w:pPr>
        <w:widowControl/>
        <w:tabs>
          <w:tab w:val="left" w:pos="1193"/>
        </w:tabs>
        <w:bidi w:val="0"/>
        <w:ind w:left="-680" w:right="-397" w:firstLine="0"/>
        <w:jc w:val="center"/>
        <w:rPr>
          <w:b/>
          <w:bCs/>
          <w:sz w:val="24"/>
          <w:szCs w:val="24"/>
          <w:lang w:val="ro-RO"/>
        </w:rPr>
      </w:pPr>
    </w:p>
    <w:p w14:paraId="74F4137E">
      <w:pPr>
        <w:pStyle w:val="41"/>
        <w:jc w:val="center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Referat de aprobare</w:t>
      </w:r>
    </w:p>
    <w:p w14:paraId="44B0F408">
      <w:pPr>
        <w:pStyle w:val="41"/>
        <w:jc w:val="center"/>
      </w:pPr>
    </w:p>
    <w:p w14:paraId="60C063BC">
      <w:pPr>
        <w:ind w:firstLine="720"/>
        <w:jc w:val="center"/>
        <w:rPr>
          <w:b/>
          <w:bCs/>
          <w:sz w:val="24"/>
          <w:szCs w:val="24"/>
        </w:rPr>
      </w:pPr>
      <w:r>
        <w:rPr>
          <w:b/>
          <w:bCs/>
          <w:lang w:val="it-IT"/>
        </w:rPr>
        <w:t xml:space="preserve"> </w:t>
      </w:r>
      <w:r>
        <w:rPr>
          <w:b/>
          <w:bCs/>
          <w:sz w:val="24"/>
          <w:szCs w:val="24"/>
          <w:lang w:val="it-IT"/>
        </w:rPr>
        <w:t>cu privire la Proiectul de hotărâre privind aprobarea indexării sumelor prevăzute în tabelul prevăzut la art. 470 alin.</w:t>
      </w:r>
      <w:r>
        <w:rPr>
          <w:rFonts w:hint="default"/>
          <w:b/>
          <w:bCs/>
          <w:sz w:val="24"/>
          <w:szCs w:val="24"/>
          <w:lang w:val="ro-RO"/>
        </w:rPr>
        <w:t xml:space="preserve"> </w:t>
      </w:r>
      <w:r>
        <w:rPr>
          <w:b/>
          <w:bCs/>
          <w:sz w:val="24"/>
          <w:szCs w:val="24"/>
          <w:lang w:val="it-IT"/>
        </w:rPr>
        <w:t xml:space="preserve">(5) și (6) din Legea  nr. 227/2015 actualizată, în funcție de rata de schimb a monedei euro de </w:t>
      </w:r>
      <w:r>
        <w:rPr>
          <w:b/>
          <w:bCs/>
          <w:sz w:val="24"/>
          <w:szCs w:val="24"/>
          <w:u w:val="single"/>
          <w:lang w:val="it-IT"/>
        </w:rPr>
        <w:t>4,9</w:t>
      </w:r>
      <w:r>
        <w:rPr>
          <w:rFonts w:hint="default"/>
          <w:b/>
          <w:bCs/>
          <w:sz w:val="24"/>
          <w:szCs w:val="24"/>
          <w:u w:val="single"/>
          <w:lang w:val="en-US"/>
        </w:rPr>
        <w:t>753</w:t>
      </w:r>
      <w:r>
        <w:rPr>
          <w:b/>
          <w:bCs/>
          <w:sz w:val="24"/>
          <w:szCs w:val="24"/>
          <w:lang w:val="it-IT"/>
        </w:rPr>
        <w:t xml:space="preserve"> lei în vigoare în prima zi lucrătoare a lunii octombrie 202</w:t>
      </w:r>
      <w:r>
        <w:rPr>
          <w:rFonts w:hint="default"/>
          <w:b/>
          <w:bCs/>
          <w:sz w:val="24"/>
          <w:szCs w:val="24"/>
          <w:lang w:val="en-US"/>
        </w:rPr>
        <w:t>4</w:t>
      </w:r>
      <w:r>
        <w:rPr>
          <w:b/>
          <w:bCs/>
          <w:sz w:val="24"/>
          <w:szCs w:val="24"/>
          <w:lang w:val="it-IT"/>
        </w:rPr>
        <w:t xml:space="preserve"> și publicată în Jurnalul Uniunii Europene și  de nivelurile minime prevăzute în Directiva 1999/62/CE  de aplicare la vehiculele grele de marfă pentru utilizarea anumitor infrastructuri,</w:t>
      </w:r>
    </w:p>
    <w:p w14:paraId="6A32CC92">
      <w:pPr>
        <w:ind w:firstLine="720"/>
        <w:jc w:val="center"/>
        <w:rPr>
          <w:sz w:val="24"/>
          <w:szCs w:val="24"/>
          <w:lang w:val="it-IT"/>
        </w:rPr>
      </w:pPr>
    </w:p>
    <w:p w14:paraId="31DA4292">
      <w:pPr>
        <w:ind w:firstLine="720"/>
        <w:jc w:val="center"/>
        <w:rPr>
          <w:sz w:val="24"/>
          <w:szCs w:val="24"/>
          <w:lang w:val="it-IT"/>
        </w:rPr>
      </w:pPr>
    </w:p>
    <w:p w14:paraId="03A190F7">
      <w:pPr>
        <w:jc w:val="center"/>
        <w:rPr>
          <w:sz w:val="24"/>
          <w:szCs w:val="24"/>
          <w:lang w:val="it-IT"/>
        </w:rPr>
      </w:pPr>
    </w:p>
    <w:p w14:paraId="2A925D0D">
      <w:pPr>
        <w:jc w:val="both"/>
        <w:rPr>
          <w:sz w:val="24"/>
          <w:szCs w:val="24"/>
        </w:rPr>
      </w:pPr>
      <w:r>
        <w:rPr>
          <w:bCs/>
          <w:sz w:val="24"/>
          <w:szCs w:val="24"/>
          <w:lang w:val="ro-RO"/>
        </w:rPr>
        <w:t xml:space="preserve">           În conformitate cu  prevederilor art.</w:t>
      </w:r>
      <w:r>
        <w:rPr>
          <w:rFonts w:hint="default"/>
          <w:bCs/>
          <w:sz w:val="24"/>
          <w:szCs w:val="24"/>
          <w:lang w:val="en-US"/>
        </w:rPr>
        <w:t xml:space="preserve"> </w:t>
      </w:r>
      <w:r>
        <w:rPr>
          <w:bCs/>
          <w:sz w:val="24"/>
          <w:szCs w:val="24"/>
          <w:lang w:val="ro-RO"/>
        </w:rPr>
        <w:t>136 din Ordonanța de Urgență a Guvernului nr. 57/2019  privind Codul administrativ, prin prezenta inițiez Proiectul de hotărâre privind aprobarea</w:t>
      </w:r>
      <w:r>
        <w:rPr>
          <w:sz w:val="24"/>
          <w:szCs w:val="24"/>
          <w:lang w:val="it-IT"/>
        </w:rPr>
        <w:t>, indexării sumelor prevăzute în tabelul prevăzut la art.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it-IT"/>
        </w:rPr>
        <w:t>470 alin.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it-IT"/>
        </w:rPr>
        <w:t>(5) și (6) din Legea  nr.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it-IT"/>
        </w:rPr>
        <w:t xml:space="preserve">227/2015 actualizată, în funcție de rata de schimb a monedei euro de </w:t>
      </w:r>
      <w:r>
        <w:rPr>
          <w:b/>
          <w:bCs/>
          <w:sz w:val="24"/>
          <w:szCs w:val="24"/>
          <w:lang w:val="it-IT"/>
        </w:rPr>
        <w:t>4,9</w:t>
      </w:r>
      <w:r>
        <w:rPr>
          <w:rFonts w:hint="default"/>
          <w:b/>
          <w:bCs/>
          <w:sz w:val="24"/>
          <w:szCs w:val="24"/>
          <w:lang w:val="en-US"/>
        </w:rPr>
        <w:t>753</w:t>
      </w:r>
      <w:r>
        <w:rPr>
          <w:sz w:val="24"/>
          <w:szCs w:val="24"/>
          <w:lang w:val="it-IT"/>
        </w:rPr>
        <w:t xml:space="preserve"> lei în vigoare în prima zi lucrătoare a lunii octombrie 202</w:t>
      </w:r>
      <w:r>
        <w:rPr>
          <w:rFonts w:hint="default"/>
          <w:sz w:val="24"/>
          <w:szCs w:val="24"/>
          <w:lang w:val="en-US"/>
        </w:rPr>
        <w:t>4</w:t>
      </w:r>
      <w:r>
        <w:rPr>
          <w:sz w:val="24"/>
          <w:szCs w:val="24"/>
          <w:lang w:val="it-IT"/>
        </w:rPr>
        <w:t xml:space="preserve"> și publicată în Jurnalul Uniunii Europene și  de nivelurile minime prevăzute în Directiva 1999/62/CE  de aplicare la vehiculele grele de marfă pentru utilizarea anumitor intrastructuri,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it-IT"/>
        </w:rPr>
        <w:t>bazându-mă  pe următoarele:</w:t>
      </w:r>
    </w:p>
    <w:p w14:paraId="60901383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         Ținând seama de necesităţile de realizare a veniturilor proprii ale bugetului local pentru anul 202</w:t>
      </w:r>
      <w:r>
        <w:rPr>
          <w:rFonts w:hint="default"/>
          <w:sz w:val="24"/>
          <w:szCs w:val="24"/>
          <w:lang w:val="en-US"/>
        </w:rPr>
        <w:t>5</w:t>
      </w:r>
      <w:r>
        <w:rPr>
          <w:sz w:val="24"/>
          <w:szCs w:val="24"/>
          <w:lang w:val="fr-FR"/>
        </w:rPr>
        <w:t xml:space="preserve"> în scopul asigurării finanţării cheltuielilor publice locale, pe de o parte, precum şi de condiţiile locale specifice zonei, pe de altă parte,</w:t>
      </w:r>
    </w:p>
    <w:p w14:paraId="6BDC1F5F">
      <w:pPr>
        <w:tabs>
          <w:tab w:val="left" w:pos="113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it-IT" w:eastAsia="ro-RO"/>
        </w:rPr>
        <w:t xml:space="preserve">           Având în vedere temeiurile juridice, respectiv prevederile:</w:t>
      </w:r>
    </w:p>
    <w:p w14:paraId="473BEEAE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     A</w:t>
      </w:r>
      <w:r>
        <w:rPr>
          <w:sz w:val="24"/>
          <w:szCs w:val="24"/>
          <w:lang w:eastAsia="ro-RO"/>
        </w:rPr>
        <w:t>rt.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491, alin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 xml:space="preserve">(1ˆ1) </w:t>
      </w:r>
      <w:r>
        <w:rPr>
          <w:rFonts w:hint="default"/>
          <w:sz w:val="24"/>
          <w:szCs w:val="24"/>
          <w:lang w:val="en-US" w:eastAsia="ro-RO"/>
        </w:rPr>
        <w:t xml:space="preserve"> și (2) </w:t>
      </w:r>
      <w:r>
        <w:rPr>
          <w:sz w:val="24"/>
          <w:szCs w:val="24"/>
          <w:lang w:eastAsia="ro-RO"/>
        </w:rPr>
        <w:t>din Legea nr. 227/2015 privind Codul fiscal, cu modificarile si  completările ulterioare, care precizează :</w:t>
      </w:r>
    </w:p>
    <w:p w14:paraId="6FC41AB4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>(1ˆ1)”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sumele prevăzute în tabelul prevăzut la art. 470 alin. (5) și alin.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 xml:space="preserve">(6) se indexează anual </w:t>
      </w:r>
      <w:r>
        <w:rPr>
          <w:sz w:val="24"/>
          <w:szCs w:val="24"/>
          <w:lang w:val="ro-RO" w:eastAsia="ro-RO"/>
        </w:rPr>
        <w:t>în funcție de rata de schimb a monedei  euro în vigoare în prima zi lucrătoare a lunii octombrie a fiecărui an și publicată în Jurnalul Uniunii Europene  și de nivelurile minime prevăzute în Directiva 1999/62/CE de aplicare la vehicule grele de marfă pentru utilizarea anumitor infrastructuri”. Cursul de schimb a monedei euro și nivelurile minime, exprimate în euro, prevăzute în Directiva 1999/62/CE de aplicare la vehiculele grele de marfă pentru utilizarea anumitor infrastructuri  se comunică pe site-urile oficiale  ale Ministerului Finanțelor Publice și Ministerul Lucrărilor Publice,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ro-RO" w:eastAsia="ro-RO"/>
        </w:rPr>
        <w:t>Dezvoltării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ro-RO" w:eastAsia="ro-RO"/>
        </w:rPr>
        <w:t>și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ro-RO" w:eastAsia="ro-RO"/>
        </w:rPr>
        <w:t>Administrației (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"https://www.mdlpa.ro/pages/politicifiscalesibugetarelocale"</w:instrText>
      </w:r>
      <w:r>
        <w:rPr>
          <w:sz w:val="24"/>
          <w:szCs w:val="24"/>
        </w:rPr>
        <w:fldChar w:fldCharType="separate"/>
      </w:r>
      <w:r>
        <w:rPr>
          <w:rStyle w:val="12"/>
          <w:sz w:val="24"/>
          <w:szCs w:val="24"/>
          <w:lang w:val="ro-RO" w:eastAsia="ro-RO"/>
        </w:rPr>
        <w:t>https://www.mdlpa.ro/pages/politicifiscalesibugetarelocale</w:t>
      </w:r>
      <w:r>
        <w:rPr>
          <w:sz w:val="24"/>
          <w:szCs w:val="24"/>
        </w:rPr>
        <w:fldChar w:fldCharType="end"/>
      </w:r>
      <w:r>
        <w:rPr>
          <w:sz w:val="24"/>
          <w:szCs w:val="24"/>
          <w:lang w:val="ro-RO" w:eastAsia="ro-RO"/>
        </w:rPr>
        <w:t>).</w:t>
      </w:r>
    </w:p>
    <w:p w14:paraId="42D5CDE9">
      <w:pPr>
        <w:numPr>
          <w:ilvl w:val="0"/>
          <w:numId w:val="3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val="ro-RO" w:eastAsia="ro-RO"/>
        </w:rPr>
        <w:t xml:space="preserve"> </w:t>
      </w:r>
      <w:r>
        <w:rPr>
          <w:rFonts w:hint="default"/>
          <w:sz w:val="24"/>
          <w:szCs w:val="24"/>
          <w:lang w:val="en-US" w:eastAsia="ro-RO"/>
        </w:rPr>
        <w:t xml:space="preserve">(2),, </w:t>
      </w:r>
      <w:r>
        <w:rPr>
          <w:sz w:val="24"/>
          <w:szCs w:val="24"/>
          <w:lang w:val="ro-RO" w:eastAsia="ro-RO"/>
        </w:rPr>
        <w:t>Sumele indexate se aprobă prin hotărâre a consiliului local și se aplică în anul fiscal următor</w:t>
      </w:r>
      <w:r>
        <w:rPr>
          <w:rFonts w:hint="default"/>
          <w:sz w:val="24"/>
          <w:szCs w:val="24"/>
          <w:lang w:val="en-US" w:eastAsia="ro-RO"/>
        </w:rPr>
        <w:t>,,</w:t>
      </w:r>
      <w:r>
        <w:rPr>
          <w:sz w:val="24"/>
          <w:szCs w:val="24"/>
          <w:lang w:val="ro-RO" w:eastAsia="ro-RO"/>
        </w:rPr>
        <w:t>.</w:t>
      </w:r>
      <w:r>
        <w:rPr>
          <w:sz w:val="24"/>
          <w:szCs w:val="24"/>
          <w:lang w:eastAsia="ro-RO"/>
        </w:rPr>
        <w:t xml:space="preserve">        </w:t>
      </w:r>
    </w:p>
    <w:p w14:paraId="4A33666B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Titlul IX – Impozite și taxe locale, art. 470, alin.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(5) și alin.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(6)  din Legea nr. 227/2015 privind  Codul fiscal, cu modificările si  completările ulterioare;</w:t>
      </w:r>
    </w:p>
    <w:p w14:paraId="5E9ABAD4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Pct.</w:t>
      </w:r>
      <w:r>
        <w:rPr>
          <w:rFonts w:hint="default"/>
          <w:sz w:val="24"/>
          <w:szCs w:val="24"/>
          <w:lang w:val="en-US" w:eastAsia="ro-RO"/>
        </w:rPr>
        <w:t xml:space="preserve">  94 și </w:t>
      </w:r>
      <w:r>
        <w:rPr>
          <w:sz w:val="24"/>
          <w:szCs w:val="24"/>
          <w:lang w:eastAsia="ro-RO"/>
        </w:rPr>
        <w:t>95, Art. I din Ordonanța de Urgență nr.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79/2017;</w:t>
      </w:r>
    </w:p>
    <w:p w14:paraId="455044C8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eastAsia="ro-RO"/>
        </w:rPr>
        <w:t xml:space="preserve">          </w:t>
      </w:r>
      <w:r>
        <w:rPr>
          <w:rFonts w:hint="default"/>
          <w:sz w:val="24"/>
          <w:szCs w:val="24"/>
          <w:lang w:val="en-US" w:eastAsia="ro-RO"/>
        </w:rPr>
        <w:t xml:space="preserve">H.G. nr.1 </w:t>
      </w:r>
      <w:r>
        <w:rPr>
          <w:sz w:val="24"/>
          <w:szCs w:val="24"/>
          <w:lang w:eastAsia="ro-RO"/>
        </w:rPr>
        <w:t>din 06 ianuarie 2016</w:t>
      </w:r>
      <w:r>
        <w:rPr>
          <w:rFonts w:hint="default"/>
          <w:sz w:val="24"/>
          <w:szCs w:val="24"/>
          <w:lang w:val="en-US" w:eastAsia="ro-RO"/>
        </w:rPr>
        <w:t>-</w:t>
      </w:r>
      <w:r>
        <w:rPr>
          <w:sz w:val="24"/>
          <w:szCs w:val="24"/>
          <w:lang w:eastAsia="ro-RO"/>
        </w:rPr>
        <w:t>Norme Metodologice  de aplicare a Legii nr.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eastAsia="ro-RO"/>
        </w:rPr>
        <w:t>227/2015 privind Codul fiscal;</w:t>
      </w:r>
    </w:p>
    <w:p w14:paraId="4BE85B14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  <w:lang w:val="it-IT" w:eastAsia="ro-RO"/>
        </w:rPr>
        <w:t xml:space="preserve">         </w:t>
      </w:r>
      <w:r>
        <w:rPr>
          <w:sz w:val="24"/>
          <w:szCs w:val="24"/>
          <w:lang w:eastAsia="ro-RO"/>
        </w:rPr>
        <w:t>Pct.</w:t>
      </w:r>
      <w:r>
        <w:rPr>
          <w:rFonts w:hint="default"/>
          <w:sz w:val="24"/>
          <w:szCs w:val="24"/>
          <w:lang w:val="en-US" w:eastAsia="ro-RO"/>
        </w:rPr>
        <w:t xml:space="preserve">  215, </w:t>
      </w:r>
      <w:r>
        <w:rPr>
          <w:sz w:val="24"/>
          <w:szCs w:val="24"/>
          <w:lang w:eastAsia="ro-RO"/>
        </w:rPr>
        <w:t>Art. I din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it-IT" w:eastAsia="ro-RO"/>
        </w:rPr>
        <w:t>Legea nr.</w:t>
      </w:r>
      <w:r>
        <w:rPr>
          <w:rFonts w:hint="default"/>
          <w:sz w:val="24"/>
          <w:szCs w:val="24"/>
          <w:lang w:val="en-US" w:eastAsia="ro-RO"/>
        </w:rPr>
        <w:t xml:space="preserve"> </w:t>
      </w:r>
      <w:r>
        <w:rPr>
          <w:sz w:val="24"/>
          <w:szCs w:val="24"/>
          <w:lang w:val="it-IT" w:eastAsia="ro-RO"/>
        </w:rPr>
        <w:t>296 din 2020</w:t>
      </w:r>
      <w:r>
        <w:rPr>
          <w:sz w:val="24"/>
          <w:szCs w:val="24"/>
        </w:rPr>
        <w:t xml:space="preserve"> pentru modificarea şi completarea Legii nr. 227/2015 privind Codul fiscal.</w:t>
      </w:r>
    </w:p>
    <w:p w14:paraId="2F30735F">
      <w:pPr>
        <w:numPr>
          <w:ilvl w:val="0"/>
          <w:numId w:val="2"/>
        </w:numPr>
        <w:tabs>
          <w:tab w:val="left" w:pos="284"/>
          <w:tab w:val="clear" w:pos="420"/>
        </w:tabs>
        <w:spacing w:after="120"/>
        <w:ind w:left="420" w:leftChars="0" w:hanging="420" w:firstLineChars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Directiva DE 1999/62/CE a Parlamentului European </w:t>
      </w:r>
      <w:r>
        <w:rPr>
          <w:sz w:val="24"/>
          <w:szCs w:val="24"/>
          <w:lang w:val="ro-RO"/>
        </w:rPr>
        <w:t>ș</w:t>
      </w:r>
      <w:r>
        <w:rPr>
          <w:sz w:val="24"/>
          <w:szCs w:val="24"/>
        </w:rPr>
        <w:t>i a Consiliului din 17.06.1999 de aplicare a taxelor la vehicule grele de marfă pentru utilizarea anumitor infrastructuri-Anexa nr.1;</w:t>
      </w:r>
    </w:p>
    <w:p w14:paraId="3FFC125A">
      <w:pPr>
        <w:numPr>
          <w:ilvl w:val="0"/>
          <w:numId w:val="2"/>
        </w:numPr>
        <w:ind w:left="420" w:leftChars="0" w:hanging="420" w:firstLineChars="0"/>
        <w:jc w:val="both"/>
        <w:rPr>
          <w:rFonts w:ascii="Times New Roman" w:hAnsi="Times New Roman" w:eastAsia="Times New Roman" w:cs="Times New Roman"/>
          <w:sz w:val="24"/>
          <w:szCs w:val="24"/>
          <w:lang w:val="it-IT"/>
        </w:rPr>
      </w:pPr>
      <w:r>
        <w:rPr>
          <w:sz w:val="24"/>
          <w:szCs w:val="24"/>
          <w:lang w:val="it-IT" w:eastAsia="ro-RO"/>
        </w:rPr>
        <w:t xml:space="preserve">        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  Hotărârea Consiliului Local 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>nr. 2</w:t>
      </w:r>
      <w:r>
        <w:rPr>
          <w:rFonts w:hint="default" w:cs="Times New Roman"/>
          <w:sz w:val="24"/>
          <w:szCs w:val="24"/>
          <w:lang w:val="en-US" w:eastAsia="ro-RO"/>
        </w:rPr>
        <w:t>65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 xml:space="preserve">  din </w:t>
      </w:r>
      <w:r>
        <w:rPr>
          <w:rFonts w:hint="default" w:cs="Times New Roman"/>
          <w:sz w:val="24"/>
          <w:szCs w:val="24"/>
          <w:lang w:val="en-US" w:eastAsia="ro-RO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>1.12.202</w:t>
      </w:r>
      <w:r>
        <w:rPr>
          <w:rFonts w:hint="default" w:cs="Times New Roman"/>
          <w:sz w:val="24"/>
          <w:szCs w:val="24"/>
          <w:lang w:val="en-US" w:eastAsia="ro-RO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lang w:val="fr-FR" w:eastAsia="ro-R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privind stabilirea impozitelor și </w:t>
      </w:r>
    </w:p>
    <w:p w14:paraId="73058048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o-RO"/>
        </w:rPr>
      </w:pP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>taxelor locale, pe anul 202</w:t>
      </w:r>
      <w:r>
        <w:rPr>
          <w:rFonts w:hint="default" w:cs="Times New Roman"/>
          <w:sz w:val="24"/>
          <w:szCs w:val="24"/>
          <w:lang w:val="en-US" w:eastAsia="ro-RO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lang w:val="it-IT" w:eastAsia="ro-RO"/>
        </w:rPr>
        <w:t xml:space="preserve"> a vehiculelor grele de marfă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o-RO"/>
        </w:rPr>
        <w:t>.</w:t>
      </w:r>
    </w:p>
    <w:p w14:paraId="5A51BEF4">
      <w:pPr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o-RO"/>
        </w:rPr>
      </w:pPr>
    </w:p>
    <w:p w14:paraId="54CD2438">
      <w:pPr>
        <w:keepNext w:val="0"/>
        <w:keepLines w:val="0"/>
        <w:pageBreakBefore w:val="0"/>
        <w:widowControl/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    Indexarea impozitelor și taxelor locale  cu rata inflației și cu cursul de schimb a monedei euro este o obligație legală a autorităților deliberative. Hotărârea , în situația aprobării ei, va fi implementată de către autoritatea executivă a administrației publice locale, respectiv prin conducerea Prim</w:t>
      </w:r>
      <w:r>
        <w:rPr>
          <w:sz w:val="24"/>
          <w:szCs w:val="24"/>
          <w:lang w:val="ro-RO"/>
        </w:rPr>
        <w:t>ă</w:t>
      </w:r>
      <w:r>
        <w:rPr>
          <w:rFonts w:hint="default"/>
          <w:sz w:val="24"/>
          <w:szCs w:val="24"/>
          <w:lang w:val="ro-RO"/>
        </w:rPr>
        <w:t>riei</w:t>
      </w:r>
      <w:r>
        <w:rPr>
          <w:sz w:val="24"/>
          <w:szCs w:val="24"/>
          <w:lang w:val="it-IT"/>
        </w:rPr>
        <w:t xml:space="preserve"> Municipiului Marghita.</w:t>
      </w:r>
      <w:r>
        <w:rPr>
          <w:sz w:val="24"/>
          <w:szCs w:val="24"/>
          <w:lang w:val="ro-RO" w:eastAsia="ro-RO"/>
        </w:rPr>
        <w:t xml:space="preserve">  </w:t>
      </w:r>
    </w:p>
    <w:p w14:paraId="1E458AEB">
      <w:pPr>
        <w:jc w:val="both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          Conform art.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494, alin.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(5) veniturile provenite din impozitul pe mijlo</w:t>
      </w:r>
      <w:r>
        <w:rPr>
          <w:rFonts w:hint="default"/>
          <w:sz w:val="24"/>
          <w:szCs w:val="24"/>
          <w:lang w:val="ro-RO"/>
        </w:rPr>
        <w:t>acele</w:t>
      </w:r>
      <w:r>
        <w:rPr>
          <w:sz w:val="24"/>
          <w:szCs w:val="24"/>
          <w:lang w:val="it-IT"/>
        </w:rPr>
        <w:t xml:space="preserve"> de transport stabilit în concordanță cu prevederile art.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470 alin.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(5) și (6), majorările de întârziere, precum și amenzile aferente se pot utiliza  exclusiv pentru lucrări de întreținere, modernizare, reabilitare și construire a drumurilor  locale și județene, din care 60% constituie venituri la bugetul local și 40% constituie venituri la bugetul județean.</w:t>
      </w:r>
    </w:p>
    <w:p w14:paraId="26282B6E">
      <w:pPr>
        <w:tabs>
          <w:tab w:val="left" w:pos="28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  <w:lang w:val="it-IT" w:eastAsia="ro-RO"/>
        </w:rPr>
        <w:t xml:space="preserve">           Ținând cont de competența decizională a Consiliului Local  al </w:t>
      </w:r>
      <w:r>
        <w:rPr>
          <w:sz w:val="24"/>
          <w:szCs w:val="24"/>
          <w:lang w:val="it-IT"/>
        </w:rPr>
        <w:t>Municipiului Marghita</w:t>
      </w:r>
      <w:r>
        <w:rPr>
          <w:sz w:val="24"/>
          <w:szCs w:val="24"/>
          <w:lang w:val="it-IT" w:eastAsia="ro-RO"/>
        </w:rPr>
        <w:t xml:space="preserve">, propun aprobarea proiectului </w:t>
      </w:r>
      <w:r>
        <w:rPr>
          <w:sz w:val="24"/>
          <w:szCs w:val="24"/>
          <w:lang w:val="it-IT"/>
        </w:rPr>
        <w:t>de hotărâre privind aprobarea indexării sumelor prevăzute în tabelul prevăzut la art.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470 alin.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(5) și (6) din Legea  nr.</w:t>
      </w:r>
      <w:r>
        <w:rPr>
          <w:rFonts w:hint="default"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it-IT"/>
        </w:rPr>
        <w:t>227/2015 actualizată, pentru anul 202</w:t>
      </w:r>
      <w:r>
        <w:rPr>
          <w:rFonts w:hint="default"/>
          <w:sz w:val="24"/>
          <w:szCs w:val="24"/>
          <w:lang w:val="en-US"/>
        </w:rPr>
        <w:t>5</w:t>
      </w:r>
      <w:bookmarkStart w:id="0" w:name="_GoBack"/>
      <w:bookmarkEnd w:id="0"/>
      <w:r>
        <w:rPr>
          <w:sz w:val="24"/>
          <w:szCs w:val="24"/>
          <w:lang w:val="it-IT"/>
        </w:rPr>
        <w:t xml:space="preserve">, în funcție de rata de schimb a monedei euro de </w:t>
      </w:r>
      <w:r>
        <w:rPr>
          <w:b/>
          <w:bCs/>
          <w:sz w:val="24"/>
          <w:szCs w:val="24"/>
          <w:lang w:val="it-IT"/>
        </w:rPr>
        <w:t>4,9</w:t>
      </w:r>
      <w:r>
        <w:rPr>
          <w:rFonts w:hint="default"/>
          <w:b/>
          <w:bCs/>
          <w:sz w:val="24"/>
          <w:szCs w:val="24"/>
          <w:lang w:val="en-US"/>
        </w:rPr>
        <w:t>753</w:t>
      </w:r>
      <w:r>
        <w:rPr>
          <w:sz w:val="24"/>
          <w:szCs w:val="24"/>
          <w:lang w:val="it-IT"/>
        </w:rPr>
        <w:t xml:space="preserve">  lei în vigoare în prima zi lucrătoare a lunii octombrie 202</w:t>
      </w:r>
      <w:r>
        <w:rPr>
          <w:rFonts w:hint="default"/>
          <w:sz w:val="24"/>
          <w:szCs w:val="24"/>
          <w:lang w:val="en-US"/>
        </w:rPr>
        <w:t>4</w:t>
      </w:r>
      <w:r>
        <w:rPr>
          <w:sz w:val="24"/>
          <w:szCs w:val="24"/>
          <w:lang w:val="it-IT"/>
        </w:rPr>
        <w:t xml:space="preserve"> și publicată în Jurnalul Uniunii Europene și  de nivelurile minime prevăzute în Directiva 1999/62/CE  de aplicare la vehiculele grele de marfă pentru utilizarea anumitor infrastructuri</w:t>
      </w:r>
      <w:r>
        <w:rPr>
          <w:sz w:val="24"/>
          <w:szCs w:val="24"/>
          <w:lang w:val="it-IT" w:eastAsia="ro-RO"/>
        </w:rPr>
        <w:t>.</w:t>
      </w:r>
    </w:p>
    <w:p w14:paraId="37A9F8B5">
      <w:pPr>
        <w:jc w:val="center"/>
        <w:rPr>
          <w:b/>
          <w:sz w:val="24"/>
          <w:szCs w:val="24"/>
          <w:lang w:val="it-IT" w:eastAsia="ro-RO"/>
        </w:rPr>
      </w:pPr>
    </w:p>
    <w:p w14:paraId="12DBD247">
      <w:pPr>
        <w:jc w:val="center"/>
        <w:rPr>
          <w:b/>
          <w:sz w:val="24"/>
          <w:szCs w:val="24"/>
          <w:lang w:val="it-IT" w:eastAsia="ro-RO"/>
        </w:rPr>
      </w:pPr>
    </w:p>
    <w:p w14:paraId="32924F62">
      <w:pPr>
        <w:jc w:val="center"/>
        <w:rPr>
          <w:b/>
          <w:sz w:val="24"/>
          <w:szCs w:val="24"/>
          <w:lang w:val="it-IT" w:eastAsia="ro-RO"/>
        </w:rPr>
      </w:pPr>
    </w:p>
    <w:p w14:paraId="32AC3684">
      <w:pPr>
        <w:jc w:val="center"/>
        <w:rPr>
          <w:b/>
          <w:sz w:val="24"/>
          <w:szCs w:val="24"/>
          <w:lang w:val="it-IT" w:eastAsia="ro-RO"/>
        </w:rPr>
      </w:pPr>
    </w:p>
    <w:p w14:paraId="7295E91E">
      <w:pPr>
        <w:jc w:val="center"/>
        <w:rPr>
          <w:b/>
          <w:sz w:val="24"/>
          <w:szCs w:val="24"/>
          <w:lang w:val="it-IT" w:eastAsia="ro-RO"/>
        </w:rPr>
      </w:pPr>
    </w:p>
    <w:p w14:paraId="73D6E270">
      <w:pPr>
        <w:jc w:val="center"/>
        <w:rPr>
          <w:b/>
          <w:sz w:val="24"/>
          <w:szCs w:val="24"/>
          <w:lang w:val="it-IT" w:eastAsia="ro-RO"/>
        </w:rPr>
      </w:pPr>
    </w:p>
    <w:p w14:paraId="0C9534B9">
      <w:pPr>
        <w:jc w:val="center"/>
        <w:rPr>
          <w:sz w:val="24"/>
          <w:szCs w:val="24"/>
        </w:rPr>
      </w:pPr>
      <w:r>
        <w:rPr>
          <w:sz w:val="24"/>
          <w:szCs w:val="24"/>
          <w:lang w:val="it-IT"/>
        </w:rPr>
        <w:t>Inițiator</w:t>
      </w:r>
    </w:p>
    <w:p w14:paraId="568FF4CA">
      <w:pPr>
        <w:jc w:val="center"/>
        <w:rPr>
          <w:sz w:val="24"/>
          <w:szCs w:val="24"/>
        </w:rPr>
      </w:pPr>
      <w:r>
        <w:rPr>
          <w:sz w:val="24"/>
          <w:szCs w:val="24"/>
          <w:lang w:val="it-IT"/>
        </w:rPr>
        <w:t xml:space="preserve">Primarul Municipiului Marghita </w:t>
      </w:r>
    </w:p>
    <w:p w14:paraId="7F12CFBB">
      <w:pPr>
        <w:jc w:val="center"/>
        <w:rPr>
          <w:rFonts w:hint="default"/>
          <w:b/>
          <w:bCs/>
          <w:sz w:val="24"/>
          <w:szCs w:val="24"/>
          <w:lang w:val="hu-HU"/>
        </w:rPr>
      </w:pPr>
      <w:r>
        <w:rPr>
          <w:rFonts w:hint="default"/>
          <w:b/>
          <w:bCs/>
          <w:sz w:val="24"/>
          <w:szCs w:val="24"/>
          <w:lang w:val="en-US"/>
        </w:rPr>
        <w:t>Zsolt Demi</w:t>
      </w:r>
      <w:r>
        <w:rPr>
          <w:rFonts w:hint="default"/>
          <w:b/>
          <w:bCs/>
          <w:sz w:val="24"/>
          <w:szCs w:val="24"/>
          <w:lang w:val="hu-HU"/>
        </w:rPr>
        <w:t>án</w:t>
      </w:r>
    </w:p>
    <w:p w14:paraId="4B7D28A9">
      <w:pPr>
        <w:tabs>
          <w:tab w:val="left" w:pos="284"/>
        </w:tabs>
        <w:spacing w:after="120"/>
        <w:ind w:left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eastAsia="ro-RO"/>
        </w:rPr>
        <w:tab/>
      </w:r>
    </w:p>
    <w:p w14:paraId="6D82E86E">
      <w:pPr>
        <w:jc w:val="center"/>
        <w:rPr>
          <w:b/>
          <w:lang w:val="it-IT" w:eastAsia="ro-RO"/>
        </w:rPr>
      </w:pPr>
    </w:p>
    <w:p w14:paraId="59DAEFA0">
      <w:pPr>
        <w:rPr>
          <w:b/>
          <w:sz w:val="24"/>
          <w:szCs w:val="24"/>
          <w:lang w:val="ro-RO"/>
        </w:rPr>
      </w:pPr>
    </w:p>
    <w:p w14:paraId="41D2C6D7">
      <w:pPr>
        <w:rPr>
          <w:sz w:val="24"/>
          <w:szCs w:val="24"/>
          <w:lang w:val="ro-RO"/>
        </w:rPr>
      </w:pPr>
    </w:p>
    <w:p w14:paraId="109F80FB">
      <w:pPr>
        <w:rPr>
          <w:sz w:val="24"/>
          <w:szCs w:val="24"/>
          <w:lang w:val="ro-RO"/>
        </w:rPr>
      </w:pPr>
    </w:p>
    <w:p w14:paraId="38838387">
      <w:pPr>
        <w:rPr>
          <w:rFonts w:hint="default"/>
          <w:lang w:val="hu-HU"/>
        </w:rPr>
      </w:pPr>
    </w:p>
    <w:sectPr>
      <w:footerReference r:id="rId3" w:type="default"/>
      <w:pgSz w:w="11906" w:h="16838"/>
      <w:pgMar w:top="851" w:right="1134" w:bottom="851" w:left="1588" w:header="0" w:footer="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Liberation Mono">
    <w:altName w:val="Courier New"/>
    <w:panose1 w:val="00000000000000000000"/>
    <w:charset w:val="EE"/>
    <w:family w:val="modern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2DC5B5">
    <w:pPr>
      <w:pStyle w:val="10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AD1F32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LNJWO7QAAAABQEA&#10;AA8AAAAAAAAAAQAgAAAAIgAAAGRycy9kb3ducmV2LnhtbFBLAQIUABQAAAAIAIdO4kBmzRMYIgIA&#10;AGAEAAAOAAAAAAAAAAEAIAAAAB8BAABkcnMvZTJvRG9jLnhtbFBLBQYAAAAABgAGAFkBAACz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AD1F32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D927FB5"/>
    <w:multiLevelType w:val="singleLevel"/>
    <w:tmpl w:val="ED927FB5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1">
    <w:nsid w:val="F7BC80C9"/>
    <w:multiLevelType w:val="singleLevel"/>
    <w:tmpl w:val="F7BC80C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  <w:sz w:val="13"/>
        <w:szCs w:val="13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FB2465"/>
    <w:rsid w:val="07705473"/>
    <w:rsid w:val="0A9764ED"/>
    <w:rsid w:val="0CDA78B3"/>
    <w:rsid w:val="0F5E2F43"/>
    <w:rsid w:val="18D0584D"/>
    <w:rsid w:val="1D6F2959"/>
    <w:rsid w:val="1D81776A"/>
    <w:rsid w:val="242A2CE1"/>
    <w:rsid w:val="28E45EA3"/>
    <w:rsid w:val="2A2F2B56"/>
    <w:rsid w:val="2D9371D9"/>
    <w:rsid w:val="33F716E6"/>
    <w:rsid w:val="34B32297"/>
    <w:rsid w:val="3A474E5A"/>
    <w:rsid w:val="3A58447C"/>
    <w:rsid w:val="3BC63816"/>
    <w:rsid w:val="3FBD5D22"/>
    <w:rsid w:val="5BF91197"/>
    <w:rsid w:val="67D07FE2"/>
    <w:rsid w:val="6D754B4C"/>
    <w:rsid w:val="70737041"/>
    <w:rsid w:val="77E2133C"/>
    <w:rsid w:val="7DF543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kinsoku/>
      <w:overflowPunct/>
      <w:autoSpaceDE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2">
    <w:name w:val="heading 3"/>
    <w:basedOn w:val="3"/>
    <w:next w:val="4"/>
    <w:qFormat/>
    <w:uiPriority w:val="0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default="1" w:styleId="5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Stil titlu"/>
    <w:basedOn w:val="1"/>
    <w:next w:val="4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Balloon Text"/>
    <w:basedOn w:val="1"/>
    <w:qFormat/>
    <w:uiPriority w:val="0"/>
    <w:rPr>
      <w:rFonts w:ascii="Tahoma" w:hAnsi="Tahoma" w:cs="Tahoma"/>
      <w:sz w:val="16"/>
      <w:szCs w:val="16"/>
    </w:rPr>
  </w:style>
  <w:style w:type="paragraph" w:styleId="8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9">
    <w:name w:val="FollowedHyperlink"/>
    <w:basedOn w:val="5"/>
    <w:qFormat/>
    <w:uiPriority w:val="0"/>
    <w:rPr>
      <w:color w:val="800080"/>
      <w:u w:val="single"/>
    </w:rPr>
  </w:style>
  <w:style w:type="paragraph" w:styleId="10">
    <w:name w:val="footer"/>
    <w:basedOn w:val="1"/>
    <w:qFormat/>
    <w:uiPriority w:val="0"/>
    <w:pPr>
      <w:tabs>
        <w:tab w:val="center" w:pos="4680"/>
        <w:tab w:val="right" w:pos="9360"/>
      </w:tabs>
    </w:pPr>
  </w:style>
  <w:style w:type="paragraph" w:styleId="11">
    <w:name w:val="header"/>
    <w:basedOn w:val="1"/>
    <w:qFormat/>
    <w:uiPriority w:val="0"/>
    <w:pPr>
      <w:tabs>
        <w:tab w:val="center" w:pos="4680"/>
        <w:tab w:val="right" w:pos="9360"/>
      </w:tabs>
    </w:pPr>
  </w:style>
  <w:style w:type="character" w:styleId="12">
    <w:name w:val="Hyperlink"/>
    <w:qFormat/>
    <w:uiPriority w:val="0"/>
    <w:rPr>
      <w:color w:val="0000FF"/>
      <w:u w:val="single"/>
    </w:rPr>
  </w:style>
  <w:style w:type="paragraph" w:styleId="13">
    <w:name w:val="List"/>
    <w:basedOn w:val="4"/>
    <w:qFormat/>
    <w:uiPriority w:val="0"/>
    <w:rPr>
      <w:rFonts w:cs="Lucida Sans"/>
    </w:rPr>
  </w:style>
  <w:style w:type="character" w:styleId="14">
    <w:name w:val="Strong"/>
    <w:basedOn w:val="5"/>
    <w:qFormat/>
    <w:uiPriority w:val="0"/>
    <w:rPr>
      <w:b/>
      <w:bCs/>
    </w:rPr>
  </w:style>
  <w:style w:type="character" w:customStyle="1" w:styleId="15">
    <w:name w:val="Legătură Internet"/>
    <w:basedOn w:val="5"/>
    <w:qFormat/>
    <w:uiPriority w:val="0"/>
    <w:rPr>
      <w:color w:val="0000FF"/>
      <w:u w:val="single"/>
    </w:rPr>
  </w:style>
  <w:style w:type="character" w:customStyle="1" w:styleId="16">
    <w:name w:val="Text în Balon Caracter"/>
    <w:basedOn w:val="5"/>
    <w:qFormat/>
    <w:uiPriority w:val="0"/>
    <w:rPr>
      <w:rFonts w:ascii="Tahoma" w:hAnsi="Tahoma" w:cs="Tahoma"/>
      <w:sz w:val="16"/>
      <w:szCs w:val="16"/>
    </w:rPr>
  </w:style>
  <w:style w:type="character" w:customStyle="1" w:styleId="17">
    <w:name w:val="Antet Caracter"/>
    <w:basedOn w:val="5"/>
    <w:qFormat/>
    <w:uiPriority w:val="0"/>
  </w:style>
  <w:style w:type="character" w:customStyle="1" w:styleId="18">
    <w:name w:val="Subsol Caracter"/>
    <w:basedOn w:val="5"/>
    <w:qFormat/>
    <w:uiPriority w:val="0"/>
  </w:style>
  <w:style w:type="character" w:customStyle="1" w:styleId="19">
    <w:name w:val="ListLabel 1"/>
    <w:qFormat/>
    <w:uiPriority w:val="0"/>
    <w:rPr>
      <w:rFonts w:eastAsia="Times New Roman" w:cs="Times New Roman"/>
    </w:rPr>
  </w:style>
  <w:style w:type="character" w:customStyle="1" w:styleId="20">
    <w:name w:val="ListLabel 2"/>
    <w:qFormat/>
    <w:uiPriority w:val="0"/>
    <w:rPr>
      <w:rFonts w:cs="Courier New"/>
    </w:rPr>
  </w:style>
  <w:style w:type="character" w:customStyle="1" w:styleId="21">
    <w:name w:val="ListLabel 3"/>
    <w:qFormat/>
    <w:uiPriority w:val="0"/>
    <w:rPr>
      <w:rFonts w:cs="Courier New"/>
    </w:rPr>
  </w:style>
  <w:style w:type="character" w:customStyle="1" w:styleId="22">
    <w:name w:val="ListLabel 4"/>
    <w:qFormat/>
    <w:uiPriority w:val="0"/>
    <w:rPr>
      <w:rFonts w:cs="Courier New"/>
    </w:rPr>
  </w:style>
  <w:style w:type="character" w:customStyle="1" w:styleId="23">
    <w:name w:val="ListLabel 5"/>
    <w:qFormat/>
    <w:uiPriority w:val="0"/>
  </w:style>
  <w:style w:type="character" w:customStyle="1" w:styleId="24">
    <w:name w:val="ListLabel 6"/>
    <w:qFormat/>
    <w:uiPriority w:val="0"/>
  </w:style>
  <w:style w:type="character" w:customStyle="1" w:styleId="25">
    <w:name w:val="ListLabel 7"/>
    <w:qFormat/>
    <w:uiPriority w:val="0"/>
  </w:style>
  <w:style w:type="character" w:customStyle="1" w:styleId="26">
    <w:name w:val="ListLabel 8"/>
    <w:qFormat/>
    <w:uiPriority w:val="0"/>
    <w:rPr>
      <w:color w:val="000000"/>
      <w:spacing w:val="-1"/>
      <w:w w:val="100"/>
      <w:position w:val="0"/>
      <w:sz w:val="24"/>
      <w:vertAlign w:val="baseline"/>
      <w:lang w:val="ro-RO"/>
    </w:rPr>
  </w:style>
  <w:style w:type="character" w:customStyle="1" w:styleId="27">
    <w:name w:val="ListLabel 9"/>
    <w:qFormat/>
    <w:uiPriority w:val="0"/>
    <w:rPr>
      <w:rFonts w:eastAsia="Times New Roman" w:cs="Times New Roman"/>
    </w:rPr>
  </w:style>
  <w:style w:type="character" w:customStyle="1" w:styleId="28">
    <w:name w:val="ListLabel 10"/>
    <w:qFormat/>
    <w:uiPriority w:val="0"/>
    <w:rPr>
      <w:rFonts w:cs="Courier New"/>
    </w:rPr>
  </w:style>
  <w:style w:type="character" w:customStyle="1" w:styleId="29">
    <w:name w:val="ListLabel 11"/>
    <w:qFormat/>
    <w:uiPriority w:val="0"/>
    <w:rPr>
      <w:rFonts w:cs="Courier New"/>
    </w:rPr>
  </w:style>
  <w:style w:type="character" w:customStyle="1" w:styleId="30">
    <w:name w:val="ListLabel 12"/>
    <w:qFormat/>
    <w:uiPriority w:val="0"/>
    <w:rPr>
      <w:rFonts w:cs="Courier New"/>
    </w:rPr>
  </w:style>
  <w:style w:type="character" w:customStyle="1" w:styleId="31">
    <w:name w:val="ListLabel 13"/>
    <w:qFormat/>
    <w:uiPriority w:val="0"/>
    <w:rPr>
      <w:rFonts w:eastAsia="Times New Roman" w:cs="Times New Roman"/>
    </w:rPr>
  </w:style>
  <w:style w:type="character" w:customStyle="1" w:styleId="32">
    <w:name w:val="ListLabel 14"/>
    <w:qFormat/>
    <w:uiPriority w:val="0"/>
    <w:rPr>
      <w:rFonts w:cs="Courier New"/>
    </w:rPr>
  </w:style>
  <w:style w:type="character" w:customStyle="1" w:styleId="33">
    <w:name w:val="ListLabel 15"/>
    <w:qFormat/>
    <w:uiPriority w:val="0"/>
    <w:rPr>
      <w:rFonts w:cs="Courier New"/>
    </w:rPr>
  </w:style>
  <w:style w:type="character" w:customStyle="1" w:styleId="34">
    <w:name w:val="ListLabel 16"/>
    <w:qFormat/>
    <w:uiPriority w:val="0"/>
    <w:rPr>
      <w:rFonts w:cs="Courier New"/>
    </w:rPr>
  </w:style>
  <w:style w:type="character" w:customStyle="1" w:styleId="35">
    <w:name w:val="ListLabel 17"/>
    <w:qFormat/>
    <w:uiPriority w:val="0"/>
    <w:rPr>
      <w:b/>
      <w:sz w:val="22"/>
      <w:szCs w:val="22"/>
      <w:lang w:val="ro-RO"/>
    </w:rPr>
  </w:style>
  <w:style w:type="character" w:customStyle="1" w:styleId="36">
    <w:name w:val="ListLabel 18"/>
    <w:qFormat/>
    <w:uiPriority w:val="0"/>
    <w:rPr>
      <w:b/>
      <w:sz w:val="22"/>
      <w:szCs w:val="22"/>
      <w:lang w:val="ro-RO"/>
    </w:rPr>
  </w:style>
  <w:style w:type="paragraph" w:customStyle="1" w:styleId="37">
    <w:name w:val="Index"/>
    <w:basedOn w:val="1"/>
    <w:qFormat/>
    <w:uiPriority w:val="0"/>
    <w:pPr>
      <w:suppressLineNumbers/>
    </w:pPr>
    <w:rPr>
      <w:rFonts w:cs="Lucida Sans"/>
    </w:rPr>
  </w:style>
  <w:style w:type="paragraph" w:styleId="38">
    <w:name w:val="List Paragraph"/>
    <w:basedOn w:val="1"/>
    <w:qFormat/>
    <w:uiPriority w:val="0"/>
    <w:pPr>
      <w:spacing w:before="0" w:after="0"/>
      <w:ind w:left="720" w:right="0" w:firstLine="0"/>
      <w:contextualSpacing/>
    </w:pPr>
  </w:style>
  <w:style w:type="paragraph" w:customStyle="1" w:styleId="39">
    <w:name w:val="Text preformatat"/>
    <w:basedOn w:val="1"/>
    <w:qFormat/>
    <w:uiPriority w:val="0"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customStyle="1" w:styleId="40">
    <w:name w:val="DocumentMap"/>
    <w:qFormat/>
    <w:uiPriority w:val="0"/>
    <w:pPr>
      <w:widowControl/>
      <w:kinsoku/>
      <w:overflowPunct/>
      <w:autoSpaceDE/>
      <w:bidi w:val="0"/>
      <w:jc w:val="left"/>
      <w:textAlignment w:val="auto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en-US" w:bidi="ar-SA"/>
    </w:rPr>
  </w:style>
  <w:style w:type="paragraph" w:styleId="41">
    <w:name w:val="No Spacing"/>
    <w:qFormat/>
    <w:uiPriority w:val="0"/>
    <w:pPr>
      <w:suppressAutoHyphens/>
    </w:pPr>
    <w:rPr>
      <w:rFonts w:ascii="Calibri" w:hAnsi="Calibri" w:eastAsia="Times New Roman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pmm</Company>
  <Pages>2</Pages>
  <Words>32</Words>
  <Characters>227</Characters>
  <Paragraphs>9</Paragraphs>
  <TotalTime>279</TotalTime>
  <ScaleCrop>false</ScaleCrop>
  <LinksUpToDate>false</LinksUpToDate>
  <CharactersWithSpaces>518</CharactersWithSpaces>
  <Application>WPS Office_12.2.0.18607_F1E327BC-269C-435d-A152-05C5408002CA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2023-08-07T09:53:00Z</dcterms:created>
  <dc:creator>113</dc:creator>
  <cp:lastModifiedBy>WPS_1707121320</cp:lastModifiedBy>
  <cp:lastPrinted>2023-09-01T10:03:00Z</cp:lastPrinted>
  <dcterms:modified xsi:type="dcterms:W3CDTF">2024-11-12T09:56:04Z</dcterms:modified>
  <dc:title>ROMÂNIA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1033-12.2.0.18607</vt:lpwstr>
  </property>
  <property fmtid="{D5CDD505-2E9C-101B-9397-08002B2CF9AE}" pid="10" name="ICV">
    <vt:lpwstr>611888121663444C9871DD6D14D12172_13</vt:lpwstr>
  </property>
</Properties>
</file>