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4461A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sz w:val="28"/>
          <w:szCs w:val="28"/>
          <w:lang w:val="ro-RO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14:paraId="4948B2B5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14:paraId="46751E3E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14:paraId="08DDEDE5">
      <w:pPr>
        <w:widowControl/>
        <w:tabs>
          <w:tab w:val="left" w:pos="1193"/>
        </w:tabs>
        <w:bidi w:val="0"/>
        <w:ind w:left="-680" w:right="-397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none"/>
          <w:lang w:val="ro-RO" w:eastAsia="ro-RO"/>
        </w:rPr>
      </w:pPr>
      <w:r>
        <w:rPr>
          <w:b/>
          <w:bCs/>
          <w:color w:val="000000"/>
          <w:sz w:val="28"/>
          <w:szCs w:val="28"/>
          <w:u w:val="none"/>
          <w:lang w:val="ro-RO" w:eastAsia="ro-RO"/>
        </w:rPr>
        <w:t>MARGITTA MEGYEI JOGÚ VÁROS</w:t>
      </w:r>
    </w:p>
    <w:p w14:paraId="08CF9BF1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sz w:val="36"/>
          <w:szCs w:val="36"/>
          <w:u w:val="none"/>
          <w:lang w:val="ro-RO"/>
        </w:rPr>
      </w:pPr>
    </w:p>
    <w:p w14:paraId="4D0D340B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14:paraId="13EE3B86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14:paraId="499008EE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r>
        <w:fldChar w:fldCharType="begin"/>
      </w:r>
      <w:r>
        <w:instrText xml:space="preserve"> HYPERLINK "mailto:primaria@marghitaonline.ro" \h </w:instrText>
      </w:r>
      <w:r>
        <w:fldChar w:fldCharType="separate"/>
      </w:r>
      <w:r>
        <w:rPr>
          <w:rStyle w:val="16"/>
          <w:b/>
          <w:sz w:val="22"/>
          <w:szCs w:val="22"/>
          <w:lang w:val="ro-RO"/>
        </w:rPr>
        <w:t>primaria@marghita.ro</w:t>
      </w:r>
      <w:r>
        <w:rPr>
          <w:rStyle w:val="16"/>
          <w:b/>
          <w:sz w:val="22"/>
          <w:szCs w:val="22"/>
          <w:lang w:val="ro-RO"/>
        </w:rPr>
        <w:fldChar w:fldCharType="end"/>
      </w:r>
      <w:r>
        <w:rPr>
          <w:sz w:val="22"/>
          <w:szCs w:val="22"/>
          <w:lang w:val="ro-RO"/>
        </w:rPr>
        <w:t xml:space="preserve">                    fax: +40359409982</w:t>
      </w:r>
      <w:r>
        <w:rPr>
          <w:b/>
          <w:sz w:val="22"/>
          <w:szCs w:val="22"/>
          <w:lang w:val="ro-RO"/>
        </w:rPr>
        <w:t xml:space="preserve">                                                   </w:t>
      </w:r>
    </w:p>
    <w:p w14:paraId="3B3D1F0A">
      <w: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4D2F">
      <w:pPr>
        <w:tabs>
          <w:tab w:val="left" w:pos="6225"/>
        </w:tabs>
        <w:rPr>
          <w:b/>
          <w:i/>
          <w:lang w:val="ro-RO"/>
        </w:rPr>
      </w:pPr>
      <w:r>
        <w:rPr>
          <w:sz w:val="24"/>
          <w:szCs w:val="24"/>
          <w:lang w:val="ro-RO"/>
        </w:rPr>
        <w:t>Nr.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rFonts w:hint="default"/>
          <w:sz w:val="24"/>
          <w:szCs w:val="24"/>
          <w:lang w:val="en-US"/>
        </w:rPr>
        <w:t xml:space="preserve">12542 </w:t>
      </w:r>
      <w:r>
        <w:rPr>
          <w:sz w:val="24"/>
          <w:szCs w:val="24"/>
          <w:lang w:val="ro-RO"/>
        </w:rPr>
        <w:t>/</w:t>
      </w:r>
      <w:r>
        <w:rPr>
          <w:rFonts w:hint="default"/>
          <w:sz w:val="24"/>
          <w:szCs w:val="24"/>
          <w:lang w:val="en-US"/>
        </w:rPr>
        <w:t xml:space="preserve"> 12</w:t>
      </w:r>
      <w:r>
        <w:rPr>
          <w:sz w:val="24"/>
          <w:szCs w:val="24"/>
          <w:lang w:val="ro-RO"/>
        </w:rPr>
        <w:t>.1</w:t>
      </w:r>
      <w:r>
        <w:rPr>
          <w:rFonts w:hint="default"/>
          <w:sz w:val="24"/>
          <w:szCs w:val="24"/>
          <w:lang w:val="en-US"/>
        </w:rPr>
        <w:t>1</w:t>
      </w:r>
      <w:r>
        <w:rPr>
          <w:sz w:val="24"/>
          <w:szCs w:val="24"/>
          <w:lang w:val="ro-RO"/>
        </w:rPr>
        <w:t>.202</w:t>
      </w:r>
      <w:r>
        <w:rPr>
          <w:rFonts w:hint="default"/>
          <w:sz w:val="24"/>
          <w:szCs w:val="24"/>
          <w:lang w:val="en-US"/>
        </w:rPr>
        <w:t>4</w:t>
      </w:r>
      <w:r>
        <w:rPr>
          <w:b/>
          <w:i/>
          <w:lang w:val="ro-RO"/>
        </w:rPr>
        <w:tab/>
      </w:r>
    </w:p>
    <w:p w14:paraId="7447A798">
      <w:pPr>
        <w:rPr>
          <w:i/>
          <w:lang w:val="ro-RO"/>
        </w:rPr>
      </w:pPr>
    </w:p>
    <w:p w14:paraId="412CC39F">
      <w:pPr>
        <w:rPr>
          <w:i/>
          <w:lang w:val="ro-RO"/>
        </w:rPr>
      </w:pPr>
    </w:p>
    <w:p w14:paraId="2D2343FA">
      <w:pPr>
        <w:rPr>
          <w:b/>
          <w:sz w:val="20"/>
          <w:szCs w:val="20"/>
        </w:rPr>
      </w:pPr>
    </w:p>
    <w:p w14:paraId="4FCA6203">
      <w:pPr>
        <w:pStyle w:val="42"/>
        <w:jc w:val="center"/>
        <w:rPr>
          <w:rFonts w:ascii="Times New Roman" w:hAnsi="Times New Roman"/>
          <w:b/>
          <w:i/>
          <w:sz w:val="24"/>
          <w:szCs w:val="24"/>
          <w:u w:val="single"/>
          <w:lang w:val="ro-RO"/>
        </w:rPr>
      </w:pPr>
    </w:p>
    <w:p w14:paraId="676E0FBD">
      <w:pPr>
        <w:pStyle w:val="42"/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Raport de specialitate</w:t>
      </w:r>
    </w:p>
    <w:p w14:paraId="472E2039">
      <w:pPr>
        <w:pStyle w:val="42"/>
        <w:jc w:val="center"/>
      </w:pPr>
    </w:p>
    <w:p w14:paraId="4AC50D42">
      <w:pPr>
        <w:ind w:firstLine="720"/>
        <w:jc w:val="center"/>
        <w:rPr>
          <w:b/>
          <w:bCs/>
          <w:sz w:val="24"/>
          <w:szCs w:val="24"/>
        </w:rPr>
      </w:pPr>
      <w:r>
        <w:rPr>
          <w:sz w:val="24"/>
          <w:szCs w:val="24"/>
          <w:lang w:val="it-IT"/>
        </w:rPr>
        <w:t xml:space="preserve"> </w:t>
      </w:r>
      <w:r>
        <w:rPr>
          <w:b/>
          <w:bCs/>
          <w:sz w:val="24"/>
          <w:szCs w:val="24"/>
          <w:lang w:val="it-IT"/>
        </w:rPr>
        <w:t>cu privire la Proiectul de hotărâre privind aprobarea indexării sumelor prevăzute în tabelul prevăzut la art. 470 alin.</w:t>
      </w:r>
      <w:r>
        <w:rPr>
          <w:rFonts w:hint="default"/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it-IT"/>
        </w:rPr>
        <w:t xml:space="preserve">(5) și (6) din Legea  nr. 227/2015 actualizată, în funcție de rata de schimb a monedei euro de </w:t>
      </w:r>
      <w:r>
        <w:rPr>
          <w:b/>
          <w:bCs/>
          <w:sz w:val="24"/>
          <w:szCs w:val="24"/>
          <w:u w:val="single"/>
          <w:lang w:val="it-IT"/>
        </w:rPr>
        <w:t>4,9</w:t>
      </w:r>
      <w:r>
        <w:rPr>
          <w:rFonts w:hint="default"/>
          <w:b/>
          <w:bCs/>
          <w:sz w:val="24"/>
          <w:szCs w:val="24"/>
          <w:u w:val="single"/>
          <w:lang w:val="en-US"/>
        </w:rPr>
        <w:t>753</w:t>
      </w:r>
      <w:r>
        <w:rPr>
          <w:b/>
          <w:bCs/>
          <w:sz w:val="24"/>
          <w:szCs w:val="24"/>
          <w:lang w:val="it-IT"/>
        </w:rPr>
        <w:t xml:space="preserve"> lei în vigoare în prima zi lucrătoare a lunii octombrie 202</w:t>
      </w:r>
      <w:r>
        <w:rPr>
          <w:rFonts w:hint="default"/>
          <w:b/>
          <w:bCs/>
          <w:sz w:val="24"/>
          <w:szCs w:val="24"/>
          <w:lang w:val="en-US"/>
        </w:rPr>
        <w:t>4</w:t>
      </w:r>
      <w:r>
        <w:rPr>
          <w:b/>
          <w:bCs/>
          <w:sz w:val="24"/>
          <w:szCs w:val="24"/>
          <w:lang w:val="it-IT"/>
        </w:rPr>
        <w:t xml:space="preserve"> și publicată în Jurnalul Uniunii Europene și  de nivelurile minime prevăzute în Directiva 1999/62/CE  de aplicare la vehiculele grele de marfă pentru utilizarea anumitor infrastructuri,</w:t>
      </w:r>
    </w:p>
    <w:p w14:paraId="7F2341A9">
      <w:pPr>
        <w:ind w:firstLine="720"/>
        <w:jc w:val="center"/>
      </w:pPr>
    </w:p>
    <w:p w14:paraId="65DA402C">
      <w:pPr>
        <w:ind w:firstLine="720"/>
        <w:jc w:val="center"/>
        <w:rPr>
          <w:lang w:val="it-IT"/>
        </w:rPr>
      </w:pPr>
    </w:p>
    <w:p w14:paraId="5CC4FC6B">
      <w:pPr>
        <w:ind w:firstLine="720"/>
        <w:jc w:val="center"/>
        <w:rPr>
          <w:lang w:val="it-IT"/>
        </w:rPr>
      </w:pPr>
    </w:p>
    <w:p w14:paraId="7A8943A9">
      <w:pPr>
        <w:jc w:val="center"/>
        <w:rPr>
          <w:lang w:val="it-IT"/>
        </w:rPr>
      </w:pPr>
    </w:p>
    <w:p w14:paraId="069A7C89">
      <w:pPr>
        <w:ind w:left="-284" w:firstLine="1004"/>
        <w:jc w:val="center"/>
        <w:rPr>
          <w:bCs/>
          <w:lang w:val="ro-RO"/>
        </w:rPr>
      </w:pPr>
    </w:p>
    <w:p w14:paraId="600545DF">
      <w:pPr>
        <w:jc w:val="both"/>
        <w:rPr>
          <w:sz w:val="24"/>
          <w:szCs w:val="24"/>
        </w:rPr>
      </w:pPr>
      <w:r>
        <w:rPr>
          <w:bCs/>
          <w:lang w:val="ro-RO"/>
        </w:rPr>
        <w:t xml:space="preserve">        </w:t>
      </w:r>
      <w:r>
        <w:rPr>
          <w:bCs/>
          <w:sz w:val="24"/>
          <w:szCs w:val="24"/>
          <w:lang w:val="ro-RO"/>
        </w:rPr>
        <w:t xml:space="preserve">  În temeiul prevederilor art.</w:t>
      </w:r>
      <w:r>
        <w:rPr>
          <w:rFonts w:hint="default"/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  <w:lang w:val="ro-RO"/>
        </w:rPr>
        <w:t>136 din Ordonanța de Urgență a Guvernului nr. 57/2019  privind Codul administrativ, primind spre analiză Proiectul de hotărâre nr.</w:t>
      </w:r>
      <w:r>
        <w:rPr>
          <w:rFonts w:hint="default"/>
          <w:bCs/>
          <w:sz w:val="24"/>
          <w:szCs w:val="24"/>
          <w:lang w:val="en-US"/>
        </w:rPr>
        <w:t xml:space="preserve"> 12541 </w:t>
      </w:r>
      <w:r>
        <w:rPr>
          <w:bCs/>
          <w:sz w:val="24"/>
          <w:szCs w:val="24"/>
          <w:lang w:val="ro-RO"/>
        </w:rPr>
        <w:t xml:space="preserve"> din </w:t>
      </w:r>
      <w:r>
        <w:rPr>
          <w:rFonts w:hint="default"/>
          <w:b w:val="0"/>
          <w:bCs/>
          <w:i w:val="0"/>
          <w:iCs w:val="0"/>
          <w:color w:val="auto"/>
          <w:sz w:val="24"/>
          <w:szCs w:val="24"/>
          <w:lang w:val="en-US"/>
        </w:rPr>
        <w:t>12.11.2024</w:t>
      </w:r>
      <w:r>
        <w:rPr>
          <w:rFonts w:hint="default"/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  <w:lang w:val="ro-RO"/>
        </w:rPr>
        <w:t xml:space="preserve"> privind aprobarea</w:t>
      </w:r>
      <w:r>
        <w:rPr>
          <w:sz w:val="24"/>
          <w:szCs w:val="24"/>
          <w:lang w:val="it-IT"/>
        </w:rPr>
        <w:t>, începând cu anul fiscal 202</w:t>
      </w:r>
      <w:r>
        <w:rPr>
          <w:rFonts w:hint="default"/>
          <w:sz w:val="24"/>
          <w:szCs w:val="24"/>
          <w:lang w:val="en-US"/>
        </w:rPr>
        <w:t>5</w:t>
      </w:r>
      <w:r>
        <w:rPr>
          <w:sz w:val="24"/>
          <w:szCs w:val="24"/>
          <w:lang w:val="it-IT"/>
        </w:rPr>
        <w:t xml:space="preserve">, a nivelului impozitelor </w:t>
      </w:r>
      <w:r>
        <w:rPr>
          <w:sz w:val="24"/>
          <w:szCs w:val="24"/>
        </w:rPr>
        <w:t>mijloacelor de transport în cazul mijloacelor de transport marfă cu masa totală autorizată egal</w:t>
      </w:r>
      <w:r>
        <w:rPr>
          <w:sz w:val="24"/>
          <w:szCs w:val="24"/>
          <w:lang w:val="ro-RO"/>
        </w:rPr>
        <w:t>ă</w:t>
      </w:r>
      <w:r>
        <w:rPr>
          <w:sz w:val="24"/>
          <w:szCs w:val="24"/>
        </w:rPr>
        <w:t xml:space="preserve"> sau mai mare cu 12 t</w:t>
      </w:r>
      <w:r>
        <w:rPr>
          <w:rFonts w:hint="default"/>
          <w:sz w:val="24"/>
          <w:szCs w:val="24"/>
          <w:lang w:val="ro-RO"/>
        </w:rPr>
        <w:t>one</w:t>
      </w:r>
      <w:r>
        <w:rPr>
          <w:sz w:val="24"/>
          <w:szCs w:val="24"/>
        </w:rPr>
        <w:t xml:space="preserve"> și pentru mijloacele de transport în cazul unei combina</w:t>
      </w:r>
      <w:r>
        <w:rPr>
          <w:sz w:val="24"/>
          <w:szCs w:val="24"/>
          <w:lang w:val="ro-RO"/>
        </w:rPr>
        <w:t>ț</w:t>
      </w:r>
      <w:r>
        <w:rPr>
          <w:sz w:val="24"/>
          <w:szCs w:val="24"/>
        </w:rPr>
        <w:t>ii de autovehicule, un autovehicul articulat sau tren rutier de transport marfă cu masa totală maximă autorizată agală sau mai mare de 12 t</w:t>
      </w:r>
      <w:r>
        <w:rPr>
          <w:rFonts w:hint="default"/>
          <w:sz w:val="24"/>
          <w:szCs w:val="24"/>
          <w:lang w:val="ro-RO"/>
        </w:rPr>
        <w:t>one</w:t>
      </w:r>
      <w:r>
        <w:rPr>
          <w:sz w:val="24"/>
          <w:szCs w:val="24"/>
          <w:lang w:val="it-IT"/>
        </w:rPr>
        <w:t>, prev</w:t>
      </w:r>
      <w:r>
        <w:rPr>
          <w:sz w:val="24"/>
          <w:szCs w:val="24"/>
          <w:lang w:val="ro-RO"/>
        </w:rPr>
        <w:t>ă</w:t>
      </w:r>
      <w:r>
        <w:rPr>
          <w:sz w:val="24"/>
          <w:szCs w:val="24"/>
          <w:lang w:val="it-IT"/>
        </w:rPr>
        <w:t xml:space="preserve">zute de Legea nr. 227/2015 privind Codul Fiscal și </w:t>
      </w:r>
      <w:r>
        <w:rPr>
          <w:sz w:val="24"/>
          <w:szCs w:val="24"/>
        </w:rPr>
        <w:t xml:space="preserve">indexarea acestora având în vedere rata de schimb a monedei euro de </w:t>
      </w:r>
      <w:r>
        <w:rPr>
          <w:b/>
          <w:bCs/>
          <w:sz w:val="24"/>
          <w:szCs w:val="24"/>
          <w:u w:val="single"/>
          <w:lang w:val="it-IT"/>
        </w:rPr>
        <w:t>4,9</w:t>
      </w:r>
      <w:r>
        <w:rPr>
          <w:rFonts w:hint="default"/>
          <w:b/>
          <w:bCs/>
          <w:sz w:val="24"/>
          <w:szCs w:val="24"/>
          <w:u w:val="single"/>
          <w:lang w:val="en-US"/>
        </w:rPr>
        <w:t>753</w:t>
      </w:r>
      <w:r>
        <w:rPr>
          <w:sz w:val="24"/>
          <w:szCs w:val="24"/>
        </w:rPr>
        <w:t xml:space="preserve"> lei în vigoare în prima zi lucrătoare a lunii octombrie a anului 202</w:t>
      </w:r>
      <w:r>
        <w:rPr>
          <w:rFonts w:hint="default"/>
          <w:sz w:val="24"/>
          <w:szCs w:val="24"/>
          <w:lang w:val="en-US"/>
        </w:rPr>
        <w:t>4</w:t>
      </w:r>
      <w:r>
        <w:rPr>
          <w:sz w:val="24"/>
          <w:szCs w:val="24"/>
        </w:rPr>
        <w:t>,</w:t>
      </w:r>
    </w:p>
    <w:p w14:paraId="43C287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       Ținând seama de necesităţile de realizare a veniturilor proprii ale bugetului local pentru anul 202</w:t>
      </w:r>
      <w:r>
        <w:rPr>
          <w:rFonts w:hint="default"/>
          <w:sz w:val="24"/>
          <w:szCs w:val="24"/>
          <w:lang w:val="en-US"/>
        </w:rPr>
        <w:t>5</w:t>
      </w:r>
      <w:r>
        <w:rPr>
          <w:sz w:val="24"/>
          <w:szCs w:val="24"/>
          <w:lang w:val="fr-FR"/>
        </w:rPr>
        <w:t xml:space="preserve"> în scopul asigurării finanţării cheltuielilor publice locale, pe de o parte, precum şi de condiţiile locale specifice zonei, pe de altă parte,</w:t>
      </w:r>
    </w:p>
    <w:p w14:paraId="1BBF689A">
      <w:pPr>
        <w:tabs>
          <w:tab w:val="left" w:pos="1134"/>
        </w:tabs>
        <w:spacing w:after="120"/>
        <w:jc w:val="both"/>
        <w:rPr>
          <w:sz w:val="24"/>
          <w:szCs w:val="24"/>
          <w:lang w:val="it-IT" w:eastAsia="ro-RO"/>
        </w:rPr>
      </w:pPr>
      <w:r>
        <w:rPr>
          <w:sz w:val="24"/>
          <w:szCs w:val="24"/>
          <w:lang w:val="it-IT" w:eastAsia="ro-RO"/>
        </w:rPr>
        <w:t xml:space="preserve">          Având în vedere</w:t>
      </w:r>
      <w:r>
        <w:rPr>
          <w:rFonts w:hint="default"/>
          <w:sz w:val="24"/>
          <w:szCs w:val="24"/>
          <w:lang w:val="en-US" w:eastAsia="ro-RO"/>
        </w:rPr>
        <w:t xml:space="preserve"> următoarele</w:t>
      </w:r>
      <w:r>
        <w:rPr>
          <w:sz w:val="24"/>
          <w:szCs w:val="24"/>
          <w:lang w:val="it-IT" w:eastAsia="ro-RO"/>
        </w:rPr>
        <w:t xml:space="preserve"> temeiuri juridice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it-IT" w:eastAsia="ro-RO"/>
        </w:rPr>
        <w:t>:</w:t>
      </w:r>
    </w:p>
    <w:p w14:paraId="29A36A16">
      <w:pPr>
        <w:numPr>
          <w:ilvl w:val="0"/>
          <w:numId w:val="2"/>
        </w:numPr>
        <w:tabs>
          <w:tab w:val="left" w:pos="113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  <w:lang w:val="it-IT" w:eastAsia="ro-RO"/>
        </w:rPr>
      </w:pPr>
      <w:r>
        <w:rPr>
          <w:sz w:val="24"/>
          <w:szCs w:val="24"/>
          <w:lang w:val="it-IT" w:eastAsia="ro-RO"/>
        </w:rPr>
        <w:t xml:space="preserve"> </w:t>
      </w:r>
      <w:r>
        <w:rPr>
          <w:sz w:val="24"/>
          <w:szCs w:val="24"/>
          <w:lang w:val="it-IT"/>
        </w:rPr>
        <w:t>A</w:t>
      </w:r>
      <w:r>
        <w:rPr>
          <w:sz w:val="24"/>
          <w:szCs w:val="24"/>
          <w:lang w:eastAsia="ro-RO"/>
        </w:rPr>
        <w:t>rt.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491, alin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(1ˆ1)</w:t>
      </w:r>
      <w:r>
        <w:rPr>
          <w:rFonts w:hint="default"/>
          <w:sz w:val="24"/>
          <w:szCs w:val="24"/>
          <w:lang w:val="en-US" w:eastAsia="ro-RO"/>
        </w:rPr>
        <w:t xml:space="preserve"> și (2) </w:t>
      </w:r>
      <w:r>
        <w:rPr>
          <w:sz w:val="24"/>
          <w:szCs w:val="24"/>
          <w:lang w:eastAsia="ro-RO"/>
        </w:rPr>
        <w:t xml:space="preserve"> din Legea nr. 227/2015 privind Codul fiscal, cu modificările și  completările ulterioare, </w:t>
      </w:r>
    </w:p>
    <w:p w14:paraId="4D7ABAB1">
      <w:pPr>
        <w:numPr>
          <w:ilvl w:val="0"/>
          <w:numId w:val="3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 xml:space="preserve">           Titlul IX – Impozite și taxe locale, art. 470, alin.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(5) și alin.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(6)  din Legea nr. 227/2015 privind  Codul fiscal, cu modificările și  completările ulterioare;</w:t>
      </w:r>
    </w:p>
    <w:p w14:paraId="6DC65FD0">
      <w:pPr>
        <w:numPr>
          <w:ilvl w:val="0"/>
          <w:numId w:val="3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 xml:space="preserve">          Pct.</w:t>
      </w:r>
      <w:r>
        <w:rPr>
          <w:rFonts w:hint="default"/>
          <w:sz w:val="24"/>
          <w:szCs w:val="24"/>
          <w:lang w:val="en-US" w:eastAsia="ro-RO"/>
        </w:rPr>
        <w:t xml:space="preserve">  94 și </w:t>
      </w:r>
      <w:r>
        <w:rPr>
          <w:sz w:val="24"/>
          <w:szCs w:val="24"/>
          <w:lang w:eastAsia="ro-RO"/>
        </w:rPr>
        <w:t>95, Art. I din Ordonanța de Urgență nr.79/2017;</w:t>
      </w:r>
    </w:p>
    <w:p w14:paraId="59141EC1">
      <w:pPr>
        <w:numPr>
          <w:ilvl w:val="0"/>
          <w:numId w:val="3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 xml:space="preserve">          </w:t>
      </w:r>
      <w:r>
        <w:rPr>
          <w:rFonts w:hint="default"/>
          <w:sz w:val="24"/>
          <w:szCs w:val="24"/>
          <w:lang w:val="en-US" w:eastAsia="ro-RO"/>
        </w:rPr>
        <w:t xml:space="preserve">H.G. nr. 1 </w:t>
      </w:r>
      <w:r>
        <w:rPr>
          <w:sz w:val="24"/>
          <w:szCs w:val="24"/>
          <w:lang w:eastAsia="ro-RO"/>
        </w:rPr>
        <w:t>din 06 ianuarie 2016</w:t>
      </w:r>
      <w:r>
        <w:rPr>
          <w:rFonts w:hint="default"/>
          <w:sz w:val="24"/>
          <w:szCs w:val="24"/>
          <w:lang w:val="en-US" w:eastAsia="ro-RO"/>
        </w:rPr>
        <w:t xml:space="preserve"> - </w:t>
      </w:r>
      <w:r>
        <w:rPr>
          <w:sz w:val="24"/>
          <w:szCs w:val="24"/>
          <w:lang w:eastAsia="ro-RO"/>
        </w:rPr>
        <w:t>Norme Metodologice  de aplicare a Legii nr.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227/2015 privind Codul fiscal;</w:t>
      </w:r>
    </w:p>
    <w:p w14:paraId="518DF3BD">
      <w:pPr>
        <w:numPr>
          <w:ilvl w:val="0"/>
          <w:numId w:val="3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val="it-IT" w:eastAsia="ro-RO"/>
        </w:rPr>
        <w:t xml:space="preserve">         </w:t>
      </w:r>
      <w:r>
        <w:rPr>
          <w:sz w:val="24"/>
          <w:szCs w:val="24"/>
          <w:lang w:eastAsia="ro-RO"/>
        </w:rPr>
        <w:t>Pct.</w:t>
      </w:r>
      <w:r>
        <w:rPr>
          <w:rFonts w:hint="default"/>
          <w:sz w:val="24"/>
          <w:szCs w:val="24"/>
          <w:lang w:val="en-US" w:eastAsia="ro-RO"/>
        </w:rPr>
        <w:t xml:space="preserve">  215, </w:t>
      </w:r>
      <w:r>
        <w:rPr>
          <w:sz w:val="24"/>
          <w:szCs w:val="24"/>
          <w:lang w:eastAsia="ro-RO"/>
        </w:rPr>
        <w:t>Art. I din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it-IT" w:eastAsia="ro-RO"/>
        </w:rPr>
        <w:t>Legea nr.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it-IT" w:eastAsia="ro-RO"/>
        </w:rPr>
        <w:t>296 din 2020</w:t>
      </w:r>
      <w:r>
        <w:rPr>
          <w:sz w:val="24"/>
          <w:szCs w:val="24"/>
        </w:rPr>
        <w:t xml:space="preserve"> pentru modificarea şi completarea Legii nr. 227/2015 privind Codul fiscal.</w:t>
      </w:r>
    </w:p>
    <w:p w14:paraId="3FE2FD50">
      <w:pPr>
        <w:numPr>
          <w:ilvl w:val="0"/>
          <w:numId w:val="3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Directiva DE 1999/62/CE a Parlamentului European </w:t>
      </w:r>
      <w:r>
        <w:rPr>
          <w:sz w:val="24"/>
          <w:szCs w:val="24"/>
          <w:lang w:val="ro-RO"/>
        </w:rPr>
        <w:t>ș</w:t>
      </w:r>
      <w:r>
        <w:rPr>
          <w:sz w:val="24"/>
          <w:szCs w:val="24"/>
        </w:rPr>
        <w:t>i a Consiliului din 17.06.1999 de aplicare a taxelor la vehicule grele de marfă pentru utilizarea anumitor infrastructuri-Anexa nr.1;</w:t>
      </w:r>
    </w:p>
    <w:p w14:paraId="1EE4B2E8">
      <w:pPr>
        <w:numPr>
          <w:ilvl w:val="0"/>
          <w:numId w:val="3"/>
        </w:numPr>
        <w:ind w:left="420" w:leftChars="0" w:hanging="420" w:firstLineChars="0"/>
        <w:jc w:val="both"/>
        <w:rPr>
          <w:rFonts w:ascii="Times New Roman" w:hAnsi="Times New Roman" w:eastAsia="Times New Roman" w:cs="Times New Roman"/>
          <w:sz w:val="24"/>
          <w:szCs w:val="24"/>
          <w:lang w:val="it-IT"/>
        </w:rPr>
      </w:pPr>
      <w:r>
        <w:rPr>
          <w:sz w:val="24"/>
          <w:szCs w:val="24"/>
          <w:lang w:val="it-IT" w:eastAsia="ro-RO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 xml:space="preserve">  Hotărârea Consiliului Local 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>nr. 2</w:t>
      </w:r>
      <w:r>
        <w:rPr>
          <w:rFonts w:hint="default" w:cs="Times New Roman"/>
          <w:sz w:val="24"/>
          <w:szCs w:val="24"/>
          <w:lang w:val="en-US" w:eastAsia="ro-RO"/>
        </w:rPr>
        <w:t>65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 xml:space="preserve">  din </w:t>
      </w:r>
      <w:r>
        <w:rPr>
          <w:rFonts w:hint="default" w:cs="Times New Roman"/>
          <w:sz w:val="24"/>
          <w:szCs w:val="24"/>
          <w:lang w:val="en-US" w:eastAsia="ro-RO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>1.12.202</w:t>
      </w:r>
      <w:r>
        <w:rPr>
          <w:rFonts w:hint="default" w:cs="Times New Roman"/>
          <w:sz w:val="24"/>
          <w:szCs w:val="24"/>
          <w:lang w:val="hu-HU" w:eastAsia="ro-RO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 xml:space="preserve">privind stabilirea impozitelor și </w:t>
      </w:r>
    </w:p>
    <w:p w14:paraId="7AD23F76">
      <w:pPr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o-RO"/>
        </w:rPr>
      </w:pP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>taxelor locale, pe anul 202</w:t>
      </w:r>
      <w:r>
        <w:rPr>
          <w:rFonts w:hint="default" w:cs="Times New Roman"/>
          <w:sz w:val="24"/>
          <w:szCs w:val="24"/>
          <w:lang w:val="en-US" w:eastAsia="ro-RO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 xml:space="preserve"> a vehiculelor grele de marfă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o-RO"/>
        </w:rPr>
        <w:t>.</w:t>
      </w:r>
    </w:p>
    <w:p w14:paraId="0EEC7444">
      <w:pPr>
        <w:numPr>
          <w:ilvl w:val="0"/>
          <w:numId w:val="0"/>
        </w:numPr>
        <w:tabs>
          <w:tab w:val="left" w:pos="284"/>
        </w:tabs>
        <w:spacing w:after="120"/>
        <w:ind w:leftChars="0"/>
        <w:jc w:val="both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 xml:space="preserve"> </w:t>
      </w:r>
    </w:p>
    <w:p w14:paraId="7ECAF961">
      <w:pPr>
        <w:tabs>
          <w:tab w:val="left" w:pos="28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     </w:t>
      </w:r>
      <w:r>
        <w:rPr>
          <w:rFonts w:hint="default"/>
          <w:sz w:val="24"/>
          <w:szCs w:val="24"/>
          <w:lang w:val="en-US"/>
        </w:rPr>
        <w:tab/>
      </w:r>
      <w:bookmarkStart w:id="0" w:name="_GoBack"/>
      <w:bookmarkEnd w:id="0"/>
      <w:r>
        <w:rPr>
          <w:sz w:val="24"/>
          <w:szCs w:val="24"/>
          <w:lang w:val="it-IT"/>
        </w:rPr>
        <w:t xml:space="preserve"> Din conținutul actului de motivare, respectiv Referatul de aprobare  nr.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rFonts w:hint="default"/>
          <w:sz w:val="24"/>
          <w:szCs w:val="24"/>
          <w:lang w:val="en-US"/>
        </w:rPr>
        <w:t xml:space="preserve">12541 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b/>
          <w:bCs/>
          <w:i/>
          <w:iCs/>
          <w:color w:val="auto"/>
          <w:sz w:val="24"/>
          <w:szCs w:val="24"/>
          <w:lang w:val="it-IT"/>
        </w:rPr>
        <w:t>/</w:t>
      </w:r>
      <w:r>
        <w:rPr>
          <w:rFonts w:hint="default"/>
          <w:b/>
          <w:bCs/>
          <w:i/>
          <w:iCs/>
          <w:color w:val="auto"/>
          <w:sz w:val="24"/>
          <w:szCs w:val="24"/>
          <w:lang w:val="ro-RO"/>
        </w:rPr>
        <w:t xml:space="preserve"> </w:t>
      </w:r>
      <w:r>
        <w:rPr>
          <w:rFonts w:hint="default"/>
          <w:b w:val="0"/>
          <w:bCs w:val="0"/>
          <w:i w:val="0"/>
          <w:iCs w:val="0"/>
          <w:color w:val="auto"/>
          <w:sz w:val="24"/>
          <w:szCs w:val="24"/>
          <w:lang w:val="en-US"/>
        </w:rPr>
        <w:t>12</w:t>
      </w:r>
      <w:r>
        <w:rPr>
          <w:b w:val="0"/>
          <w:bCs w:val="0"/>
          <w:i w:val="0"/>
          <w:iCs w:val="0"/>
          <w:color w:val="auto"/>
          <w:sz w:val="24"/>
          <w:szCs w:val="24"/>
          <w:lang w:val="it-IT"/>
        </w:rPr>
        <w:t>.1</w:t>
      </w:r>
      <w:r>
        <w:rPr>
          <w:rFonts w:hint="default"/>
          <w:b w:val="0"/>
          <w:bCs w:val="0"/>
          <w:i w:val="0"/>
          <w:iCs w:val="0"/>
          <w:color w:val="auto"/>
          <w:sz w:val="24"/>
          <w:szCs w:val="24"/>
          <w:lang w:val="en-US"/>
        </w:rPr>
        <w:t>1</w:t>
      </w:r>
      <w:r>
        <w:rPr>
          <w:b w:val="0"/>
          <w:bCs w:val="0"/>
          <w:i w:val="0"/>
          <w:iCs w:val="0"/>
          <w:color w:val="auto"/>
          <w:sz w:val="24"/>
          <w:szCs w:val="24"/>
          <w:lang w:val="it-IT"/>
        </w:rPr>
        <w:t>.202</w:t>
      </w:r>
      <w:r>
        <w:rPr>
          <w:rFonts w:hint="default"/>
          <w:b w:val="0"/>
          <w:bCs w:val="0"/>
          <w:i w:val="0"/>
          <w:iCs w:val="0"/>
          <w:color w:val="auto"/>
          <w:sz w:val="24"/>
          <w:szCs w:val="24"/>
          <w:lang w:val="hu-HU"/>
        </w:rPr>
        <w:t>4</w:t>
      </w:r>
      <w:r>
        <w:rPr>
          <w:sz w:val="24"/>
          <w:szCs w:val="24"/>
          <w:lang w:val="it-IT"/>
        </w:rPr>
        <w:t xml:space="preserve"> </w:t>
      </w:r>
      <w:r>
        <w:rPr>
          <w:rFonts w:hint="default"/>
          <w:sz w:val="24"/>
          <w:szCs w:val="24"/>
          <w:lang w:val="ro-RO"/>
        </w:rPr>
        <w:t>emis de</w:t>
      </w:r>
      <w:r>
        <w:rPr>
          <w:sz w:val="24"/>
          <w:szCs w:val="24"/>
          <w:lang w:val="it-IT"/>
        </w:rPr>
        <w:t xml:space="preserve"> Primarul Municipiului Marghita în calitate de inițiator al proiectului de hotărâre</w:t>
      </w:r>
      <w:r>
        <w:rPr>
          <w:rFonts w:hint="default"/>
          <w:sz w:val="24"/>
          <w:szCs w:val="24"/>
          <w:lang w:val="ro-RO"/>
        </w:rPr>
        <w:t>,</w:t>
      </w:r>
      <w:r>
        <w:rPr>
          <w:sz w:val="24"/>
          <w:szCs w:val="24"/>
          <w:lang w:val="it-IT"/>
        </w:rPr>
        <w:t xml:space="preserve"> </w:t>
      </w:r>
      <w:r>
        <w:rPr>
          <w:rFonts w:hint="default"/>
          <w:sz w:val="24"/>
          <w:szCs w:val="24"/>
          <w:lang w:val="ro-RO"/>
        </w:rPr>
        <w:t xml:space="preserve">raportat la prevederile art. 87 alin. (3) din O.U.G nr. 57 privind Codul administrativ, </w:t>
      </w:r>
      <w:r>
        <w:rPr>
          <w:sz w:val="24"/>
          <w:szCs w:val="24"/>
          <w:lang w:eastAsia="ro-RO"/>
        </w:rPr>
        <w:t>cu modificările și  completările ulterioare</w:t>
      </w:r>
      <w:r>
        <w:rPr>
          <w:rFonts w:hint="default"/>
          <w:sz w:val="24"/>
          <w:szCs w:val="24"/>
          <w:lang w:val="ro-RO"/>
        </w:rPr>
        <w:t>, reiese că ,,</w:t>
      </w:r>
      <w:r>
        <w:rPr>
          <w:i/>
          <w:iCs/>
          <w:sz w:val="24"/>
          <w:szCs w:val="24"/>
        </w:rPr>
        <w:t>În scopul asigurării autonomiei locale, autorităţile deliberative ale administraţiei publice locale au dreptul să instituie şi să perceapă impozite şi taxe locale, să aprobe bugetele locale ale unităţilor administrativ-teritoriale, în condiţiile legii</w:t>
      </w:r>
      <w:r>
        <w:rPr>
          <w:rFonts w:hint="default"/>
          <w:sz w:val="24"/>
          <w:szCs w:val="24"/>
          <w:lang w:val="ro-RO"/>
        </w:rPr>
        <w:t xml:space="preserve">,, </w:t>
      </w:r>
      <w:r>
        <w:rPr>
          <w:sz w:val="24"/>
          <w:szCs w:val="24"/>
        </w:rPr>
        <w:t>.</w:t>
      </w:r>
    </w:p>
    <w:p w14:paraId="7AB8ABDC">
      <w:pPr>
        <w:tabs>
          <w:tab w:val="left" w:pos="284"/>
        </w:tabs>
        <w:spacing w:after="120"/>
        <w:jc w:val="both"/>
        <w:rPr>
          <w:rFonts w:hint="default"/>
          <w:sz w:val="24"/>
          <w:szCs w:val="24"/>
          <w:lang w:val="en-US" w:eastAsia="ro-RO"/>
        </w:rPr>
      </w:pPr>
      <w:r>
        <w:rPr>
          <w:sz w:val="24"/>
          <w:szCs w:val="24"/>
          <w:lang w:val="it-IT"/>
        </w:rPr>
        <w:t xml:space="preserve">             Analizând preambulul proiectului de hotărâre, observăm că inițiatorul a invocat prevederile</w:t>
      </w:r>
      <w:r>
        <w:rPr>
          <w:sz w:val="24"/>
          <w:szCs w:val="24"/>
          <w:lang w:eastAsia="ro-RO"/>
        </w:rPr>
        <w:t xml:space="preserve"> art. 491, alin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(1ˆ1)</w:t>
      </w:r>
      <w:r>
        <w:rPr>
          <w:rFonts w:hint="default"/>
          <w:sz w:val="24"/>
          <w:szCs w:val="24"/>
          <w:lang w:val="en-US" w:eastAsia="ro-RO"/>
        </w:rPr>
        <w:t xml:space="preserve"> și (2)</w:t>
      </w:r>
      <w:r>
        <w:rPr>
          <w:sz w:val="24"/>
          <w:szCs w:val="24"/>
          <w:lang w:eastAsia="ro-RO"/>
        </w:rPr>
        <w:t xml:space="preserve"> din Legea nr. 227/2015 privind Codul fiscal, cu modificările și  completările ulterioare, care precizează :</w:t>
      </w:r>
      <w:r>
        <w:rPr>
          <w:rFonts w:hint="default"/>
          <w:sz w:val="24"/>
          <w:szCs w:val="24"/>
          <w:lang w:val="en-US" w:eastAsia="ro-RO"/>
        </w:rPr>
        <w:t xml:space="preserve"> </w:t>
      </w:r>
    </w:p>
    <w:p w14:paraId="38248258">
      <w:pPr>
        <w:numPr>
          <w:ilvl w:val="0"/>
          <w:numId w:val="4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>(1ˆ1)”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i/>
          <w:iCs/>
          <w:sz w:val="24"/>
          <w:szCs w:val="24"/>
          <w:lang w:eastAsia="ro-RO"/>
        </w:rPr>
        <w:t xml:space="preserve">sumele prevăzute în tabelul prevăzut la art. 470 alin. (5) și alin.(6) se indexează anual </w:t>
      </w:r>
      <w:r>
        <w:rPr>
          <w:i/>
          <w:iCs/>
          <w:sz w:val="24"/>
          <w:szCs w:val="24"/>
          <w:lang w:val="ro-RO" w:eastAsia="ro-RO"/>
        </w:rPr>
        <w:t>în funcție de rata de schimb a monedei  euro în vigoare în prima zi lucrătoare a lunii octombrie a fiecărui an și publicată în Jurnalul Uniunii Europene  și de nivelurile minime prevăzute în Directiva 1999/62/CE de aplicare la vehicule grele de marfă pentru utilizarea anumitor infrastructuri</w:t>
      </w:r>
      <w:r>
        <w:rPr>
          <w:sz w:val="24"/>
          <w:szCs w:val="24"/>
          <w:lang w:val="ro-RO" w:eastAsia="ro-RO"/>
        </w:rPr>
        <w:t xml:space="preserve">. </w:t>
      </w:r>
      <w:r>
        <w:rPr>
          <w:rFonts w:hint="default"/>
          <w:i/>
          <w:iCs/>
          <w:sz w:val="24"/>
          <w:szCs w:val="24"/>
          <w:lang w:val="en-US" w:eastAsia="ro-RO"/>
        </w:rPr>
        <w:t>C</w:t>
      </w:r>
      <w:r>
        <w:rPr>
          <w:i/>
          <w:iCs/>
          <w:sz w:val="24"/>
          <w:szCs w:val="24"/>
          <w:lang w:val="ro-RO" w:eastAsia="ro-RO"/>
        </w:rPr>
        <w:t>ursul de schimb a monedei euro și nivelurile minime, exprimate în euro, prevăzute în Directiva 1999/62/CE de aplicare la vehiculele grele de marfă pentru utilizarea anumitor infrastructuri  se comunică pe site-urile oficiale  ale Ministerului Finanțelor Publice și Ministerul Lucrărilor Publice, Dezvoltării și Administrației”</w:t>
      </w:r>
      <w:r>
        <w:rPr>
          <w:sz w:val="24"/>
          <w:szCs w:val="24"/>
          <w:lang w:val="ro-RO" w:eastAsia="ro-RO"/>
        </w:rPr>
        <w:t>(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"https://www.mdlpa.ro/pages/politicifiscalesibugetarelocale"</w:instrText>
      </w:r>
      <w:r>
        <w:rPr>
          <w:sz w:val="24"/>
          <w:szCs w:val="24"/>
        </w:rPr>
        <w:fldChar w:fldCharType="separate"/>
      </w:r>
      <w:r>
        <w:rPr>
          <w:rStyle w:val="12"/>
          <w:sz w:val="24"/>
          <w:szCs w:val="24"/>
          <w:lang w:val="ro-RO" w:eastAsia="ro-RO"/>
        </w:rPr>
        <w:t>https://www.mdlpa.ro/pages/politicifiscalesibugetarelocale</w:t>
      </w:r>
      <w:r>
        <w:rPr>
          <w:sz w:val="24"/>
          <w:szCs w:val="24"/>
        </w:rPr>
        <w:fldChar w:fldCharType="end"/>
      </w:r>
      <w:r>
        <w:rPr>
          <w:sz w:val="24"/>
          <w:szCs w:val="24"/>
          <w:lang w:val="ro-RO" w:eastAsia="ro-RO"/>
        </w:rPr>
        <w:t xml:space="preserve">). </w:t>
      </w:r>
    </w:p>
    <w:p w14:paraId="0C08BA4D">
      <w:pPr>
        <w:numPr>
          <w:ilvl w:val="0"/>
          <w:numId w:val="4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val="ro-RO" w:eastAsia="ro-RO"/>
        </w:rPr>
        <w:t xml:space="preserve"> </w:t>
      </w:r>
      <w:r>
        <w:rPr>
          <w:rFonts w:hint="default"/>
          <w:sz w:val="24"/>
          <w:szCs w:val="24"/>
          <w:lang w:val="en-US" w:eastAsia="ro-RO"/>
        </w:rPr>
        <w:t xml:space="preserve">(2),, </w:t>
      </w:r>
      <w:r>
        <w:rPr>
          <w:i/>
          <w:iCs/>
          <w:sz w:val="24"/>
          <w:szCs w:val="24"/>
          <w:lang w:val="ro-RO" w:eastAsia="ro-RO"/>
        </w:rPr>
        <w:t>Sumele indexate se aprobă prin hotărâre a consiliului local și se aplică în anul fiscal următor”</w:t>
      </w:r>
      <w:r>
        <w:rPr>
          <w:sz w:val="24"/>
          <w:szCs w:val="24"/>
          <w:lang w:val="ro-RO" w:eastAsia="ro-RO"/>
        </w:rPr>
        <w:t>.</w:t>
      </w:r>
      <w:r>
        <w:rPr>
          <w:sz w:val="24"/>
          <w:szCs w:val="24"/>
          <w:lang w:eastAsia="ro-RO"/>
        </w:rPr>
        <w:t xml:space="preserve">        </w:t>
      </w:r>
    </w:p>
    <w:p w14:paraId="47012653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Nivelul impozitului</w:t>
      </w:r>
      <w:r>
        <w:rPr>
          <w:rFonts w:hint="default"/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</w:rPr>
        <w:t>pentru</w:t>
      </w:r>
      <w:r>
        <w:rPr>
          <w:rFonts w:hint="default"/>
          <w:color w:val="000000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mijloacele de transport în cazul mijloacelor de transport marfă cu masa totală autorizată egal</w:t>
      </w:r>
      <w:r>
        <w:rPr>
          <w:sz w:val="24"/>
          <w:szCs w:val="24"/>
          <w:lang w:val="ro-RO"/>
        </w:rPr>
        <w:t>ă</w:t>
      </w:r>
      <w:r>
        <w:rPr>
          <w:sz w:val="24"/>
          <w:szCs w:val="24"/>
        </w:rPr>
        <w:t xml:space="preserve"> sau mai mare cu 12 t</w:t>
      </w:r>
      <w:r>
        <w:rPr>
          <w:rFonts w:hint="default"/>
          <w:sz w:val="24"/>
          <w:szCs w:val="24"/>
          <w:lang w:val="ro-RO"/>
        </w:rPr>
        <w:t>one</w:t>
      </w:r>
      <w:r>
        <w:rPr>
          <w:sz w:val="24"/>
          <w:szCs w:val="24"/>
        </w:rPr>
        <w:t xml:space="preserve"> și pentru mijloacele de transport în cazul unei combina</w:t>
      </w:r>
      <w:r>
        <w:rPr>
          <w:sz w:val="24"/>
          <w:szCs w:val="24"/>
          <w:lang w:val="ro-RO"/>
        </w:rPr>
        <w:t>ț</w:t>
      </w:r>
      <w:r>
        <w:rPr>
          <w:sz w:val="24"/>
          <w:szCs w:val="24"/>
        </w:rPr>
        <w:t xml:space="preserve">ii de autovehicule, un autovehicul articulat sau tren rutier de transport marfă cu masa totală maximă autorizată </w:t>
      </w:r>
      <w:r>
        <w:rPr>
          <w:rFonts w:hint="default"/>
          <w:sz w:val="24"/>
          <w:szCs w:val="24"/>
          <w:lang w:val="ro-RO"/>
        </w:rPr>
        <w:t>e</w:t>
      </w:r>
      <w:r>
        <w:rPr>
          <w:sz w:val="24"/>
          <w:szCs w:val="24"/>
        </w:rPr>
        <w:t>gală sau mai mare de 12 t</w:t>
      </w:r>
      <w:r>
        <w:rPr>
          <w:rFonts w:hint="default"/>
          <w:sz w:val="24"/>
          <w:szCs w:val="24"/>
          <w:lang w:val="ro-RO"/>
        </w:rPr>
        <w:t>one</w:t>
      </w:r>
      <w:r>
        <w:rPr>
          <w:sz w:val="24"/>
          <w:szCs w:val="24"/>
          <w:lang w:val="it-IT"/>
        </w:rPr>
        <w:t>, prev</w:t>
      </w:r>
      <w:r>
        <w:rPr>
          <w:sz w:val="24"/>
          <w:szCs w:val="24"/>
          <w:lang w:val="ro-RO"/>
        </w:rPr>
        <w:t>ă</w:t>
      </w:r>
      <w:r>
        <w:rPr>
          <w:sz w:val="24"/>
          <w:szCs w:val="24"/>
          <w:lang w:val="it-IT"/>
        </w:rPr>
        <w:t>zute de Legea nr. 227/2015 privind Codul Fiscal</w:t>
      </w:r>
      <w:r>
        <w:rPr>
          <w:rFonts w:hint="default"/>
          <w:sz w:val="24"/>
          <w:szCs w:val="24"/>
          <w:lang w:val="ro-RO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se determină prin înmulțirea valorilor minime ale taxelor ce trebuie aplicate vehiculelor</w:t>
      </w:r>
      <w:r>
        <w:rPr>
          <w:rFonts w:hint="default"/>
          <w:b/>
          <w:bCs/>
          <w:color w:val="000000"/>
          <w:sz w:val="24"/>
          <w:szCs w:val="24"/>
          <w:lang w:val="ro-RO"/>
        </w:rPr>
        <w:t xml:space="preserve"> </w:t>
      </w:r>
      <w:r>
        <w:rPr>
          <w:b/>
          <w:bCs/>
          <w:color w:val="000000"/>
          <w:sz w:val="24"/>
          <w:szCs w:val="24"/>
        </w:rPr>
        <w:t>menționate în Directiva DE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1999/62/CE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cu</w:t>
      </w:r>
      <w:r>
        <w:rPr>
          <w:rFonts w:hint="default"/>
          <w:b/>
          <w:bCs/>
          <w:color w:val="000000"/>
          <w:sz w:val="24"/>
          <w:szCs w:val="24"/>
          <w:lang w:val="ro-RO"/>
        </w:rPr>
        <w:t xml:space="preserve"> </w:t>
      </w:r>
      <w:r>
        <w:rPr>
          <w:b/>
          <w:bCs/>
          <w:color w:val="000000"/>
          <w:sz w:val="24"/>
          <w:szCs w:val="24"/>
        </w:rPr>
        <w:t>rata de schimb a monedei euro</w:t>
      </w:r>
      <w:r>
        <w:rPr>
          <w:color w:val="000000"/>
          <w:sz w:val="24"/>
          <w:szCs w:val="24"/>
        </w:rPr>
        <w:t xml:space="preserve"> în vigoare în prima zi lucrătoare a lunii octombrie a anului 202</w:t>
      </w:r>
      <w:r>
        <w:rPr>
          <w:rFonts w:hint="default"/>
          <w:color w:val="000000"/>
          <w:sz w:val="24"/>
          <w:szCs w:val="24"/>
          <w:lang w:val="en-US"/>
        </w:rPr>
        <w:t>4</w:t>
      </w:r>
      <w:r>
        <w:rPr>
          <w:rFonts w:hint="default"/>
          <w:color w:val="000000"/>
          <w:sz w:val="24"/>
          <w:szCs w:val="24"/>
          <w:lang w:val="ro-RO"/>
        </w:rPr>
        <w:t>,</w:t>
      </w:r>
      <w:r>
        <w:rPr>
          <w:color w:val="000000"/>
          <w:sz w:val="24"/>
          <w:szCs w:val="24"/>
        </w:rPr>
        <w:t xml:space="preserve"> de </w:t>
      </w:r>
      <w:r>
        <w:rPr>
          <w:b/>
          <w:bCs/>
          <w:sz w:val="24"/>
          <w:szCs w:val="24"/>
          <w:u w:val="single"/>
          <w:lang w:val="it-IT"/>
        </w:rPr>
        <w:t>4,9</w:t>
      </w:r>
      <w:r>
        <w:rPr>
          <w:rFonts w:hint="default"/>
          <w:b/>
          <w:bCs/>
          <w:sz w:val="24"/>
          <w:szCs w:val="24"/>
          <w:u w:val="single"/>
          <w:lang w:val="en-US"/>
        </w:rPr>
        <w:t>753</w:t>
      </w:r>
      <w:r>
        <w:rPr>
          <w:color w:val="000000"/>
          <w:sz w:val="24"/>
          <w:szCs w:val="24"/>
        </w:rPr>
        <w:t xml:space="preserve"> lei conform Anexei nr.</w:t>
      </w:r>
      <w:r>
        <w:rPr>
          <w:rFonts w:hint="default"/>
          <w:color w:val="000000"/>
          <w:sz w:val="24"/>
          <w:szCs w:val="24"/>
          <w:lang w:val="ro-RO"/>
        </w:rPr>
        <w:t xml:space="preserve"> </w:t>
      </w:r>
      <w:r>
        <w:rPr>
          <w:color w:val="000000"/>
          <w:sz w:val="24"/>
          <w:szCs w:val="24"/>
        </w:rPr>
        <w:t xml:space="preserve">1 care face parte integrantă din proiectul de hotărâre. </w:t>
      </w:r>
    </w:p>
    <w:p w14:paraId="651E339A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</w:t>
      </w:r>
      <w:r>
        <w:rPr>
          <w:rFonts w:hint="default"/>
          <w:sz w:val="24"/>
          <w:szCs w:val="24"/>
          <w:lang w:val="ro-RO"/>
        </w:rPr>
        <w:t>Potrivit</w:t>
      </w:r>
      <w:r>
        <w:rPr>
          <w:sz w:val="24"/>
          <w:szCs w:val="24"/>
          <w:lang w:val="it-IT"/>
        </w:rPr>
        <w:t xml:space="preserve"> art. 494 alin.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(5) veniturile provenite din impozitul pe mijlocul de transport stabilit în concordanță cu prevederile art. 470 alin.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(5) și (6)</w:t>
      </w:r>
      <w:r>
        <w:rPr>
          <w:rFonts w:hint="default"/>
          <w:sz w:val="24"/>
          <w:szCs w:val="24"/>
          <w:lang w:val="ro-RO"/>
        </w:rPr>
        <w:t xml:space="preserve"> din </w:t>
      </w:r>
      <w:r>
        <w:rPr>
          <w:sz w:val="24"/>
          <w:szCs w:val="24"/>
          <w:lang w:val="it-IT"/>
        </w:rPr>
        <w:t>Legea nr. 227/2015 privind Codul Fiscal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, majorările de întârziere, precum și amenzile aferente se pot utiliza  exclusiv pentru lucrări de întreținere, modernizare, reabilitare și construire a drumurilor  locale și județene, din care 60% constituie venituri la bugetul local și 40% constituie venituri la bugetul județean.</w:t>
      </w:r>
    </w:p>
    <w:p w14:paraId="52F546B4">
      <w:pPr>
        <w:jc w:val="both"/>
        <w:rPr>
          <w:sz w:val="24"/>
          <w:szCs w:val="24"/>
          <w:lang w:val="it-IT"/>
        </w:rPr>
      </w:pPr>
    </w:p>
    <w:p w14:paraId="28F50724">
      <w:pPr>
        <w:tabs>
          <w:tab w:val="left" w:pos="284"/>
        </w:tabs>
        <w:spacing w:after="120"/>
        <w:jc w:val="both"/>
        <w:rPr>
          <w:sz w:val="24"/>
          <w:szCs w:val="24"/>
          <w:lang w:val="it-IT" w:eastAsia="ro-RO"/>
        </w:rPr>
      </w:pPr>
      <w:r>
        <w:rPr>
          <w:sz w:val="24"/>
          <w:szCs w:val="24"/>
          <w:lang w:val="it-IT" w:eastAsia="ro-RO"/>
        </w:rPr>
        <w:t xml:space="preserve">              Ținând cont de competența materială și teritorială a Consiliului Local  al Municipiului Marghita, propun admiterea proiectului în forma iniția</w:t>
      </w:r>
      <w:r>
        <w:rPr>
          <w:rFonts w:hint="default"/>
          <w:sz w:val="24"/>
          <w:szCs w:val="24"/>
          <w:lang w:val="hu-HU" w:eastAsia="ro-RO"/>
        </w:rPr>
        <w:t>t</w:t>
      </w:r>
      <w:r>
        <w:rPr>
          <w:sz w:val="24"/>
          <w:szCs w:val="24"/>
          <w:lang w:val="it-IT" w:eastAsia="ro-RO"/>
        </w:rPr>
        <w:t>ă de primar.</w:t>
      </w:r>
    </w:p>
    <w:p w14:paraId="627598D7">
      <w:pPr>
        <w:jc w:val="both"/>
        <w:rPr>
          <w:b/>
          <w:sz w:val="24"/>
          <w:szCs w:val="24"/>
          <w:lang w:val="it-IT" w:eastAsia="ro-RO"/>
        </w:rPr>
      </w:pPr>
      <w:r>
        <w:rPr>
          <w:sz w:val="24"/>
          <w:szCs w:val="24"/>
          <w:lang w:val="it-IT" w:eastAsia="ro-RO"/>
        </w:rPr>
        <w:tab/>
      </w:r>
      <w:r>
        <w:rPr>
          <w:sz w:val="24"/>
          <w:szCs w:val="24"/>
          <w:lang w:val="it-IT" w:eastAsia="ro-RO"/>
        </w:rPr>
        <w:tab/>
      </w:r>
    </w:p>
    <w:p w14:paraId="40611772">
      <w:pPr>
        <w:jc w:val="center"/>
        <w:rPr>
          <w:b/>
          <w:sz w:val="24"/>
          <w:szCs w:val="24"/>
          <w:lang w:val="it-IT" w:eastAsia="ro-RO"/>
        </w:rPr>
      </w:pPr>
    </w:p>
    <w:p w14:paraId="2D8F8458">
      <w:pPr>
        <w:jc w:val="center"/>
        <w:rPr>
          <w:b/>
          <w:sz w:val="24"/>
          <w:szCs w:val="24"/>
          <w:lang w:val="it-IT" w:eastAsia="ro-RO"/>
        </w:rPr>
      </w:pPr>
    </w:p>
    <w:p w14:paraId="4BA71000">
      <w:pPr>
        <w:jc w:val="center"/>
        <w:rPr>
          <w:b/>
          <w:sz w:val="24"/>
          <w:szCs w:val="24"/>
          <w:lang w:val="it-IT" w:eastAsia="ro-RO"/>
        </w:rPr>
      </w:pPr>
    </w:p>
    <w:p w14:paraId="57068B6F">
      <w:pPr>
        <w:ind w:firstLine="720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Întocmit</w:t>
      </w:r>
    </w:p>
    <w:p w14:paraId="2D2AE1B1">
      <w:pPr>
        <w:ind w:firstLine="720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Șef Serviciu Impozite și Taxe Locale</w:t>
      </w:r>
    </w:p>
    <w:p w14:paraId="2A0F4B12">
      <w:pPr>
        <w:ind w:firstLine="720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it-IT"/>
        </w:rPr>
        <w:t>Ciarn</w:t>
      </w:r>
      <w:r>
        <w:rPr>
          <w:color w:val="000000"/>
          <w:sz w:val="24"/>
          <w:szCs w:val="24"/>
        </w:rPr>
        <w:t>ău Mihaela-Florica</w:t>
      </w:r>
    </w:p>
    <w:p w14:paraId="436F8202">
      <w:pPr>
        <w:jc w:val="center"/>
        <w:rPr>
          <w:sz w:val="24"/>
          <w:szCs w:val="24"/>
          <w:lang w:val="it-IT"/>
        </w:rPr>
      </w:pPr>
    </w:p>
    <w:p w14:paraId="4B22AE0B">
      <w:pPr>
        <w:keepNext w:val="0"/>
        <w:keepLines w:val="0"/>
        <w:pageBreakBefore w:val="0"/>
        <w:widowControl/>
        <w:tabs>
          <w:tab w:val="left" w:pos="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ind w:left="283" w:right="100" w:rightChars="50"/>
        <w:jc w:val="both"/>
        <w:textAlignment w:val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</w:p>
    <w:p w14:paraId="2C0E0D31">
      <w:pPr>
        <w:tabs>
          <w:tab w:val="left" w:pos="284"/>
        </w:tabs>
        <w:spacing w:after="120"/>
        <w:ind w:left="0" w:leftChars="0" w:firstLine="0" w:firstLineChars="0"/>
        <w:jc w:val="both"/>
        <w:rPr>
          <w:sz w:val="24"/>
          <w:szCs w:val="24"/>
          <w:lang w:eastAsia="ro-RO"/>
        </w:rPr>
      </w:pPr>
    </w:p>
    <w:p w14:paraId="27286025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Anexa nr.</w:t>
      </w:r>
      <w:r>
        <w:rPr>
          <w:rFonts w:hint="default"/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it-IT"/>
        </w:rPr>
        <w:t>1</w:t>
      </w:r>
    </w:p>
    <w:p w14:paraId="5FABC3B3">
      <w:pPr>
        <w:jc w:val="center"/>
        <w:rPr>
          <w:b/>
          <w:sz w:val="24"/>
          <w:szCs w:val="24"/>
          <w:lang w:val="it-IT"/>
        </w:rPr>
      </w:pPr>
    </w:p>
    <w:p w14:paraId="50A4F59E">
      <w:pPr>
        <w:jc w:val="center"/>
        <w:rPr>
          <w:b/>
          <w:lang w:val="it-IT"/>
        </w:rPr>
      </w:pPr>
    </w:p>
    <w:p w14:paraId="25C475FE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autoSpaceDE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T A B L O U L</w:t>
      </w:r>
    </w:p>
    <w:p w14:paraId="45D0D00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autoSpaceDE w:val="0"/>
        <w:jc w:val="both"/>
        <w:rPr>
          <w:b/>
          <w:bCs/>
          <w:sz w:val="22"/>
          <w:szCs w:val="22"/>
        </w:rPr>
      </w:pPr>
    </w:p>
    <w:p w14:paraId="1F1FCF7E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autoSpaceDE w:val="0"/>
        <w:jc w:val="both"/>
        <w:rPr>
          <w:sz w:val="24"/>
          <w:szCs w:val="24"/>
        </w:rPr>
      </w:pPr>
      <w:r>
        <w:rPr>
          <w:rFonts w:eastAsia="TimesNewRoman"/>
          <w:bCs/>
          <w:sz w:val="24"/>
          <w:szCs w:val="24"/>
        </w:rPr>
        <w:t>cuprinzând</w:t>
      </w:r>
      <w:r>
        <w:rPr>
          <w:rFonts w:eastAsia="TimesNewRoman"/>
          <w:b/>
          <w:bCs/>
          <w:sz w:val="24"/>
          <w:szCs w:val="24"/>
        </w:rPr>
        <w:t xml:space="preserve"> </w:t>
      </w:r>
      <w:r>
        <w:rPr>
          <w:sz w:val="24"/>
          <w:szCs w:val="24"/>
          <w:lang w:val="it-IT"/>
        </w:rPr>
        <w:t>nivelul impozitelor pentru anul 202</w:t>
      </w:r>
      <w:r>
        <w:rPr>
          <w:rFonts w:hint="default"/>
          <w:sz w:val="24"/>
          <w:szCs w:val="24"/>
          <w:lang w:val="en-US"/>
        </w:rPr>
        <w:t xml:space="preserve">5 </w:t>
      </w:r>
      <w:r>
        <w:rPr>
          <w:sz w:val="24"/>
          <w:szCs w:val="24"/>
          <w:lang w:val="it-IT"/>
        </w:rPr>
        <w:t xml:space="preserve">a </w:t>
      </w:r>
      <w:r>
        <w:rPr>
          <w:sz w:val="24"/>
          <w:szCs w:val="24"/>
        </w:rPr>
        <w:t>mijloacelor de transport în cazul mijloacelor de transport marfă cu masa totală autorizată egala sau mai mare cu 12 t</w:t>
      </w:r>
      <w:r>
        <w:rPr>
          <w:rFonts w:hint="default"/>
          <w:sz w:val="24"/>
          <w:szCs w:val="24"/>
          <w:lang w:val="ro-RO"/>
        </w:rPr>
        <w:t>one</w:t>
      </w:r>
      <w:r>
        <w:rPr>
          <w:sz w:val="24"/>
          <w:szCs w:val="24"/>
        </w:rPr>
        <w:t xml:space="preserve"> și pentru mijloacele de transport în cazul unei combina</w:t>
      </w:r>
      <w:r>
        <w:rPr>
          <w:sz w:val="24"/>
          <w:szCs w:val="24"/>
          <w:lang w:val="ro-RO"/>
        </w:rPr>
        <w:t>ț</w:t>
      </w:r>
      <w:r>
        <w:rPr>
          <w:sz w:val="24"/>
          <w:szCs w:val="24"/>
        </w:rPr>
        <w:t>ii de autovehicule, un autovehicul articulat sau tren rutier de transport marfă cu masa totală maximă autorizată agală sau mai mare de 12 t</w:t>
      </w:r>
      <w:r>
        <w:rPr>
          <w:rFonts w:hint="default"/>
          <w:sz w:val="24"/>
          <w:szCs w:val="24"/>
          <w:lang w:val="ro-RO"/>
        </w:rPr>
        <w:t>one</w:t>
      </w:r>
      <w:r>
        <w:rPr>
          <w:sz w:val="24"/>
          <w:szCs w:val="24"/>
          <w:lang w:val="it-IT"/>
        </w:rPr>
        <w:t>, prev</w:t>
      </w:r>
      <w:r>
        <w:rPr>
          <w:sz w:val="24"/>
          <w:szCs w:val="24"/>
          <w:lang w:val="ro-RO"/>
        </w:rPr>
        <w:t>ă</w:t>
      </w:r>
      <w:r>
        <w:rPr>
          <w:sz w:val="24"/>
          <w:szCs w:val="24"/>
          <w:lang w:val="it-IT"/>
        </w:rPr>
        <w:t>zute de Legea nr.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 xml:space="preserve">227/2015 privind Codul Fiscal și </w:t>
      </w:r>
      <w:r>
        <w:rPr>
          <w:sz w:val="24"/>
          <w:szCs w:val="24"/>
        </w:rPr>
        <w:t xml:space="preserve">indexate având în vedere rata de schimb a monedei euro  de </w:t>
      </w:r>
      <w:r>
        <w:rPr>
          <w:b/>
          <w:bCs/>
          <w:sz w:val="24"/>
          <w:szCs w:val="24"/>
        </w:rPr>
        <w:t>4,9</w:t>
      </w:r>
      <w:r>
        <w:rPr>
          <w:rFonts w:hint="default"/>
          <w:b/>
          <w:bCs/>
          <w:sz w:val="24"/>
          <w:szCs w:val="24"/>
          <w:lang w:val="ro-RO"/>
        </w:rPr>
        <w:t>7</w:t>
      </w:r>
      <w:r>
        <w:rPr>
          <w:rFonts w:hint="default"/>
          <w:b/>
          <w:bCs/>
          <w:sz w:val="24"/>
          <w:szCs w:val="24"/>
          <w:lang w:val="en-US"/>
        </w:rPr>
        <w:t>53</w:t>
      </w:r>
      <w:r>
        <w:rPr>
          <w:sz w:val="24"/>
          <w:szCs w:val="24"/>
        </w:rPr>
        <w:t xml:space="preserve"> lei în vigoare în prima zi lucrătoare a lunii octombrie a anului 202</w:t>
      </w:r>
      <w:r>
        <w:rPr>
          <w:rFonts w:hint="default"/>
          <w:sz w:val="24"/>
          <w:szCs w:val="24"/>
          <w:lang w:val="en-US"/>
        </w:rPr>
        <w:t>4</w:t>
      </w:r>
      <w:r>
        <w:rPr>
          <w:sz w:val="24"/>
          <w:szCs w:val="24"/>
        </w:rPr>
        <w:t xml:space="preserve"> și ținând cont de nivelurile minime prevăzute în </w:t>
      </w:r>
      <w:r>
        <w:rPr>
          <w:sz w:val="24"/>
          <w:szCs w:val="24"/>
          <w:lang w:val="it-IT"/>
        </w:rPr>
        <w:t>Directiva 1999/62/CE  de aplicare la vehiculele grele de marfă pentru utilizarea anumitor infrastructuri.</w:t>
      </w:r>
    </w:p>
    <w:p w14:paraId="41A86335">
      <w:pPr>
        <w:autoSpaceDE w:val="0"/>
        <w:rPr>
          <w:b/>
          <w:sz w:val="20"/>
          <w:szCs w:val="20"/>
          <w:lang w:val="ro-RO"/>
        </w:rPr>
      </w:pPr>
    </w:p>
    <w:p w14:paraId="3676471F">
      <w:pPr>
        <w:autoSpaceDE w:val="0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</w:t>
      </w:r>
    </w:p>
    <w:p w14:paraId="328DFAE0">
      <w:pPr>
        <w:autoSpaceDE w:val="0"/>
      </w:pPr>
      <w:r>
        <w:rPr>
          <w:b/>
          <w:sz w:val="20"/>
          <w:szCs w:val="20"/>
          <w:lang w:val="ro-RO"/>
        </w:rPr>
        <w:t xml:space="preserve">    </w:t>
      </w:r>
    </w:p>
    <w:p w14:paraId="2664B69A">
      <w:pPr>
        <w:numPr>
          <w:ilvl w:val="0"/>
          <w:numId w:val="5"/>
        </w:numPr>
        <w:autoSpaceDE w:val="0"/>
        <w:jc w:val="both"/>
        <w:rPr>
          <w:rFonts w:eastAsia="TimesNewRomanOOEnc"/>
          <w:sz w:val="24"/>
          <w:szCs w:val="24"/>
        </w:rPr>
      </w:pPr>
      <w:r>
        <w:rPr>
          <w:b/>
          <w:sz w:val="24"/>
          <w:szCs w:val="24"/>
          <w:lang w:val="ro-RO"/>
        </w:rPr>
        <w:t>A</w:t>
      </w:r>
      <w:r>
        <w:rPr>
          <w:rFonts w:eastAsia="TimesNewRoman"/>
          <w:b/>
          <w:bCs/>
          <w:sz w:val="24"/>
          <w:szCs w:val="24"/>
        </w:rPr>
        <w:t>utovehicule de transport de marfă cu masa totală autorizată egală sau mai mare de 12</w:t>
      </w:r>
      <w:r>
        <w:rPr>
          <w:rFonts w:hint="default" w:eastAsia="TimesNewRoman"/>
          <w:b/>
          <w:bCs/>
          <w:sz w:val="24"/>
          <w:szCs w:val="24"/>
          <w:lang w:val="ro-RO"/>
        </w:rPr>
        <w:t xml:space="preserve"> </w:t>
      </w:r>
      <w:r>
        <w:rPr>
          <w:rFonts w:eastAsia="TimesNewRoman"/>
          <w:b/>
          <w:bCs/>
          <w:sz w:val="24"/>
          <w:szCs w:val="24"/>
        </w:rPr>
        <w:t>tone</w:t>
      </w:r>
      <w:r>
        <w:rPr>
          <w:sz w:val="24"/>
          <w:szCs w:val="24"/>
        </w:rPr>
        <w:t xml:space="preserve">, impozitul pe mijloacele de transport este </w:t>
      </w:r>
      <w:r>
        <w:rPr>
          <w:rFonts w:eastAsia="TimesNewRomanOOEnc"/>
          <w:sz w:val="24"/>
          <w:szCs w:val="24"/>
        </w:rPr>
        <w:t>egal cu suma corespunzătoare prevăzută în tabelul următor*:</w:t>
      </w:r>
    </w:p>
    <w:p w14:paraId="269647E5">
      <w:pPr>
        <w:autoSpaceDE w:val="0"/>
        <w:rPr>
          <w:rFonts w:eastAsia="TimesNewRomanOOEnc"/>
          <w:sz w:val="24"/>
          <w:szCs w:val="24"/>
        </w:rPr>
      </w:pPr>
    </w:p>
    <w:p w14:paraId="3A2F3CA9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(</w:t>
      </w:r>
      <w:r>
        <w:rPr>
          <w:rFonts w:eastAsia="TimesNewRomanOOEnc"/>
          <w:b/>
          <w:i/>
          <w:sz w:val="24"/>
          <w:szCs w:val="24"/>
          <w:lang w:val="ro-RO"/>
        </w:rPr>
        <w:t>Art. 470, alin.</w:t>
      </w:r>
      <w:r>
        <w:rPr>
          <w:rFonts w:hint="default" w:eastAsia="TimesNewRomanOOEnc"/>
          <w:b/>
          <w:i/>
          <w:sz w:val="24"/>
          <w:szCs w:val="24"/>
          <w:lang w:val="ro-RO"/>
        </w:rPr>
        <w:t xml:space="preserve"> </w:t>
      </w:r>
      <w:r>
        <w:rPr>
          <w:rFonts w:eastAsia="TimesNewRomanOOEnc"/>
          <w:b/>
          <w:i/>
          <w:sz w:val="24"/>
          <w:szCs w:val="24"/>
          <w:lang w:val="ro-RO"/>
        </w:rPr>
        <w:t>(5)- Legea</w:t>
      </w:r>
      <w:r>
        <w:rPr>
          <w:rFonts w:hint="default" w:eastAsia="TimesNewRomanOOEnc"/>
          <w:b/>
          <w:i/>
          <w:sz w:val="24"/>
          <w:szCs w:val="24"/>
          <w:lang w:val="ro-RO"/>
        </w:rPr>
        <w:t xml:space="preserve"> nr. </w:t>
      </w:r>
      <w:r>
        <w:rPr>
          <w:rFonts w:eastAsia="TimesNewRomanOOEnc"/>
          <w:b/>
          <w:i/>
          <w:sz w:val="24"/>
          <w:szCs w:val="24"/>
          <w:lang w:val="ro-RO"/>
        </w:rPr>
        <w:t xml:space="preserve"> 227/2015 privind </w:t>
      </w:r>
      <w:r>
        <w:rPr>
          <w:rFonts w:hint="default" w:eastAsia="TimesNewRomanOOEnc"/>
          <w:b/>
          <w:i/>
          <w:sz w:val="24"/>
          <w:szCs w:val="24"/>
          <w:lang w:val="ro-RO"/>
        </w:rPr>
        <w:t>C</w:t>
      </w:r>
      <w:r>
        <w:rPr>
          <w:rFonts w:eastAsia="TimesNewRomanOOEnc"/>
          <w:b/>
          <w:i/>
          <w:sz w:val="24"/>
          <w:szCs w:val="24"/>
          <w:lang w:val="ro-RO"/>
        </w:rPr>
        <w:t>odul fiscal)</w:t>
      </w:r>
      <w:r>
        <w:rPr>
          <w:b/>
          <w:sz w:val="24"/>
          <w:szCs w:val="24"/>
          <w:lang w:val="ro-RO"/>
        </w:rPr>
        <w:t xml:space="preserve"> </w:t>
      </w:r>
    </w:p>
    <w:p w14:paraId="0294485F">
      <w:pPr>
        <w:jc w:val="both"/>
        <w:rPr>
          <w:b/>
          <w:sz w:val="24"/>
          <w:szCs w:val="24"/>
          <w:lang w:val="ro-RO"/>
        </w:rPr>
      </w:pPr>
    </w:p>
    <w:p w14:paraId="3475AB54">
      <w:pPr>
        <w:jc w:val="both"/>
        <w:rPr>
          <w:b/>
          <w:sz w:val="20"/>
          <w:szCs w:val="20"/>
          <w:lang w:val="ro-RO"/>
        </w:rPr>
      </w:pPr>
    </w:p>
    <w:tbl>
      <w:tblPr>
        <w:tblStyle w:val="6"/>
        <w:tblW w:w="1020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1140"/>
        <w:gridCol w:w="1265"/>
        <w:gridCol w:w="1627"/>
        <w:gridCol w:w="1176"/>
        <w:gridCol w:w="1536"/>
        <w:gridCol w:w="1263"/>
      </w:tblGrid>
      <w:tr w14:paraId="5F544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8A7ED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b/>
                <w:bCs/>
                <w:sz w:val="24"/>
                <w:szCs w:val="24"/>
              </w:rPr>
              <w:t>Numărul de axe şi greutatea brută încărcată maximă admisă</w:t>
            </w:r>
          </w:p>
        </w:tc>
        <w:tc>
          <w:tcPr>
            <w:tcW w:w="24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FDB156">
            <w:pPr>
              <w:snapToGrid w:val="0"/>
              <w:rPr>
                <w:b/>
                <w:sz w:val="24"/>
                <w:szCs w:val="24"/>
                <w:lang w:val="ro-RO"/>
              </w:rPr>
            </w:pPr>
          </w:p>
          <w:p w14:paraId="570D58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Valori minime ale taxelor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 xml:space="preserve">n euro din </w:t>
            </w:r>
          </w:p>
          <w:p w14:paraId="30822F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Directiva 1999/62/CE  </w:t>
            </w: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535A67">
            <w:pPr>
              <w:jc w:val="center"/>
              <w:rPr>
                <w:rFonts w:hint="default"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Impozitul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 xml:space="preserve">n lei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>n anul 202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2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FC1502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Impozitul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 xml:space="preserve">n lei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>n anul 202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5</w:t>
            </w:r>
          </w:p>
        </w:tc>
      </w:tr>
      <w:tr w14:paraId="63C48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A2851B">
            <w:pPr>
              <w:snapToGrid w:val="0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4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4760A23">
            <w:pPr>
              <w:snapToGrid w:val="0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BA5BD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Ax(e)motor(oare) cu sistem de suspensie</w:t>
            </w:r>
          </w:p>
          <w:p w14:paraId="6D95C172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b/>
                <w:bCs/>
                <w:sz w:val="24"/>
                <w:szCs w:val="24"/>
              </w:rPr>
              <w:t>pneumatică sau</w:t>
            </w:r>
          </w:p>
          <w:p w14:paraId="169CAD6E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Echivalentele</w:t>
            </w:r>
          </w:p>
          <w:p w14:paraId="24CB037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recunoscute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1D2F7F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Alte sisteme</w:t>
            </w:r>
          </w:p>
          <w:p w14:paraId="417F4652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 suspensie</w:t>
            </w:r>
          </w:p>
          <w:p w14:paraId="4EF6DE6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pentru axele</w:t>
            </w:r>
          </w:p>
          <w:p w14:paraId="65F94B5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motoare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5EF901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Ax(e) motor(oare) cu sistem de suspensie</w:t>
            </w:r>
          </w:p>
          <w:p w14:paraId="554E4741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b/>
                <w:bCs/>
                <w:sz w:val="24"/>
                <w:szCs w:val="24"/>
              </w:rPr>
              <w:t>pneumatică sau</w:t>
            </w:r>
          </w:p>
          <w:p w14:paraId="0901DD8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echivalentele</w:t>
            </w:r>
          </w:p>
          <w:p w14:paraId="57050B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recunoscute</w:t>
            </w:r>
          </w:p>
        </w:tc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40D882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Alte sisteme</w:t>
            </w:r>
          </w:p>
          <w:p w14:paraId="08E6E3C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 suspensie</w:t>
            </w:r>
          </w:p>
          <w:p w14:paraId="459F116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pentru axele</w:t>
            </w:r>
          </w:p>
          <w:p w14:paraId="158B116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motoare</w:t>
            </w:r>
          </w:p>
        </w:tc>
      </w:tr>
      <w:tr w14:paraId="65EBC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68993A8">
            <w:pPr>
              <w:snapToGrid w:val="0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AE8CB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Suspen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  <w:lang w:val="ro-RO"/>
              </w:rPr>
              <w:t>sie</w:t>
            </w:r>
          </w:p>
          <w:p w14:paraId="3AF188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Pneuma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  <w:lang w:val="ro-RO"/>
              </w:rPr>
              <w:t>tică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F7BEC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Alt tip de suspensie</w:t>
            </w:r>
          </w:p>
        </w:tc>
        <w:tc>
          <w:tcPr>
            <w:tcW w:w="1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43B270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28C25B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A509CC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AA700C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  <w:tr w14:paraId="75F5F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B17E0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C1CB98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Vehicul cu 2 axe   </w:t>
            </w:r>
          </w:p>
          <w:p w14:paraId="08D9B11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14:paraId="4300C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32F2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12 tone, dar mai mică de 13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44FD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043731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B1C7E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F955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31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48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5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6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9B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</w:tr>
      <w:tr w14:paraId="41E8B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0C8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13 tone, dar mai mică de 14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B604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3B2A70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31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C9B8C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38CAFD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86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14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11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1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48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</w:tr>
      <w:tr w14:paraId="6FD46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014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>Masa de cel puţin 14 tone, dar mai mică de 15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5FAE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72DD77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86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1B82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27762B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121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1A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8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C3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39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</w:tr>
      <w:tr w14:paraId="2E0BE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BF9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eastAsia="TimesNewRomanOOEnc"/>
                <w:sz w:val="24"/>
                <w:szCs w:val="24"/>
              </w:rPr>
              <w:t>Masa de cel puţin 15 tone, dar mai mică de 18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9AFF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6D0618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121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1F06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</w:p>
          <w:p w14:paraId="0F5DDCB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274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70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B3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72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5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</w:tr>
      <w:tr w14:paraId="5D7B1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0120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Masa cel pu</w:t>
            </w:r>
            <w:r>
              <w:rPr>
                <w:rFonts w:eastAsia="TimesNewRomanOOEnc"/>
                <w:sz w:val="24"/>
                <w:szCs w:val="24"/>
              </w:rPr>
              <w:t>ţ</w:t>
            </w:r>
            <w:r>
              <w:rPr>
                <w:sz w:val="24"/>
                <w:szCs w:val="24"/>
              </w:rPr>
              <w:t>in 18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532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121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F4E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274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3A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7B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29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A8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</w:tr>
      <w:tr w14:paraId="7670E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D36036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589A034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Vehicul cu 3 axe</w:t>
            </w:r>
          </w:p>
          <w:p w14:paraId="6B01E680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14:paraId="5EB4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4F82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15 tone, dar mai mică de 17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BA42DD0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5B1D68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3ECD70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6241D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0E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35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B7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91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</w:tr>
      <w:tr w14:paraId="3BCCB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16FFF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17 tone, dar mai mică de 19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2AC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EE5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111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67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AC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27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04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</w:tr>
      <w:tr w14:paraId="5C842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C219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>Masa de cel puţin 19 tone, dar mai mică de 21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5BCC542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388AA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111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46B500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41AE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144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F7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E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72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88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</w:tr>
      <w:tr w14:paraId="3FA6D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23EC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eastAsia="TimesNewRomanOOEnc"/>
                <w:sz w:val="24"/>
                <w:szCs w:val="24"/>
              </w:rPr>
              <w:t>Masa de cel puţin 21 tone, dar mai mică de 23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AC394EF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67C0C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144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4CAC75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4D317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35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D7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51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27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</w:tr>
      <w:tr w14:paraId="33BB4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9F23A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rFonts w:eastAsia="TimesNewRomanOOEnc"/>
                <w:sz w:val="24"/>
                <w:szCs w:val="24"/>
              </w:rPr>
              <w:t>Masa de cel puţin 23 tone, dar mai mică de 25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B70C02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668DA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72E1A26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6BBB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345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3D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04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E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7E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</w:tr>
      <w:tr w14:paraId="241C2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2A9D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rFonts w:eastAsia="TimesNewRomanOOEnc"/>
                <w:sz w:val="24"/>
                <w:szCs w:val="24"/>
              </w:rPr>
              <w:t>Masa de cel puţin 25 tone, dar mai mică de 26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AC3D44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11C119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296077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2B49D4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345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99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E4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0B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ED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</w:tr>
      <w:tr w14:paraId="0F728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05C56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rFonts w:eastAsia="TimesNewRomanOOEnc"/>
                <w:sz w:val="24"/>
                <w:szCs w:val="24"/>
              </w:rPr>
              <w:t>Masa de cel puţin 26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224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1E1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345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04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1E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E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E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</w:t>
            </w:r>
          </w:p>
        </w:tc>
      </w:tr>
      <w:tr w14:paraId="618D5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7F67AF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</w:p>
          <w:p w14:paraId="4B9A1C51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  <w:r>
              <w:rPr>
                <w:b/>
                <w:bCs w:val="0"/>
                <w:sz w:val="24"/>
                <w:szCs w:val="24"/>
                <w:lang w:val="ro-RO"/>
              </w:rPr>
              <w:t>Vehicul cu 4 axe</w:t>
            </w:r>
          </w:p>
          <w:p w14:paraId="1C95BFB0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</w:p>
        </w:tc>
      </w:tr>
      <w:tr w14:paraId="3D4EF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3D7C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23 tone, dar mai mică de 25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C263EA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2B576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144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37508A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198E1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146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3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35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D8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48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</w:tr>
      <w:tr w14:paraId="7F8CE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D7C9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25 tone, dar mai mică de 27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172469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4D840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146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EA13EF0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5BBA21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228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0A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D0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C8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23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</w:tr>
      <w:tr w14:paraId="1078C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314C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>Masa de cel puţin 27 tone, dar mai mică de 29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F93FA7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3C109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90A761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3838B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362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0C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6B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6C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9F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</w:tr>
      <w:tr w14:paraId="576F9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BDB3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eastAsia="TimesNewRomanOOEnc"/>
                <w:sz w:val="24"/>
                <w:szCs w:val="24"/>
              </w:rPr>
              <w:t>Masa de cel puţin 29 tone, dar mai mică de 31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BD45A8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4DF30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362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998F68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2A796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537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13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B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F4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A0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2672</w:t>
            </w:r>
          </w:p>
        </w:tc>
      </w:tr>
      <w:tr w14:paraId="1D2EE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F042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TimesNewRomanOOEnc"/>
                <w:sz w:val="24"/>
                <w:szCs w:val="24"/>
              </w:rPr>
              <w:t xml:space="preserve"> Masa de cel puţin 31tone, dar mai mică de 32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027ABC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013AD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362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A95DD2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76FEE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537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A8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2F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BA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5A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2672</w:t>
            </w:r>
          </w:p>
        </w:tc>
      </w:tr>
      <w:tr w14:paraId="623FF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A450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rFonts w:eastAsia="TimesNewRomanOOEnc"/>
                <w:sz w:val="24"/>
                <w:szCs w:val="24"/>
              </w:rPr>
              <w:t>Masa de cel puţin 32 tone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AF4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362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AEB0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537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8F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05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64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2B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2672</w:t>
            </w:r>
          </w:p>
        </w:tc>
      </w:tr>
    </w:tbl>
    <w:p w14:paraId="4C38CF8A">
      <w:pPr>
        <w:autoSpaceDE w:val="0"/>
        <w:jc w:val="both"/>
        <w:rPr>
          <w:b/>
          <w:sz w:val="24"/>
          <w:szCs w:val="24"/>
          <w:lang w:val="ro-RO"/>
        </w:rPr>
      </w:pPr>
    </w:p>
    <w:p w14:paraId="27487763">
      <w:pPr>
        <w:autoSpaceDE w:val="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</w:t>
      </w:r>
    </w:p>
    <w:p w14:paraId="0D6E76CF">
      <w:pPr>
        <w:autoSpaceDE w:val="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</w:p>
    <w:p w14:paraId="58024850">
      <w:pPr>
        <w:autoSpaceDE w:val="0"/>
        <w:jc w:val="both"/>
        <w:rPr>
          <w:b/>
          <w:sz w:val="24"/>
          <w:szCs w:val="24"/>
          <w:lang w:val="ro-RO"/>
        </w:rPr>
      </w:pPr>
    </w:p>
    <w:p w14:paraId="7166B752">
      <w:pPr>
        <w:autoSpaceDE w:val="0"/>
        <w:jc w:val="both"/>
        <w:rPr>
          <w:b/>
          <w:sz w:val="24"/>
          <w:szCs w:val="24"/>
          <w:lang w:val="ro-RO"/>
        </w:rPr>
      </w:pPr>
    </w:p>
    <w:p w14:paraId="539215FE">
      <w:pPr>
        <w:autoSpaceDE w:val="0"/>
        <w:jc w:val="both"/>
        <w:rPr>
          <w:b/>
          <w:sz w:val="24"/>
          <w:szCs w:val="24"/>
          <w:lang w:val="ro-RO"/>
        </w:rPr>
      </w:pPr>
    </w:p>
    <w:p w14:paraId="39746971">
      <w:pPr>
        <w:autoSpaceDE w:val="0"/>
        <w:jc w:val="both"/>
        <w:rPr>
          <w:b/>
          <w:sz w:val="24"/>
          <w:szCs w:val="24"/>
          <w:lang w:val="ro-RO"/>
        </w:rPr>
      </w:pPr>
    </w:p>
    <w:p w14:paraId="3F1655BA">
      <w:pPr>
        <w:autoSpaceDE w:val="0"/>
        <w:jc w:val="both"/>
        <w:rPr>
          <w:b/>
          <w:sz w:val="24"/>
          <w:szCs w:val="24"/>
          <w:lang w:val="ro-RO"/>
        </w:rPr>
      </w:pPr>
    </w:p>
    <w:p w14:paraId="70C8EA5F">
      <w:pPr>
        <w:autoSpaceDE w:val="0"/>
        <w:jc w:val="both"/>
        <w:rPr>
          <w:b/>
          <w:sz w:val="24"/>
          <w:szCs w:val="24"/>
          <w:lang w:val="ro-RO"/>
        </w:rPr>
      </w:pPr>
    </w:p>
    <w:p w14:paraId="7588D9C4">
      <w:pPr>
        <w:autoSpaceDE w:val="0"/>
        <w:jc w:val="both"/>
        <w:rPr>
          <w:b/>
          <w:sz w:val="24"/>
          <w:szCs w:val="24"/>
          <w:lang w:val="ro-RO"/>
        </w:rPr>
      </w:pPr>
    </w:p>
    <w:p w14:paraId="6A79D04A">
      <w:pPr>
        <w:autoSpaceDE w:val="0"/>
        <w:jc w:val="both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>I</w:t>
      </w:r>
      <w:r>
        <w:rPr>
          <w:rFonts w:hint="default"/>
          <w:b/>
          <w:sz w:val="24"/>
          <w:szCs w:val="24"/>
          <w:lang w:val="ro-RO"/>
        </w:rPr>
        <w:t>I</w:t>
      </w:r>
      <w:r>
        <w:rPr>
          <w:b/>
          <w:sz w:val="24"/>
          <w:szCs w:val="24"/>
          <w:lang w:val="ro-RO"/>
        </w:rPr>
        <w:t xml:space="preserve">. </w:t>
      </w:r>
      <w:r>
        <w:rPr>
          <w:b/>
          <w:sz w:val="24"/>
          <w:szCs w:val="24"/>
        </w:rPr>
        <w:t>În cazul unei</w:t>
      </w:r>
      <w:r>
        <w:rPr>
          <w:sz w:val="24"/>
          <w:szCs w:val="24"/>
        </w:rPr>
        <w:t xml:space="preserve"> </w:t>
      </w:r>
      <w:r>
        <w:rPr>
          <w:rFonts w:eastAsia="TimesNewRoman"/>
          <w:b/>
          <w:bCs/>
          <w:sz w:val="24"/>
          <w:szCs w:val="24"/>
        </w:rPr>
        <w:t xml:space="preserve">combinaţii de autovehicule, un autovehicul articulat sau tren rutier, de transport de marfă cu masa totală maximă autorizată egală </w:t>
      </w:r>
      <w:r>
        <w:rPr>
          <w:b/>
          <w:bCs/>
          <w:sz w:val="24"/>
          <w:szCs w:val="24"/>
        </w:rPr>
        <w:t>sau mai mare de 12 tone</w:t>
      </w:r>
      <w:r>
        <w:rPr>
          <w:rFonts w:eastAsia="TimesNewRomanOOEnc"/>
          <w:sz w:val="24"/>
          <w:szCs w:val="24"/>
        </w:rPr>
        <w:t>, impozitul pe mijloacele detransport este egal cu suma corespunzătoare prevăzută în tabelul următor:</w:t>
      </w:r>
    </w:p>
    <w:p w14:paraId="47C4245D">
      <w:pPr>
        <w:autoSpaceDE w:val="0"/>
        <w:ind w:firstLine="120" w:firstLineChars="50"/>
        <w:jc w:val="both"/>
        <w:rPr>
          <w:b/>
          <w:sz w:val="24"/>
          <w:szCs w:val="24"/>
          <w:lang w:val="ro-RO"/>
        </w:rPr>
      </w:pPr>
    </w:p>
    <w:p w14:paraId="663775EA">
      <w:pPr>
        <w:autoSpaceDE w:val="0"/>
        <w:jc w:val="both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>(</w:t>
      </w:r>
      <w:r>
        <w:rPr>
          <w:rFonts w:eastAsia="TimesNewRomanOOEnc"/>
          <w:i/>
          <w:sz w:val="24"/>
          <w:szCs w:val="24"/>
        </w:rPr>
        <w:t>Art. 470, alin.(6)- Legea</w:t>
      </w:r>
      <w:r>
        <w:rPr>
          <w:rFonts w:hint="default" w:eastAsia="TimesNewRomanOOEnc"/>
          <w:i/>
          <w:sz w:val="24"/>
          <w:szCs w:val="24"/>
          <w:lang w:val="ro-RO"/>
        </w:rPr>
        <w:t xml:space="preserve"> nr. </w:t>
      </w:r>
      <w:r>
        <w:rPr>
          <w:rFonts w:eastAsia="TimesNewRomanOOEnc"/>
          <w:i/>
          <w:sz w:val="24"/>
          <w:szCs w:val="24"/>
        </w:rPr>
        <w:t xml:space="preserve"> 227/2015 privind </w:t>
      </w:r>
      <w:r>
        <w:rPr>
          <w:rFonts w:hint="default" w:eastAsia="TimesNewRomanOOEnc"/>
          <w:i/>
          <w:sz w:val="24"/>
          <w:szCs w:val="24"/>
          <w:lang w:val="ro-RO"/>
        </w:rPr>
        <w:t>C</w:t>
      </w:r>
      <w:r>
        <w:rPr>
          <w:rFonts w:eastAsia="TimesNewRomanOOEnc"/>
          <w:i/>
          <w:sz w:val="24"/>
          <w:szCs w:val="24"/>
        </w:rPr>
        <w:t>odul fiscal)</w:t>
      </w:r>
      <w:r>
        <w:rPr>
          <w:sz w:val="24"/>
          <w:szCs w:val="24"/>
        </w:rPr>
        <w:t xml:space="preserve"> </w:t>
      </w:r>
    </w:p>
    <w:p w14:paraId="1CF80465">
      <w:pPr>
        <w:jc w:val="both"/>
        <w:rPr>
          <w:rFonts w:eastAsia="TimesNewRoman"/>
          <w:b/>
          <w:bCs/>
          <w:sz w:val="24"/>
          <w:szCs w:val="24"/>
          <w:lang w:val="ro-RO"/>
        </w:rPr>
      </w:pPr>
    </w:p>
    <w:p w14:paraId="20F4BEF2">
      <w:pPr>
        <w:jc w:val="both"/>
        <w:rPr>
          <w:rFonts w:eastAsia="TimesNewRoman"/>
          <w:b/>
          <w:bCs/>
          <w:sz w:val="24"/>
          <w:szCs w:val="24"/>
          <w:lang w:val="ro-RO"/>
        </w:rPr>
      </w:pPr>
    </w:p>
    <w:tbl>
      <w:tblPr>
        <w:tblStyle w:val="6"/>
        <w:tblW w:w="1020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128"/>
        <w:gridCol w:w="1248"/>
        <w:gridCol w:w="1632"/>
        <w:gridCol w:w="1164"/>
        <w:gridCol w:w="1572"/>
        <w:gridCol w:w="1227"/>
      </w:tblGrid>
      <w:tr w14:paraId="5CA87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5BAFA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b/>
                <w:bCs/>
                <w:sz w:val="24"/>
                <w:szCs w:val="24"/>
              </w:rPr>
              <w:t>Numărul de axe şi greutatea brută încărcată maximă admisă</w:t>
            </w:r>
          </w:p>
        </w:tc>
        <w:tc>
          <w:tcPr>
            <w:tcW w:w="23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2FBDD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Valori minime ale taxelor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>n euro din</w:t>
            </w:r>
          </w:p>
          <w:p w14:paraId="376E3C5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Directiva 1999/62/CE  </w:t>
            </w:r>
          </w:p>
        </w:tc>
        <w:tc>
          <w:tcPr>
            <w:tcW w:w="2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4CDCF4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Impozitul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 xml:space="preserve">n lei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>n anul 202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2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0A5E3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Impozitul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 xml:space="preserve">n lei 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>î</w:t>
            </w:r>
            <w:r>
              <w:rPr>
                <w:b/>
                <w:sz w:val="24"/>
                <w:szCs w:val="24"/>
                <w:lang w:val="ro-RO"/>
              </w:rPr>
              <w:t xml:space="preserve">n anul </w:t>
            </w:r>
          </w:p>
          <w:p w14:paraId="6162216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202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5</w:t>
            </w:r>
          </w:p>
        </w:tc>
      </w:tr>
      <w:tr w14:paraId="4D278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DF3C84">
            <w:pPr>
              <w:snapToGrid w:val="0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C01B0FB">
            <w:pPr>
              <w:snapToGrid w:val="0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50AE3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Ax(e)motor(oare) cu</w:t>
            </w:r>
          </w:p>
          <w:p w14:paraId="6CF43F8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sistem de suspensie</w:t>
            </w:r>
          </w:p>
          <w:p w14:paraId="3BFA52B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b/>
                <w:bCs/>
                <w:sz w:val="24"/>
                <w:szCs w:val="24"/>
              </w:rPr>
              <w:t>pneumatică sau</w:t>
            </w:r>
          </w:p>
          <w:p w14:paraId="5B8A7441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echivalentele</w:t>
            </w:r>
          </w:p>
          <w:p w14:paraId="00D34C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recunoscute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37AFF5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Alte sisteme</w:t>
            </w:r>
          </w:p>
          <w:p w14:paraId="7643B81F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 suspensie</w:t>
            </w:r>
          </w:p>
          <w:p w14:paraId="4179F5D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pentru axele</w:t>
            </w:r>
          </w:p>
          <w:p w14:paraId="6C13469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motoare</w:t>
            </w:r>
          </w:p>
        </w:tc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C6AC96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Ax(e) motor(oare) cu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sistem de suspensie</w:t>
            </w:r>
          </w:p>
          <w:p w14:paraId="65C8C48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rFonts w:eastAsia="TimesNewRoman"/>
                <w:b/>
                <w:bCs/>
                <w:sz w:val="24"/>
                <w:szCs w:val="24"/>
              </w:rPr>
              <w:t>pneumatică sau</w:t>
            </w:r>
          </w:p>
          <w:p w14:paraId="0F40C83A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echivalentele</w:t>
            </w:r>
          </w:p>
          <w:p w14:paraId="6EF62E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recunoscute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64E4EF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Alte sisteme</w:t>
            </w:r>
          </w:p>
          <w:p w14:paraId="197122B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 suspensie</w:t>
            </w:r>
          </w:p>
          <w:p w14:paraId="53382FAC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pentru axele</w:t>
            </w:r>
          </w:p>
          <w:p w14:paraId="30CB169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motoare</w:t>
            </w:r>
          </w:p>
        </w:tc>
      </w:tr>
      <w:tr w14:paraId="5DC09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434075">
            <w:pPr>
              <w:snapToGrid w:val="0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E80C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Suspen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  <w:lang w:val="ro-RO"/>
              </w:rPr>
              <w:t>sie</w:t>
            </w:r>
          </w:p>
          <w:p w14:paraId="044B2F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Pneuma</w:t>
            </w:r>
            <w:r>
              <w:rPr>
                <w:rFonts w:hint="default"/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  <w:lang w:val="ro-RO"/>
              </w:rPr>
              <w:t>tică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C60F7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o-RO"/>
              </w:rPr>
              <w:t>Alt tip de suspensie</w:t>
            </w:r>
          </w:p>
        </w:tc>
        <w:tc>
          <w:tcPr>
            <w:tcW w:w="1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30119F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D37F414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E7CE2F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A37F98">
            <w:pPr>
              <w:autoSpaceDE w:val="0"/>
              <w:snapToGrid w:val="0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  <w:tr w14:paraId="65CBB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89463C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3ACC043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Vehicul cu 2+1 axe</w:t>
            </w:r>
          </w:p>
          <w:p w14:paraId="73D52A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14:paraId="37656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3E66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12 tone, dar mai mică de 14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AF9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32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D0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6F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FE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48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6638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76A5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14 tone, dar mai mică de 16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BBC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9CE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FA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EF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CB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A1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F5F4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079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>Masa de cel puţin 16 tone, dar mai mică de 18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29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7F2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66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F9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C7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FA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 w14:paraId="53CEE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9E23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eastAsia="TimesNewRomanOOEnc"/>
                <w:sz w:val="24"/>
                <w:szCs w:val="24"/>
              </w:rPr>
              <w:t>Masa de cel puţin 18 tone, dar mai mică de 20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F78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11C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30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7A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2B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21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</w:tr>
      <w:tr w14:paraId="51C3F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F912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rFonts w:eastAsia="TimesNewRomanOOEnc"/>
                <w:sz w:val="24"/>
                <w:szCs w:val="24"/>
              </w:rPr>
              <w:t>Masa de cel puţin 20 tone, dar mai mică de 22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7E5A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D05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0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E6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0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9A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</w:tr>
      <w:tr w14:paraId="722E7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F17AE0A">
            <w:pPr>
              <w:jc w:val="both"/>
              <w:rPr>
                <w:sz w:val="24"/>
                <w:szCs w:val="24"/>
              </w:rPr>
            </w:pPr>
            <w:r>
              <w:rPr>
                <w:rFonts w:eastAsia="TimesNewRomanOOEnc"/>
                <w:sz w:val="24"/>
                <w:szCs w:val="24"/>
              </w:rPr>
              <w:t>6.Masa de cel puţin 22 tone, dar mai mică de 23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C45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2F8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97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8A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14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EE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AF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</w:tr>
      <w:tr w14:paraId="7BD01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2624CF">
            <w:pPr>
              <w:jc w:val="both"/>
              <w:rPr>
                <w:sz w:val="24"/>
                <w:szCs w:val="24"/>
              </w:rPr>
            </w:pPr>
            <w:r>
              <w:rPr>
                <w:rFonts w:eastAsia="TimesNewRomanOOEnc"/>
                <w:sz w:val="24"/>
                <w:szCs w:val="24"/>
              </w:rPr>
              <w:t>7.Masa de cel puţin 23 tone, dar mai mică de 25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F08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97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62B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175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48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9BC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A0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D4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</w:tr>
      <w:tr w14:paraId="4F956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032E93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NewRomanOOEnc"/>
                <w:sz w:val="24"/>
                <w:szCs w:val="24"/>
              </w:rPr>
              <w:t>Masa de cel puţin 25 tone, dar mai mică de 28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DA7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175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A1C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47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8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4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C0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</w:t>
            </w:r>
          </w:p>
        </w:tc>
      </w:tr>
      <w:tr w14:paraId="36010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330D90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NewRomanOOEnc"/>
                <w:sz w:val="24"/>
                <w:szCs w:val="24"/>
              </w:rPr>
              <w:t>9.</w:t>
            </w:r>
            <w:r>
              <w:rPr>
                <w:rFonts w:hint="default" w:eastAsia="TimesNewRomanOOEnc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NewRomanOOEnc"/>
                <w:sz w:val="24"/>
                <w:szCs w:val="24"/>
              </w:rPr>
              <w:t xml:space="preserve">Masa de cel puţin 28 tone,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902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175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08BA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14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9C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FD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F6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</w:t>
            </w:r>
          </w:p>
        </w:tc>
      </w:tr>
      <w:tr w14:paraId="34CE4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A3A6E3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</w:p>
          <w:p w14:paraId="36C0C6ED">
            <w:pPr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  <w:lang w:val="ro-RO"/>
              </w:rPr>
              <w:t>Vehicul cu 2+2 axe</w:t>
            </w:r>
          </w:p>
          <w:p w14:paraId="7F70B5CF">
            <w:pPr>
              <w:jc w:val="center"/>
              <w:rPr>
                <w:b w:val="0"/>
                <w:bCs/>
                <w:sz w:val="24"/>
                <w:szCs w:val="24"/>
                <w:lang w:val="ro-RO"/>
              </w:rPr>
            </w:pPr>
          </w:p>
        </w:tc>
      </w:tr>
      <w:tr w14:paraId="33F08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4197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23 tone, dar mai mică de 25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03D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72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5B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A1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B8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74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</w:tr>
      <w:tr w14:paraId="7EA9D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C348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25 tone, dar mai mică de 26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13E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014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115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70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9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66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31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</w:tr>
      <w:tr w14:paraId="546BA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5D6BB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>Masa de cel puţin 26 tone, dar mai mică de 28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CE2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BCC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169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AF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00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10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9A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</w:tr>
      <w:tr w14:paraId="4838A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E332D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eastAsia="TimesNewRomanOOEnc"/>
                <w:sz w:val="24"/>
                <w:szCs w:val="24"/>
              </w:rPr>
              <w:t>Masa de cel puţin 28 tone, dar mai mică de 29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97E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169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C49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EA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EB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33D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2A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</w:tr>
      <w:tr w14:paraId="0D60A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66B1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rFonts w:eastAsia="TimesNewRomanOOEnc"/>
                <w:sz w:val="24"/>
                <w:szCs w:val="24"/>
              </w:rPr>
              <w:t>Masa de cel puţin 29 tone, dar mai mică de 31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6D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98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335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79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5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1F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B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1667</w:t>
            </w:r>
          </w:p>
        </w:tc>
      </w:tr>
      <w:tr w14:paraId="285D5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7FF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rFonts w:eastAsia="TimesNewRomanOOEnc"/>
                <w:sz w:val="24"/>
                <w:szCs w:val="24"/>
              </w:rPr>
              <w:t>Masa de cel puţin 31 tone, dar mai mică de 33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211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335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E2C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465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02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C9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8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BA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2314</w:t>
            </w:r>
          </w:p>
        </w:tc>
      </w:tr>
      <w:tr w14:paraId="74292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5C1F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rFonts w:eastAsia="TimesNewRomanOOEnc"/>
                <w:sz w:val="24"/>
                <w:szCs w:val="24"/>
              </w:rPr>
              <w:t xml:space="preserve"> Masa de cel puţin 33 tone, dar mai mică de 36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575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465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2A2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DA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C5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D3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F8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3513</w:t>
            </w:r>
          </w:p>
        </w:tc>
      </w:tr>
      <w:tr w14:paraId="4FFAD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9100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rFonts w:eastAsia="TimesNewRomanOOEnc"/>
                <w:sz w:val="24"/>
                <w:szCs w:val="24"/>
              </w:rPr>
              <w:t xml:space="preserve"> Masa de cel puţin 36 tone, dar mai mică de 38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E75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465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2AF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D5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58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60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12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3513</w:t>
            </w:r>
          </w:p>
        </w:tc>
      </w:tr>
      <w:tr w14:paraId="06A98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9C22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rFonts w:eastAsia="TimesNewRomanOOEnc"/>
                <w:sz w:val="24"/>
                <w:szCs w:val="24"/>
              </w:rPr>
              <w:t xml:space="preserve"> Masa de cel puţin 38 tone,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CA7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465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411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4C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0E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31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26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3513</w:t>
            </w:r>
          </w:p>
        </w:tc>
      </w:tr>
      <w:tr w14:paraId="5841B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CF8FC7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</w:p>
          <w:p w14:paraId="188FB9AA">
            <w:pPr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  <w:lang w:val="ro-RO"/>
              </w:rPr>
              <w:t>Vehicul cu 2+3 axe</w:t>
            </w:r>
          </w:p>
          <w:p w14:paraId="512682B4">
            <w:pPr>
              <w:jc w:val="center"/>
              <w:rPr>
                <w:b w:val="0"/>
                <w:bCs/>
                <w:sz w:val="24"/>
                <w:szCs w:val="24"/>
                <w:lang w:val="ro-RO"/>
              </w:rPr>
            </w:pPr>
          </w:p>
        </w:tc>
      </w:tr>
      <w:tr w14:paraId="596DD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D2DE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36 tone, dar mai mică de 38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B6E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7A5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515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71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9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7C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20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2562</w:t>
            </w:r>
          </w:p>
        </w:tc>
      </w:tr>
      <w:tr w14:paraId="669A7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14B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38 tone, dar mai mică de 40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7E4F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D8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36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4D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1D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77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3483</w:t>
            </w:r>
          </w:p>
        </w:tc>
      </w:tr>
      <w:tr w14:paraId="7568E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B44A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 xml:space="preserve">Masa de cel puţin 40 tone,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0ED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83D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700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C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52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26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8D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3483</w:t>
            </w:r>
          </w:p>
        </w:tc>
      </w:tr>
      <w:tr w14:paraId="27546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093782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</w:p>
          <w:p w14:paraId="07216956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  <w:r>
              <w:rPr>
                <w:b/>
                <w:bCs w:val="0"/>
                <w:sz w:val="24"/>
                <w:szCs w:val="24"/>
                <w:lang w:val="ro-RO"/>
              </w:rPr>
              <w:t>Vehicul cu 3+2</w:t>
            </w:r>
            <w:r>
              <w:rPr>
                <w:rFonts w:hint="default"/>
                <w:b/>
                <w:bCs w:val="0"/>
                <w:sz w:val="24"/>
                <w:szCs w:val="24"/>
                <w:lang w:val="ro-RO"/>
              </w:rPr>
              <w:t xml:space="preserve"> </w:t>
            </w:r>
            <w:r>
              <w:rPr>
                <w:b/>
                <w:bCs w:val="0"/>
                <w:sz w:val="24"/>
                <w:szCs w:val="24"/>
                <w:lang w:val="ro-RO"/>
              </w:rPr>
              <w:t>axe</w:t>
            </w:r>
          </w:p>
          <w:p w14:paraId="72D734EB">
            <w:pPr>
              <w:jc w:val="center"/>
              <w:rPr>
                <w:b/>
                <w:bCs w:val="0"/>
                <w:sz w:val="24"/>
                <w:szCs w:val="24"/>
                <w:lang w:val="ro-RO"/>
              </w:rPr>
            </w:pPr>
          </w:p>
        </w:tc>
      </w:tr>
      <w:tr w14:paraId="0F8FB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D10F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36 tone, dar mai mică de 38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9E6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327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3D8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454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F1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6B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D1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0F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2259</w:t>
            </w:r>
          </w:p>
        </w:tc>
      </w:tr>
      <w:tr w14:paraId="08B45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643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38 tone, dar mai mică de 40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793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454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ED8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628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4A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17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8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29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3124</w:t>
            </w:r>
          </w:p>
        </w:tc>
      </w:tr>
      <w:tr w14:paraId="4DB29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656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>Masa de cel puţin 40 tone, dar mai mică de 44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7B7C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628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F4EC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929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FD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04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75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05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4622</w:t>
            </w:r>
          </w:p>
        </w:tc>
      </w:tr>
      <w:tr w14:paraId="702E7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3B20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eastAsia="TimesNewRomanOOEnc"/>
                <w:sz w:val="24"/>
                <w:szCs w:val="24"/>
              </w:rPr>
              <w:t>Masa de cel puţin 44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741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628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DB06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929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9E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76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CC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F1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4622</w:t>
            </w:r>
          </w:p>
        </w:tc>
      </w:tr>
      <w:tr w14:paraId="2CB8D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02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6F2EEAF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766B57B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Vehicul cu 3+3</w:t>
            </w:r>
            <w:r>
              <w:rPr>
                <w:rFonts w:hint="default"/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b/>
                <w:sz w:val="24"/>
                <w:szCs w:val="24"/>
                <w:lang w:val="ro-RO"/>
              </w:rPr>
              <w:t>axe</w:t>
            </w:r>
          </w:p>
          <w:p w14:paraId="64C0199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14:paraId="08F9A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CAB75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TimesNewRomanOOEnc"/>
                <w:sz w:val="24"/>
                <w:szCs w:val="24"/>
              </w:rPr>
              <w:t>Masa de cel puţin 36 tone, dar mai mică de 38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BD1CDC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59F7D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186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D53CC3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28D9B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69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FB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5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B0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</w:tr>
      <w:tr w14:paraId="2D0C4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335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TimesNewRomanOOEnc"/>
                <w:sz w:val="24"/>
                <w:szCs w:val="24"/>
              </w:rPr>
              <w:t>Masa de cel puţin 38 tone, dar mai mică de 40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269222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3BB76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225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78955A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60C11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336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51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10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1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EF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</w:tr>
      <w:tr w14:paraId="303D1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9413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TimesNewRomanOOEnc"/>
                <w:sz w:val="24"/>
                <w:szCs w:val="24"/>
              </w:rPr>
              <w:t>Masa de cel puţin 40 tone, dar mai mică de 44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8A9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336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F87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535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F5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2C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78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C7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2662</w:t>
            </w:r>
          </w:p>
        </w:tc>
      </w:tr>
      <w:tr w14:paraId="5A85B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54E8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eastAsia="TimesNewRomanOOEnc"/>
                <w:sz w:val="24"/>
                <w:szCs w:val="24"/>
              </w:rPr>
              <w:t>Masa de cel puţin 44 tone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94E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336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E8C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535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24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99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A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D8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2662</w:t>
            </w:r>
          </w:p>
        </w:tc>
      </w:tr>
    </w:tbl>
    <w:p w14:paraId="11EF487F">
      <w:pPr>
        <w:jc w:val="center"/>
        <w:rPr>
          <w:sz w:val="24"/>
          <w:szCs w:val="24"/>
          <w:lang w:val="it-IT"/>
        </w:rPr>
      </w:pPr>
    </w:p>
    <w:p w14:paraId="65A438D1">
      <w:pPr>
        <w:jc w:val="center"/>
        <w:rPr>
          <w:sz w:val="24"/>
          <w:szCs w:val="24"/>
          <w:lang w:val="it-IT"/>
        </w:rPr>
      </w:pPr>
    </w:p>
    <w:p w14:paraId="793F8889">
      <w:pPr>
        <w:jc w:val="center"/>
        <w:rPr>
          <w:sz w:val="24"/>
          <w:szCs w:val="24"/>
        </w:rPr>
      </w:pPr>
    </w:p>
    <w:p w14:paraId="781841D8">
      <w:pPr>
        <w:jc w:val="center"/>
        <w:rPr>
          <w:sz w:val="24"/>
          <w:szCs w:val="24"/>
        </w:rPr>
      </w:pPr>
    </w:p>
    <w:p w14:paraId="6D4E6535">
      <w:pPr>
        <w:jc w:val="center"/>
        <w:rPr>
          <w:sz w:val="24"/>
          <w:szCs w:val="24"/>
        </w:rPr>
      </w:pPr>
    </w:p>
    <w:p w14:paraId="3C62B470">
      <w:pPr>
        <w:jc w:val="center"/>
        <w:rPr>
          <w:sz w:val="24"/>
          <w:szCs w:val="24"/>
        </w:rPr>
      </w:pPr>
    </w:p>
    <w:p w14:paraId="3CB98FC8">
      <w:pPr>
        <w:jc w:val="center"/>
      </w:pPr>
    </w:p>
    <w:p w14:paraId="015575CB">
      <w:pPr>
        <w:jc w:val="center"/>
      </w:pPr>
    </w:p>
    <w:p w14:paraId="3ADD9B38">
      <w:pPr>
        <w:widowControl/>
        <w:tabs>
          <w:tab w:val="left" w:pos="1193"/>
        </w:tabs>
        <w:bidi w:val="0"/>
        <w:ind w:left="0" w:right="-397" w:firstLine="0"/>
        <w:jc w:val="center"/>
        <w:rPr>
          <w:b/>
          <w:bCs/>
          <w:sz w:val="24"/>
          <w:szCs w:val="24"/>
          <w:lang w:val="ro-RO"/>
        </w:rPr>
      </w:pPr>
    </w:p>
    <w:p w14:paraId="131015D5">
      <w:pPr>
        <w:rPr>
          <w:sz w:val="24"/>
          <w:szCs w:val="24"/>
          <w:lang w:val="ro-RO"/>
        </w:rPr>
      </w:pPr>
    </w:p>
    <w:p w14:paraId="3138A74F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sz w:val="24"/>
          <w:szCs w:val="24"/>
          <w:lang w:val="ro-RO"/>
        </w:rPr>
      </w:pPr>
    </w:p>
    <w:p w14:paraId="395C9315">
      <w:pPr>
        <w:rPr>
          <w:b/>
          <w:sz w:val="24"/>
          <w:szCs w:val="24"/>
          <w:lang w:val="ro-RO"/>
        </w:rPr>
      </w:pPr>
    </w:p>
    <w:p w14:paraId="7A81BB48">
      <w:pPr>
        <w:rPr>
          <w:sz w:val="24"/>
          <w:szCs w:val="24"/>
          <w:lang w:val="ro-RO"/>
        </w:rPr>
      </w:pPr>
    </w:p>
    <w:p w14:paraId="44902AEB">
      <w:pPr>
        <w:rPr>
          <w:sz w:val="24"/>
          <w:szCs w:val="24"/>
          <w:lang w:val="ro-RO"/>
        </w:rPr>
      </w:pPr>
    </w:p>
    <w:p w14:paraId="0D672C79"/>
    <w:sectPr>
      <w:footerReference r:id="rId3" w:type="default"/>
      <w:pgSz w:w="11906" w:h="16838"/>
      <w:pgMar w:top="850" w:right="1361" w:bottom="850" w:left="1361" w:header="0" w:footer="454" w:gutter="0"/>
      <w:pgNumType w:fmt="decimal"/>
      <w:cols w:space="0" w:num="1"/>
      <w:formProt w:val="0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Arial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iberation Mono">
    <w:altName w:val="Courier New"/>
    <w:panose1 w:val="00000000000000000000"/>
    <w:charset w:val="EE"/>
    <w:family w:val="modern"/>
    <w:pitch w:val="default"/>
    <w:sig w:usb0="00000000" w:usb1="00000000" w:usb2="00000000" w:usb3="00000000" w:csb0="00000000" w:csb1="00000000"/>
  </w:font>
  <w:font w:name="TimesNewRoman">
    <w:altName w:val="Malgun Gothic Semilight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TimesNewRomanOOEnc">
    <w:altName w:val="Malgun Gothic Semilight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8B7BC">
    <w:pPr>
      <w:pStyle w:val="10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E09BC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NJWO7QAAAABQEA&#10;AA8AAAAAAAAAAQAgAAAAIgAAAGRycy9kb3ducmV2LnhtbFBLAQIUABQAAAAIAIdO4kBmzRMYIgIA&#10;AGAEAAAOAAAAAAAAAAEAIAAAAB8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E09BC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9C14D6"/>
    <w:multiLevelType w:val="singleLevel"/>
    <w:tmpl w:val="B69C14D6"/>
    <w:lvl w:ilvl="0" w:tentative="0">
      <w:start w:val="1"/>
      <w:numFmt w:val="upperRoman"/>
      <w:suff w:val="space"/>
      <w:lvlText w:val="%1."/>
      <w:lvlJc w:val="left"/>
    </w:lvl>
  </w:abstractNum>
  <w:abstractNum w:abstractNumId="1">
    <w:nsid w:val="C61331AB"/>
    <w:multiLevelType w:val="singleLevel"/>
    <w:tmpl w:val="C61331AB"/>
    <w:lvl w:ilvl="0" w:tentative="0">
      <w:start w:val="8"/>
      <w:numFmt w:val="decimal"/>
      <w:suff w:val="space"/>
      <w:lvlText w:val="%1."/>
      <w:lvlJc w:val="left"/>
    </w:lvl>
  </w:abstractNum>
  <w:abstractNum w:abstractNumId="2">
    <w:nsid w:val="F7BC80C9"/>
    <w:multiLevelType w:val="singleLevel"/>
    <w:tmpl w:val="F7BC80C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3"/>
        <w:szCs w:val="13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73EC5A4"/>
    <w:multiLevelType w:val="singleLevel"/>
    <w:tmpl w:val="473EC5A4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60F36FFB"/>
    <w:multiLevelType w:val="singleLevel"/>
    <w:tmpl w:val="60F36FF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B5881"/>
    <w:rsid w:val="031B02A5"/>
    <w:rsid w:val="043B17A2"/>
    <w:rsid w:val="05423B50"/>
    <w:rsid w:val="05590B54"/>
    <w:rsid w:val="05F7480C"/>
    <w:rsid w:val="061D4115"/>
    <w:rsid w:val="06D55BF0"/>
    <w:rsid w:val="06D721B0"/>
    <w:rsid w:val="071546AD"/>
    <w:rsid w:val="07A94977"/>
    <w:rsid w:val="07B42F31"/>
    <w:rsid w:val="07E93784"/>
    <w:rsid w:val="08111FAA"/>
    <w:rsid w:val="0901318A"/>
    <w:rsid w:val="097C39B6"/>
    <w:rsid w:val="0B373DF8"/>
    <w:rsid w:val="0B887DDE"/>
    <w:rsid w:val="0BC36C3C"/>
    <w:rsid w:val="12553FB3"/>
    <w:rsid w:val="12CF2A35"/>
    <w:rsid w:val="132F3C08"/>
    <w:rsid w:val="15A83398"/>
    <w:rsid w:val="16F75761"/>
    <w:rsid w:val="170B600C"/>
    <w:rsid w:val="172B7C90"/>
    <w:rsid w:val="179D474C"/>
    <w:rsid w:val="17EC7D4E"/>
    <w:rsid w:val="18A230A3"/>
    <w:rsid w:val="19193C38"/>
    <w:rsid w:val="19431E21"/>
    <w:rsid w:val="1AE93EB4"/>
    <w:rsid w:val="1B1E690C"/>
    <w:rsid w:val="1BAF5230"/>
    <w:rsid w:val="1C272E12"/>
    <w:rsid w:val="1DCE755A"/>
    <w:rsid w:val="1E025288"/>
    <w:rsid w:val="1EBB4B79"/>
    <w:rsid w:val="1F4C6CE5"/>
    <w:rsid w:val="1FB91219"/>
    <w:rsid w:val="1FBF3122"/>
    <w:rsid w:val="20D01E23"/>
    <w:rsid w:val="23CD3ED1"/>
    <w:rsid w:val="24074043"/>
    <w:rsid w:val="2437337B"/>
    <w:rsid w:val="25E258B6"/>
    <w:rsid w:val="26955079"/>
    <w:rsid w:val="26D65CA0"/>
    <w:rsid w:val="27C917FE"/>
    <w:rsid w:val="28C14669"/>
    <w:rsid w:val="2A1F7C2D"/>
    <w:rsid w:val="2A693A20"/>
    <w:rsid w:val="2A7E303D"/>
    <w:rsid w:val="2AC75D30"/>
    <w:rsid w:val="2AE223C3"/>
    <w:rsid w:val="2AE24B8B"/>
    <w:rsid w:val="2B765E1E"/>
    <w:rsid w:val="2BF83A45"/>
    <w:rsid w:val="2C231B78"/>
    <w:rsid w:val="2C8F407B"/>
    <w:rsid w:val="2E0A6195"/>
    <w:rsid w:val="30717C09"/>
    <w:rsid w:val="308A47E2"/>
    <w:rsid w:val="322443DB"/>
    <w:rsid w:val="329D50EF"/>
    <w:rsid w:val="3444054E"/>
    <w:rsid w:val="34D9413A"/>
    <w:rsid w:val="34ED1C61"/>
    <w:rsid w:val="37C02A03"/>
    <w:rsid w:val="37F62EDD"/>
    <w:rsid w:val="38650F93"/>
    <w:rsid w:val="39102C82"/>
    <w:rsid w:val="3A331E0E"/>
    <w:rsid w:val="3A58447C"/>
    <w:rsid w:val="3CC83746"/>
    <w:rsid w:val="3D0C485C"/>
    <w:rsid w:val="3D33520E"/>
    <w:rsid w:val="3DFB1384"/>
    <w:rsid w:val="40B67350"/>
    <w:rsid w:val="413A6513"/>
    <w:rsid w:val="43251502"/>
    <w:rsid w:val="43795E93"/>
    <w:rsid w:val="458A4224"/>
    <w:rsid w:val="45FD6761"/>
    <w:rsid w:val="460A5E40"/>
    <w:rsid w:val="468C6ADF"/>
    <w:rsid w:val="475D081C"/>
    <w:rsid w:val="47D60293"/>
    <w:rsid w:val="4A693DA2"/>
    <w:rsid w:val="4B396526"/>
    <w:rsid w:val="4B815370"/>
    <w:rsid w:val="4C9F7A26"/>
    <w:rsid w:val="4D9145B1"/>
    <w:rsid w:val="4EF07A0E"/>
    <w:rsid w:val="4EFF2D5F"/>
    <w:rsid w:val="4F107F56"/>
    <w:rsid w:val="4FB4350C"/>
    <w:rsid w:val="4FE87FA6"/>
    <w:rsid w:val="50816EA0"/>
    <w:rsid w:val="50C05A8B"/>
    <w:rsid w:val="50DE2EA3"/>
    <w:rsid w:val="51A72505"/>
    <w:rsid w:val="51BF3EEC"/>
    <w:rsid w:val="52424902"/>
    <w:rsid w:val="53830A08"/>
    <w:rsid w:val="54433EA0"/>
    <w:rsid w:val="546314E4"/>
    <w:rsid w:val="54660D84"/>
    <w:rsid w:val="54A73213"/>
    <w:rsid w:val="54BF0519"/>
    <w:rsid w:val="54EC4935"/>
    <w:rsid w:val="55E54A78"/>
    <w:rsid w:val="567468E6"/>
    <w:rsid w:val="58C01A31"/>
    <w:rsid w:val="597C465F"/>
    <w:rsid w:val="5BAC126E"/>
    <w:rsid w:val="5C694937"/>
    <w:rsid w:val="5CD2572D"/>
    <w:rsid w:val="5E0821D5"/>
    <w:rsid w:val="5FA71F40"/>
    <w:rsid w:val="5FC57984"/>
    <w:rsid w:val="62A847ED"/>
    <w:rsid w:val="63503A1C"/>
    <w:rsid w:val="63E9223E"/>
    <w:rsid w:val="642A5BE2"/>
    <w:rsid w:val="64A14AD8"/>
    <w:rsid w:val="65947DC3"/>
    <w:rsid w:val="65E713BB"/>
    <w:rsid w:val="689E60B1"/>
    <w:rsid w:val="693C1432"/>
    <w:rsid w:val="698C57EB"/>
    <w:rsid w:val="69B96C73"/>
    <w:rsid w:val="6A53227F"/>
    <w:rsid w:val="6ABD418D"/>
    <w:rsid w:val="6BB76FF2"/>
    <w:rsid w:val="6BEB3929"/>
    <w:rsid w:val="6C114922"/>
    <w:rsid w:val="6D075EA7"/>
    <w:rsid w:val="6D9E6164"/>
    <w:rsid w:val="6E03390A"/>
    <w:rsid w:val="6ECC7DA8"/>
    <w:rsid w:val="6F655ACF"/>
    <w:rsid w:val="71A6797C"/>
    <w:rsid w:val="71C678F2"/>
    <w:rsid w:val="725F6D15"/>
    <w:rsid w:val="741E4E64"/>
    <w:rsid w:val="749D0CB6"/>
    <w:rsid w:val="76E6019F"/>
    <w:rsid w:val="79391E15"/>
    <w:rsid w:val="79591F5E"/>
    <w:rsid w:val="7A5C4FC6"/>
    <w:rsid w:val="7A910FA6"/>
    <w:rsid w:val="7BA305F1"/>
    <w:rsid w:val="7BCB6C43"/>
    <w:rsid w:val="7DF30332"/>
    <w:rsid w:val="7E3314F0"/>
    <w:rsid w:val="7EC93702"/>
    <w:rsid w:val="7F4029D4"/>
    <w:rsid w:val="7F4776F3"/>
    <w:rsid w:val="7FAF26E6"/>
    <w:rsid w:val="7FD226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kinsoku/>
      <w:overflowPunct/>
      <w:autoSpaceDE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2">
    <w:name w:val="heading 3"/>
    <w:basedOn w:val="3"/>
    <w:next w:val="4"/>
    <w:qFormat/>
    <w:uiPriority w:val="0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Stil titlu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9">
    <w:name w:val="FollowedHyperlink"/>
    <w:basedOn w:val="5"/>
    <w:qFormat/>
    <w:uiPriority w:val="0"/>
    <w:rPr>
      <w:color w:val="800080"/>
      <w:u w:val="single"/>
    </w:rPr>
  </w:style>
  <w:style w:type="paragraph" w:styleId="10">
    <w:name w:val="footer"/>
    <w:basedOn w:val="1"/>
    <w:qFormat/>
    <w:uiPriority w:val="0"/>
    <w:pPr>
      <w:tabs>
        <w:tab w:val="center" w:pos="4680"/>
        <w:tab w:val="right" w:pos="9360"/>
      </w:tabs>
    </w:pPr>
  </w:style>
  <w:style w:type="paragraph" w:styleId="11">
    <w:name w:val="header"/>
    <w:basedOn w:val="1"/>
    <w:qFormat/>
    <w:uiPriority w:val="0"/>
    <w:pPr>
      <w:tabs>
        <w:tab w:val="center" w:pos="4680"/>
        <w:tab w:val="right" w:pos="9360"/>
      </w:tabs>
    </w:pPr>
  </w:style>
  <w:style w:type="character" w:styleId="12">
    <w:name w:val="Hyperlink"/>
    <w:qFormat/>
    <w:uiPriority w:val="0"/>
    <w:rPr>
      <w:color w:val="0000FF"/>
      <w:u w:val="single"/>
    </w:rPr>
  </w:style>
  <w:style w:type="paragraph" w:styleId="13">
    <w:name w:val="List"/>
    <w:basedOn w:val="4"/>
    <w:qFormat/>
    <w:uiPriority w:val="0"/>
    <w:rPr>
      <w:rFonts w:cs="Lucida Sans"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5"/>
    <w:qFormat/>
    <w:uiPriority w:val="0"/>
    <w:rPr>
      <w:b/>
      <w:bCs/>
    </w:rPr>
  </w:style>
  <w:style w:type="character" w:customStyle="1" w:styleId="16">
    <w:name w:val="Legătură Internet"/>
    <w:basedOn w:val="5"/>
    <w:qFormat/>
    <w:uiPriority w:val="0"/>
    <w:rPr>
      <w:color w:val="0000FF"/>
      <w:u w:val="single"/>
    </w:rPr>
  </w:style>
  <w:style w:type="character" w:customStyle="1" w:styleId="17">
    <w:name w:val="Text în Balon Caracter"/>
    <w:basedOn w:val="5"/>
    <w:qFormat/>
    <w:uiPriority w:val="0"/>
    <w:rPr>
      <w:rFonts w:ascii="Tahoma" w:hAnsi="Tahoma" w:cs="Tahoma"/>
      <w:sz w:val="16"/>
      <w:szCs w:val="16"/>
    </w:rPr>
  </w:style>
  <w:style w:type="character" w:customStyle="1" w:styleId="18">
    <w:name w:val="Antet Caracter"/>
    <w:basedOn w:val="5"/>
    <w:qFormat/>
    <w:uiPriority w:val="0"/>
  </w:style>
  <w:style w:type="character" w:customStyle="1" w:styleId="19">
    <w:name w:val="Subsol Caracter"/>
    <w:basedOn w:val="5"/>
    <w:qFormat/>
    <w:uiPriority w:val="0"/>
  </w:style>
  <w:style w:type="character" w:customStyle="1" w:styleId="20">
    <w:name w:val="ListLabel 1"/>
    <w:qFormat/>
    <w:uiPriority w:val="0"/>
    <w:rPr>
      <w:rFonts w:eastAsia="Times New Roman" w:cs="Times New Roman"/>
    </w:rPr>
  </w:style>
  <w:style w:type="character" w:customStyle="1" w:styleId="21">
    <w:name w:val="ListLabel 2"/>
    <w:qFormat/>
    <w:uiPriority w:val="0"/>
    <w:rPr>
      <w:rFonts w:cs="Courier New"/>
    </w:rPr>
  </w:style>
  <w:style w:type="character" w:customStyle="1" w:styleId="22">
    <w:name w:val="ListLabel 3"/>
    <w:qFormat/>
    <w:uiPriority w:val="0"/>
    <w:rPr>
      <w:rFonts w:cs="Courier New"/>
    </w:rPr>
  </w:style>
  <w:style w:type="character" w:customStyle="1" w:styleId="23">
    <w:name w:val="ListLabel 4"/>
    <w:qFormat/>
    <w:uiPriority w:val="0"/>
    <w:rPr>
      <w:rFonts w:cs="Courier New"/>
    </w:rPr>
  </w:style>
  <w:style w:type="character" w:customStyle="1" w:styleId="24">
    <w:name w:val="ListLabel 5"/>
    <w:qFormat/>
    <w:uiPriority w:val="0"/>
  </w:style>
  <w:style w:type="character" w:customStyle="1" w:styleId="25">
    <w:name w:val="ListLabel 6"/>
    <w:qFormat/>
    <w:uiPriority w:val="0"/>
  </w:style>
  <w:style w:type="character" w:customStyle="1" w:styleId="26">
    <w:name w:val="ListLabel 7"/>
    <w:qFormat/>
    <w:uiPriority w:val="0"/>
  </w:style>
  <w:style w:type="character" w:customStyle="1" w:styleId="27">
    <w:name w:val="ListLabel 8"/>
    <w:qFormat/>
    <w:uiPriority w:val="0"/>
    <w:rPr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28">
    <w:name w:val="ListLabel 9"/>
    <w:qFormat/>
    <w:uiPriority w:val="0"/>
    <w:rPr>
      <w:rFonts w:eastAsia="Times New Roman" w:cs="Times New Roman"/>
    </w:rPr>
  </w:style>
  <w:style w:type="character" w:customStyle="1" w:styleId="29">
    <w:name w:val="ListLabel 10"/>
    <w:qFormat/>
    <w:uiPriority w:val="0"/>
    <w:rPr>
      <w:rFonts w:cs="Courier New"/>
    </w:rPr>
  </w:style>
  <w:style w:type="character" w:customStyle="1" w:styleId="30">
    <w:name w:val="ListLabel 11"/>
    <w:qFormat/>
    <w:uiPriority w:val="0"/>
    <w:rPr>
      <w:rFonts w:cs="Courier New"/>
    </w:rPr>
  </w:style>
  <w:style w:type="character" w:customStyle="1" w:styleId="31">
    <w:name w:val="ListLabel 12"/>
    <w:qFormat/>
    <w:uiPriority w:val="0"/>
    <w:rPr>
      <w:rFonts w:cs="Courier New"/>
    </w:rPr>
  </w:style>
  <w:style w:type="character" w:customStyle="1" w:styleId="32">
    <w:name w:val="ListLabel 13"/>
    <w:qFormat/>
    <w:uiPriority w:val="0"/>
    <w:rPr>
      <w:rFonts w:eastAsia="Times New Roman" w:cs="Times New Roman"/>
    </w:rPr>
  </w:style>
  <w:style w:type="character" w:customStyle="1" w:styleId="33">
    <w:name w:val="ListLabel 14"/>
    <w:qFormat/>
    <w:uiPriority w:val="0"/>
    <w:rPr>
      <w:rFonts w:cs="Courier New"/>
    </w:rPr>
  </w:style>
  <w:style w:type="character" w:customStyle="1" w:styleId="34">
    <w:name w:val="ListLabel 15"/>
    <w:qFormat/>
    <w:uiPriority w:val="0"/>
    <w:rPr>
      <w:rFonts w:cs="Courier New"/>
    </w:rPr>
  </w:style>
  <w:style w:type="character" w:customStyle="1" w:styleId="35">
    <w:name w:val="ListLabel 16"/>
    <w:qFormat/>
    <w:uiPriority w:val="0"/>
    <w:rPr>
      <w:rFonts w:cs="Courier New"/>
    </w:rPr>
  </w:style>
  <w:style w:type="character" w:customStyle="1" w:styleId="36">
    <w:name w:val="ListLabel 17"/>
    <w:qFormat/>
    <w:uiPriority w:val="0"/>
    <w:rPr>
      <w:b/>
      <w:sz w:val="22"/>
      <w:szCs w:val="22"/>
      <w:lang w:val="ro-RO"/>
    </w:rPr>
  </w:style>
  <w:style w:type="character" w:customStyle="1" w:styleId="37">
    <w:name w:val="ListLabel 18"/>
    <w:qFormat/>
    <w:uiPriority w:val="0"/>
    <w:rPr>
      <w:b/>
      <w:sz w:val="22"/>
      <w:szCs w:val="22"/>
      <w:lang w:val="ro-RO"/>
    </w:rPr>
  </w:style>
  <w:style w:type="paragraph" w:customStyle="1" w:styleId="38">
    <w:name w:val="Index"/>
    <w:basedOn w:val="1"/>
    <w:qFormat/>
    <w:uiPriority w:val="0"/>
    <w:pPr>
      <w:suppressLineNumbers/>
    </w:pPr>
    <w:rPr>
      <w:rFonts w:cs="Lucida Sans"/>
    </w:rPr>
  </w:style>
  <w:style w:type="paragraph" w:styleId="39">
    <w:name w:val="List Paragraph"/>
    <w:basedOn w:val="1"/>
    <w:qFormat/>
    <w:uiPriority w:val="0"/>
    <w:pPr>
      <w:spacing w:before="0" w:after="0"/>
      <w:ind w:left="720" w:right="0" w:firstLine="0"/>
      <w:contextualSpacing/>
    </w:pPr>
  </w:style>
  <w:style w:type="paragraph" w:customStyle="1" w:styleId="40">
    <w:name w:val="Text preformatat"/>
    <w:basedOn w:val="1"/>
    <w:qFormat/>
    <w:uiPriority w:val="0"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customStyle="1" w:styleId="41">
    <w:name w:val="DocumentMap"/>
    <w:qFormat/>
    <w:uiPriority w:val="0"/>
    <w:pPr>
      <w:widowControl/>
      <w:kinsoku/>
      <w:overflowPunct/>
      <w:autoSpaceDE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42">
    <w:name w:val="No Spacing"/>
    <w:qFormat/>
    <w:uiPriority w:val="0"/>
    <w:pPr>
      <w:suppressAutoHyphens/>
    </w:pPr>
    <w:rPr>
      <w:rFonts w:ascii="Calibri" w:hAnsi="Calibri" w:eastAsia="Times New Roman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pmm</Company>
  <Pages>7</Pages>
  <Words>32</Words>
  <Characters>227</Characters>
  <Paragraphs>9</Paragraphs>
  <TotalTime>8</TotalTime>
  <ScaleCrop>false</ScaleCrop>
  <LinksUpToDate>false</LinksUpToDate>
  <CharactersWithSpaces>518</CharactersWithSpaces>
  <Application>WPS Office_12.2.0.18607_F1E327BC-269C-435d-A152-05C5408002CA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2023-08-07T09:53:00Z</dcterms:created>
  <dc:creator>113</dc:creator>
  <cp:lastModifiedBy>WPS_1707121320</cp:lastModifiedBy>
  <cp:lastPrinted>2024-11-12T10:37:00Z</cp:lastPrinted>
  <dcterms:modified xsi:type="dcterms:W3CDTF">2024-11-13T08:15:53Z</dcterms:modified>
  <dc:title>ROMÂNIA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1033-12.2.0.18607</vt:lpwstr>
  </property>
  <property fmtid="{D5CDD505-2E9C-101B-9397-08002B2CF9AE}" pid="10" name="ICV">
    <vt:lpwstr>611888121663444C9871DD6D14D12172_13</vt:lpwstr>
  </property>
</Properties>
</file>