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2113"/>
      </w:tblGrid>
      <w:tr w:rsidR="00894CB4" w14:paraId="6BF46634" w14:textId="77777777" w:rsidTr="00151A0B">
        <w:trPr>
          <w:trHeight w:val="211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E12B46D" w14:textId="77777777" w:rsidR="00894CB4" w:rsidRDefault="00894CB4" w:rsidP="00F94ED3">
            <w:pPr>
              <w:pStyle w:val="Antet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062E65FF" wp14:editId="3D0B8B3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-1201420</wp:posOffset>
                  </wp:positionV>
                  <wp:extent cx="889000" cy="1200150"/>
                  <wp:effectExtent l="0" t="0" r="635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A08A13" w14:textId="77777777" w:rsidR="00894CB4" w:rsidRPr="002470C4" w:rsidRDefault="00894CB4" w:rsidP="00151A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0C4">
              <w:rPr>
                <w:rFonts w:ascii="Times New Roman" w:hAnsi="Times New Roman" w:cs="Times New Roman"/>
                <w:b/>
                <w:sz w:val="24"/>
              </w:rPr>
              <w:t>UNITATEA ADMINISTRATIV TERITORIALĂ</w:t>
            </w:r>
          </w:p>
          <w:p w14:paraId="0FDDB187" w14:textId="77777777" w:rsidR="00894CB4" w:rsidRPr="002470C4" w:rsidRDefault="00894CB4" w:rsidP="00151A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0C4">
              <w:rPr>
                <w:rFonts w:ascii="Times New Roman" w:hAnsi="Times New Roman" w:cs="Times New Roman"/>
                <w:b/>
                <w:sz w:val="24"/>
              </w:rPr>
              <w:t>MUNICIPIUL DROBETA</w:t>
            </w: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470C4">
              <w:rPr>
                <w:rFonts w:ascii="Times New Roman" w:hAnsi="Times New Roman" w:cs="Times New Roman"/>
                <w:b/>
                <w:sz w:val="24"/>
              </w:rPr>
              <w:t>TURNU SEVERIN</w:t>
            </w:r>
          </w:p>
          <w:p w14:paraId="46F04B7A" w14:textId="77777777" w:rsidR="00894CB4" w:rsidRPr="002470C4" w:rsidRDefault="00894CB4" w:rsidP="00151A0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Strada Mareșal Averescu nr. 2, Drobeta – Turnu Severin</w:t>
            </w:r>
          </w:p>
          <w:p w14:paraId="0B8C7372" w14:textId="77777777" w:rsidR="00894CB4" w:rsidRPr="002470C4" w:rsidRDefault="00894CB4" w:rsidP="00151A0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Telefon: 0252.31.43.79   Fax: 0252.31.63.17</w:t>
            </w:r>
          </w:p>
          <w:p w14:paraId="26359403" w14:textId="77777777" w:rsidR="00894CB4" w:rsidRPr="00BD0325" w:rsidRDefault="00894CB4" w:rsidP="00151A0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9" w:history="1">
              <w:r w:rsidRPr="002470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707C0862" w14:textId="77777777" w:rsidR="00894CB4" w:rsidRDefault="00894CB4" w:rsidP="00151A0B">
            <w:pPr>
              <w:pStyle w:val="Antet"/>
              <w:contextualSpacing/>
              <w:jc w:val="center"/>
            </w:pPr>
            <w:r>
              <w:object w:dxaOrig="3586" w:dyaOrig="2070" w14:anchorId="12706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8.75pt" o:ole="">
                  <v:imagedata r:id="rId10" o:title=""/>
                </v:shape>
                <o:OLEObject Type="Embed" ProgID="PBrush" ShapeID="_x0000_i1025" DrawAspect="Content" ObjectID="_1800433420" r:id="rId11"/>
              </w:object>
            </w:r>
          </w:p>
          <w:p w14:paraId="615A9AE0" w14:textId="77777777" w:rsidR="00894CB4" w:rsidRPr="00BD0325" w:rsidRDefault="00894CB4" w:rsidP="00151A0B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7CD3417F">
                <v:shape id="_x0000_i1026" type="#_x0000_t75" style="width:81pt;height:42.75pt" o:ole="">
                  <v:imagedata r:id="rId12" o:title=""/>
                </v:shape>
                <o:OLEObject Type="Embed" ProgID="PBrush" ShapeID="_x0000_i1026" DrawAspect="Content" ObjectID="_1800433421" r:id="rId13"/>
              </w:object>
            </w:r>
          </w:p>
        </w:tc>
      </w:tr>
    </w:tbl>
    <w:bookmarkEnd w:id="0"/>
    <w:p w14:paraId="1A01C923" w14:textId="3C981C70" w:rsidR="00894CB4" w:rsidRPr="00E7443B" w:rsidRDefault="00F94ED3" w:rsidP="00894CB4">
      <w:pPr>
        <w:pStyle w:val="Frspaiere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8A58C2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</w:t>
      </w:r>
      <w:r w:rsidR="00894CB4" w:rsidRPr="00E7443B">
        <w:rPr>
          <w:rFonts w:ascii="Times New Roman" w:hAnsi="Times New Roman" w:cs="Times New Roman"/>
          <w:bCs/>
        </w:rPr>
        <w:t>Nr. _______/_______________</w:t>
      </w:r>
    </w:p>
    <w:p w14:paraId="518DFB16" w14:textId="77777777" w:rsidR="00894CB4" w:rsidRDefault="00894CB4" w:rsidP="00894CB4">
      <w:pPr>
        <w:pStyle w:val="Frspaiere"/>
        <w:jc w:val="center"/>
        <w:rPr>
          <w:b/>
        </w:rPr>
      </w:pPr>
    </w:p>
    <w:p w14:paraId="4EE65DBF" w14:textId="77777777" w:rsidR="00894CB4" w:rsidRDefault="00894CB4" w:rsidP="00894CB4">
      <w:pPr>
        <w:pStyle w:val="Frspaiere"/>
        <w:rPr>
          <w:b/>
        </w:rPr>
      </w:pPr>
    </w:p>
    <w:p w14:paraId="76A751A8" w14:textId="77777777" w:rsidR="00894CB4" w:rsidRPr="00B658B7" w:rsidRDefault="00894CB4" w:rsidP="00894CB4">
      <w:pPr>
        <w:pStyle w:val="Frspaiere"/>
        <w:rPr>
          <w:b/>
        </w:rPr>
      </w:pPr>
    </w:p>
    <w:p w14:paraId="0BF4A21B" w14:textId="77777777" w:rsidR="00894CB4" w:rsidRPr="00B658B7" w:rsidRDefault="00894CB4" w:rsidP="00894CB4">
      <w:pPr>
        <w:pStyle w:val="Frspaiere"/>
        <w:jc w:val="center"/>
        <w:rPr>
          <w:b/>
        </w:rPr>
      </w:pPr>
    </w:p>
    <w:p w14:paraId="42FB93E4" w14:textId="77777777" w:rsidR="00894CB4" w:rsidRPr="00AB3D54" w:rsidRDefault="00894CB4" w:rsidP="00894CB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D54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14:paraId="70FC2E8B" w14:textId="77777777" w:rsidR="00C944B6" w:rsidRDefault="00D17CE1" w:rsidP="00C944B6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necesitatea </w:t>
      </w:r>
      <w:r w:rsidR="00C944B6">
        <w:rPr>
          <w:rFonts w:ascii="Times New Roman" w:hAnsi="Times New Roman" w:cs="Times New Roman"/>
          <w:bCs/>
          <w:i/>
          <w:iCs/>
          <w:sz w:val="24"/>
          <w:szCs w:val="24"/>
        </w:rPr>
        <w:t>modificării și actualizării actului constitutiv al societății</w:t>
      </w:r>
      <w:r w:rsidR="00C944B6"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Piețe și Târguri Drobeta SRL</w:t>
      </w:r>
      <w:r w:rsidR="00C944B6">
        <w:rPr>
          <w:rFonts w:ascii="Times New Roman" w:hAnsi="Times New Roman" w:cs="Times New Roman"/>
          <w:bCs/>
          <w:i/>
          <w:iCs/>
          <w:sz w:val="24"/>
          <w:szCs w:val="24"/>
        </w:rPr>
        <w:t>, prin completarea obiectului de activitate cu noi coduri CAEN</w:t>
      </w:r>
      <w:r w:rsidR="00C944B6"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944B6">
        <w:rPr>
          <w:rFonts w:ascii="Times New Roman" w:hAnsi="Times New Roman" w:cs="Times New Roman"/>
          <w:bCs/>
          <w:i/>
          <w:iCs/>
          <w:sz w:val="24"/>
          <w:szCs w:val="24"/>
        </w:rPr>
        <w:t>Rev.3</w:t>
      </w:r>
    </w:p>
    <w:p w14:paraId="31642C43" w14:textId="77777777" w:rsidR="00C944B6" w:rsidRDefault="00C944B6" w:rsidP="00C944B6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A8CB36E" w14:textId="1592877B" w:rsidR="00894CB4" w:rsidRDefault="0060657B" w:rsidP="00C944B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CC3FBA" w14:textId="221E3F08" w:rsidR="00894CB4" w:rsidRPr="00D17CE1" w:rsidRDefault="00894CB4" w:rsidP="00380672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 xml:space="preserve">Având în vedere prevederile Legii nr. 31/1990 privind societățile, republicată, cu modificările și completările ulterioare și a prevederilor Ordonanței de urgență nr. 109/2011, actualizată, privind guvernanța corporativă a întreprinderilor publice; </w:t>
      </w:r>
    </w:p>
    <w:p w14:paraId="07358A61" w14:textId="4E8D421B" w:rsidR="00F33547" w:rsidRDefault="00C944B6" w:rsidP="00380672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Întrucât</w:t>
      </w:r>
      <w:r w:rsidR="00F33547" w:rsidRPr="00D17CE1">
        <w:rPr>
          <w:rFonts w:ascii="Times New Roman" w:hAnsi="Times New Roman" w:cs="Times New Roman"/>
          <w:sz w:val="24"/>
          <w:szCs w:val="24"/>
        </w:rPr>
        <w:t xml:space="preserve"> asociat unic al societății de drept public și interes local Piețe și Târguri Drobeta SRL este Municipiul Drobeta-Turnu Severin</w:t>
      </w:r>
      <w:r w:rsidR="002C4D93">
        <w:rPr>
          <w:rFonts w:ascii="Times New Roman" w:hAnsi="Times New Roman" w:cs="Times New Roman"/>
          <w:sz w:val="24"/>
          <w:szCs w:val="24"/>
        </w:rPr>
        <w:t>, iar a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ctul constitutiv al societății </w:t>
      </w:r>
      <w:r w:rsidR="002C4D93">
        <w:rPr>
          <w:rFonts w:ascii="Times New Roman" w:hAnsi="Times New Roman" w:cs="Times New Roman"/>
          <w:sz w:val="24"/>
          <w:szCs w:val="24"/>
        </w:rPr>
        <w:t>atestă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 competența Adunării Generale a Asociaților de a stabili printr-o hotărâre extraordinară</w:t>
      </w:r>
      <w:r w:rsidR="002C4D93">
        <w:rPr>
          <w:rFonts w:ascii="Times New Roman" w:hAnsi="Times New Roman" w:cs="Times New Roman"/>
          <w:sz w:val="24"/>
          <w:szCs w:val="24"/>
        </w:rPr>
        <w:t xml:space="preserve"> oricare altă modificare a acestuia sau orice altă hotărâre pentru care este cerută aprobarea adunării</w:t>
      </w:r>
      <w:r w:rsidR="00AB3D54">
        <w:rPr>
          <w:rFonts w:ascii="Times New Roman" w:hAnsi="Times New Roman" w:cs="Times New Roman"/>
          <w:sz w:val="24"/>
          <w:szCs w:val="24"/>
        </w:rPr>
        <w:t>;</w:t>
      </w:r>
    </w:p>
    <w:p w14:paraId="5D24DBDD" w14:textId="162ABBE0" w:rsidR="002C4D93" w:rsidRDefault="002C4D93" w:rsidP="002C4D9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 xml:space="preserve">Ținând cont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Pr="00D17CE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practica Oficiului Registrului Comerțului de pe lângă Tribunalul Mehedinți de a solicita societăți</w:t>
      </w:r>
      <w:r w:rsidR="00AB3D54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ce administrează patrimoniul public al municipiului o hotărâre emisă de către proprietarul bunurilor publice administrate, </w:t>
      </w:r>
      <w:r w:rsidR="00AB3D54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scopul </w:t>
      </w:r>
      <w:r w:rsidR="00AB3D54">
        <w:rPr>
          <w:rFonts w:ascii="Times New Roman" w:hAnsi="Times New Roman" w:cs="Times New Roman"/>
          <w:sz w:val="24"/>
          <w:szCs w:val="24"/>
        </w:rPr>
        <w:t xml:space="preserve">înregistrării și </w:t>
      </w:r>
      <w:r>
        <w:rPr>
          <w:rFonts w:ascii="Times New Roman" w:hAnsi="Times New Roman" w:cs="Times New Roman"/>
          <w:sz w:val="24"/>
          <w:szCs w:val="24"/>
        </w:rPr>
        <w:t>menționării în registru a actelor depuse pentru orice modificare a actului constitutiv</w:t>
      </w:r>
      <w:r w:rsidR="00AB3D54">
        <w:rPr>
          <w:rFonts w:ascii="Times New Roman" w:hAnsi="Times New Roman" w:cs="Times New Roman"/>
          <w:sz w:val="24"/>
          <w:szCs w:val="24"/>
        </w:rPr>
        <w:t>;</w:t>
      </w:r>
    </w:p>
    <w:p w14:paraId="479D889B" w14:textId="4130E94E" w:rsidR="00AB3D54" w:rsidRDefault="00AB3D54" w:rsidP="00AB3D54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B6">
        <w:rPr>
          <w:rFonts w:ascii="Times New Roman" w:hAnsi="Times New Roman" w:cs="Times New Roman"/>
          <w:sz w:val="24"/>
          <w:szCs w:val="24"/>
        </w:rPr>
        <w:t xml:space="preserve">Luând act de </w:t>
      </w:r>
      <w:r w:rsidRPr="00C944B6">
        <w:rPr>
          <w:rFonts w:ascii="Times New Roman" w:eastAsia="Palatino Linotype" w:hAnsi="Times New Roman" w:cs="Times New Roman"/>
          <w:sz w:val="24"/>
          <w:szCs w:val="24"/>
        </w:rPr>
        <w:t xml:space="preserve">Încheierea nr. 261096/27.01.2025 a Oficiului Registrului Comerțului de pe lângă Tribunalul Mehedinți prin care s-a admis actualizarea obiectului de activitate al </w:t>
      </w:r>
      <w:r>
        <w:rPr>
          <w:rFonts w:ascii="Times New Roman" w:eastAsia="Palatino Linotype" w:hAnsi="Times New Roman" w:cs="Times New Roman"/>
          <w:sz w:val="24"/>
          <w:szCs w:val="24"/>
        </w:rPr>
        <w:t>SC</w:t>
      </w:r>
      <w:r w:rsidRPr="00C944B6">
        <w:rPr>
          <w:rFonts w:ascii="Times New Roman" w:eastAsia="Palatino Linotype" w:hAnsi="Times New Roman" w:cs="Times New Roman"/>
          <w:sz w:val="24"/>
          <w:szCs w:val="24"/>
        </w:rPr>
        <w:t xml:space="preserve"> Piețe și Târguri Drobeta SRL cu noi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C944B6">
        <w:rPr>
          <w:rFonts w:ascii="Times New Roman" w:eastAsia="Palatino Linotype" w:hAnsi="Times New Roman" w:cs="Times New Roman"/>
          <w:sz w:val="24"/>
          <w:szCs w:val="24"/>
        </w:rPr>
        <w:t>coduri CAEN Rev.3</w:t>
      </w:r>
      <w:r>
        <w:rPr>
          <w:rFonts w:ascii="Times New Roman" w:eastAsia="Palatino Linotype" w:hAnsi="Times New Roman" w:cs="Times New Roman"/>
          <w:sz w:val="24"/>
          <w:szCs w:val="24"/>
        </w:rPr>
        <w:t>;</w:t>
      </w:r>
    </w:p>
    <w:p w14:paraId="252EE81E" w14:textId="51EDED87" w:rsidR="002C4D93" w:rsidRPr="00D17CE1" w:rsidRDefault="002C4D93" w:rsidP="002C4D9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scopul accesării de fonduri europene menite să susțină modernizarea obiectivelor, </w:t>
      </w:r>
      <w:r w:rsidR="00AB3D54">
        <w:rPr>
          <w:rFonts w:ascii="Times New Roman" w:hAnsi="Times New Roman" w:cs="Times New Roman"/>
          <w:sz w:val="24"/>
          <w:szCs w:val="24"/>
        </w:rPr>
        <w:t>în speță</w:t>
      </w:r>
      <w:r>
        <w:rPr>
          <w:rFonts w:ascii="Times New Roman" w:hAnsi="Times New Roman" w:cs="Times New Roman"/>
          <w:sz w:val="24"/>
          <w:szCs w:val="24"/>
        </w:rPr>
        <w:t xml:space="preserve"> dotarea piețelor municipale cu sisteme de climatizare eficiente din punct de vedere energetic, fapt ce necesită introducerea în obiectul de activitate al societății a unor noi coduri CAEN</w:t>
      </w:r>
      <w:r w:rsidR="00AB3D54">
        <w:rPr>
          <w:rFonts w:ascii="Times New Roman" w:hAnsi="Times New Roman" w:cs="Times New Roman"/>
          <w:sz w:val="24"/>
          <w:szCs w:val="24"/>
        </w:rPr>
        <w:t xml:space="preserve"> Rev.3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1A912B" w14:textId="77777777" w:rsidR="002C4D93" w:rsidRDefault="00894CB4" w:rsidP="0011268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>În temeiul prevederilor art. 136 alin. (1) și alin. (8) coroborat cu art. 139 alin. (1) și art. 196 alin. (1) lit. a) din Ordonanța de urgență a Guvernului nr. 57/2019 privind Codul administrativ, cu modificările și completările ulterioare</w:t>
      </w:r>
      <w:r w:rsidR="002C4D93">
        <w:rPr>
          <w:rFonts w:ascii="Times New Roman" w:hAnsi="Times New Roman" w:cs="Times New Roman"/>
          <w:sz w:val="24"/>
          <w:szCs w:val="24"/>
        </w:rPr>
        <w:t>,</w:t>
      </w:r>
    </w:p>
    <w:p w14:paraId="73C11520" w14:textId="4E5965DA" w:rsidR="00112683" w:rsidRDefault="002C4D93" w:rsidP="00112683">
      <w:pPr>
        <w:pStyle w:val="Frspaiere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ropun spre analiza, dezbaterea și aprobarea Consiliului Local al Municipiului Drobeta-Turnu Severin a proiectului de hotărâre </w:t>
      </w:r>
      <w:r w:rsidR="0060657B" w:rsidRPr="00D17CE1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>necesitatea modificării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actualizării 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 xml:space="preserve">actului constitutiv al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 xml:space="preserve"> Piețe și Târguri Drobeta SRL prin </w:t>
      </w:r>
      <w:r>
        <w:rPr>
          <w:rFonts w:ascii="Times New Roman" w:hAnsi="Times New Roman" w:cs="Times New Roman"/>
          <w:bCs/>
          <w:sz w:val="24"/>
          <w:szCs w:val="24"/>
        </w:rPr>
        <w:t>radierea tuturor activităților secundare existente și introducerea următoarelor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 xml:space="preserve"> activit</w:t>
      </w:r>
      <w:r>
        <w:rPr>
          <w:rFonts w:ascii="Times New Roman" w:hAnsi="Times New Roman" w:cs="Times New Roman"/>
          <w:bCs/>
          <w:sz w:val="24"/>
          <w:szCs w:val="24"/>
        </w:rPr>
        <w:t>ăți secundare c</w:t>
      </w:r>
      <w:r w:rsidR="00AB3D54">
        <w:rPr>
          <w:rFonts w:ascii="Times New Roman" w:hAnsi="Times New Roman" w:cs="Times New Roman"/>
          <w:bCs/>
          <w:sz w:val="24"/>
          <w:szCs w:val="24"/>
        </w:rPr>
        <w:t>e conțin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 xml:space="preserve"> noi</w:t>
      </w:r>
      <w:r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112683" w:rsidRPr="00112683">
        <w:rPr>
          <w:rFonts w:ascii="Times New Roman" w:hAnsi="Times New Roman" w:cs="Times New Roman"/>
          <w:bCs/>
          <w:sz w:val="24"/>
          <w:szCs w:val="24"/>
        </w:rPr>
        <w:t>coduri CAEN</w:t>
      </w:r>
      <w:r>
        <w:rPr>
          <w:rFonts w:ascii="Times New Roman" w:hAnsi="Times New Roman" w:cs="Times New Roman"/>
          <w:bCs/>
          <w:sz w:val="24"/>
          <w:szCs w:val="24"/>
        </w:rPr>
        <w:t xml:space="preserve"> Rev. 3,</w:t>
      </w:r>
      <w:r w:rsidR="00112683">
        <w:rPr>
          <w:rFonts w:ascii="Times New Roman" w:hAnsi="Times New Roman" w:cs="Times New Roman"/>
          <w:bCs/>
          <w:sz w:val="24"/>
          <w:szCs w:val="24"/>
        </w:rPr>
        <w:t xml:space="preserve"> respectiv:</w:t>
      </w:r>
    </w:p>
    <w:p w14:paraId="2357ADF0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3511 – Producția de energie electrică din resurse neregenerabile</w:t>
      </w:r>
    </w:p>
    <w:p w14:paraId="75B8865C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3512 – Producția de energie electrică din resurse regenerabile</w:t>
      </w:r>
    </w:p>
    <w:p w14:paraId="43075DC6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3513 – Transportul energiei electrice</w:t>
      </w:r>
    </w:p>
    <w:p w14:paraId="0CA55391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3514 – Distribuția energiei electrice</w:t>
      </w:r>
    </w:p>
    <w:p w14:paraId="3D83A4F6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3515 – Comercializarea energiei electrice</w:t>
      </w:r>
    </w:p>
    <w:p w14:paraId="7E5C4F8C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3516 – Depozitarea energiei electrice  </w:t>
      </w:r>
    </w:p>
    <w:p w14:paraId="3664BA6D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4711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nespecializat, cu vânzare predominantă de produse alimentare, băuturi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tutun     </w:t>
      </w:r>
    </w:p>
    <w:p w14:paraId="5150B825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4712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nespecializat, cu vânzare predominantă de produse nealimentare</w:t>
      </w:r>
    </w:p>
    <w:p w14:paraId="20B54766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4721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fructelor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legumelor proaspete     </w:t>
      </w:r>
    </w:p>
    <w:p w14:paraId="6580D35E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4722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cărnii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al produselor din carne      </w:t>
      </w:r>
    </w:p>
    <w:p w14:paraId="1A39A9A6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4723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peștelui, crustaceelor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moluștelor    </w:t>
      </w:r>
    </w:p>
    <w:p w14:paraId="312DF962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4724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pâinii, produselor de patiserie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produselor zaharoase</w:t>
      </w:r>
    </w:p>
    <w:p w14:paraId="4BC4E14B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4725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băuturilor     </w:t>
      </w:r>
    </w:p>
    <w:p w14:paraId="5B03D907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lastRenderedPageBreak/>
        <w:t xml:space="preserve">4726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produselor din tutun     </w:t>
      </w:r>
    </w:p>
    <w:p w14:paraId="3DA9D921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4727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altor produse alimentare</w:t>
      </w:r>
    </w:p>
    <w:p w14:paraId="37FB9CEF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4778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altor bunuri noi      </w:t>
      </w:r>
    </w:p>
    <w:p w14:paraId="4AC03D69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4779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cu amănuntul al bunurilor de ocazie  </w:t>
      </w:r>
    </w:p>
    <w:p w14:paraId="4C00D503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5611 – Restaurante   </w:t>
      </w:r>
    </w:p>
    <w:p w14:paraId="56F8B532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>5612 – Activități ale unităților mobile de alimentație</w:t>
      </w:r>
    </w:p>
    <w:p w14:paraId="1E4C2897" w14:textId="77777777" w:rsidR="002C4D93" w:rsidRPr="00EF4461" w:rsidRDefault="002C4D93" w:rsidP="002C4D93">
      <w:pPr>
        <w:pStyle w:val="Frspaiere"/>
        <w:ind w:left="1276" w:hanging="709"/>
        <w:rPr>
          <w:rFonts w:ascii="Times New Roman" w:hAnsi="Times New Roman" w:cs="Times New Roman"/>
          <w:sz w:val="24"/>
          <w:szCs w:val="24"/>
        </w:rPr>
      </w:pPr>
      <w:r w:rsidRPr="00EF4461">
        <w:rPr>
          <w:rFonts w:ascii="Times New Roman" w:hAnsi="Times New Roman" w:cs="Times New Roman"/>
          <w:sz w:val="24"/>
          <w:szCs w:val="24"/>
        </w:rPr>
        <w:t xml:space="preserve">8230 – </w:t>
      </w:r>
      <w:proofErr w:type="spellStart"/>
      <w:r w:rsidRPr="00EF4461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EF4461">
        <w:rPr>
          <w:rFonts w:ascii="Times New Roman" w:hAnsi="Times New Roman" w:cs="Times New Roman"/>
          <w:sz w:val="24"/>
          <w:szCs w:val="24"/>
        </w:rPr>
        <w:t xml:space="preserve"> de organizare a expozițiilor, târgurilor și congreselor</w:t>
      </w:r>
    </w:p>
    <w:p w14:paraId="6ABDF222" w14:textId="77777777" w:rsidR="002C4D93" w:rsidRDefault="002C4D93" w:rsidP="002C4D9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B9F353" w14:textId="0660B26A" w:rsidR="00380672" w:rsidRPr="00D17CE1" w:rsidRDefault="00112683" w:rsidP="0011268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Actualizarea actului constitutiv al SC Piețe și Târguri Drobeta SRL, în speță completarea obiectului de activitate cu noile coduri CAEN </w:t>
      </w:r>
      <w:r w:rsidR="002C4D93">
        <w:rPr>
          <w:rFonts w:ascii="Times New Roman" w:hAnsi="Times New Roman" w:cs="Times New Roman"/>
          <w:sz w:val="24"/>
          <w:szCs w:val="24"/>
        </w:rPr>
        <w:t xml:space="preserve">Rev.3 </w:t>
      </w:r>
      <w:r>
        <w:rPr>
          <w:rFonts w:ascii="Times New Roman" w:hAnsi="Times New Roman" w:cs="Times New Roman"/>
          <w:sz w:val="24"/>
          <w:szCs w:val="24"/>
        </w:rPr>
        <w:t xml:space="preserve">aprobate se va face de către compartimentele specializate ale </w:t>
      </w:r>
      <w:r w:rsidR="008A58C2">
        <w:rPr>
          <w:rFonts w:ascii="Times New Roman" w:hAnsi="Times New Roman" w:cs="Times New Roman"/>
          <w:sz w:val="24"/>
          <w:szCs w:val="24"/>
        </w:rPr>
        <w:t>societății comerciale și se va depune la sediul ORC de pe lângă Tribunalul Mehedinți.</w:t>
      </w:r>
    </w:p>
    <w:p w14:paraId="3C51B59C" w14:textId="0D6F3533" w:rsidR="00894CB4" w:rsidRPr="008A58C2" w:rsidRDefault="00012245" w:rsidP="008A58C2">
      <w:pPr>
        <w:pStyle w:val="Frspaiere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>Î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n exercitarea atribuțiilor prevăzute la art. 155 alin (1) lit. </w:t>
      </w:r>
      <w:r w:rsidR="005308D2" w:rsidRPr="00D17CE1">
        <w:rPr>
          <w:rFonts w:ascii="Times New Roman" w:hAnsi="Times New Roman" w:cs="Times New Roman"/>
          <w:sz w:val="24"/>
          <w:szCs w:val="24"/>
        </w:rPr>
        <w:t>d</w:t>
      </w:r>
      <w:r w:rsidR="00894CB4" w:rsidRPr="00D17CE1">
        <w:rPr>
          <w:rFonts w:ascii="Times New Roman" w:hAnsi="Times New Roman" w:cs="Times New Roman"/>
          <w:sz w:val="24"/>
          <w:szCs w:val="24"/>
        </w:rPr>
        <w:t>) și alin. (</w:t>
      </w:r>
      <w:r w:rsidR="005308D2" w:rsidRPr="00D17CE1">
        <w:rPr>
          <w:rFonts w:ascii="Times New Roman" w:hAnsi="Times New Roman" w:cs="Times New Roman"/>
          <w:sz w:val="24"/>
          <w:szCs w:val="24"/>
        </w:rPr>
        <w:t>5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) lit. a) din Codul administrativ, înaintez Consiliului Local al Municipiului Drobeta-Turnu Severin proiectul de hotărâre referitor la </w:t>
      </w:r>
      <w:r w:rsidR="00AB3D54" w:rsidRPr="00AB3D54">
        <w:rPr>
          <w:rFonts w:ascii="Times New Roman" w:hAnsi="Times New Roman" w:cs="Times New Roman"/>
          <w:bCs/>
          <w:sz w:val="24"/>
          <w:szCs w:val="24"/>
        </w:rPr>
        <w:t>necesitatea modificării și actualizării actului constitutiv al Piețe și Târguri Drobeta SRL, prin completarea obiectului de activitate cu noi coduri CAEN Rev.3</w:t>
      </w:r>
      <w:r w:rsidR="00894CB4" w:rsidRPr="00AB3D54">
        <w:rPr>
          <w:rFonts w:ascii="Times New Roman" w:hAnsi="Times New Roman" w:cs="Times New Roman"/>
          <w:sz w:val="24"/>
          <w:szCs w:val="24"/>
        </w:rPr>
        <w:t>,</w:t>
      </w:r>
      <w:r w:rsidR="00894CB4" w:rsidRPr="008A58C2">
        <w:rPr>
          <w:rFonts w:ascii="Times New Roman" w:hAnsi="Times New Roman" w:cs="Times New Roman"/>
          <w:sz w:val="24"/>
          <w:szCs w:val="24"/>
        </w:rPr>
        <w:t xml:space="preserve"> cu propunerea aprobării.</w:t>
      </w:r>
    </w:p>
    <w:p w14:paraId="0E7D46FE" w14:textId="4D0631D7" w:rsidR="00894CB4" w:rsidRDefault="00894CB4" w:rsidP="00894C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B2EBE9" w14:textId="48110536" w:rsidR="00AB3D54" w:rsidRDefault="00AB3D54" w:rsidP="00894C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01D1F8" w14:textId="77777777" w:rsidR="00AB3D54" w:rsidRPr="00D17CE1" w:rsidRDefault="00AB3D54" w:rsidP="00894C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71944C7" w14:textId="77777777" w:rsidR="00894CB4" w:rsidRPr="00D17CE1" w:rsidRDefault="00894CB4" w:rsidP="00894CB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Inițiator,</w:t>
      </w:r>
    </w:p>
    <w:p w14:paraId="1F708393" w14:textId="77777777" w:rsidR="00894CB4" w:rsidRPr="00D17CE1" w:rsidRDefault="00894CB4" w:rsidP="00894CB4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2A7FDC2D" w14:textId="752EB375" w:rsidR="00894CB4" w:rsidRPr="00D17CE1" w:rsidRDefault="00894CB4" w:rsidP="00012245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Marius SCRECIU</w:t>
      </w:r>
    </w:p>
    <w:sectPr w:rsidR="00894CB4" w:rsidRPr="00D17CE1" w:rsidSect="008A58C2">
      <w:pgSz w:w="11906" w:h="16838"/>
      <w:pgMar w:top="426" w:right="849" w:bottom="851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F274" w14:textId="77777777" w:rsidR="00DF4DA1" w:rsidRDefault="00DF4DA1" w:rsidP="00894CB4">
      <w:pPr>
        <w:spacing w:after="0" w:line="240" w:lineRule="auto"/>
      </w:pPr>
      <w:r>
        <w:separator/>
      </w:r>
    </w:p>
  </w:endnote>
  <w:endnote w:type="continuationSeparator" w:id="0">
    <w:p w14:paraId="0B1133C6" w14:textId="77777777" w:rsidR="00DF4DA1" w:rsidRDefault="00DF4DA1" w:rsidP="008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8EE4" w14:textId="77777777" w:rsidR="00DF4DA1" w:rsidRDefault="00DF4DA1" w:rsidP="00894CB4">
      <w:pPr>
        <w:spacing w:after="0" w:line="240" w:lineRule="auto"/>
      </w:pPr>
      <w:r>
        <w:separator/>
      </w:r>
    </w:p>
  </w:footnote>
  <w:footnote w:type="continuationSeparator" w:id="0">
    <w:p w14:paraId="2540006B" w14:textId="77777777" w:rsidR="00DF4DA1" w:rsidRDefault="00DF4DA1" w:rsidP="008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3E9F"/>
    <w:multiLevelType w:val="hybridMultilevel"/>
    <w:tmpl w:val="8C6C9F4C"/>
    <w:lvl w:ilvl="0" w:tplc="87B21D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438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B4"/>
    <w:rsid w:val="00012245"/>
    <w:rsid w:val="000A1AD3"/>
    <w:rsid w:val="000A58FB"/>
    <w:rsid w:val="000C6BBD"/>
    <w:rsid w:val="000F10AF"/>
    <w:rsid w:val="00112683"/>
    <w:rsid w:val="00137A77"/>
    <w:rsid w:val="001E615D"/>
    <w:rsid w:val="00205AEB"/>
    <w:rsid w:val="00244D07"/>
    <w:rsid w:val="002463DB"/>
    <w:rsid w:val="002B7057"/>
    <w:rsid w:val="002C4D93"/>
    <w:rsid w:val="002E37E8"/>
    <w:rsid w:val="00380672"/>
    <w:rsid w:val="00493FD9"/>
    <w:rsid w:val="005308D2"/>
    <w:rsid w:val="005D717B"/>
    <w:rsid w:val="0060657B"/>
    <w:rsid w:val="0066529F"/>
    <w:rsid w:val="00706277"/>
    <w:rsid w:val="007C4F3F"/>
    <w:rsid w:val="008147F0"/>
    <w:rsid w:val="00894CB4"/>
    <w:rsid w:val="008A58C2"/>
    <w:rsid w:val="00926299"/>
    <w:rsid w:val="00AB3D54"/>
    <w:rsid w:val="00AC0749"/>
    <w:rsid w:val="00AC168A"/>
    <w:rsid w:val="00B87922"/>
    <w:rsid w:val="00BB6671"/>
    <w:rsid w:val="00BC630D"/>
    <w:rsid w:val="00C10D61"/>
    <w:rsid w:val="00C944B6"/>
    <w:rsid w:val="00CA4A47"/>
    <w:rsid w:val="00D17CE1"/>
    <w:rsid w:val="00D60C42"/>
    <w:rsid w:val="00D903F5"/>
    <w:rsid w:val="00DA40A8"/>
    <w:rsid w:val="00DF4DA1"/>
    <w:rsid w:val="00F27763"/>
    <w:rsid w:val="00F33547"/>
    <w:rsid w:val="00F86362"/>
    <w:rsid w:val="00F86B37"/>
    <w:rsid w:val="00F94ED3"/>
    <w:rsid w:val="00FC7643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F59DA"/>
  <w15:chartTrackingRefBased/>
  <w15:docId w15:val="{927C6C23-3E9E-492E-B843-4BB30FAA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94CB4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94C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894CB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894CB4"/>
    <w:rPr>
      <w:color w:val="0563C1"/>
      <w:u w:val="single"/>
    </w:rPr>
  </w:style>
  <w:style w:type="character" w:customStyle="1" w:styleId="FrspaiereCaracter">
    <w:name w:val="Fără spațiere Caracter"/>
    <w:link w:val="Frspaiere"/>
    <w:uiPriority w:val="1"/>
    <w:rsid w:val="00894CB4"/>
  </w:style>
  <w:style w:type="paragraph" w:styleId="Subsol">
    <w:name w:val="footer"/>
    <w:basedOn w:val="Normal"/>
    <w:link w:val="SubsolCaracter"/>
    <w:uiPriority w:val="99"/>
    <w:unhideWhenUsed/>
    <w:rsid w:val="0089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4CB4"/>
  </w:style>
  <w:style w:type="paragraph" w:customStyle="1" w:styleId="sartttl">
    <w:name w:val="s_art_ttl"/>
    <w:basedOn w:val="Normal"/>
    <w:rsid w:val="00F33547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E59F-1595-452E-8C6E-E8E0129A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pc02</cp:lastModifiedBy>
  <cp:revision>2</cp:revision>
  <cp:lastPrinted>2024-12-03T07:18:00Z</cp:lastPrinted>
  <dcterms:created xsi:type="dcterms:W3CDTF">2025-02-07T09:37:00Z</dcterms:created>
  <dcterms:modified xsi:type="dcterms:W3CDTF">2025-02-07T09:37:00Z</dcterms:modified>
</cp:coreProperties>
</file>