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E7" w:rsidRDefault="00D043E7" w:rsidP="00D043E7">
      <w:pPr>
        <w:rPr>
          <w:rFonts w:ascii="Arial" w:hAnsi="Arial" w:cs="Arial"/>
          <w:b/>
        </w:rPr>
      </w:pPr>
    </w:p>
    <w:p w:rsidR="00D043E7" w:rsidRDefault="00D043E7" w:rsidP="00426549">
      <w:pPr>
        <w:jc w:val="center"/>
        <w:rPr>
          <w:rFonts w:ascii="Arial" w:hAnsi="Arial" w:cs="Arial"/>
          <w:b/>
        </w:rPr>
      </w:pPr>
    </w:p>
    <w:p w:rsidR="00D043E7" w:rsidRPr="00D043E7" w:rsidRDefault="00D043E7" w:rsidP="00426549">
      <w:pPr>
        <w:jc w:val="center"/>
        <w:rPr>
          <w:rFonts w:cs="Times New Roman"/>
        </w:rPr>
      </w:pPr>
      <w:r>
        <w:rPr>
          <w:noProof/>
          <w:lang w:val="en-GB" w:eastAsia="en-GB"/>
        </w:rPr>
        <w:drawing>
          <wp:inline distT="0" distB="0" distL="0" distR="0">
            <wp:extent cx="5753100" cy="8286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3E7" w:rsidRDefault="00D043E7" w:rsidP="00426549">
      <w:pPr>
        <w:jc w:val="center"/>
        <w:rPr>
          <w:rFonts w:cs="Times New Roman"/>
          <w:i/>
          <w:color w:val="000000" w:themeColor="text1"/>
          <w:szCs w:val="24"/>
        </w:rPr>
      </w:pPr>
    </w:p>
    <w:p w:rsidR="00D043E7" w:rsidRDefault="00D043E7" w:rsidP="00F51550">
      <w:pPr>
        <w:jc w:val="right"/>
        <w:rPr>
          <w:rFonts w:cs="Times New Roman"/>
          <w:i/>
          <w:color w:val="000000" w:themeColor="text1"/>
          <w:szCs w:val="24"/>
        </w:rPr>
      </w:pPr>
    </w:p>
    <w:p w:rsidR="00AC5D87" w:rsidRDefault="00F51550" w:rsidP="00F51550">
      <w:pPr>
        <w:jc w:val="right"/>
        <w:rPr>
          <w:rFonts w:cs="Times New Roman"/>
          <w:i/>
          <w:color w:val="000000" w:themeColor="text1"/>
          <w:szCs w:val="24"/>
        </w:rPr>
      </w:pPr>
      <w:r>
        <w:rPr>
          <w:rFonts w:cs="Times New Roman"/>
          <w:i/>
          <w:color w:val="000000" w:themeColor="text1"/>
          <w:szCs w:val="24"/>
        </w:rPr>
        <w:t>Anexa la HCL nr.___________/___________</w:t>
      </w:r>
    </w:p>
    <w:p w:rsidR="00F51550" w:rsidRDefault="00F51550" w:rsidP="00426549">
      <w:pPr>
        <w:jc w:val="center"/>
        <w:rPr>
          <w:rFonts w:cs="Times New Roman"/>
          <w:color w:val="000000" w:themeColor="text1"/>
          <w:szCs w:val="24"/>
        </w:rPr>
      </w:pPr>
    </w:p>
    <w:p w:rsidR="00AC5D87" w:rsidRDefault="00426549" w:rsidP="00426549">
      <w:pPr>
        <w:jc w:val="center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Programe de acțiune comunitară destinate prevenirii și combaterii riscului de sărăcie și excluziune socială</w:t>
      </w:r>
    </w:p>
    <w:p w:rsidR="00426549" w:rsidRDefault="00426549" w:rsidP="00426549">
      <w:pPr>
        <w:jc w:val="center"/>
        <w:rPr>
          <w:rFonts w:cs="Times New Roman"/>
          <w:b/>
          <w:color w:val="000000" w:themeColor="text1"/>
          <w:szCs w:val="24"/>
        </w:rPr>
      </w:pPr>
    </w:p>
    <w:p w:rsidR="00426549" w:rsidRDefault="00426549" w:rsidP="00426549">
      <w:pPr>
        <w:jc w:val="center"/>
        <w:rPr>
          <w:rFonts w:cs="Times New Roman"/>
          <w:b/>
          <w:color w:val="000000" w:themeColor="text1"/>
          <w:szCs w:val="24"/>
        </w:rPr>
      </w:pPr>
    </w:p>
    <w:tbl>
      <w:tblPr>
        <w:tblStyle w:val="TableGrid"/>
        <w:tblW w:w="0" w:type="auto"/>
        <w:tblInd w:w="-34" w:type="dxa"/>
        <w:tblLayout w:type="fixed"/>
        <w:tblLook w:val="04A0"/>
      </w:tblPr>
      <w:tblGrid>
        <w:gridCol w:w="1276"/>
        <w:gridCol w:w="1418"/>
        <w:gridCol w:w="1701"/>
        <w:gridCol w:w="1846"/>
        <w:gridCol w:w="1698"/>
        <w:gridCol w:w="2126"/>
        <w:gridCol w:w="1701"/>
        <w:gridCol w:w="1276"/>
        <w:gridCol w:w="992"/>
      </w:tblGrid>
      <w:tr w:rsidR="000B105C" w:rsidTr="00F966AD">
        <w:tc>
          <w:tcPr>
            <w:tcW w:w="1276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Domeniu de intervenție</w:t>
            </w:r>
          </w:p>
        </w:tc>
        <w:tc>
          <w:tcPr>
            <w:tcW w:w="141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Categorie beneficiari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Obiectiv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specific</w:t>
            </w:r>
          </w:p>
        </w:tc>
        <w:tc>
          <w:tcPr>
            <w:tcW w:w="1846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Identificarea nevoii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la nivel de comunitate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locală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Acțiune/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Activitate/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Măsuri propuse</w:t>
            </w:r>
          </w:p>
        </w:tc>
        <w:tc>
          <w:tcPr>
            <w:tcW w:w="2126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Indicatori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de rezultat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Instituții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implicate</w:t>
            </w:r>
          </w:p>
        </w:tc>
        <w:tc>
          <w:tcPr>
            <w:tcW w:w="1276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Revizuire/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Termen</w:t>
            </w:r>
          </w:p>
        </w:tc>
        <w:tc>
          <w:tcPr>
            <w:tcW w:w="992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alocat</w:t>
            </w:r>
          </w:p>
        </w:tc>
      </w:tr>
      <w:tr w:rsidR="000B105C" w:rsidTr="00F966AD">
        <w:trPr>
          <w:trHeight w:val="2112"/>
        </w:trPr>
        <w:tc>
          <w:tcPr>
            <w:tcW w:w="1276" w:type="dxa"/>
            <w:vMerge w:val="restart"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2B1E24" w:rsidP="002B1E2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1. Asistență socială</w:t>
            </w: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Default="002B1E24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lastRenderedPageBreak/>
              <w:t>Familii și persoane aflate î</w:t>
            </w:r>
            <w:r w:rsidR="0040443F">
              <w:rPr>
                <w:rFonts w:cs="Times New Roman"/>
                <w:color w:val="000000" w:themeColor="text1"/>
                <w:szCs w:val="24"/>
              </w:rPr>
              <w:t>n dificultate sau risc de excluziune socială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Facilitarea accesului persoanelor și grupurilor vulnerabile la beneficiile și serviciile de asistență socială</w:t>
            </w:r>
          </w:p>
        </w:tc>
        <w:tc>
          <w:tcPr>
            <w:tcW w:w="1846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Lipsa veniturilor și a mijloacelor de existență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Consiliere și informare privind facilitarea accesului la venitul minim de incluziune conform Legii nr. 196/2016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privind venitul minim de incluziune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familii sau persoane singure beneficiare</w:t>
            </w:r>
          </w:p>
        </w:tc>
        <w:tc>
          <w:tcPr>
            <w:tcW w:w="1701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UAT, Compartimentul asistență socială</w:t>
            </w:r>
          </w:p>
        </w:tc>
        <w:tc>
          <w:tcPr>
            <w:tcW w:w="127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Periodic/ ori de câte ori se impune</w:t>
            </w:r>
          </w:p>
        </w:tc>
        <w:tc>
          <w:tcPr>
            <w:tcW w:w="992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Bugetul de stat</w:t>
            </w:r>
          </w:p>
        </w:tc>
      </w:tr>
      <w:tr w:rsidR="000B105C" w:rsidTr="00F966AD">
        <w:trPr>
          <w:trHeight w:val="1920"/>
        </w:trPr>
        <w:tc>
          <w:tcPr>
            <w:tcW w:w="1276" w:type="dxa"/>
            <w:vMerge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Pr="001765E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1765EF">
              <w:rPr>
                <w:rFonts w:cs="Times New Roman"/>
                <w:color w:val="000000" w:themeColor="text1"/>
                <w:szCs w:val="24"/>
              </w:rPr>
              <w:t>Familii și persoane singure fără venituri sau venituri reduse</w:t>
            </w:r>
          </w:p>
        </w:tc>
        <w:tc>
          <w:tcPr>
            <w:tcW w:w="1701" w:type="dxa"/>
          </w:tcPr>
          <w:p w:rsidR="0040443F" w:rsidRPr="001765E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1765EF">
              <w:rPr>
                <w:rFonts w:cs="Times New Roman"/>
                <w:color w:val="000000" w:themeColor="text1"/>
                <w:szCs w:val="24"/>
              </w:rPr>
              <w:t>Sprijin în vederea încălzirii locuințelor în perioada sezonului rece</w:t>
            </w:r>
          </w:p>
        </w:tc>
        <w:tc>
          <w:tcPr>
            <w:tcW w:w="1846" w:type="dxa"/>
          </w:tcPr>
          <w:p w:rsidR="0040443F" w:rsidRPr="001765E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1765EF">
              <w:rPr>
                <w:rFonts w:cs="Times New Roman"/>
                <w:color w:val="000000" w:themeColor="text1"/>
                <w:szCs w:val="24"/>
              </w:rPr>
              <w:t>Dificultăți în ceea ce privește încălzirea locuinței în perioada sezonului rece</w:t>
            </w:r>
          </w:p>
        </w:tc>
        <w:tc>
          <w:tcPr>
            <w:tcW w:w="1698" w:type="dxa"/>
          </w:tcPr>
          <w:p w:rsidR="0040443F" w:rsidRPr="001765E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1765EF">
              <w:rPr>
                <w:rFonts w:cs="Times New Roman"/>
                <w:color w:val="000000" w:themeColor="text1"/>
                <w:szCs w:val="24"/>
              </w:rPr>
              <w:t>Consiliere și informare privind facilitarea accesului la ajutoarele de încălzire a locuinței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1765EF">
              <w:rPr>
                <w:rFonts w:cs="Times New Roman"/>
                <w:color w:val="000000" w:themeColor="text1"/>
                <w:szCs w:val="24"/>
              </w:rPr>
              <w:t>conform legislației în vigoare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cereri și declarații pe propria răspundere privind acordarea ajutoarelor pentru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încălzire și a suplimentului la energie</w:t>
            </w:r>
          </w:p>
        </w:tc>
        <w:tc>
          <w:tcPr>
            <w:tcW w:w="1701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UAT, Compartimentul asistență socială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Sezonier ajutorul pentru încălzirea locuinței</w:t>
            </w:r>
          </w:p>
          <w:p w:rsidR="0040443F" w:rsidRDefault="002B1E24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Supliment </w:t>
            </w:r>
            <w:r w:rsidR="0040443F">
              <w:rPr>
                <w:rFonts w:cs="Times New Roman"/>
                <w:color w:val="000000" w:themeColor="text1"/>
                <w:szCs w:val="24"/>
              </w:rPr>
              <w:t>pentru energie pe tot parcursul anului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Bugetul de stat</w:t>
            </w:r>
          </w:p>
        </w:tc>
      </w:tr>
      <w:tr w:rsidR="000B105C" w:rsidTr="00F966AD">
        <w:trPr>
          <w:trHeight w:val="3542"/>
        </w:trPr>
        <w:tc>
          <w:tcPr>
            <w:tcW w:w="1276" w:type="dxa"/>
            <w:vMerge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Pr="001765E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aflate în incapacitate de muncă datorită bolii sau a gradului de dizabilitate</w:t>
            </w:r>
          </w:p>
        </w:tc>
        <w:tc>
          <w:tcPr>
            <w:tcW w:w="1701" w:type="dxa"/>
          </w:tcPr>
          <w:p w:rsidR="0040443F" w:rsidRPr="001765E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Sprijin în vederea încadrării în grad de handicap a persoanelor și accesul la serviciile sociale și beneficiile sociale acordate conform Legii nr. 448/ 2006 cu modificările și completările ulterioare</w:t>
            </w:r>
          </w:p>
        </w:tc>
        <w:tc>
          <w:tcPr>
            <w:tcW w:w="1846" w:type="dxa"/>
          </w:tcPr>
          <w:p w:rsidR="0040443F" w:rsidRPr="001765E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Protecția și promovarea drepturilor persoanelor cu handicap</w:t>
            </w:r>
          </w:p>
        </w:tc>
        <w:tc>
          <w:tcPr>
            <w:tcW w:w="1698" w:type="dxa"/>
          </w:tcPr>
          <w:p w:rsidR="0040443F" w:rsidRPr="001765E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Asigurarea aplicării prevederilor legale privind protecția persoanei cu handicap conform Legii nr. 448/2006</w:t>
            </w:r>
          </w:p>
        </w:tc>
        <w:tc>
          <w:tcPr>
            <w:tcW w:w="2126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asistenți personali ai persoanelor cu grad de handicap grav;</w:t>
            </w:r>
          </w:p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persoane cu handicap grav beneficiare de indemnizație;</w:t>
            </w:r>
          </w:p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Anchete sociale pentru comisia de evaluar</w:t>
            </w:r>
            <w:r w:rsidR="002B1E24">
              <w:rPr>
                <w:rFonts w:cs="Times New Roman"/>
                <w:color w:val="000000" w:themeColor="text1"/>
                <w:szCs w:val="24"/>
              </w:rPr>
              <w:t>e a persoanelor cu handicap</w:t>
            </w:r>
            <w:r>
              <w:rPr>
                <w:rFonts w:cs="Times New Roman"/>
                <w:color w:val="000000" w:themeColor="text1"/>
                <w:szCs w:val="24"/>
              </w:rPr>
              <w:t>;</w:t>
            </w:r>
          </w:p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Monitorizări periodice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UAT, Compartimentul asistență socială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Permanent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de stat</w:t>
            </w:r>
          </w:p>
          <w:p w:rsidR="000B105C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local</w:t>
            </w:r>
          </w:p>
        </w:tc>
      </w:tr>
      <w:tr w:rsidR="000B105C" w:rsidTr="00F966AD">
        <w:trPr>
          <w:trHeight w:val="2411"/>
        </w:trPr>
        <w:tc>
          <w:tcPr>
            <w:tcW w:w="1276" w:type="dxa"/>
            <w:vMerge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vârstnice care nu se pot îngriji singure datorită bolii sau a gradului de dizabilitate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Acoperirea nevoilor de îngrijire și asistență prin acordarea de servicii de îngrijire și asistență la domiciliu</w:t>
            </w:r>
          </w:p>
        </w:tc>
        <w:tc>
          <w:tcPr>
            <w:tcW w:w="1846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vârstnice care nu au familii sau ai căror membri nu le pot sprijini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Acordarea de servicii de îngrijire și asistență la domiciliu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persoane vârstnice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beneficiare de servicii</w:t>
            </w:r>
          </w:p>
        </w:tc>
        <w:tc>
          <w:tcPr>
            <w:tcW w:w="1701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Compartimentul asistență socială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Permanent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local</w:t>
            </w:r>
          </w:p>
        </w:tc>
      </w:tr>
      <w:tr w:rsidR="000B105C" w:rsidTr="00F966AD">
        <w:trPr>
          <w:trHeight w:val="4140"/>
        </w:trPr>
        <w:tc>
          <w:tcPr>
            <w:tcW w:w="1276" w:type="dxa"/>
            <w:vMerge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Copii nou născuți, părinți care îndeplinesc condițiile legale de acordare a alocației de stat și a concediului de creștere și îngrijire a copilului în conformitate cu O.U.G. nr. 111/2010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Facilitarea accesului la acordarea alocației de stat pentru copii cf. Legii nr. 61/1993, cu modificările și completările ulterioare și a indemnizației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de creștere și îngrijire a copilului cf. OUG nr. 111/2010, cu modificările și completările ulterioare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Informare privind actele necesare în vederea întocmirii dosarului pentru solicitarea beneficiarului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Primirea și înregistrarea cererilor în vederea acordării alocației de stat pentru copii, a indemnizației pentru concediu creștere copil și a stimulentului de inserție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cereri pentru acordarea beneficiilor</w:t>
            </w:r>
          </w:p>
        </w:tc>
        <w:tc>
          <w:tcPr>
            <w:tcW w:w="1701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</w:t>
            </w:r>
            <w:r w:rsidR="002B1E24">
              <w:rPr>
                <w:rFonts w:cs="Times New Roman"/>
                <w:color w:val="000000" w:themeColor="text1"/>
                <w:szCs w:val="24"/>
              </w:rPr>
              <w:t>JPIS</w:t>
            </w:r>
          </w:p>
          <w:p w:rsidR="002B1E24" w:rsidRDefault="002B1E24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PRAHOVA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Pemanent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de stat</w:t>
            </w:r>
          </w:p>
        </w:tc>
      </w:tr>
      <w:tr w:rsidR="000B105C" w:rsidTr="00F966AD">
        <w:trPr>
          <w:trHeight w:val="2327"/>
        </w:trPr>
        <w:tc>
          <w:tcPr>
            <w:tcW w:w="1276" w:type="dxa"/>
            <w:vMerge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aflate în situație de necesitate sau de urgență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Acordarea unor ajutoare de urgență</w:t>
            </w:r>
            <w:r w:rsidR="002B1E24">
              <w:rPr>
                <w:rFonts w:cs="Times New Roman"/>
                <w:color w:val="000000" w:themeColor="text1"/>
                <w:szCs w:val="24"/>
              </w:rPr>
              <w:t>,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altele decât cele prevăzute de art. 84 din Legea nr. 196/2016, cu modificările și completările ulterioare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Situații familiale deosebite cauzate de incendii, boală, calamități naturale, etc.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Acordarea unor ajutoare de urgență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în bani familiilor/ persoanelor aflate în dificultate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solicitări în vederea acordării ajutoarelor de urgență acordate în baza Hotărârii Consiliului Local</w:t>
            </w:r>
          </w:p>
        </w:tc>
        <w:tc>
          <w:tcPr>
            <w:tcW w:w="1701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</w:t>
            </w:r>
          </w:p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Compartimentul de asitență socială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Ori de câte ori se impune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local</w:t>
            </w:r>
          </w:p>
        </w:tc>
      </w:tr>
      <w:tr w:rsidR="000B105C" w:rsidTr="00F966AD">
        <w:trPr>
          <w:trHeight w:val="2542"/>
        </w:trPr>
        <w:tc>
          <w:tcPr>
            <w:tcW w:w="1276" w:type="dxa"/>
            <w:vMerge/>
          </w:tcPr>
          <w:p w:rsidR="0040443F" w:rsidRDefault="0040443F" w:rsidP="00C47E5F">
            <w:pPr>
              <w:spacing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Victime ale violenței domestice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Prevenire</w:t>
            </w:r>
            <w:r w:rsidR="002B1E24">
              <w:rPr>
                <w:rFonts w:cs="Times New Roman"/>
                <w:color w:val="000000" w:themeColor="text1"/>
                <w:szCs w:val="24"/>
              </w:rPr>
              <w:t>a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și combaterea violenței domestice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Inte</w:t>
            </w:r>
            <w:r w:rsidR="002B1E24">
              <w:rPr>
                <w:rFonts w:cs="Times New Roman"/>
                <w:color w:val="000000" w:themeColor="text1"/>
                <w:szCs w:val="24"/>
              </w:rPr>
              <w:t>r</w:t>
            </w:r>
            <w:r>
              <w:rPr>
                <w:rFonts w:cs="Times New Roman"/>
                <w:color w:val="000000" w:themeColor="text1"/>
                <w:szCs w:val="24"/>
              </w:rPr>
              <w:t>venția, sprijinirea și protecția persoanelor victime ale violenței domestice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Intervenție echipa mobilă;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Evaluarea, monitorizarea și sprijin în vederea prevenirii actelor de violență domestică;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Informare privind eliberarea ordinului de </w:t>
            </w:r>
            <w:r>
              <w:rPr>
                <w:rFonts w:cs="Times New Roman"/>
                <w:color w:val="000000" w:themeColor="text1"/>
                <w:szCs w:val="24"/>
              </w:rPr>
              <w:lastRenderedPageBreak/>
              <w:t>protecție și a oricărui demers</w:t>
            </w:r>
            <w:r w:rsidR="002B1E24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juridic car</w:t>
            </w:r>
            <w:r w:rsidR="002B1E24">
              <w:rPr>
                <w:rFonts w:cs="Times New Roman"/>
                <w:color w:val="000000" w:themeColor="text1"/>
                <w:szCs w:val="24"/>
              </w:rPr>
              <w:t>e are ca scop protecția persoanel</w:t>
            </w:r>
            <w:r>
              <w:rPr>
                <w:rFonts w:cs="Times New Roman"/>
                <w:color w:val="000000" w:themeColor="text1"/>
                <w:szCs w:val="24"/>
              </w:rPr>
              <w:t>or victime ale violenței domestice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lastRenderedPageBreak/>
              <w:t>Solicitări intervenție echipa mobilă;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Rapoarte de inte</w:t>
            </w:r>
            <w:r w:rsidR="002B1E24">
              <w:rPr>
                <w:rFonts w:cs="Times New Roman"/>
                <w:color w:val="000000" w:themeColor="text1"/>
                <w:szCs w:val="24"/>
              </w:rPr>
              <w:t>r</w:t>
            </w:r>
            <w:r>
              <w:rPr>
                <w:rFonts w:cs="Times New Roman"/>
                <w:color w:val="000000" w:themeColor="text1"/>
                <w:szCs w:val="24"/>
              </w:rPr>
              <w:t>venție;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Rapoarte periodice de informare, evaluare și sprijin</w:t>
            </w:r>
          </w:p>
        </w:tc>
        <w:tc>
          <w:tcPr>
            <w:tcW w:w="1701" w:type="dxa"/>
          </w:tcPr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DGASPC</w:t>
            </w:r>
          </w:p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Compartimentul de asistență socială</w:t>
            </w:r>
          </w:p>
          <w:p w:rsidR="0040443F" w:rsidRDefault="0040443F" w:rsidP="0017412C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Poliție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Ori de câte ori se impune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local</w:t>
            </w:r>
          </w:p>
        </w:tc>
      </w:tr>
      <w:tr w:rsidR="000B105C" w:rsidTr="00F966AD">
        <w:trPr>
          <w:trHeight w:val="3135"/>
        </w:trPr>
        <w:tc>
          <w:tcPr>
            <w:tcW w:w="1276" w:type="dxa"/>
            <w:vMerge w:val="restart"/>
          </w:tcPr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    Educație</w:t>
            </w: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Familii cu copii aflați în risc de abandon școlar/ copii care au abandonat școala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Prevenirea abandonului școlar </w:t>
            </w:r>
            <w:r w:rsidR="002B1E24">
              <w:rPr>
                <w:rFonts w:cs="Times New Roman"/>
                <w:color w:val="000000" w:themeColor="text1"/>
                <w:szCs w:val="24"/>
              </w:rPr>
              <w:t>prin organizarea de acț</w:t>
            </w:r>
            <w:r>
              <w:rPr>
                <w:rFonts w:cs="Times New Roman"/>
                <w:color w:val="000000" w:themeColor="text1"/>
                <w:szCs w:val="24"/>
              </w:rPr>
              <w:t>iuni de informare și prevenție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Numărul de copii care au abandonat școala;</w:t>
            </w:r>
          </w:p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Numărul de copii aflați în risc de abandon școlar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Organizarea de activități de consiliere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acțiuni oragizate;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copii care au beneficiat de sprijin;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copii care au abandonat școala</w:t>
            </w:r>
          </w:p>
        </w:tc>
        <w:tc>
          <w:tcPr>
            <w:tcW w:w="1701" w:type="dxa"/>
          </w:tcPr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Colegiul ”Ferdinad I ” Măneciu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Școala gimnazială Măneciu Pământeni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Compartimentul de asistență socială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Poliție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Ori de câte ori se impune</w:t>
            </w:r>
          </w:p>
        </w:tc>
        <w:tc>
          <w:tcPr>
            <w:tcW w:w="992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B105C" w:rsidTr="00F966AD">
        <w:trPr>
          <w:trHeight w:val="2229"/>
        </w:trPr>
        <w:tc>
          <w:tcPr>
            <w:tcW w:w="1276" w:type="dxa"/>
            <w:vMerge/>
          </w:tcPr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apte de muncă beneficiare de VMI cu nivel de educație scăzut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Continuarea școlii (</w:t>
            </w:r>
            <w:r w:rsidR="002B1E24">
              <w:rPr>
                <w:rFonts w:cs="Times New Roman"/>
                <w:color w:val="000000" w:themeColor="text1"/>
                <w:szCs w:val="24"/>
              </w:rPr>
              <w:t>”</w:t>
            </w:r>
            <w:r>
              <w:rPr>
                <w:rFonts w:cs="Times New Roman"/>
                <w:color w:val="000000" w:themeColor="text1"/>
                <w:szCs w:val="24"/>
              </w:rPr>
              <w:t>A doua șansă</w:t>
            </w:r>
            <w:r w:rsidR="002B1E24">
              <w:rPr>
                <w:rFonts w:cs="Times New Roman"/>
                <w:color w:val="000000" w:themeColor="text1"/>
                <w:szCs w:val="24"/>
              </w:rPr>
              <w:t>”</w:t>
            </w:r>
            <w:r>
              <w:rPr>
                <w:rFonts w:cs="Times New Roman"/>
                <w:color w:val="000000" w:themeColor="text1"/>
                <w:szCs w:val="24"/>
              </w:rPr>
              <w:t>) și formarea profesională a beneficiarilor VMI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persoane care sunt apte de muncă ce au un nivel de școlarizare scăzut și nu au o calificare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Încrierea și parcurger</w:t>
            </w:r>
            <w:r w:rsidR="00F966AD">
              <w:rPr>
                <w:rFonts w:cs="Times New Roman"/>
                <w:color w:val="000000" w:themeColor="text1"/>
                <w:szCs w:val="24"/>
              </w:rPr>
              <w:t>ea cursurilor programului educaț</w:t>
            </w:r>
            <w:r>
              <w:rPr>
                <w:rFonts w:cs="Times New Roman"/>
                <w:color w:val="000000" w:themeColor="text1"/>
                <w:szCs w:val="24"/>
              </w:rPr>
              <w:t>ional ”A doua șansă”</w:t>
            </w:r>
          </w:p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Participarea la cursuri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persoane care au finalizat aceste programe</w:t>
            </w:r>
          </w:p>
        </w:tc>
        <w:tc>
          <w:tcPr>
            <w:tcW w:w="1701" w:type="dxa"/>
          </w:tcPr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AJOFM Vălenii de Munte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Unitățile de învățământ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Ori de câte ori se impune</w:t>
            </w:r>
          </w:p>
        </w:tc>
        <w:tc>
          <w:tcPr>
            <w:tcW w:w="992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0B105C" w:rsidTr="00F966AD">
        <w:trPr>
          <w:trHeight w:val="2229"/>
        </w:trPr>
        <w:tc>
          <w:tcPr>
            <w:tcW w:w="1276" w:type="dxa"/>
          </w:tcPr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3. Sănătate </w:t>
            </w: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vârstnice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aflate în situație de risc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Monitorizarea stării de sănătate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Numărul de persoane care au nevoie de servicii de specialitate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Monitorizarea stării de sănătate, accesul la servicii medicale de specialitate, facilitarea accesului la medicii de familie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cu dizabilități;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Persone cu afecțiuni medicale; Boli cronice</w:t>
            </w:r>
          </w:p>
        </w:tc>
        <w:tc>
          <w:tcPr>
            <w:tcW w:w="1701" w:type="dxa"/>
          </w:tcPr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Cabinete medicale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Compartimentul de asistență socială 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Periodic </w:t>
            </w:r>
          </w:p>
        </w:tc>
        <w:tc>
          <w:tcPr>
            <w:tcW w:w="992" w:type="dxa"/>
          </w:tcPr>
          <w:p w:rsidR="0040443F" w:rsidRDefault="000B105C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local</w:t>
            </w:r>
          </w:p>
        </w:tc>
      </w:tr>
      <w:tr w:rsidR="000B105C" w:rsidTr="00F966AD">
        <w:trPr>
          <w:trHeight w:val="2229"/>
        </w:trPr>
        <w:tc>
          <w:tcPr>
            <w:tcW w:w="1276" w:type="dxa"/>
          </w:tcPr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4. Participare socială</w:t>
            </w: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Membrii comunității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Implicarea activă la viața comunității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Nevoia de sprijin și suport pentru persoanele aflate în nevoie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Derularea unor acțiuni de educație extracurriculară</w:t>
            </w:r>
          </w:p>
        </w:tc>
        <w:tc>
          <w:tcPr>
            <w:tcW w:w="2126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Unitățile de învățământ, ONG-uri,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Periodic</w:t>
            </w:r>
          </w:p>
        </w:tc>
        <w:tc>
          <w:tcPr>
            <w:tcW w:w="992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F966AD" w:rsidTr="00F966AD">
        <w:trPr>
          <w:trHeight w:val="2229"/>
        </w:trPr>
        <w:tc>
          <w:tcPr>
            <w:tcW w:w="1276" w:type="dxa"/>
          </w:tcPr>
          <w:p w:rsidR="00F966AD" w:rsidRDefault="00F966AD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F966AD" w:rsidRDefault="00F966AD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F966AD" w:rsidRDefault="00F966AD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5. Infrastructură</w:t>
            </w:r>
          </w:p>
        </w:tc>
        <w:tc>
          <w:tcPr>
            <w:tcW w:w="1418" w:type="dxa"/>
          </w:tcPr>
          <w:p w:rsidR="00F966AD" w:rsidRDefault="00F966AD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Comunitatea locală</w:t>
            </w:r>
          </w:p>
        </w:tc>
        <w:tc>
          <w:tcPr>
            <w:tcW w:w="1701" w:type="dxa"/>
          </w:tcPr>
          <w:p w:rsidR="00F966AD" w:rsidRDefault="00F966AD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Efectuarea de reparații și/ sau îmbunătățiri ale locuinței</w:t>
            </w:r>
          </w:p>
        </w:tc>
        <w:tc>
          <w:tcPr>
            <w:tcW w:w="1846" w:type="dxa"/>
          </w:tcPr>
          <w:p w:rsidR="00F966AD" w:rsidRDefault="00F966AD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Numărul de gospodării neracordate la utilități publice</w:t>
            </w:r>
          </w:p>
        </w:tc>
        <w:tc>
          <w:tcPr>
            <w:tcW w:w="1698" w:type="dxa"/>
          </w:tcPr>
          <w:p w:rsidR="00F966AD" w:rsidRDefault="00F966AD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Acțiuni de racordare a gospodăriilor racordate la rețeaua de apă, curent electric</w:t>
            </w:r>
          </w:p>
        </w:tc>
        <w:tc>
          <w:tcPr>
            <w:tcW w:w="2126" w:type="dxa"/>
          </w:tcPr>
          <w:p w:rsidR="00F966AD" w:rsidRDefault="00F966AD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de gospodării racordate la rețeaua de apă, curent electric</w:t>
            </w:r>
          </w:p>
        </w:tc>
        <w:tc>
          <w:tcPr>
            <w:tcW w:w="1701" w:type="dxa"/>
          </w:tcPr>
          <w:p w:rsidR="00F966AD" w:rsidRDefault="00F966AD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</w:t>
            </w:r>
          </w:p>
        </w:tc>
        <w:tc>
          <w:tcPr>
            <w:tcW w:w="1276" w:type="dxa"/>
          </w:tcPr>
          <w:p w:rsidR="00F966AD" w:rsidRDefault="00F966AD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Periodic/ ori de câte ori se impune</w:t>
            </w:r>
          </w:p>
        </w:tc>
        <w:tc>
          <w:tcPr>
            <w:tcW w:w="992" w:type="dxa"/>
          </w:tcPr>
          <w:p w:rsidR="00F966AD" w:rsidRDefault="00F966AD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Buget local</w:t>
            </w:r>
          </w:p>
        </w:tc>
      </w:tr>
      <w:tr w:rsidR="000B105C" w:rsidTr="00F966AD">
        <w:trPr>
          <w:trHeight w:val="2229"/>
        </w:trPr>
        <w:tc>
          <w:tcPr>
            <w:tcW w:w="1276" w:type="dxa"/>
          </w:tcPr>
          <w:p w:rsidR="0040443F" w:rsidRDefault="0040443F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40443F" w:rsidRDefault="00F966AD" w:rsidP="007729E4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6</w:t>
            </w:r>
            <w:r w:rsidR="0040443F">
              <w:rPr>
                <w:rFonts w:cs="Times New Roman"/>
                <w:color w:val="000000" w:themeColor="text1"/>
                <w:szCs w:val="24"/>
              </w:rPr>
              <w:t xml:space="preserve">. Ocupare </w:t>
            </w:r>
          </w:p>
        </w:tc>
        <w:tc>
          <w:tcPr>
            <w:tcW w:w="1418" w:type="dxa"/>
          </w:tcPr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Persoanele beneficiare / solicitante de VMI aflate în căutarea unui loc de muncă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casnice</w:t>
            </w:r>
          </w:p>
          <w:p w:rsidR="0040443F" w:rsidRDefault="0040443F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Persoane cu dizabilități</w:t>
            </w:r>
          </w:p>
        </w:tc>
        <w:tc>
          <w:tcPr>
            <w:tcW w:w="1701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Îmbunătățirea calității vieții prin asigurarea unui venit permanent care să acopere nevoile de bază</w:t>
            </w:r>
          </w:p>
        </w:tc>
        <w:tc>
          <w:tcPr>
            <w:tcW w:w="1846" w:type="dxa"/>
          </w:tcPr>
          <w:p w:rsidR="0040443F" w:rsidRDefault="0040443F" w:rsidP="00674681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Nevoia unui venit permanet</w:t>
            </w:r>
          </w:p>
        </w:tc>
        <w:tc>
          <w:tcPr>
            <w:tcW w:w="1698" w:type="dxa"/>
          </w:tcPr>
          <w:p w:rsidR="0040443F" w:rsidRDefault="0040443F" w:rsidP="00C47E5F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Consiliere socială referire </w:t>
            </w:r>
            <w:r w:rsidR="00FD582D">
              <w:rPr>
                <w:rFonts w:cs="Times New Roman"/>
                <w:color w:val="000000" w:themeColor="text1"/>
                <w:szCs w:val="24"/>
              </w:rPr>
              <w:t xml:space="preserve">către AJOFM </w:t>
            </w:r>
            <w:r w:rsidR="00F966AD">
              <w:rPr>
                <w:rFonts w:cs="Times New Roman"/>
                <w:color w:val="000000" w:themeColor="text1"/>
                <w:szCs w:val="24"/>
              </w:rPr>
              <w:t xml:space="preserve">a </w:t>
            </w:r>
            <w:r w:rsidR="00FD582D">
              <w:rPr>
                <w:rFonts w:cs="Times New Roman"/>
                <w:color w:val="000000" w:themeColor="text1"/>
                <w:szCs w:val="24"/>
              </w:rPr>
              <w:t>persoanel</w:t>
            </w:r>
            <w:r>
              <w:rPr>
                <w:rFonts w:cs="Times New Roman"/>
                <w:color w:val="000000" w:themeColor="text1"/>
                <w:szCs w:val="24"/>
              </w:rPr>
              <w:t>or apte de muncă în căutarea unui loc de muncă</w:t>
            </w:r>
          </w:p>
        </w:tc>
        <w:tc>
          <w:tcPr>
            <w:tcW w:w="2126" w:type="dxa"/>
          </w:tcPr>
          <w:p w:rsidR="0040443F" w:rsidRDefault="00F966AD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persoane consiliate</w:t>
            </w:r>
          </w:p>
          <w:p w:rsidR="00F966AD" w:rsidRDefault="00F966AD" w:rsidP="00E02475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Număr persoane luate în evidența AJOFM</w:t>
            </w:r>
          </w:p>
        </w:tc>
        <w:tc>
          <w:tcPr>
            <w:tcW w:w="1701" w:type="dxa"/>
          </w:tcPr>
          <w:p w:rsidR="0040443F" w:rsidRDefault="00FD582D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UAT</w:t>
            </w:r>
          </w:p>
          <w:p w:rsidR="0040443F" w:rsidRDefault="0040443F" w:rsidP="006368B6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AJOFM</w:t>
            </w:r>
          </w:p>
        </w:tc>
        <w:tc>
          <w:tcPr>
            <w:tcW w:w="1276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Ori de câte ori se impune</w:t>
            </w:r>
          </w:p>
        </w:tc>
        <w:tc>
          <w:tcPr>
            <w:tcW w:w="992" w:type="dxa"/>
          </w:tcPr>
          <w:p w:rsidR="0040443F" w:rsidRDefault="0040443F" w:rsidP="000D2B32">
            <w:pPr>
              <w:spacing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:rsidR="00C47E5F" w:rsidRDefault="00C47E5F" w:rsidP="00AC5D87">
      <w:pPr>
        <w:jc w:val="both"/>
        <w:rPr>
          <w:color w:val="FF0000"/>
        </w:rPr>
      </w:pPr>
    </w:p>
    <w:p w:rsidR="00C47E5F" w:rsidRDefault="00C47E5F" w:rsidP="00AC5D87">
      <w:pPr>
        <w:jc w:val="both"/>
        <w:rPr>
          <w:color w:val="FF0000"/>
        </w:rPr>
      </w:pPr>
    </w:p>
    <w:p w:rsidR="00C47E5F" w:rsidRDefault="00C47E5F" w:rsidP="00AC5D87">
      <w:pPr>
        <w:jc w:val="both"/>
        <w:rPr>
          <w:color w:val="FF0000"/>
        </w:rPr>
      </w:pPr>
    </w:p>
    <w:p w:rsidR="00C47E5F" w:rsidRDefault="00C47E5F" w:rsidP="00AC5D87">
      <w:pPr>
        <w:jc w:val="both"/>
        <w:rPr>
          <w:color w:val="FF0000"/>
        </w:rPr>
      </w:pPr>
    </w:p>
    <w:p w:rsidR="007C508F" w:rsidRPr="00D56416" w:rsidRDefault="007C508F" w:rsidP="007C508F">
      <w:pPr>
        <w:jc w:val="center"/>
        <w:rPr>
          <w:rFonts w:cs="Times New Roman"/>
          <w:szCs w:val="24"/>
          <w:lang w:val="fr-FR"/>
        </w:rPr>
      </w:pPr>
      <w:r w:rsidRPr="00D56416">
        <w:rPr>
          <w:rFonts w:cs="Times New Roman"/>
          <w:szCs w:val="24"/>
          <w:lang w:val="fr-FR"/>
        </w:rPr>
        <w:t>PREŞEDINTE DE SEDINŢǍ,                                                     CONTRASEMNEAZǍ</w:t>
      </w:r>
    </w:p>
    <w:p w:rsidR="007C508F" w:rsidRPr="00D56416" w:rsidRDefault="007C508F" w:rsidP="007C508F">
      <w:pPr>
        <w:jc w:val="center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                                                                                                   </w:t>
      </w:r>
      <w:r w:rsidR="00605C4D">
        <w:rPr>
          <w:rFonts w:cs="Times New Roman"/>
          <w:szCs w:val="24"/>
          <w:lang w:val="fr-FR"/>
        </w:rPr>
        <w:t xml:space="preserve">     </w:t>
      </w:r>
      <w:r w:rsidRPr="00D56416">
        <w:rPr>
          <w:rFonts w:cs="Times New Roman"/>
          <w:szCs w:val="24"/>
          <w:lang w:val="fr-FR"/>
        </w:rPr>
        <w:t>SECRETAR</w:t>
      </w:r>
      <w:r>
        <w:rPr>
          <w:rFonts w:cs="Times New Roman"/>
          <w:szCs w:val="24"/>
          <w:lang w:val="fr-FR"/>
        </w:rPr>
        <w:t xml:space="preserve"> GENERAL</w:t>
      </w:r>
      <w:r w:rsidRPr="00D56416">
        <w:rPr>
          <w:rFonts w:cs="Times New Roman"/>
          <w:szCs w:val="24"/>
          <w:lang w:val="fr-FR"/>
        </w:rPr>
        <w:t>,</w:t>
      </w:r>
    </w:p>
    <w:p w:rsidR="007C508F" w:rsidRPr="00D56416" w:rsidRDefault="007C508F" w:rsidP="007C508F">
      <w:pPr>
        <w:jc w:val="center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 xml:space="preserve">                                                                                                </w:t>
      </w:r>
      <w:r w:rsidR="00605C4D">
        <w:rPr>
          <w:rFonts w:cs="Times New Roman"/>
          <w:szCs w:val="24"/>
          <w:lang w:val="fr-FR"/>
        </w:rPr>
        <w:t xml:space="preserve">     </w:t>
      </w:r>
      <w:r w:rsidRPr="00D56416">
        <w:rPr>
          <w:rFonts w:cs="Times New Roman"/>
          <w:szCs w:val="24"/>
          <w:lang w:val="fr-FR"/>
        </w:rPr>
        <w:t>Geanina Elena Badea</w:t>
      </w:r>
    </w:p>
    <w:p w:rsidR="007C508F" w:rsidRPr="00D56416" w:rsidRDefault="007C508F" w:rsidP="007C508F">
      <w:pPr>
        <w:jc w:val="center"/>
        <w:rPr>
          <w:rFonts w:cs="Times New Roman"/>
          <w:szCs w:val="24"/>
          <w:lang w:val="fr-FR"/>
        </w:rPr>
      </w:pPr>
    </w:p>
    <w:p w:rsidR="00AC5D87" w:rsidRDefault="00AC5D87" w:rsidP="00AC5D87">
      <w:pPr>
        <w:jc w:val="both"/>
        <w:rPr>
          <w:color w:val="FF0000"/>
        </w:rPr>
      </w:pPr>
    </w:p>
    <w:p w:rsidR="00AC5D87" w:rsidRDefault="00AC5D87" w:rsidP="00AC5D87">
      <w:pPr>
        <w:jc w:val="both"/>
        <w:rPr>
          <w:color w:val="FF0000"/>
        </w:rPr>
      </w:pPr>
    </w:p>
    <w:p w:rsidR="00AC5D87" w:rsidRDefault="00AC5D87" w:rsidP="00AC5D87">
      <w:pPr>
        <w:jc w:val="both"/>
        <w:rPr>
          <w:color w:val="FF0000"/>
        </w:rPr>
      </w:pPr>
    </w:p>
    <w:p w:rsidR="00AC5D87" w:rsidRDefault="00AC5D87" w:rsidP="00AC5D87">
      <w:pPr>
        <w:jc w:val="both"/>
        <w:rPr>
          <w:color w:val="FF0000"/>
        </w:rPr>
      </w:pPr>
    </w:p>
    <w:p w:rsidR="00AC5D87" w:rsidRDefault="00AC5D87" w:rsidP="00AC5D87">
      <w:pPr>
        <w:jc w:val="both"/>
        <w:rPr>
          <w:color w:val="FF0000"/>
        </w:rPr>
      </w:pPr>
    </w:p>
    <w:p w:rsidR="00AC5D87" w:rsidRDefault="00AC5D87" w:rsidP="00AC5D87">
      <w:pPr>
        <w:jc w:val="both"/>
        <w:rPr>
          <w:color w:val="FF0000"/>
        </w:rPr>
      </w:pPr>
    </w:p>
    <w:p w:rsidR="00AC5D87" w:rsidRDefault="00AC5D87" w:rsidP="00AC5D87">
      <w:pPr>
        <w:jc w:val="both"/>
        <w:rPr>
          <w:color w:val="FF0000"/>
        </w:rPr>
      </w:pPr>
    </w:p>
    <w:p w:rsidR="00AC5D87" w:rsidRDefault="00AC5D87" w:rsidP="00AC5D87">
      <w:pPr>
        <w:jc w:val="both"/>
        <w:rPr>
          <w:color w:val="FF0000"/>
        </w:rPr>
      </w:pPr>
    </w:p>
    <w:p w:rsidR="00AC5D87" w:rsidRDefault="00AC5D87" w:rsidP="00AC5D87">
      <w:pPr>
        <w:jc w:val="both"/>
        <w:rPr>
          <w:color w:val="FF0000"/>
        </w:rPr>
      </w:pPr>
    </w:p>
    <w:p w:rsidR="00AC5D87" w:rsidRDefault="00AC5D87" w:rsidP="00AC5D87">
      <w:pPr>
        <w:jc w:val="both"/>
        <w:rPr>
          <w:color w:val="FF0000"/>
        </w:rPr>
      </w:pPr>
    </w:p>
    <w:p w:rsidR="00AC5D87" w:rsidRDefault="00AC5D87" w:rsidP="00AC5D87">
      <w:pPr>
        <w:jc w:val="both"/>
        <w:rPr>
          <w:color w:val="FF0000"/>
        </w:rPr>
      </w:pPr>
    </w:p>
    <w:sectPr w:rsidR="00AC5D87" w:rsidSect="007729E4">
      <w:pgSz w:w="15840" w:h="12240" w:orient="landscape"/>
      <w:pgMar w:top="851" w:right="567" w:bottom="284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4AF" w:rsidRDefault="00C444AF" w:rsidP="0079294C">
      <w:pPr>
        <w:spacing w:line="240" w:lineRule="auto"/>
      </w:pPr>
      <w:r>
        <w:separator/>
      </w:r>
    </w:p>
  </w:endnote>
  <w:endnote w:type="continuationSeparator" w:id="1">
    <w:p w:rsidR="00C444AF" w:rsidRDefault="00C444AF" w:rsidP="007929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4AF" w:rsidRDefault="00C444AF" w:rsidP="0079294C">
      <w:pPr>
        <w:spacing w:line="240" w:lineRule="auto"/>
      </w:pPr>
      <w:r>
        <w:separator/>
      </w:r>
    </w:p>
  </w:footnote>
  <w:footnote w:type="continuationSeparator" w:id="1">
    <w:p w:rsidR="00C444AF" w:rsidRDefault="00C444AF" w:rsidP="007929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32EC"/>
    <w:multiLevelType w:val="hybridMultilevel"/>
    <w:tmpl w:val="28104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F09BC"/>
    <w:multiLevelType w:val="hybridMultilevel"/>
    <w:tmpl w:val="54D273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7320F"/>
    <w:multiLevelType w:val="hybridMultilevel"/>
    <w:tmpl w:val="648CDE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5FA27BB"/>
    <w:multiLevelType w:val="hybridMultilevel"/>
    <w:tmpl w:val="ED78B9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152FD"/>
    <w:multiLevelType w:val="hybridMultilevel"/>
    <w:tmpl w:val="1A14C0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9E704D"/>
    <w:multiLevelType w:val="hybridMultilevel"/>
    <w:tmpl w:val="36E683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3138D8"/>
    <w:multiLevelType w:val="hybridMultilevel"/>
    <w:tmpl w:val="E7DEE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476566"/>
    <w:multiLevelType w:val="hybridMultilevel"/>
    <w:tmpl w:val="7B48EB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BC5366"/>
    <w:multiLevelType w:val="hybridMultilevel"/>
    <w:tmpl w:val="D012F612"/>
    <w:lvl w:ilvl="0" w:tplc="413E5A1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5D87"/>
    <w:rsid w:val="00034658"/>
    <w:rsid w:val="0003761F"/>
    <w:rsid w:val="00056EB0"/>
    <w:rsid w:val="0006642F"/>
    <w:rsid w:val="000768C9"/>
    <w:rsid w:val="0008307A"/>
    <w:rsid w:val="000A3D2E"/>
    <w:rsid w:val="000B105C"/>
    <w:rsid w:val="000D2B32"/>
    <w:rsid w:val="000D5889"/>
    <w:rsid w:val="000E4384"/>
    <w:rsid w:val="000F7E8B"/>
    <w:rsid w:val="00114C5E"/>
    <w:rsid w:val="00121EAA"/>
    <w:rsid w:val="001373B2"/>
    <w:rsid w:val="00142521"/>
    <w:rsid w:val="00151C2F"/>
    <w:rsid w:val="001737BA"/>
    <w:rsid w:val="0017412C"/>
    <w:rsid w:val="001765EF"/>
    <w:rsid w:val="00182DA9"/>
    <w:rsid w:val="00183763"/>
    <w:rsid w:val="001F5679"/>
    <w:rsid w:val="00207736"/>
    <w:rsid w:val="00215060"/>
    <w:rsid w:val="00222804"/>
    <w:rsid w:val="00232B9F"/>
    <w:rsid w:val="00240CB9"/>
    <w:rsid w:val="002624D1"/>
    <w:rsid w:val="002B1E24"/>
    <w:rsid w:val="002B2D61"/>
    <w:rsid w:val="002B34C4"/>
    <w:rsid w:val="002C2440"/>
    <w:rsid w:val="002D799D"/>
    <w:rsid w:val="00344A1A"/>
    <w:rsid w:val="00344D18"/>
    <w:rsid w:val="00362FF9"/>
    <w:rsid w:val="0038081D"/>
    <w:rsid w:val="003A3492"/>
    <w:rsid w:val="003C7107"/>
    <w:rsid w:val="003F300F"/>
    <w:rsid w:val="0040443F"/>
    <w:rsid w:val="00405771"/>
    <w:rsid w:val="00410514"/>
    <w:rsid w:val="00426549"/>
    <w:rsid w:val="00441180"/>
    <w:rsid w:val="00447E40"/>
    <w:rsid w:val="0045063E"/>
    <w:rsid w:val="00461040"/>
    <w:rsid w:val="00464BBA"/>
    <w:rsid w:val="00485015"/>
    <w:rsid w:val="00491B0C"/>
    <w:rsid w:val="0049633D"/>
    <w:rsid w:val="00497E2D"/>
    <w:rsid w:val="004C585A"/>
    <w:rsid w:val="004C722A"/>
    <w:rsid w:val="004D270A"/>
    <w:rsid w:val="004E5801"/>
    <w:rsid w:val="00504267"/>
    <w:rsid w:val="00535E48"/>
    <w:rsid w:val="005922A0"/>
    <w:rsid w:val="005D22D3"/>
    <w:rsid w:val="005D61F7"/>
    <w:rsid w:val="005F0E14"/>
    <w:rsid w:val="005F1ED6"/>
    <w:rsid w:val="00605C4D"/>
    <w:rsid w:val="00631613"/>
    <w:rsid w:val="006368B6"/>
    <w:rsid w:val="0064176E"/>
    <w:rsid w:val="00674681"/>
    <w:rsid w:val="006758E6"/>
    <w:rsid w:val="00684DF7"/>
    <w:rsid w:val="00687BBF"/>
    <w:rsid w:val="00695928"/>
    <w:rsid w:val="006A2A16"/>
    <w:rsid w:val="006D00C8"/>
    <w:rsid w:val="006E612B"/>
    <w:rsid w:val="006F0009"/>
    <w:rsid w:val="007025BB"/>
    <w:rsid w:val="00715B05"/>
    <w:rsid w:val="007319E7"/>
    <w:rsid w:val="007520F5"/>
    <w:rsid w:val="007729E4"/>
    <w:rsid w:val="00784D6F"/>
    <w:rsid w:val="0079294C"/>
    <w:rsid w:val="007A248E"/>
    <w:rsid w:val="007B55E8"/>
    <w:rsid w:val="007B790B"/>
    <w:rsid w:val="007C3AEB"/>
    <w:rsid w:val="007C508F"/>
    <w:rsid w:val="007E2E6D"/>
    <w:rsid w:val="0082459C"/>
    <w:rsid w:val="008359A1"/>
    <w:rsid w:val="00846FDF"/>
    <w:rsid w:val="00885EFA"/>
    <w:rsid w:val="008B125D"/>
    <w:rsid w:val="008B6D75"/>
    <w:rsid w:val="008D18FF"/>
    <w:rsid w:val="00901D79"/>
    <w:rsid w:val="0091444A"/>
    <w:rsid w:val="009303AF"/>
    <w:rsid w:val="00962F6B"/>
    <w:rsid w:val="00963CED"/>
    <w:rsid w:val="00964185"/>
    <w:rsid w:val="00965860"/>
    <w:rsid w:val="00975133"/>
    <w:rsid w:val="0097531D"/>
    <w:rsid w:val="0098589B"/>
    <w:rsid w:val="009879EB"/>
    <w:rsid w:val="009A6543"/>
    <w:rsid w:val="009C3AAD"/>
    <w:rsid w:val="009E1799"/>
    <w:rsid w:val="00A000A9"/>
    <w:rsid w:val="00A0182C"/>
    <w:rsid w:val="00A12432"/>
    <w:rsid w:val="00A25037"/>
    <w:rsid w:val="00A262EC"/>
    <w:rsid w:val="00A30F71"/>
    <w:rsid w:val="00A33641"/>
    <w:rsid w:val="00A373B5"/>
    <w:rsid w:val="00A47176"/>
    <w:rsid w:val="00A743BB"/>
    <w:rsid w:val="00A945ED"/>
    <w:rsid w:val="00AC5D87"/>
    <w:rsid w:val="00B035FE"/>
    <w:rsid w:val="00B41B85"/>
    <w:rsid w:val="00B57DC6"/>
    <w:rsid w:val="00B95AD0"/>
    <w:rsid w:val="00BA51D0"/>
    <w:rsid w:val="00BC34CF"/>
    <w:rsid w:val="00BD4CD1"/>
    <w:rsid w:val="00C211F9"/>
    <w:rsid w:val="00C27A02"/>
    <w:rsid w:val="00C444AF"/>
    <w:rsid w:val="00C47E5F"/>
    <w:rsid w:val="00C54596"/>
    <w:rsid w:val="00C741B9"/>
    <w:rsid w:val="00C74BAF"/>
    <w:rsid w:val="00C9123B"/>
    <w:rsid w:val="00CD3091"/>
    <w:rsid w:val="00CD61CE"/>
    <w:rsid w:val="00D013CF"/>
    <w:rsid w:val="00D043E7"/>
    <w:rsid w:val="00D30B19"/>
    <w:rsid w:val="00D41283"/>
    <w:rsid w:val="00D677ED"/>
    <w:rsid w:val="00D73272"/>
    <w:rsid w:val="00D9038A"/>
    <w:rsid w:val="00D96A32"/>
    <w:rsid w:val="00DB31FF"/>
    <w:rsid w:val="00DB5DE8"/>
    <w:rsid w:val="00DB7424"/>
    <w:rsid w:val="00DD13A8"/>
    <w:rsid w:val="00DD3404"/>
    <w:rsid w:val="00DD550D"/>
    <w:rsid w:val="00E00129"/>
    <w:rsid w:val="00E02475"/>
    <w:rsid w:val="00E059F9"/>
    <w:rsid w:val="00E449D5"/>
    <w:rsid w:val="00E52889"/>
    <w:rsid w:val="00EB72A9"/>
    <w:rsid w:val="00EC1227"/>
    <w:rsid w:val="00EE0EA5"/>
    <w:rsid w:val="00EF323C"/>
    <w:rsid w:val="00F07FDA"/>
    <w:rsid w:val="00F16582"/>
    <w:rsid w:val="00F42365"/>
    <w:rsid w:val="00F51550"/>
    <w:rsid w:val="00F5224E"/>
    <w:rsid w:val="00F65D3F"/>
    <w:rsid w:val="00F8371B"/>
    <w:rsid w:val="00F966AD"/>
    <w:rsid w:val="00FA77CC"/>
    <w:rsid w:val="00FD582D"/>
    <w:rsid w:val="00FE4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D87"/>
    <w:pPr>
      <w:spacing w:after="0" w:line="360" w:lineRule="auto"/>
    </w:pPr>
    <w:rPr>
      <w:rFonts w:ascii="Times New Roman" w:hAnsi="Times New Roman"/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29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9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03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5D8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4A1A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79294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9294C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79294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94C"/>
    <w:rPr>
      <w:rFonts w:ascii="Times New Roman" w:hAnsi="Times New Roman"/>
      <w:sz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79294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94C"/>
    <w:rPr>
      <w:rFonts w:ascii="Times New Roman" w:hAnsi="Times New Roman"/>
      <w:sz w:val="24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79294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79294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table" w:customStyle="1" w:styleId="TableGrid1">
    <w:name w:val="Table Grid1"/>
    <w:basedOn w:val="TableNormal"/>
    <w:next w:val="TableGrid"/>
    <w:uiPriority w:val="59"/>
    <w:rsid w:val="00963CED"/>
    <w:pPr>
      <w:spacing w:after="0" w:line="240" w:lineRule="auto"/>
    </w:pPr>
    <w:rPr>
      <w:rFonts w:ascii="Calibri" w:hAnsi="Calibri"/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63CE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table" w:styleId="TableGrid">
    <w:name w:val="Table Grid"/>
    <w:basedOn w:val="TableNormal"/>
    <w:uiPriority w:val="39"/>
    <w:rsid w:val="00963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9303A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3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38A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15774-F6A8-41FC-B651-F5E460350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2148</TotalTime>
  <Pages>6</Pages>
  <Words>1142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PLANUL DE DEZVOLTARE A SERVICIILOR SOCIALE</vt:lpstr>
    </vt:vector>
  </TitlesOfParts>
  <Company/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PLANUL DE DEZVOLTARE A SERVICIILOR SOCIALE</dc:title>
  <dc:subject>Comuna Maneciu, judetul Prahova</dc:subject>
  <dc:creator>Alina</dc:creator>
  <cp:keywords/>
  <dc:description/>
  <cp:lastModifiedBy>dana.penes</cp:lastModifiedBy>
  <cp:revision>49</cp:revision>
  <cp:lastPrinted>2025-01-09T07:32:00Z</cp:lastPrinted>
  <dcterms:created xsi:type="dcterms:W3CDTF">2024-08-05T12:56:00Z</dcterms:created>
  <dcterms:modified xsi:type="dcterms:W3CDTF">2025-02-06T12:11:00Z</dcterms:modified>
</cp:coreProperties>
</file>