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57485" w14:textId="77777777" w:rsidR="007F06EC" w:rsidRDefault="007F06EC" w:rsidP="007F06EC">
      <w:pPr>
        <w:pStyle w:val="NoSpacing"/>
        <w:jc w:val="center"/>
        <w:rPr>
          <w:rFonts w:ascii="Times New Roman" w:hAnsi="Times New Roman"/>
          <w:sz w:val="24"/>
          <w:szCs w:val="24"/>
        </w:rPr>
      </w:pPr>
      <w:r>
        <w:rPr>
          <w:noProof/>
          <w:lang w:val="en-GB" w:eastAsia="en-GB"/>
        </w:rPr>
        <w:drawing>
          <wp:anchor distT="0" distB="0" distL="114300" distR="114300" simplePos="0" relativeHeight="251658240" behindDoc="0" locked="0" layoutInCell="1" allowOverlap="1" wp14:anchorId="7EED10D3" wp14:editId="67AB7C44">
            <wp:simplePos x="0" y="0"/>
            <wp:positionH relativeFrom="column">
              <wp:posOffset>9525</wp:posOffset>
            </wp:positionH>
            <wp:positionV relativeFrom="paragraph">
              <wp:posOffset>-19050</wp:posOffset>
            </wp:positionV>
            <wp:extent cx="775970" cy="1123950"/>
            <wp:effectExtent l="19050" t="0" r="5080" b="0"/>
            <wp:wrapSquare wrapText="bothSides"/>
            <wp:docPr id="2"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7" cstate="print"/>
                    <a:srcRect/>
                    <a:stretch>
                      <a:fillRect/>
                    </a:stretch>
                  </pic:blipFill>
                  <pic:spPr bwMode="auto">
                    <a:xfrm>
                      <a:off x="0" y="0"/>
                      <a:ext cx="775970" cy="1123950"/>
                    </a:xfrm>
                    <a:prstGeom prst="rect">
                      <a:avLst/>
                    </a:prstGeom>
                    <a:noFill/>
                  </pic:spPr>
                </pic:pic>
              </a:graphicData>
            </a:graphic>
          </wp:anchor>
        </w:drawing>
      </w:r>
      <w:r>
        <w:rPr>
          <w:rFonts w:ascii="Times New Roman" w:hAnsi="Times New Roman"/>
          <w:sz w:val="24"/>
          <w:szCs w:val="24"/>
        </w:rPr>
        <w:t xml:space="preserve"> ROMÂNIA</w:t>
      </w:r>
    </w:p>
    <w:p w14:paraId="7C23E99B"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JUDEŢUL TIMIŞ</w:t>
      </w:r>
    </w:p>
    <w:p w14:paraId="08C5D09B"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COMUNA LIEBLING</w:t>
      </w:r>
    </w:p>
    <w:p w14:paraId="27E07000"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 xml:space="preserve">Liebling, Nr. 528, Cod poștal: 307245, </w:t>
      </w:r>
    </w:p>
    <w:p w14:paraId="6835717C"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Tel: 0256/396501; Fax: 0256/396421</w:t>
      </w:r>
    </w:p>
    <w:p w14:paraId="654F98CE" w14:textId="77777777" w:rsidR="007F06EC" w:rsidRDefault="007F06EC" w:rsidP="007F06EC">
      <w:pPr>
        <w:pStyle w:val="Header"/>
        <w:rPr>
          <w:lang w:val="ro-RO"/>
        </w:rPr>
      </w:pPr>
      <w:r>
        <w:rPr>
          <w:rFonts w:ascii="Times New Roman" w:hAnsi="Times New Roman"/>
          <w:sz w:val="24"/>
          <w:szCs w:val="24"/>
        </w:rPr>
        <w:t xml:space="preserve">                                    e-mail. </w:t>
      </w:r>
      <w:hyperlink r:id="rId8" w:history="1">
        <w:r>
          <w:rPr>
            <w:rStyle w:val="Hyperlink"/>
            <w:b/>
            <w:sz w:val="24"/>
            <w:szCs w:val="24"/>
          </w:rPr>
          <w:t>contact@primarialiebling.ro</w:t>
        </w:r>
      </w:hyperlink>
    </w:p>
    <w:p w14:paraId="39A61338" w14:textId="77777777" w:rsidR="006A3B1F" w:rsidRDefault="006A3B1F" w:rsidP="006A3B1F">
      <w:pPr>
        <w:jc w:val="center"/>
      </w:pPr>
    </w:p>
    <w:p w14:paraId="333C12E7" w14:textId="722079A7" w:rsidR="006A3B1F" w:rsidRDefault="00012C2F" w:rsidP="00012C2F">
      <w:r>
        <w:t>Nr.</w:t>
      </w:r>
      <w:r w:rsidR="00B34D8A">
        <w:t>13</w:t>
      </w:r>
      <w:r w:rsidR="008A3826">
        <w:t>68</w:t>
      </w:r>
      <w:r>
        <w:t>/</w:t>
      </w:r>
      <w:r w:rsidR="008A3826">
        <w:t>05</w:t>
      </w:r>
      <w:r>
        <w:t>.</w:t>
      </w:r>
      <w:r w:rsidR="00B34D8A">
        <w:t>0</w:t>
      </w:r>
      <w:r w:rsidR="008A3826">
        <w:t>3</w:t>
      </w:r>
      <w:r>
        <w:t>.</w:t>
      </w:r>
      <w:r w:rsidR="00B34D8A">
        <w:t>2025</w:t>
      </w:r>
    </w:p>
    <w:p w14:paraId="22ADED4E" w14:textId="77777777" w:rsidR="006A3B1F" w:rsidRDefault="006A3B1F" w:rsidP="007F06EC"/>
    <w:p w14:paraId="05758475" w14:textId="77777777" w:rsidR="006A3B1F" w:rsidRDefault="006A3B1F" w:rsidP="006A3B1F">
      <w:pPr>
        <w:jc w:val="center"/>
      </w:pPr>
    </w:p>
    <w:p w14:paraId="08673C0C" w14:textId="1478F17C" w:rsidR="006A3B1F" w:rsidRPr="008A3826" w:rsidRDefault="006A3B1F" w:rsidP="008A3826">
      <w:pPr>
        <w:jc w:val="center"/>
        <w:rPr>
          <w:b/>
        </w:rPr>
      </w:pPr>
      <w:r w:rsidRPr="008A3826">
        <w:rPr>
          <w:b/>
        </w:rPr>
        <w:t>REFERAT DE APROBARE</w:t>
      </w:r>
      <w:r w:rsidR="00B34D8A" w:rsidRPr="008A3826">
        <w:rPr>
          <w:b/>
        </w:rPr>
        <w:t xml:space="preserve"> </w:t>
      </w:r>
    </w:p>
    <w:p w14:paraId="27B5221D" w14:textId="77777777" w:rsidR="008A3826" w:rsidRPr="008A3826" w:rsidRDefault="008A3826" w:rsidP="008A3826">
      <w:pPr>
        <w:pStyle w:val="Heading2"/>
        <w:shd w:val="clear" w:color="auto" w:fill="FFFFFF"/>
        <w:spacing w:before="0" w:beforeAutospacing="0" w:after="0" w:afterAutospacing="0"/>
        <w:jc w:val="center"/>
        <w:rPr>
          <w:b w:val="0"/>
          <w:bCs w:val="0"/>
          <w:iCs/>
          <w:sz w:val="24"/>
          <w:szCs w:val="24"/>
          <w:lang w:val="en-GB"/>
        </w:rPr>
      </w:pPr>
      <w:r w:rsidRPr="008A3826">
        <w:rPr>
          <w:b w:val="0"/>
          <w:iCs/>
          <w:sz w:val="24"/>
          <w:szCs w:val="24"/>
        </w:rPr>
        <w:t xml:space="preserve">La Proiectul de Hotărâre </w:t>
      </w:r>
      <w:r w:rsidRPr="008A3826">
        <w:rPr>
          <w:b w:val="0"/>
          <w:bCs w:val="0"/>
          <w:iCs/>
          <w:sz w:val="24"/>
          <w:szCs w:val="24"/>
        </w:rPr>
        <w:t>privind aprobarea indicatorilor tehnico-economici în vederea demarării procedurii de achiziție a obiectului de investiții „Elaborare Plan Urbanistic General al Comunei Liebling, Timiș”</w:t>
      </w:r>
    </w:p>
    <w:p w14:paraId="2AD32059" w14:textId="50C16E66" w:rsidR="003F25C7" w:rsidRPr="003F25C7" w:rsidRDefault="003F25C7" w:rsidP="008A3826">
      <w:pPr>
        <w:shd w:val="clear" w:color="auto" w:fill="FFFFFF"/>
        <w:jc w:val="center"/>
        <w:outlineLvl w:val="1"/>
        <w:rPr>
          <w:b/>
          <w:i/>
        </w:rPr>
      </w:pPr>
    </w:p>
    <w:p w14:paraId="008CB44D" w14:textId="77777777" w:rsidR="006A3B1F" w:rsidRPr="003F25C7" w:rsidRDefault="006A3B1F" w:rsidP="006A3B1F">
      <w:pPr>
        <w:tabs>
          <w:tab w:val="left" w:pos="3465"/>
          <w:tab w:val="left" w:pos="3690"/>
        </w:tabs>
        <w:rPr>
          <w:b/>
          <w:i/>
          <w:sz w:val="22"/>
          <w:szCs w:val="22"/>
        </w:rPr>
      </w:pPr>
    </w:p>
    <w:p w14:paraId="4B98B16E" w14:textId="4940293B" w:rsidR="00F83920" w:rsidRDefault="006A3B1F" w:rsidP="00F83920">
      <w:pPr>
        <w:tabs>
          <w:tab w:val="left" w:pos="3465"/>
          <w:tab w:val="left" w:pos="3690"/>
        </w:tabs>
        <w:jc w:val="both"/>
      </w:pPr>
      <w:r>
        <w:rPr>
          <w:b/>
          <w:sz w:val="22"/>
          <w:szCs w:val="22"/>
        </w:rPr>
        <w:t xml:space="preserve">     </w:t>
      </w:r>
      <w:r>
        <w:rPr>
          <w:sz w:val="22"/>
          <w:szCs w:val="22"/>
        </w:rPr>
        <w:t xml:space="preserve">             </w:t>
      </w:r>
      <w:r w:rsidR="00F83920">
        <w:t xml:space="preserve">Obiectivul primordial este de a teritorializa acordarea finanțărilor, în acest fel asigurând o acoperire la nivel național și oferind acces tuturor UAT-urilor la multiple investiții, în funcție de criteriile de eligibilitate. Plecând de la premisa teritorializării, fiecărui UAT i se alocă un buget de care poate dispune prin intermediul platformei de investiții al Ministerului Dezvoltării, Lucrărilor Publice și Administrației, </w:t>
      </w:r>
      <w:hyperlink r:id="rId9" w:history="1">
        <w:r w:rsidR="00F83920" w:rsidRPr="00DB7257">
          <w:rPr>
            <w:rStyle w:val="Hyperlink"/>
          </w:rPr>
          <w:t>www.mdlpa.ro/investiții/PNRR</w:t>
        </w:r>
      </w:hyperlink>
      <w:r w:rsidR="00F83920">
        <w:t xml:space="preserve">. </w:t>
      </w:r>
    </w:p>
    <w:p w14:paraId="29FD6810" w14:textId="77777777" w:rsidR="00F83920" w:rsidRDefault="00F83920" w:rsidP="00F83920">
      <w:pPr>
        <w:tabs>
          <w:tab w:val="left" w:pos="3465"/>
          <w:tab w:val="left" w:pos="3690"/>
        </w:tabs>
        <w:jc w:val="both"/>
      </w:pPr>
      <w:r>
        <w:t xml:space="preserve">       </w:t>
      </w:r>
      <w:r>
        <w:t xml:space="preserve">Platforma de investiții menționată anterior va permite accesul fiecărui UAT doar la investițiile la care este eligibil și va afișa în permanență suma disponibilă </w:t>
      </w:r>
      <w:r>
        <w:t>privind n</w:t>
      </w:r>
      <w:r>
        <w:t xml:space="preserve">ecesitatea și oportunitatea actualizării Planului Urbanistic General și a Regulamentului local de urbanism aferent este fundamentată pe mai multe considerente. </w:t>
      </w:r>
    </w:p>
    <w:p w14:paraId="225E3590" w14:textId="7F6A6AEE" w:rsidR="00F83920" w:rsidRDefault="00F83920" w:rsidP="00F83920">
      <w:pPr>
        <w:tabs>
          <w:tab w:val="left" w:pos="3465"/>
          <w:tab w:val="left" w:pos="3690"/>
        </w:tabs>
        <w:jc w:val="both"/>
      </w:pPr>
      <w:r>
        <w:t xml:space="preserve">       </w:t>
      </w:r>
      <w:r>
        <w:t xml:space="preserve">În primul rând, în vederea asigurării dezvoltării echilibrate, coerente și durabile a teritoriului național, autoritățile administrației publice locale își armonizează deciziile de utilizare a teritoriului, în temeiul principiilor descentralizării, autonomiei locale și descentralizării serviciilor publice. În al doilea rând, autoritatea publică locală are responsabilitatea dezvoltării armonioase a teritoriului aflat în raza sa de competență. </w:t>
      </w:r>
    </w:p>
    <w:p w14:paraId="676BF5A8" w14:textId="77777777" w:rsidR="00F83920" w:rsidRDefault="00F83920" w:rsidP="00F83920">
      <w:pPr>
        <w:tabs>
          <w:tab w:val="left" w:pos="3465"/>
          <w:tab w:val="left" w:pos="3690"/>
        </w:tabs>
        <w:jc w:val="both"/>
      </w:pPr>
      <w:r>
        <w:t xml:space="preserve">        </w:t>
      </w:r>
      <w:r>
        <w:t>Urbanismul are ca scop principal stimularea evoluției complexe a localităților, prin elaborarea și implementarea strategiilor de dezvoltare spațială, durabilă și integrată, pe termen scurt, mediu și lung. Primarul, prin structura responsabilă cu urbanismul din cadrul aparatului de specialitate, are ca atribuții în domeniul urbanismului asigurarea elaborării de planuri urbanistice aflate în competența autorităților publice locale, în conformitate cu prevederile Legii urbanismului.</w:t>
      </w:r>
    </w:p>
    <w:p w14:paraId="21F82BC7" w14:textId="77777777" w:rsidR="00F83920" w:rsidRDefault="00F83920" w:rsidP="00F83920">
      <w:pPr>
        <w:tabs>
          <w:tab w:val="left" w:pos="3465"/>
          <w:tab w:val="left" w:pos="3690"/>
        </w:tabs>
        <w:jc w:val="both"/>
      </w:pPr>
      <w:r>
        <w:t xml:space="preserve">       </w:t>
      </w:r>
      <w:r>
        <w:t xml:space="preserve"> În contextul legislației specifice care a produs efecte în teritoriul Comunei </w:t>
      </w:r>
      <w:r>
        <w:t>Liebling</w:t>
      </w:r>
      <w:r>
        <w:t xml:space="preserve"> și a unei dinamici urbane accentuate a Comunei </w:t>
      </w:r>
      <w:r>
        <w:t>Liebling</w:t>
      </w:r>
      <w:r>
        <w:t xml:space="preserve"> care s-a manifestat în ultimii ani, a devenit evident că este necesară o actualizare a documentației/reglementărilor existente, astfel încât viitorul Plan Urbanistic General (PUG), care va trebui să devină operațional cât mai curând posibil, să-și fundamenteze propunerile de dezvoltare și organizare spațială a teritoriului pe date reale, actualizate și a previziunilor de dezvoltare corect fundamentate, atât din punctul de vedere al regimului ocupării terenurilor, precum și din cel al utilizării funcționale a acestora, cu modificarea/adaptarea/corelarea indicatorilor urbanistici aferenți. </w:t>
      </w:r>
    </w:p>
    <w:p w14:paraId="29A193F5" w14:textId="77777777" w:rsidR="008A3826" w:rsidRDefault="00F83920" w:rsidP="00F83920">
      <w:pPr>
        <w:tabs>
          <w:tab w:val="left" w:pos="3465"/>
          <w:tab w:val="left" w:pos="3690"/>
        </w:tabs>
        <w:jc w:val="both"/>
      </w:pPr>
      <w:r>
        <w:t xml:space="preserve">       </w:t>
      </w:r>
      <w:r>
        <w:t xml:space="preserve">Planul urbanistic general în vigoare, aprobat în anul </w:t>
      </w:r>
      <w:r w:rsidR="008A3826">
        <w:t>2011</w:t>
      </w:r>
      <w:r>
        <w:t xml:space="preserve">, a înregistrat, de-a lungul perioadei care a trecut, multiple intervenții importante prin intermediul Planurilor Urbanistice Zonale și a Planurilor Urbanistice de Detaliu aprobate, devenind astfel depășit în raport cu noile realități </w:t>
      </w:r>
      <w:r>
        <w:lastRenderedPageBreak/>
        <w:t xml:space="preserve">economice și teritoriale ale orașului, ceea ce impune actualizarea acestuia prin păstrarea liniilor directoare ale strategiei anterioare care s-au dovedit corecte. </w:t>
      </w:r>
    </w:p>
    <w:p w14:paraId="10CCAB73" w14:textId="77777777" w:rsidR="008A3826" w:rsidRDefault="008A3826" w:rsidP="00F83920">
      <w:pPr>
        <w:tabs>
          <w:tab w:val="left" w:pos="3465"/>
          <w:tab w:val="left" w:pos="3690"/>
        </w:tabs>
        <w:jc w:val="both"/>
      </w:pPr>
      <w:r>
        <w:t xml:space="preserve">        </w:t>
      </w:r>
      <w:r w:rsidR="00F83920">
        <w:t xml:space="preserve">Planul Urbanistic General actualizat va trebui să identifice zonele și sub-zonele în care ar trebui revizuite reglementările din planul anterior și care nu mai corespund nevoilor de dezvoltare identificate, în condițiile asigurării unei dezvoltări durabile a comunei bazată pe indicatori urbanistici atractivi. </w:t>
      </w:r>
    </w:p>
    <w:p w14:paraId="601BE583" w14:textId="77777777" w:rsidR="007C1DED" w:rsidRDefault="008A3826" w:rsidP="00F83920">
      <w:pPr>
        <w:tabs>
          <w:tab w:val="left" w:pos="3465"/>
          <w:tab w:val="left" w:pos="3690"/>
        </w:tabs>
        <w:jc w:val="both"/>
      </w:pPr>
      <w:r>
        <w:t xml:space="preserve">        </w:t>
      </w:r>
      <w:r w:rsidR="00F83920">
        <w:t xml:space="preserve">În același timp, trebuie prevăzute rezolvări clare pentru cât mai multe din situațiile speciale care apar în comună. Scopul final al actualizării este eliminarea majorității situațiilor în care se apelează la urbanism derogatoriu. Planul Urbanistic General va stabili, conform prevederilor legislative în vigoare, zonele construite protejate, reglementările aferente acestora și posibilitatea de detaliere ulterioară prin PUZ. </w:t>
      </w:r>
    </w:p>
    <w:p w14:paraId="6854C547" w14:textId="27FB90B3" w:rsidR="008A3826" w:rsidRDefault="007C1DED" w:rsidP="00F83920">
      <w:pPr>
        <w:tabs>
          <w:tab w:val="left" w:pos="3465"/>
          <w:tab w:val="left" w:pos="3690"/>
        </w:tabs>
        <w:jc w:val="both"/>
      </w:pPr>
      <w:r>
        <w:t xml:space="preserve">         </w:t>
      </w:r>
      <w:bookmarkStart w:id="0" w:name="_GoBack"/>
      <w:bookmarkEnd w:id="0"/>
      <w:r w:rsidR="00F83920">
        <w:t xml:space="preserve">În egală măsură, pentru creșterea eficienței activității derulate de administrație este foarte important ca tehnologia informației să fie utilizată la o scară cât mai largă, atât în raport cu cetățenii/beneficiarii serviciilor, cât și cu alte instituții publice. O abordare nouă, orientată spre nevoile beneficiarilor – cetățeni și mediul de afaceri, concentrată așadar pe evenimentele de viață, trebuie să înlocuiască abordarea clasică orientată pe instituțiile furnizoare de servicii. Obiectivul general al proiectului îl reprezintă îmbunătățirea cadrului de planificare teritorială prin documente și proceduri simplificate și digitalizate de amenajare a teritoriului, un acces sporit și transparent la documentele de planificare spațială și teritorială . Investiția are în vedere elaborarea în format digital și aprobarea documentului de planificare: Plan Urbanistic General al Comunei </w:t>
      </w:r>
      <w:r w:rsidR="00F83920">
        <w:t>Liebling</w:t>
      </w:r>
      <w:r w:rsidR="00F83920">
        <w:t xml:space="preserve">. </w:t>
      </w:r>
    </w:p>
    <w:p w14:paraId="69E4C763" w14:textId="22EC40A9" w:rsidR="006A3B1F" w:rsidRDefault="008A3826" w:rsidP="00F83920">
      <w:pPr>
        <w:tabs>
          <w:tab w:val="left" w:pos="3465"/>
          <w:tab w:val="left" w:pos="3690"/>
        </w:tabs>
        <w:jc w:val="both"/>
      </w:pPr>
      <w:r>
        <w:t xml:space="preserve">       </w:t>
      </w:r>
      <w:r w:rsidR="00F83920">
        <w:t xml:space="preserve">Documentațiile vor fi elaborate conform prevederilor Legii nr. 350/2001 privind amenajarea teritoriului și urbanismului, cu modificările și completările ulterioare și conform ghidurilor prezentate de către MDLPA. Supun spre aprobare proiectul de hotărâre privind aprobarea indicatorilor tehnico economici în vederea demarării procedurii de achiziție a obiectului de investiții privind aprobarea indicatorilor tehnico-economici în vederea demarării procedurii de achiziție a obiectului de investiții „Actualizarea Planului Urbanistic General al Comunei </w:t>
      </w:r>
      <w:r w:rsidR="00F83920">
        <w:t>Liebling</w:t>
      </w:r>
      <w:r w:rsidR="00F83920">
        <w:t xml:space="preserve">”. Constatând că sunt îndeplinite condițiile de legalitate și oportunitate, propun Consiliului Local </w:t>
      </w:r>
      <w:r w:rsidR="00F83920">
        <w:t>Liebling</w:t>
      </w:r>
      <w:r w:rsidR="00F83920">
        <w:t xml:space="preserve"> adoptarea proiectului în forma și conținutul prezentate în proiect.</w:t>
      </w:r>
    </w:p>
    <w:p w14:paraId="08C213AF" w14:textId="77777777" w:rsidR="006A3B1F" w:rsidRDefault="006A3B1F" w:rsidP="006A3B1F">
      <w:pPr>
        <w:tabs>
          <w:tab w:val="left" w:pos="3465"/>
          <w:tab w:val="left" w:pos="3690"/>
        </w:tabs>
      </w:pPr>
    </w:p>
    <w:p w14:paraId="1879D793" w14:textId="77777777" w:rsidR="006A3B1F" w:rsidRDefault="006A3B1F" w:rsidP="006A3B1F">
      <w:pPr>
        <w:tabs>
          <w:tab w:val="left" w:pos="3465"/>
          <w:tab w:val="left" w:pos="3690"/>
        </w:tabs>
        <w:ind w:left="720"/>
        <w:jc w:val="center"/>
        <w:rPr>
          <w:b/>
        </w:rPr>
      </w:pPr>
      <w:r>
        <w:rPr>
          <w:b/>
        </w:rPr>
        <w:t>Primar,</w:t>
      </w:r>
    </w:p>
    <w:p w14:paraId="154FE252" w14:textId="77777777" w:rsidR="006A3B1F" w:rsidRDefault="001552F7" w:rsidP="006A3B1F">
      <w:pPr>
        <w:pStyle w:val="NoSpacing"/>
        <w:rPr>
          <w:rFonts w:ascii="Times New Roman" w:hAnsi="Times New Roman"/>
          <w:sz w:val="24"/>
          <w:szCs w:val="24"/>
        </w:rPr>
      </w:pPr>
      <w:r>
        <w:rPr>
          <w:rFonts w:ascii="Times New Roman" w:hAnsi="Times New Roman"/>
          <w:sz w:val="24"/>
          <w:szCs w:val="24"/>
        </w:rPr>
        <w:t xml:space="preserve">                                                               Ioan-Gheorghe</w:t>
      </w:r>
      <w:r w:rsidRPr="001552F7">
        <w:rPr>
          <w:rFonts w:ascii="Times New Roman" w:hAnsi="Times New Roman"/>
          <w:sz w:val="24"/>
          <w:szCs w:val="24"/>
        </w:rPr>
        <w:t xml:space="preserve"> </w:t>
      </w:r>
      <w:r>
        <w:rPr>
          <w:rFonts w:ascii="Times New Roman" w:hAnsi="Times New Roman"/>
          <w:sz w:val="24"/>
          <w:szCs w:val="24"/>
        </w:rPr>
        <w:t>MUNTEANU</w:t>
      </w:r>
    </w:p>
    <w:p w14:paraId="34AA14F1" w14:textId="77777777" w:rsidR="006A3B1F" w:rsidRDefault="006A3B1F" w:rsidP="006A3B1F">
      <w:pPr>
        <w:tabs>
          <w:tab w:val="left" w:pos="3600"/>
          <w:tab w:val="left" w:pos="3975"/>
        </w:tabs>
        <w:jc w:val="both"/>
        <w:rPr>
          <w:rFonts w:eastAsia="Klinic Slab Book"/>
          <w:lang w:val="it-IT"/>
        </w:rPr>
      </w:pPr>
    </w:p>
    <w:p w14:paraId="7BF24161" w14:textId="77777777" w:rsidR="003663FD" w:rsidRDefault="003663FD"/>
    <w:sectPr w:rsidR="003663FD" w:rsidSect="003663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543EB" w14:textId="77777777" w:rsidR="00E7240A" w:rsidRDefault="00E7240A" w:rsidP="006F08F0">
      <w:r>
        <w:separator/>
      </w:r>
    </w:p>
  </w:endnote>
  <w:endnote w:type="continuationSeparator" w:id="0">
    <w:p w14:paraId="04B8424F" w14:textId="77777777" w:rsidR="00E7240A" w:rsidRDefault="00E7240A" w:rsidP="006F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Klinic Slab Book">
    <w:panose1 w:val="00000000000000000000"/>
    <w:charset w:val="00"/>
    <w:family w:val="modern"/>
    <w:notTrueType/>
    <w:pitch w:val="variable"/>
    <w:sig w:usb0="8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B65F5" w14:textId="77777777" w:rsidR="00E7240A" w:rsidRDefault="00E7240A" w:rsidP="006F08F0">
      <w:r>
        <w:separator/>
      </w:r>
    </w:p>
  </w:footnote>
  <w:footnote w:type="continuationSeparator" w:id="0">
    <w:p w14:paraId="5D16E0BD" w14:textId="77777777" w:rsidR="00E7240A" w:rsidRDefault="00E7240A" w:rsidP="006F0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F4F86"/>
    <w:multiLevelType w:val="hybridMultilevel"/>
    <w:tmpl w:val="1B888812"/>
    <w:lvl w:ilvl="0" w:tplc="87369ADA">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6AC90212"/>
    <w:multiLevelType w:val="hybridMultilevel"/>
    <w:tmpl w:val="324C0126"/>
    <w:lvl w:ilvl="0" w:tplc="8576A4E4">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B1F"/>
    <w:rsid w:val="00012C2F"/>
    <w:rsid w:val="001552F7"/>
    <w:rsid w:val="00163AF3"/>
    <w:rsid w:val="0017143A"/>
    <w:rsid w:val="00194DE6"/>
    <w:rsid w:val="001C6368"/>
    <w:rsid w:val="001E1FEE"/>
    <w:rsid w:val="001F486D"/>
    <w:rsid w:val="003663FD"/>
    <w:rsid w:val="003834BC"/>
    <w:rsid w:val="003D4B0B"/>
    <w:rsid w:val="003F01F2"/>
    <w:rsid w:val="003F25C7"/>
    <w:rsid w:val="00456BFF"/>
    <w:rsid w:val="004B44BF"/>
    <w:rsid w:val="00613AF2"/>
    <w:rsid w:val="006A3B1F"/>
    <w:rsid w:val="006F08F0"/>
    <w:rsid w:val="00753B41"/>
    <w:rsid w:val="007C1DED"/>
    <w:rsid w:val="007F06EC"/>
    <w:rsid w:val="008209A3"/>
    <w:rsid w:val="00822D95"/>
    <w:rsid w:val="008839D8"/>
    <w:rsid w:val="008A3826"/>
    <w:rsid w:val="008F6752"/>
    <w:rsid w:val="009F0691"/>
    <w:rsid w:val="00B00F86"/>
    <w:rsid w:val="00B34D8A"/>
    <w:rsid w:val="00BE57C5"/>
    <w:rsid w:val="00C147F6"/>
    <w:rsid w:val="00D36086"/>
    <w:rsid w:val="00E7240A"/>
    <w:rsid w:val="00F83920"/>
    <w:rsid w:val="00F84562"/>
    <w:rsid w:val="00F8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59A8"/>
  <w15:docId w15:val="{F76CDC84-666A-4DFA-B303-AB06D3BA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B1F"/>
    <w:pPr>
      <w:spacing w:after="0" w:line="240" w:lineRule="auto"/>
    </w:pPr>
    <w:rPr>
      <w:rFonts w:ascii="Times New Roman" w:eastAsia="Times New Roman" w:hAnsi="Times New Roman" w:cs="Times New Roman"/>
      <w:sz w:val="24"/>
      <w:szCs w:val="24"/>
      <w:lang w:val="ro-RO"/>
    </w:rPr>
  </w:style>
  <w:style w:type="paragraph" w:styleId="Heading2">
    <w:name w:val="heading 2"/>
    <w:basedOn w:val="Normal"/>
    <w:link w:val="Heading2Char"/>
    <w:uiPriority w:val="9"/>
    <w:qFormat/>
    <w:rsid w:val="00B34D8A"/>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3B1F"/>
    <w:pPr>
      <w:spacing w:before="100" w:beforeAutospacing="1" w:after="100" w:afterAutospacing="1"/>
    </w:pPr>
    <w:rPr>
      <w:lang w:eastAsia="ro-RO"/>
    </w:rPr>
  </w:style>
  <w:style w:type="paragraph" w:styleId="NoSpacing">
    <w:name w:val="No Spacing"/>
    <w:uiPriority w:val="1"/>
    <w:qFormat/>
    <w:rsid w:val="006A3B1F"/>
    <w:pPr>
      <w:spacing w:after="0" w:line="240" w:lineRule="auto"/>
    </w:pPr>
    <w:rPr>
      <w:rFonts w:ascii="Calibri" w:eastAsia="Calibri" w:hAnsi="Calibri" w:cs="Times New Roman"/>
    </w:rPr>
  </w:style>
  <w:style w:type="character" w:customStyle="1" w:styleId="slitttl1">
    <w:name w:val="s_lit_ttl1"/>
    <w:rsid w:val="006A3B1F"/>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6A3B1F"/>
    <w:rPr>
      <w:rFonts w:ascii="Verdana" w:hAnsi="Verdana" w:hint="default"/>
      <w:b w:val="0"/>
      <w:bCs w:val="0"/>
      <w:color w:val="000000"/>
      <w:sz w:val="20"/>
      <w:szCs w:val="20"/>
      <w:shd w:val="clear" w:color="auto" w:fill="FFFFFF"/>
    </w:rPr>
  </w:style>
  <w:style w:type="character" w:styleId="Hyperlink">
    <w:name w:val="Hyperlink"/>
    <w:unhideWhenUsed/>
    <w:rsid w:val="007F06EC"/>
    <w:rPr>
      <w:rFonts w:ascii="Times New Roman" w:hAnsi="Times New Roman" w:cs="Times New Roman" w:hint="default"/>
      <w:color w:val="0000FF"/>
      <w:u w:val="single"/>
    </w:rPr>
  </w:style>
  <w:style w:type="paragraph" w:styleId="Header">
    <w:name w:val="header"/>
    <w:basedOn w:val="Normal"/>
    <w:link w:val="HeaderChar"/>
    <w:uiPriority w:val="99"/>
    <w:semiHidden/>
    <w:unhideWhenUsed/>
    <w:rsid w:val="007F06EC"/>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semiHidden/>
    <w:rsid w:val="007F06EC"/>
    <w:rPr>
      <w:rFonts w:ascii="Calibri" w:eastAsia="Calibri" w:hAnsi="Calibri" w:cs="Times New Roman"/>
    </w:rPr>
  </w:style>
  <w:style w:type="paragraph" w:styleId="Footer">
    <w:name w:val="footer"/>
    <w:basedOn w:val="Normal"/>
    <w:link w:val="FooterChar"/>
    <w:uiPriority w:val="99"/>
    <w:semiHidden/>
    <w:unhideWhenUsed/>
    <w:rsid w:val="006F08F0"/>
    <w:pPr>
      <w:tabs>
        <w:tab w:val="center" w:pos="4680"/>
        <w:tab w:val="right" w:pos="9360"/>
      </w:tabs>
    </w:pPr>
  </w:style>
  <w:style w:type="character" w:customStyle="1" w:styleId="FooterChar">
    <w:name w:val="Footer Char"/>
    <w:basedOn w:val="DefaultParagraphFont"/>
    <w:link w:val="Footer"/>
    <w:uiPriority w:val="99"/>
    <w:semiHidden/>
    <w:rsid w:val="006F08F0"/>
    <w:rPr>
      <w:rFonts w:ascii="Times New Roman" w:eastAsia="Times New Roman" w:hAnsi="Times New Roman" w:cs="Times New Roman"/>
      <w:sz w:val="24"/>
      <w:szCs w:val="24"/>
      <w:lang w:val="ro-RO"/>
    </w:rPr>
  </w:style>
  <w:style w:type="character" w:customStyle="1" w:styleId="Heading2Char">
    <w:name w:val="Heading 2 Char"/>
    <w:basedOn w:val="DefaultParagraphFont"/>
    <w:link w:val="Heading2"/>
    <w:uiPriority w:val="9"/>
    <w:rsid w:val="00B34D8A"/>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0767">
      <w:bodyDiv w:val="1"/>
      <w:marLeft w:val="0"/>
      <w:marRight w:val="0"/>
      <w:marTop w:val="0"/>
      <w:marBottom w:val="0"/>
      <w:divBdr>
        <w:top w:val="none" w:sz="0" w:space="0" w:color="auto"/>
        <w:left w:val="none" w:sz="0" w:space="0" w:color="auto"/>
        <w:bottom w:val="none" w:sz="0" w:space="0" w:color="auto"/>
        <w:right w:val="none" w:sz="0" w:space="0" w:color="auto"/>
      </w:divBdr>
    </w:div>
    <w:div w:id="503741282">
      <w:bodyDiv w:val="1"/>
      <w:marLeft w:val="0"/>
      <w:marRight w:val="0"/>
      <w:marTop w:val="0"/>
      <w:marBottom w:val="0"/>
      <w:divBdr>
        <w:top w:val="none" w:sz="0" w:space="0" w:color="auto"/>
        <w:left w:val="none" w:sz="0" w:space="0" w:color="auto"/>
        <w:bottom w:val="none" w:sz="0" w:space="0" w:color="auto"/>
        <w:right w:val="none" w:sz="0" w:space="0" w:color="auto"/>
      </w:divBdr>
    </w:div>
    <w:div w:id="682826936">
      <w:bodyDiv w:val="1"/>
      <w:marLeft w:val="0"/>
      <w:marRight w:val="0"/>
      <w:marTop w:val="0"/>
      <w:marBottom w:val="0"/>
      <w:divBdr>
        <w:top w:val="none" w:sz="0" w:space="0" w:color="auto"/>
        <w:left w:val="none" w:sz="0" w:space="0" w:color="auto"/>
        <w:bottom w:val="none" w:sz="0" w:space="0" w:color="auto"/>
        <w:right w:val="none" w:sz="0" w:space="0" w:color="auto"/>
      </w:divBdr>
    </w:div>
    <w:div w:id="1164200772">
      <w:bodyDiv w:val="1"/>
      <w:marLeft w:val="0"/>
      <w:marRight w:val="0"/>
      <w:marTop w:val="0"/>
      <w:marBottom w:val="0"/>
      <w:divBdr>
        <w:top w:val="none" w:sz="0" w:space="0" w:color="auto"/>
        <w:left w:val="none" w:sz="0" w:space="0" w:color="auto"/>
        <w:bottom w:val="none" w:sz="0" w:space="0" w:color="auto"/>
        <w:right w:val="none" w:sz="0" w:space="0" w:color="auto"/>
      </w:divBdr>
    </w:div>
    <w:div w:id="175520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dlpa.ro/investi&#539;ii/PN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Juridic</cp:lastModifiedBy>
  <cp:revision>4</cp:revision>
  <dcterms:created xsi:type="dcterms:W3CDTF">2025-03-05T14:19:00Z</dcterms:created>
  <dcterms:modified xsi:type="dcterms:W3CDTF">2025-03-05T14:23:00Z</dcterms:modified>
</cp:coreProperties>
</file>