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157485" w14:textId="3FFC0F08" w:rsidR="007F06EC" w:rsidRPr="00E34A42" w:rsidRDefault="007F06EC" w:rsidP="00E34A42">
      <w:pPr>
        <w:pStyle w:val="NoSpacing"/>
        <w:jc w:val="center"/>
        <w:rPr>
          <w:rFonts w:ascii="Times New Roman" w:hAnsi="Times New Roman"/>
          <w:sz w:val="24"/>
          <w:szCs w:val="24"/>
        </w:rPr>
      </w:pPr>
      <w:r w:rsidRPr="00E34A42">
        <w:rPr>
          <w:rFonts w:ascii="Times New Roman" w:hAnsi="Times New Roman"/>
          <w:noProof/>
          <w:sz w:val="24"/>
          <w:szCs w:val="24"/>
          <w:lang w:val="en-GB" w:eastAsia="en-GB"/>
        </w:rPr>
        <w:drawing>
          <wp:anchor distT="0" distB="0" distL="114300" distR="114300" simplePos="0" relativeHeight="251658240" behindDoc="0" locked="0" layoutInCell="1" allowOverlap="1" wp14:anchorId="7EED10D3" wp14:editId="67AB7C44">
            <wp:simplePos x="0" y="0"/>
            <wp:positionH relativeFrom="column">
              <wp:posOffset>9525</wp:posOffset>
            </wp:positionH>
            <wp:positionV relativeFrom="paragraph">
              <wp:posOffset>-19050</wp:posOffset>
            </wp:positionV>
            <wp:extent cx="775970" cy="1123950"/>
            <wp:effectExtent l="19050" t="0" r="5080" b="0"/>
            <wp:wrapSquare wrapText="bothSides"/>
            <wp:docPr id="2" name="Picture 3" descr="250px-Coat_of_arms_of_Roma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50px-Coat_of_arms_of_Romania"/>
                    <pic:cNvPicPr>
                      <a:picLocks noChangeAspect="1" noChangeArrowheads="1"/>
                    </pic:cNvPicPr>
                  </pic:nvPicPr>
                  <pic:blipFill>
                    <a:blip r:embed="rId7" cstate="print"/>
                    <a:srcRect/>
                    <a:stretch>
                      <a:fillRect/>
                    </a:stretch>
                  </pic:blipFill>
                  <pic:spPr bwMode="auto">
                    <a:xfrm>
                      <a:off x="0" y="0"/>
                      <a:ext cx="775970" cy="1123950"/>
                    </a:xfrm>
                    <a:prstGeom prst="rect">
                      <a:avLst/>
                    </a:prstGeom>
                    <a:noFill/>
                  </pic:spPr>
                </pic:pic>
              </a:graphicData>
            </a:graphic>
          </wp:anchor>
        </w:drawing>
      </w:r>
      <w:r w:rsidRPr="00E34A42">
        <w:rPr>
          <w:rFonts w:ascii="Times New Roman" w:hAnsi="Times New Roman"/>
          <w:sz w:val="24"/>
          <w:szCs w:val="24"/>
        </w:rPr>
        <w:t>ROMÂNIA</w:t>
      </w:r>
    </w:p>
    <w:p w14:paraId="7C23E99B" w14:textId="77777777" w:rsidR="007F06EC" w:rsidRPr="00E34A42" w:rsidRDefault="007F06EC" w:rsidP="00E34A42">
      <w:pPr>
        <w:pStyle w:val="NoSpacing"/>
        <w:jc w:val="center"/>
        <w:rPr>
          <w:rFonts w:ascii="Times New Roman" w:hAnsi="Times New Roman"/>
          <w:sz w:val="24"/>
          <w:szCs w:val="24"/>
        </w:rPr>
      </w:pPr>
      <w:r w:rsidRPr="00E34A42">
        <w:rPr>
          <w:rFonts w:ascii="Times New Roman" w:hAnsi="Times New Roman"/>
          <w:sz w:val="24"/>
          <w:szCs w:val="24"/>
        </w:rPr>
        <w:t>JUDEŢUL TIMIŞ</w:t>
      </w:r>
    </w:p>
    <w:p w14:paraId="08C5D09B" w14:textId="77777777" w:rsidR="007F06EC" w:rsidRPr="00E34A42" w:rsidRDefault="007F06EC" w:rsidP="00E34A42">
      <w:pPr>
        <w:pStyle w:val="NoSpacing"/>
        <w:jc w:val="center"/>
        <w:rPr>
          <w:rFonts w:ascii="Times New Roman" w:hAnsi="Times New Roman"/>
          <w:sz w:val="24"/>
          <w:szCs w:val="24"/>
        </w:rPr>
      </w:pPr>
      <w:r w:rsidRPr="00E34A42">
        <w:rPr>
          <w:rFonts w:ascii="Times New Roman" w:hAnsi="Times New Roman"/>
          <w:sz w:val="24"/>
          <w:szCs w:val="24"/>
        </w:rPr>
        <w:t>COMUNA LIEBLING</w:t>
      </w:r>
    </w:p>
    <w:p w14:paraId="27E07000" w14:textId="43D989A3" w:rsidR="007F06EC" w:rsidRPr="00E34A42" w:rsidRDefault="007F06EC" w:rsidP="00E34A42">
      <w:pPr>
        <w:pStyle w:val="NoSpacing"/>
        <w:jc w:val="center"/>
        <w:rPr>
          <w:rFonts w:ascii="Times New Roman" w:hAnsi="Times New Roman"/>
          <w:sz w:val="24"/>
          <w:szCs w:val="24"/>
        </w:rPr>
      </w:pPr>
      <w:r w:rsidRPr="00E34A42">
        <w:rPr>
          <w:rFonts w:ascii="Times New Roman" w:hAnsi="Times New Roman"/>
          <w:sz w:val="24"/>
          <w:szCs w:val="24"/>
        </w:rPr>
        <w:t>Liebling, Nr. 528, Cod poștal: 307245,</w:t>
      </w:r>
    </w:p>
    <w:p w14:paraId="6835717C" w14:textId="77777777" w:rsidR="007F06EC" w:rsidRPr="00E34A42" w:rsidRDefault="007F06EC" w:rsidP="00E34A42">
      <w:pPr>
        <w:pStyle w:val="NoSpacing"/>
        <w:jc w:val="center"/>
        <w:rPr>
          <w:rFonts w:ascii="Times New Roman" w:hAnsi="Times New Roman"/>
          <w:sz w:val="24"/>
          <w:szCs w:val="24"/>
        </w:rPr>
      </w:pPr>
      <w:r w:rsidRPr="00E34A42">
        <w:rPr>
          <w:rFonts w:ascii="Times New Roman" w:hAnsi="Times New Roman"/>
          <w:sz w:val="24"/>
          <w:szCs w:val="24"/>
        </w:rPr>
        <w:t>Tel: 0256/396501; Fax: 0256/396421</w:t>
      </w:r>
    </w:p>
    <w:p w14:paraId="654F98CE" w14:textId="0B8202FE" w:rsidR="007F06EC" w:rsidRPr="00E34A42" w:rsidRDefault="007F06EC" w:rsidP="00E34A42">
      <w:pPr>
        <w:pStyle w:val="Header"/>
        <w:jc w:val="center"/>
        <w:rPr>
          <w:rFonts w:ascii="Times New Roman" w:hAnsi="Times New Roman"/>
          <w:sz w:val="24"/>
          <w:szCs w:val="24"/>
          <w:lang w:val="ro-RO"/>
        </w:rPr>
      </w:pPr>
      <w:r w:rsidRPr="00E34A42">
        <w:rPr>
          <w:rFonts w:ascii="Times New Roman" w:hAnsi="Times New Roman"/>
          <w:sz w:val="24"/>
          <w:szCs w:val="24"/>
        </w:rPr>
        <w:t xml:space="preserve">e-mail. </w:t>
      </w:r>
      <w:hyperlink r:id="rId8" w:history="1">
        <w:r w:rsidRPr="00E34A42">
          <w:rPr>
            <w:rStyle w:val="Hyperlink"/>
            <w:b/>
            <w:sz w:val="24"/>
            <w:szCs w:val="24"/>
          </w:rPr>
          <w:t>contact@primarialiebling.ro</w:t>
        </w:r>
      </w:hyperlink>
    </w:p>
    <w:p w14:paraId="39A61338" w14:textId="77777777" w:rsidR="006A3B1F" w:rsidRPr="00E34A42" w:rsidRDefault="006A3B1F" w:rsidP="00E34A42">
      <w:pPr>
        <w:jc w:val="both"/>
      </w:pPr>
    </w:p>
    <w:p w14:paraId="333C12E7" w14:textId="05ABBF98" w:rsidR="006A3B1F" w:rsidRPr="00490546" w:rsidRDefault="00012C2F" w:rsidP="00E34A42">
      <w:pPr>
        <w:jc w:val="both"/>
        <w:rPr>
          <w:b/>
        </w:rPr>
      </w:pPr>
      <w:r w:rsidRPr="00490546">
        <w:rPr>
          <w:b/>
        </w:rPr>
        <w:t>Nr.</w:t>
      </w:r>
      <w:r w:rsidR="00490546" w:rsidRPr="00490546">
        <w:rPr>
          <w:b/>
        </w:rPr>
        <w:t>1674</w:t>
      </w:r>
      <w:r w:rsidRPr="00490546">
        <w:rPr>
          <w:b/>
        </w:rPr>
        <w:t>/</w:t>
      </w:r>
      <w:r w:rsidR="00490546" w:rsidRPr="00490546">
        <w:rPr>
          <w:b/>
        </w:rPr>
        <w:t>17</w:t>
      </w:r>
      <w:r w:rsidRPr="00490546">
        <w:rPr>
          <w:b/>
        </w:rPr>
        <w:t>.</w:t>
      </w:r>
      <w:r w:rsidR="00490546" w:rsidRPr="00490546">
        <w:rPr>
          <w:b/>
        </w:rPr>
        <w:t>03</w:t>
      </w:r>
      <w:r w:rsidRPr="00490546">
        <w:rPr>
          <w:b/>
        </w:rPr>
        <w:t>.</w:t>
      </w:r>
      <w:r w:rsidR="00B34D8A" w:rsidRPr="00490546">
        <w:rPr>
          <w:b/>
        </w:rPr>
        <w:t>2025</w:t>
      </w:r>
    </w:p>
    <w:p w14:paraId="22ADED4E" w14:textId="77777777" w:rsidR="006A3B1F" w:rsidRPr="00E34A42" w:rsidRDefault="006A3B1F" w:rsidP="00E34A42">
      <w:pPr>
        <w:jc w:val="both"/>
      </w:pPr>
    </w:p>
    <w:p w14:paraId="05758475" w14:textId="77777777" w:rsidR="006A3B1F" w:rsidRPr="00E34A42" w:rsidRDefault="006A3B1F" w:rsidP="00E34A42">
      <w:pPr>
        <w:jc w:val="both"/>
      </w:pPr>
    </w:p>
    <w:p w14:paraId="38AAB06E" w14:textId="77777777" w:rsidR="00E34A42" w:rsidRPr="00E34A42" w:rsidRDefault="00E34A42" w:rsidP="00E34A42">
      <w:pPr>
        <w:jc w:val="both"/>
        <w:rPr>
          <w:b/>
          <w:color w:val="000000"/>
        </w:rPr>
      </w:pPr>
    </w:p>
    <w:p w14:paraId="073F4C66" w14:textId="331EFE26" w:rsidR="00E34A42" w:rsidRPr="00E34A42" w:rsidRDefault="00E34A42" w:rsidP="00E34A42">
      <w:pPr>
        <w:rPr>
          <w:b/>
          <w:color w:val="000000"/>
        </w:rPr>
      </w:pPr>
      <w:r>
        <w:rPr>
          <w:b/>
          <w:color w:val="000000"/>
        </w:rPr>
        <w:t xml:space="preserve">                                           </w:t>
      </w:r>
      <w:r w:rsidRPr="00E34A42">
        <w:rPr>
          <w:b/>
          <w:color w:val="000000"/>
        </w:rPr>
        <w:t>REFERAT DE APROBARE</w:t>
      </w:r>
    </w:p>
    <w:p w14:paraId="2E5D7382" w14:textId="77777777" w:rsidR="00490546" w:rsidRDefault="00E34A42" w:rsidP="00E34A42">
      <w:pPr>
        <w:jc w:val="center"/>
        <w:rPr>
          <w:b/>
          <w:bCs/>
        </w:rPr>
      </w:pPr>
      <w:r w:rsidRPr="00E34A42">
        <w:rPr>
          <w:b/>
          <w:color w:val="000000"/>
        </w:rPr>
        <w:t xml:space="preserve">la proiectul de hotărâre privind </w:t>
      </w:r>
      <w:r w:rsidRPr="00E34A42">
        <w:rPr>
          <w:b/>
          <w:bCs/>
        </w:rPr>
        <w:t xml:space="preserve">aprobarea bugetului local al </w:t>
      </w:r>
    </w:p>
    <w:p w14:paraId="22628FC4" w14:textId="47F57384" w:rsidR="00E34A42" w:rsidRPr="00E34A42" w:rsidRDefault="00E34A42" w:rsidP="00E34A42">
      <w:pPr>
        <w:jc w:val="center"/>
        <w:rPr>
          <w:color w:val="000000"/>
        </w:rPr>
      </w:pPr>
      <w:bookmarkStart w:id="0" w:name="_GoBack"/>
      <w:bookmarkEnd w:id="0"/>
      <w:r w:rsidRPr="00E34A42">
        <w:rPr>
          <w:b/>
          <w:bCs/>
        </w:rPr>
        <w:t xml:space="preserve">comunei  </w:t>
      </w:r>
      <w:r w:rsidR="00490546">
        <w:rPr>
          <w:b/>
          <w:bCs/>
        </w:rPr>
        <w:t xml:space="preserve">Liebling </w:t>
      </w:r>
      <w:r w:rsidRPr="00E34A42">
        <w:rPr>
          <w:b/>
          <w:bCs/>
        </w:rPr>
        <w:t>pe anul 2025</w:t>
      </w:r>
    </w:p>
    <w:p w14:paraId="3A321A36" w14:textId="77777777" w:rsidR="00E34A42" w:rsidRPr="00E34A42" w:rsidRDefault="00E34A42" w:rsidP="00E34A42">
      <w:pPr>
        <w:jc w:val="both"/>
        <w:rPr>
          <w:color w:val="000000"/>
        </w:rPr>
      </w:pPr>
    </w:p>
    <w:p w14:paraId="2F245273" w14:textId="77777777" w:rsidR="00E34A42" w:rsidRPr="00E34A42" w:rsidRDefault="00E34A42" w:rsidP="00E34A42">
      <w:pPr>
        <w:jc w:val="both"/>
        <w:rPr>
          <w:color w:val="000000"/>
        </w:rPr>
      </w:pPr>
    </w:p>
    <w:p w14:paraId="1F7BCE89" w14:textId="122447DD" w:rsidR="00E34A42" w:rsidRPr="00E34A42" w:rsidRDefault="00E34A42" w:rsidP="00E34A42">
      <w:pPr>
        <w:ind w:firstLine="851"/>
        <w:jc w:val="both"/>
        <w:rPr>
          <w:color w:val="000000"/>
        </w:rPr>
      </w:pPr>
      <w:r>
        <w:rPr>
          <w:color w:val="000000"/>
        </w:rPr>
        <w:t xml:space="preserve">Conform </w:t>
      </w:r>
      <w:r w:rsidRPr="00E34A42">
        <w:rPr>
          <w:color w:val="000000"/>
        </w:rPr>
        <w:t xml:space="preserve">Art. 29 din Legea nr. 24/2000 privind normele de tehnică legislativă pentru elaborarea actelor normative prevede că proiectele de acte normative trebuie însoţite de următoarele documente de motivare: </w:t>
      </w:r>
    </w:p>
    <w:p w14:paraId="6BAF1F8E" w14:textId="77777777" w:rsidR="00E34A42" w:rsidRPr="00E34A42" w:rsidRDefault="00E34A42" w:rsidP="00E34A42">
      <w:pPr>
        <w:ind w:firstLine="851"/>
        <w:jc w:val="both"/>
        <w:rPr>
          <w:color w:val="000000"/>
        </w:rPr>
      </w:pPr>
      <w:bookmarkStart w:id="1" w:name="tree#162"/>
      <w:r w:rsidRPr="00E34A42">
        <w:rPr>
          <w:bCs/>
          <w:color w:val="000000"/>
        </w:rPr>
        <w:t>a)</w:t>
      </w:r>
      <w:r w:rsidRPr="00E34A42">
        <w:rPr>
          <w:color w:val="000000"/>
        </w:rPr>
        <w:t xml:space="preserve"> expuneri de motive - în cazul proiectelor de legi şi al propunerilor legislative; </w:t>
      </w:r>
    </w:p>
    <w:p w14:paraId="385A76DC" w14:textId="77777777" w:rsidR="00E34A42" w:rsidRPr="00E34A42" w:rsidRDefault="00E34A42" w:rsidP="00E34A42">
      <w:pPr>
        <w:ind w:firstLine="851"/>
        <w:jc w:val="both"/>
        <w:rPr>
          <w:color w:val="000000"/>
        </w:rPr>
      </w:pPr>
      <w:bookmarkStart w:id="2" w:name="tree#163"/>
      <w:bookmarkEnd w:id="1"/>
      <w:r w:rsidRPr="00E34A42">
        <w:rPr>
          <w:bCs/>
          <w:color w:val="000000"/>
        </w:rPr>
        <w:t>b)</w:t>
      </w:r>
      <w:r w:rsidRPr="00E34A42">
        <w:rPr>
          <w:color w:val="000000"/>
        </w:rPr>
        <w:t xml:space="preserve"> note de fundamentare - în cazul ordonanţelor şi al hotărârilor Guvernului; ordonanţele care trebuie supuse aprobării Parlamentului, potrivit legii de abilitare, precum şi ordonanţele de urgenţă se transmit Parlamentului însoţite de expunerea de motive la proiectul legii de aprobare a acestora; </w:t>
      </w:r>
    </w:p>
    <w:p w14:paraId="018E9B89" w14:textId="77777777" w:rsidR="00E34A42" w:rsidRPr="00E34A42" w:rsidRDefault="00E34A42" w:rsidP="00E34A42">
      <w:pPr>
        <w:ind w:firstLine="851"/>
        <w:jc w:val="both"/>
        <w:rPr>
          <w:color w:val="000000"/>
          <w:u w:val="single"/>
        </w:rPr>
      </w:pPr>
      <w:bookmarkStart w:id="3" w:name="ref#"/>
      <w:bookmarkStart w:id="4" w:name="tree#164"/>
      <w:bookmarkEnd w:id="2"/>
      <w:bookmarkEnd w:id="3"/>
      <w:r w:rsidRPr="00E34A42">
        <w:rPr>
          <w:bCs/>
          <w:color w:val="000000"/>
        </w:rPr>
        <w:t>c)</w:t>
      </w:r>
      <w:r w:rsidRPr="00E34A42">
        <w:rPr>
          <w:color w:val="000000"/>
        </w:rPr>
        <w:t xml:space="preserve"> </w:t>
      </w:r>
      <w:r w:rsidRPr="00E34A42">
        <w:rPr>
          <w:color w:val="000000"/>
          <w:u w:val="single"/>
        </w:rPr>
        <w:t>referate de aprobare - pentru celelalte acte normative.</w:t>
      </w:r>
    </w:p>
    <w:p w14:paraId="09D8D581" w14:textId="77777777" w:rsidR="00E34A42" w:rsidRPr="00E34A42" w:rsidRDefault="00E34A42" w:rsidP="00E34A42">
      <w:pPr>
        <w:ind w:firstLine="851"/>
        <w:jc w:val="both"/>
        <w:rPr>
          <w:color w:val="000000"/>
        </w:rPr>
      </w:pPr>
      <w:r w:rsidRPr="00E34A42">
        <w:rPr>
          <w:color w:val="000000"/>
        </w:rPr>
        <w:t xml:space="preserve">Rezultă că, pentru proiectele de hotărâre ale consiliului local, referatul de aprobare constituie </w:t>
      </w:r>
      <w:r w:rsidRPr="00E34A42">
        <w:rPr>
          <w:color w:val="000000"/>
          <w:u w:val="single"/>
        </w:rPr>
        <w:t>instrumentul  de prezentare şi motivare</w:t>
      </w:r>
      <w:r w:rsidRPr="00E34A42">
        <w:rPr>
          <w:color w:val="000000"/>
        </w:rPr>
        <w:t xml:space="preserve"> ale noilor reglementări propuse, normă susținută și de  prevederile art. 136 alin.(2) din Codul administrativ.</w:t>
      </w:r>
    </w:p>
    <w:bookmarkEnd w:id="4"/>
    <w:p w14:paraId="747DE87A" w14:textId="77777777" w:rsidR="00E34A42" w:rsidRPr="00E34A42" w:rsidRDefault="00E34A42" w:rsidP="00E34A42">
      <w:pPr>
        <w:jc w:val="both"/>
        <w:rPr>
          <w:b/>
          <w:bCs/>
        </w:rPr>
      </w:pPr>
      <w:r w:rsidRPr="00E34A42">
        <w:rPr>
          <w:color w:val="000000"/>
        </w:rPr>
        <w:t xml:space="preserve">          Am iniţiat un proiect de hotărâre, </w:t>
      </w:r>
      <w:r w:rsidRPr="00E34A42">
        <w:t>calitate acordată de prevederile  art. 136 alin.(1)  din Ordonanța de urgență a Guvernului nr. 57/2019 privind Codul administrativ, cu modificările și  completările ulterioare,</w:t>
      </w:r>
      <w:r w:rsidRPr="00E34A42">
        <w:rPr>
          <w:color w:val="000000"/>
        </w:rPr>
        <w:t xml:space="preserve"> având ca reglementare</w:t>
      </w:r>
      <w:r w:rsidRPr="00E34A42">
        <w:rPr>
          <w:b/>
          <w:bCs/>
        </w:rPr>
        <w:t xml:space="preserve"> aprobarea bugetului local al comunei  pe anul 2025.</w:t>
      </w:r>
    </w:p>
    <w:p w14:paraId="1D4C9911" w14:textId="77777777" w:rsidR="00E34A42" w:rsidRPr="00E34A42" w:rsidRDefault="00E34A42" w:rsidP="00E34A42">
      <w:pPr>
        <w:ind w:firstLine="851"/>
        <w:jc w:val="both"/>
      </w:pPr>
      <w:r w:rsidRPr="00E34A42">
        <w:t>Sediul materiei privind această capacitate a Consiliului Local îl reprezintă:</w:t>
      </w:r>
    </w:p>
    <w:p w14:paraId="6AFCFB7D" w14:textId="77777777" w:rsidR="00E34A42" w:rsidRPr="00E34A42" w:rsidRDefault="00E34A42" w:rsidP="00E34A42">
      <w:pPr>
        <w:ind w:firstLine="851"/>
        <w:jc w:val="both"/>
      </w:pPr>
      <w:r w:rsidRPr="00E34A42">
        <w:t>a)</w:t>
      </w:r>
      <w:r w:rsidRPr="00E34A42">
        <w:tab/>
        <w:t>art. 15 alin. (2), art. 120 alin. (1), art. 121 alin. (1) și alin. (2) și art. 138 alin. (4) și alin. (5)  din Constituția României, republicată;</w:t>
      </w:r>
    </w:p>
    <w:p w14:paraId="0648DF3A" w14:textId="77777777" w:rsidR="00E34A42" w:rsidRPr="00E34A42" w:rsidRDefault="00E34A42" w:rsidP="00E34A42">
      <w:pPr>
        <w:ind w:firstLine="851"/>
        <w:jc w:val="both"/>
      </w:pPr>
      <w:r w:rsidRPr="00E34A42">
        <w:t>b)</w:t>
      </w:r>
      <w:r w:rsidRPr="00E34A42">
        <w:tab/>
        <w:t>art. 3, art. 4 și art. 9 din Carta europeană a autonomiei locale, adoptată la Strasbourg la 15 octombrie 1985, ratificată prin Legea nr. 199/1997;</w:t>
      </w:r>
    </w:p>
    <w:p w14:paraId="34A86E71" w14:textId="77777777" w:rsidR="00E34A42" w:rsidRPr="00E34A42" w:rsidRDefault="00E34A42" w:rsidP="00E34A42">
      <w:pPr>
        <w:ind w:firstLine="851"/>
        <w:jc w:val="both"/>
      </w:pPr>
      <w:r w:rsidRPr="00E34A42">
        <w:t>c)</w:t>
      </w:r>
      <w:r w:rsidRPr="00E34A42">
        <w:tab/>
        <w:t>art. 7 alin. (2) din Codul civil al României, adoptat prin Legea nr. 287/2009, republicat, cu modificările și completările ulterioare;</w:t>
      </w:r>
    </w:p>
    <w:p w14:paraId="3CA1ABA2" w14:textId="77777777" w:rsidR="00E34A42" w:rsidRPr="00E34A42" w:rsidRDefault="00E34A42" w:rsidP="00E34A42">
      <w:pPr>
        <w:ind w:firstLine="851"/>
        <w:jc w:val="both"/>
      </w:pPr>
      <w:r w:rsidRPr="00E34A42">
        <w:t>d)</w:t>
      </w:r>
      <w:r w:rsidRPr="00E34A42">
        <w:tab/>
        <w:t>art. 1 alin. (2), art. 3, art.75 alin.(1) lit. g), art. 87 alin.(3) ultima teză, art. 88,art. 89 alin.(6), art. 90 alin.(1) art. 95 alin.(2) , art.96, art. 98, art. 104 alin. (2), art. 105 alin.(1), art. 109 alin.(4), art. 129 alin. (1), alin. (2) lit. b) coroborat cu alin. (4) lit. a), raportate la cele ale art. 155 alin. (1) lit. (c), combinat cu alin. (4) lit. b), art. 129 alin.(5), art. 197 alin.(1), (2), (4) și (5), art. 198 alin. (1),  și art. 199 alin. (1) și  (2), art. 240, art. 491 alin.(2), art. 458 alin.(4), art.547 alin.(2), art. 575 alin.(1), art. 3 alin.(2) anexa nr. 1   din Ordonanța de urgență a Guvernului nr. 57/2019 privind Codul administrativ, cu modificările completările ulterioare;</w:t>
      </w:r>
    </w:p>
    <w:p w14:paraId="214243BD" w14:textId="375F6AB3" w:rsidR="00E34A42" w:rsidRDefault="00E34A42" w:rsidP="00E34A42">
      <w:pPr>
        <w:ind w:firstLine="851"/>
        <w:jc w:val="both"/>
      </w:pPr>
      <w:r w:rsidRPr="00E34A42">
        <w:t>e) art. 4 – art. 8, art. 72  și anexa 9, capitolul II  din Legea nr. 9/2025 a bugetului de stat pe anul 2025;</w:t>
      </w:r>
    </w:p>
    <w:p w14:paraId="628D1F0E" w14:textId="5AED479B" w:rsidR="00490546" w:rsidRDefault="00490546" w:rsidP="00E34A42">
      <w:pPr>
        <w:ind w:firstLine="851"/>
        <w:jc w:val="both"/>
      </w:pPr>
    </w:p>
    <w:p w14:paraId="5BE0F83F" w14:textId="60A07B27" w:rsidR="00490546" w:rsidRDefault="00490546" w:rsidP="00E34A42">
      <w:pPr>
        <w:ind w:firstLine="851"/>
        <w:jc w:val="both"/>
      </w:pPr>
    </w:p>
    <w:p w14:paraId="07A16116" w14:textId="55163B45" w:rsidR="00490546" w:rsidRDefault="00490546" w:rsidP="00E34A42">
      <w:pPr>
        <w:ind w:firstLine="851"/>
        <w:jc w:val="both"/>
      </w:pPr>
    </w:p>
    <w:p w14:paraId="50EC9B56" w14:textId="77777777" w:rsidR="00490546" w:rsidRPr="00E34A42" w:rsidRDefault="00490546" w:rsidP="00E34A42">
      <w:pPr>
        <w:ind w:firstLine="851"/>
        <w:jc w:val="both"/>
      </w:pPr>
    </w:p>
    <w:p w14:paraId="062D73FE" w14:textId="77777777" w:rsidR="00E34A42" w:rsidRPr="00E34A42" w:rsidRDefault="00E34A42" w:rsidP="00E34A42">
      <w:pPr>
        <w:jc w:val="both"/>
      </w:pPr>
      <w:r w:rsidRPr="00E34A42">
        <w:t xml:space="preserve">              f) Legii nr. 10/2025 a bugetului asigurărilor sociale de stat pe anul 2025;</w:t>
      </w:r>
    </w:p>
    <w:p w14:paraId="3B36AD02" w14:textId="0734059C" w:rsidR="00E34A42" w:rsidRPr="00E34A42" w:rsidRDefault="00E34A42" w:rsidP="00E34A42">
      <w:pPr>
        <w:ind w:firstLine="851"/>
        <w:jc w:val="both"/>
      </w:pPr>
      <w:r w:rsidRPr="00E34A42">
        <w:t xml:space="preserve"> h) art. 2, art. 4 alin. (1) pct. 1, pct. 6 alin. (2) , art. 12 alin. (1), art. 20 alin. (2), art. 29 alin. (1) lit. g), art. 67 alin. (1)  din Legea responsabilității fiscal-bugetare nr. 69/2010, republicată, cu modificările și completările ulterioare;        </w:t>
      </w:r>
    </w:p>
    <w:p w14:paraId="3B97F321" w14:textId="201000D8" w:rsidR="00E34A42" w:rsidRPr="00E34A42" w:rsidRDefault="00E34A42" w:rsidP="00E34A42">
      <w:pPr>
        <w:ind w:firstLine="851"/>
        <w:jc w:val="both"/>
      </w:pPr>
      <w:r w:rsidRPr="00E34A42">
        <w:t xml:space="preserve">  i) Legea-cadru nr. 153/2017 privind salarizarea personalului plătit din fonduri publice, cu modificările și completările ulterioare;</w:t>
      </w:r>
    </w:p>
    <w:p w14:paraId="4F5704D1" w14:textId="69032F8B" w:rsidR="00E34A42" w:rsidRPr="00E34A42" w:rsidRDefault="00E34A42" w:rsidP="00E34A42">
      <w:pPr>
        <w:ind w:firstLine="851"/>
        <w:jc w:val="both"/>
      </w:pPr>
      <w:r w:rsidRPr="00E34A42">
        <w:t>j) art. 8, art. 136 alin.(2), art. 140, art. 144 și art. 146 alin. (2)  din Legea învățământu</w:t>
      </w:r>
      <w:r w:rsidR="00490546">
        <w:t>lui preuniversitar nr. 198/2023</w:t>
      </w:r>
      <w:r w:rsidRPr="00E34A42">
        <w:t>, cu modificările și completările ulterioare;</w:t>
      </w:r>
    </w:p>
    <w:p w14:paraId="586098DF" w14:textId="77777777" w:rsidR="00E34A42" w:rsidRPr="00E34A42" w:rsidRDefault="00E34A42" w:rsidP="00E34A42">
      <w:pPr>
        <w:ind w:firstLine="851"/>
        <w:jc w:val="both"/>
      </w:pPr>
      <w:r w:rsidRPr="00E34A42">
        <w:t xml:space="preserve">k) art. 2 alin. (2), art. 64 alin. (1) și art. 138 din Codul fiscal al României, adoptat prin Legea nr. 227/2015, cu modificările și completările ulterioare; </w:t>
      </w:r>
    </w:p>
    <w:p w14:paraId="0CD57FC7" w14:textId="77777777" w:rsidR="00E34A42" w:rsidRPr="00E34A42" w:rsidRDefault="00E34A42" w:rsidP="00E34A42">
      <w:pPr>
        <w:ind w:firstLine="851"/>
        <w:jc w:val="both"/>
        <w:rPr>
          <w:color w:val="000000"/>
        </w:rPr>
      </w:pPr>
      <w:r w:rsidRPr="00E34A42">
        <w:rPr>
          <w:color w:val="000000"/>
        </w:rPr>
        <w:t>l)</w:t>
      </w:r>
      <w:r w:rsidRPr="00E34A42">
        <w:rPr>
          <w:color w:val="FF0000"/>
        </w:rPr>
        <w:t xml:space="preserve"> </w:t>
      </w:r>
      <w:r w:rsidRPr="00E34A42">
        <w:rPr>
          <w:color w:val="000000"/>
        </w:rPr>
        <w:t>art. 1 alin. (2) lit. a), art. 4, art.5 alin. (4), art. 19 alin. (1) lit. a), art. 20 alin. (1) lit. j), art. 26 alin. (4),  art. 30 alin. (6), art. 40 – art. 48,  art. 50 alin. (2) lit. b) art. 51 alin. (3) și art. 58 din Legea nr. 273/2006 privind finanțele publice locale, cu modificările și completările ulterioare;</w:t>
      </w:r>
    </w:p>
    <w:p w14:paraId="7593A3D2" w14:textId="77777777" w:rsidR="00E34A42" w:rsidRPr="00E34A42" w:rsidRDefault="00E34A42" w:rsidP="00E34A42">
      <w:pPr>
        <w:ind w:firstLine="851"/>
        <w:jc w:val="both"/>
      </w:pPr>
      <w:r w:rsidRPr="00E34A42">
        <w:t>m) art. 6 alin. (1) lit. d) din Ordonanța de urgență  a Guvernului nr. 118/2006 privind înființarea, organizarea și desfășurarea activității așezămintelor culturale, aprobată prin Legea nr. 143/2007, cu modificările și completările ulterioare;</w:t>
      </w:r>
    </w:p>
    <w:p w14:paraId="3C00A7C6" w14:textId="77777777" w:rsidR="00E34A42" w:rsidRPr="00E34A42" w:rsidRDefault="00E34A42" w:rsidP="00E34A42">
      <w:pPr>
        <w:ind w:firstLine="851"/>
        <w:jc w:val="both"/>
      </w:pPr>
      <w:r w:rsidRPr="00E34A42">
        <w:t>n) art. 8 alin. (1) și art. 33 din Legea bibliotecilor nr. 334/2002, republicată, cu modificările și completările ulterioare;</w:t>
      </w:r>
    </w:p>
    <w:p w14:paraId="003133C5" w14:textId="77777777" w:rsidR="00E34A42" w:rsidRPr="00E34A42" w:rsidRDefault="00E34A42" w:rsidP="00E34A42">
      <w:pPr>
        <w:ind w:firstLine="851"/>
        <w:jc w:val="both"/>
      </w:pPr>
      <w:r w:rsidRPr="00E34A42">
        <w:t>o) art. 40 din Legea nr. 448/2006 privind protecția și promovarea drepturilor persoanelor cu handicap, republicată, cu modificările și completările ulterioare;</w:t>
      </w:r>
    </w:p>
    <w:p w14:paraId="7A9BC210" w14:textId="77777777" w:rsidR="00E34A42" w:rsidRPr="00E34A42" w:rsidRDefault="00E34A42" w:rsidP="00E34A42">
      <w:pPr>
        <w:ind w:firstLine="851"/>
        <w:jc w:val="both"/>
      </w:pPr>
      <w:r w:rsidRPr="00E34A42">
        <w:t>p) art. 39 alin. (2) din Legea poliției locale nr. 155/2010, republicată, cu modificările și completările ulterioare;</w:t>
      </w:r>
    </w:p>
    <w:p w14:paraId="4470D42D" w14:textId="77777777" w:rsidR="00E34A42" w:rsidRPr="00E34A42" w:rsidRDefault="00E34A42" w:rsidP="00E34A42">
      <w:pPr>
        <w:ind w:firstLine="851"/>
        <w:jc w:val="both"/>
      </w:pPr>
      <w:r w:rsidRPr="00E34A42">
        <w:t xml:space="preserve">        q) Ordonanței de urgență  a Guvernului nr. 156/2024 privind unele măsuri fiscal-bugetare în domeniul cheltuielilor publice pentru fundamentarea bugetului general consolidat pe anul 2025, pentru modificarea şi completarea unor acte normative, precum şi pentru prorogarea unor termene, rectificată, modificată prin Ordonanța de urgență  a Guvernului nr. 4/2025,              </w:t>
      </w:r>
    </w:p>
    <w:p w14:paraId="3788AE05" w14:textId="77777777" w:rsidR="00E34A42" w:rsidRPr="00E34A42" w:rsidRDefault="00E34A42" w:rsidP="00E34A42">
      <w:pPr>
        <w:ind w:firstLine="851"/>
        <w:jc w:val="both"/>
      </w:pPr>
      <w:r w:rsidRPr="00E34A42">
        <w:t xml:space="preserve">       r) art. 20 alin. (2) din Ordonanța Guvernului nr. 84/2001 privind înființarea, organizarea și funcționarea serviciilor publice comunitare de evidență a persoanelor, cu modificările și completările ulterioare aprobată prin Legea nr. 372/2002, cu modificările și completările ulterioare;</w:t>
      </w:r>
    </w:p>
    <w:p w14:paraId="1188D055" w14:textId="77777777" w:rsidR="00E34A42" w:rsidRPr="00E34A42" w:rsidRDefault="00E34A42" w:rsidP="00E34A42">
      <w:pPr>
        <w:ind w:firstLine="851"/>
        <w:jc w:val="both"/>
      </w:pPr>
      <w:r w:rsidRPr="00E34A42">
        <w:t xml:space="preserve">r) art. VI, art. XVII și art. XL din Ordonanța de urgență a Guvernului nr. 115/2023 privind unele măsuri fiscal-bugetare în domeniul cheltuielilor publice, pentru consolidare fiscală, combaterea evaziunii fiscale, pentru modificarea şi completarea unor acte normative, precum şi pentru prorogarea unor termene, modificată și completată prin Ordonanța de urgență a Guvernului nr. 127/2023;  </w:t>
      </w:r>
    </w:p>
    <w:p w14:paraId="48AD108A" w14:textId="738CA945" w:rsidR="00E34A42" w:rsidRPr="00E34A42" w:rsidRDefault="00E34A42" w:rsidP="00E34A42">
      <w:pPr>
        <w:ind w:firstLine="851"/>
        <w:jc w:val="both"/>
      </w:pPr>
      <w:r w:rsidRPr="00E34A42">
        <w:t xml:space="preserve">    q) art. 4 alin.(4) lit. a) din Ordinul ministrului educației nr. 5518/2024 privind aprobarea Metodologiei-cadru de acordare a burselor;</w:t>
      </w:r>
    </w:p>
    <w:p w14:paraId="4716B3D4" w14:textId="77777777" w:rsidR="00E34A42" w:rsidRPr="00E34A42" w:rsidRDefault="00E34A42" w:rsidP="00E34A42">
      <w:pPr>
        <w:ind w:firstLine="142"/>
        <w:jc w:val="both"/>
      </w:pPr>
      <w:r w:rsidRPr="00E34A42">
        <w:t xml:space="preserve">                Legea bugetului de stat pe anul 2025,  nr. 9/2025 a fost publicată în Monitorul oficial la data de 13 februarie 2025, în termen de 5 zile de la publicarea în Monitorul Oficial al României, Partea I, a legii bugetului de stat, Ministerul Finanţelor Publice a transmis  direcţiei generale ale finanţelor publice sumele defalcate din unele venituri ale bugetului de stat şi transferurile consolidabile, aprobate prin legea bugetului de stat.  </w:t>
      </w:r>
    </w:p>
    <w:p w14:paraId="3AF8A6E9" w14:textId="01BCB6C8" w:rsidR="00E34A42" w:rsidRDefault="00E34A42" w:rsidP="00E34A42">
      <w:pPr>
        <w:ind w:firstLine="142"/>
        <w:jc w:val="both"/>
      </w:pPr>
      <w:r w:rsidRPr="00E34A42">
        <w:t xml:space="preserve">   </w:t>
      </w:r>
      <w:bookmarkStart w:id="5" w:name="_Hlk192142282"/>
      <w:r>
        <w:tab/>
      </w:r>
      <w:r w:rsidRPr="00E34A42">
        <w:t xml:space="preserve">Direcţia  generală ale finanțelor publice judeţeană </w:t>
      </w:r>
      <w:r>
        <w:t>Timiș</w:t>
      </w:r>
      <w:bookmarkEnd w:id="5"/>
      <w:r w:rsidRPr="00E34A42">
        <w:t xml:space="preserve">, precum şi Consiliul judeţen </w:t>
      </w:r>
      <w:r>
        <w:t>Timiș</w:t>
      </w:r>
      <w:r w:rsidRPr="00E34A42">
        <w:t xml:space="preserve"> în condiţiile legii, au  repartizat comunei </w:t>
      </w:r>
      <w:r>
        <w:t>Liebling</w:t>
      </w:r>
      <w:r w:rsidRPr="00E34A42">
        <w:t xml:space="preserve">, sumele defalcate din unele venituri ale bugetului de stat, precum şi transferurile prevăzute la art. 34 alin. (1), în vederea definitivării proiectelor bugetelor locale de către ordonatorii principali de credite. În acelaşi termen, Direcţia  generală ale finanţelor publice judeţene </w:t>
      </w:r>
      <w:r>
        <w:t>Timiș</w:t>
      </w:r>
      <w:r w:rsidRPr="00E34A42">
        <w:t xml:space="preserve"> a comunicat  comunei </w:t>
      </w:r>
      <w:r>
        <w:t>Liebling</w:t>
      </w:r>
      <w:r w:rsidRPr="00E34A42">
        <w:t xml:space="preserve">, şi o estimare a veniturilor din cotele defalcate din impozitul pe venit.  </w:t>
      </w:r>
    </w:p>
    <w:p w14:paraId="3FBCD11A" w14:textId="49AEA000" w:rsidR="00490546" w:rsidRDefault="00490546" w:rsidP="00E34A42">
      <w:pPr>
        <w:ind w:firstLine="142"/>
        <w:jc w:val="both"/>
      </w:pPr>
    </w:p>
    <w:p w14:paraId="4B3CEA67" w14:textId="7AF9596A" w:rsidR="00490546" w:rsidRDefault="00490546" w:rsidP="00E34A42">
      <w:pPr>
        <w:ind w:firstLine="142"/>
        <w:jc w:val="both"/>
      </w:pPr>
    </w:p>
    <w:p w14:paraId="4AE83C35" w14:textId="4A5A8B1B" w:rsidR="00490546" w:rsidRDefault="00490546" w:rsidP="00E34A42">
      <w:pPr>
        <w:ind w:firstLine="142"/>
        <w:jc w:val="both"/>
      </w:pPr>
    </w:p>
    <w:p w14:paraId="0E975A16" w14:textId="5F67B836" w:rsidR="00490546" w:rsidRDefault="00490546" w:rsidP="00E34A42">
      <w:pPr>
        <w:ind w:firstLine="142"/>
        <w:jc w:val="both"/>
      </w:pPr>
    </w:p>
    <w:p w14:paraId="2912CEA1" w14:textId="518DB640" w:rsidR="00490546" w:rsidRDefault="00490546" w:rsidP="00E34A42">
      <w:pPr>
        <w:ind w:firstLine="142"/>
        <w:jc w:val="both"/>
      </w:pPr>
    </w:p>
    <w:p w14:paraId="4495A531" w14:textId="3BEF30E0" w:rsidR="00490546" w:rsidRDefault="00490546" w:rsidP="00E34A42">
      <w:pPr>
        <w:ind w:firstLine="142"/>
        <w:jc w:val="both"/>
      </w:pPr>
    </w:p>
    <w:p w14:paraId="6232E6AD" w14:textId="55C86ADD" w:rsidR="00490546" w:rsidRDefault="00490546" w:rsidP="00E34A42">
      <w:pPr>
        <w:ind w:firstLine="142"/>
        <w:jc w:val="both"/>
      </w:pPr>
    </w:p>
    <w:p w14:paraId="04B88F55" w14:textId="77777777" w:rsidR="00490546" w:rsidRPr="00E34A42" w:rsidRDefault="00490546" w:rsidP="00E34A42">
      <w:pPr>
        <w:ind w:firstLine="142"/>
        <w:jc w:val="both"/>
      </w:pPr>
    </w:p>
    <w:p w14:paraId="4BE9D5C3" w14:textId="6AA6DFEA" w:rsidR="00E34A42" w:rsidRPr="00E34A42" w:rsidRDefault="00E34A42" w:rsidP="00E34A42">
      <w:pPr>
        <w:ind w:firstLine="142"/>
        <w:jc w:val="both"/>
      </w:pPr>
      <w:r w:rsidRPr="00E34A42">
        <w:t xml:space="preserve">   Pe baza veniturilor proprii și a sumelor repartizate, ordonatorul principal de credite, în termen de 15 zile de la publicarea legii bugetului de stat în Monitorul Oficial al României, Partea I, a defini</w:t>
      </w:r>
      <w:r w:rsidR="00490546">
        <w:t>tivat proiectul bugetului local</w:t>
      </w:r>
      <w:r w:rsidRPr="00E34A42">
        <w:t xml:space="preserve">.  </w:t>
      </w:r>
    </w:p>
    <w:p w14:paraId="5DF0E07B" w14:textId="77777777" w:rsidR="00E34A42" w:rsidRPr="00E34A42" w:rsidRDefault="00E34A42" w:rsidP="00E34A42">
      <w:pPr>
        <w:ind w:firstLine="142"/>
        <w:jc w:val="both"/>
      </w:pPr>
      <w:r w:rsidRPr="00E34A42">
        <w:t xml:space="preserve">   Proiectul de buget prevăzute la art. 1 alin. (2) se aprobă de Consiliul local  în termen de maximum 45 de zile de la data publicării legii bugetului de stat în Monitorul Oficial al României, Partea I.  </w:t>
      </w:r>
    </w:p>
    <w:p w14:paraId="5590819B" w14:textId="77777777" w:rsidR="00E34A42" w:rsidRPr="00E34A42" w:rsidRDefault="00E34A42" w:rsidP="00E34A42">
      <w:pPr>
        <w:ind w:firstLine="142"/>
        <w:jc w:val="both"/>
      </w:pPr>
      <w:r w:rsidRPr="00E34A42">
        <w:t xml:space="preserve">    În cazul în care consiliul local </w:t>
      </w:r>
      <w:r w:rsidRPr="00490546">
        <w:t>nu aprobă proiectul bugetului local</w:t>
      </w:r>
      <w:r w:rsidRPr="00E34A42">
        <w:t xml:space="preserve"> în termenul prevăzut de lege,  direcţia generală a finanţelor publice dispune sistarea alimentării cu cote, respectiv sume defalcate din unele venituri ale bugetului de stat şi cu transferuri consolidabile, până la aprobarea acestuia  de către Consiliul Local. În această situație, din bugetul local se pot efectua plăți numai în limita celorlalte venituri încasate. </w:t>
      </w:r>
    </w:p>
    <w:p w14:paraId="6064CEC3" w14:textId="0640B95C" w:rsidR="00E34A42" w:rsidRPr="00E34A42" w:rsidRDefault="00E34A42" w:rsidP="00E34A42">
      <w:pPr>
        <w:ind w:firstLine="142"/>
        <w:jc w:val="both"/>
      </w:pPr>
      <w:r w:rsidRPr="00E34A42">
        <w:t xml:space="preserve"> </w:t>
      </w:r>
      <w:r w:rsidRPr="00E34A42">
        <w:rPr>
          <w:bCs/>
        </w:rPr>
        <w:t xml:space="preserve">        P</w:t>
      </w:r>
      <w:r w:rsidRPr="00E34A42">
        <w:t xml:space="preserve">roiectul de hotărâre urmează procedura prevăzută de art. 136 alin.(3)  din Ordonanța de urgență a Guvernului nr. 57/2019 privind Codul administrativ, cu modificările și  completările ulterioare, fiind înregistrat și depus la secretarul general al comunei, urmând a se transmite compartimentului contabilitatea publică, din aparatul de specialitate al primarului comunei în vederea analizării şi întocmirii raportului de specialitate.  </w:t>
      </w:r>
    </w:p>
    <w:p w14:paraId="165CF2A6" w14:textId="1EE90B4C" w:rsidR="00E34A42" w:rsidRDefault="00E34A42" w:rsidP="00E34A42">
      <w:pPr>
        <w:ind w:firstLine="851"/>
        <w:jc w:val="both"/>
      </w:pPr>
      <w:r w:rsidRPr="00E34A42">
        <w:t>Faţă de cele ce preced, rog să se aprobe acest proiect de hotărâre care dovedeşte capacitatea efectivă de a soluţiona şi de a gestiona, în numele şi în interesul colectivităţii locale pe care o reprezentăm, treburile publice, în condiţiile legii.</w:t>
      </w:r>
    </w:p>
    <w:p w14:paraId="6D631CAD" w14:textId="0E501049" w:rsidR="00490546" w:rsidRDefault="00490546" w:rsidP="00E34A42">
      <w:pPr>
        <w:ind w:firstLine="851"/>
        <w:jc w:val="both"/>
      </w:pPr>
    </w:p>
    <w:p w14:paraId="308D88AD" w14:textId="77777777" w:rsidR="00490546" w:rsidRPr="00E34A42" w:rsidRDefault="00490546" w:rsidP="00E34A42">
      <w:pPr>
        <w:ind w:firstLine="851"/>
        <w:jc w:val="both"/>
      </w:pPr>
    </w:p>
    <w:p w14:paraId="1879D793" w14:textId="2ACDB040" w:rsidR="006A3B1F" w:rsidRPr="00E34A42" w:rsidRDefault="00B34D8A" w:rsidP="00E34A42">
      <w:pPr>
        <w:tabs>
          <w:tab w:val="left" w:pos="3465"/>
          <w:tab w:val="left" w:pos="3690"/>
        </w:tabs>
        <w:jc w:val="both"/>
        <w:rPr>
          <w:b/>
        </w:rPr>
      </w:pPr>
      <w:r w:rsidRPr="00E34A42">
        <w:rPr>
          <w:b/>
          <w:bCs/>
        </w:rPr>
        <w:t xml:space="preserve">           </w:t>
      </w:r>
      <w:r w:rsidR="00E34A42">
        <w:rPr>
          <w:b/>
          <w:bCs/>
        </w:rPr>
        <w:t xml:space="preserve">                                                          </w:t>
      </w:r>
      <w:r w:rsidR="006A3B1F" w:rsidRPr="00E34A42">
        <w:rPr>
          <w:b/>
        </w:rPr>
        <w:t>Primar,</w:t>
      </w:r>
    </w:p>
    <w:p w14:paraId="34AA14F1" w14:textId="2FEF58D9" w:rsidR="006A3B1F" w:rsidRPr="00E34A42" w:rsidRDefault="001552F7" w:rsidP="00E34A42">
      <w:pPr>
        <w:pStyle w:val="NoSpacing"/>
        <w:jc w:val="both"/>
        <w:rPr>
          <w:rFonts w:ascii="Times New Roman" w:eastAsia="Klinic Slab Book" w:hAnsi="Times New Roman"/>
          <w:sz w:val="24"/>
          <w:szCs w:val="24"/>
          <w:lang w:val="it-IT"/>
        </w:rPr>
      </w:pPr>
      <w:r w:rsidRPr="00E34A42">
        <w:rPr>
          <w:rFonts w:ascii="Times New Roman" w:hAnsi="Times New Roman"/>
          <w:sz w:val="24"/>
          <w:szCs w:val="24"/>
        </w:rPr>
        <w:t xml:space="preserve">                                                               Ioan-Gheorghe MUNTEANU</w:t>
      </w:r>
    </w:p>
    <w:p w14:paraId="7BF24161" w14:textId="77777777" w:rsidR="003663FD" w:rsidRPr="00E34A42" w:rsidRDefault="003663FD" w:rsidP="00E34A42">
      <w:pPr>
        <w:jc w:val="both"/>
      </w:pPr>
    </w:p>
    <w:sectPr w:rsidR="003663FD" w:rsidRPr="00E34A42" w:rsidSect="00E34A42">
      <w:pgSz w:w="12240" w:h="15840"/>
      <w:pgMar w:top="851" w:right="1440"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D543EB" w14:textId="77777777" w:rsidR="00E7240A" w:rsidRDefault="00E7240A" w:rsidP="006F08F0">
      <w:r>
        <w:separator/>
      </w:r>
    </w:p>
  </w:endnote>
  <w:endnote w:type="continuationSeparator" w:id="0">
    <w:p w14:paraId="04B8424F" w14:textId="77777777" w:rsidR="00E7240A" w:rsidRDefault="00E7240A" w:rsidP="006F0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Klinic Slab Book">
    <w:panose1 w:val="00000000000000000000"/>
    <w:charset w:val="00"/>
    <w:family w:val="modern"/>
    <w:notTrueType/>
    <w:pitch w:val="variable"/>
    <w:sig w:usb0="8000002F" w:usb1="50000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8B65F5" w14:textId="77777777" w:rsidR="00E7240A" w:rsidRDefault="00E7240A" w:rsidP="006F08F0">
      <w:r>
        <w:separator/>
      </w:r>
    </w:p>
  </w:footnote>
  <w:footnote w:type="continuationSeparator" w:id="0">
    <w:p w14:paraId="5D16E0BD" w14:textId="77777777" w:rsidR="00E7240A" w:rsidRDefault="00E7240A" w:rsidP="006F08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0F4F86"/>
    <w:multiLevelType w:val="hybridMultilevel"/>
    <w:tmpl w:val="1B888812"/>
    <w:lvl w:ilvl="0" w:tplc="87369ADA">
      <w:start w:val="1"/>
      <w:numFmt w:val="decimal"/>
      <w:lvlText w:val="(%1)"/>
      <w:lvlJc w:val="left"/>
      <w:pPr>
        <w:ind w:left="825" w:hanging="465"/>
      </w:pPr>
      <w:rPr>
        <w:b/>
        <w:color w:val="8B0000"/>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1" w15:restartNumberingAfterBreak="0">
    <w:nsid w:val="6AC90212"/>
    <w:multiLevelType w:val="hybridMultilevel"/>
    <w:tmpl w:val="324C0126"/>
    <w:lvl w:ilvl="0" w:tplc="8576A4E4">
      <w:start w:val="1"/>
      <w:numFmt w:val="decimal"/>
      <w:lvlText w:val="(%1)"/>
      <w:lvlJc w:val="left"/>
      <w:pPr>
        <w:ind w:left="825" w:hanging="465"/>
      </w:pPr>
      <w:rPr>
        <w:b/>
        <w:color w:val="8B0000"/>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B1F"/>
    <w:rsid w:val="00012C2F"/>
    <w:rsid w:val="000A6506"/>
    <w:rsid w:val="001552F7"/>
    <w:rsid w:val="00163AF3"/>
    <w:rsid w:val="0017143A"/>
    <w:rsid w:val="00194DE6"/>
    <w:rsid w:val="001C6368"/>
    <w:rsid w:val="001E1FEE"/>
    <w:rsid w:val="001F486D"/>
    <w:rsid w:val="003663FD"/>
    <w:rsid w:val="003834BC"/>
    <w:rsid w:val="003D4B0B"/>
    <w:rsid w:val="003E0AAB"/>
    <w:rsid w:val="003F01F2"/>
    <w:rsid w:val="003F25C7"/>
    <w:rsid w:val="00456BFF"/>
    <w:rsid w:val="00490546"/>
    <w:rsid w:val="004B44BF"/>
    <w:rsid w:val="00613AF2"/>
    <w:rsid w:val="00650054"/>
    <w:rsid w:val="006A2AFB"/>
    <w:rsid w:val="006A3B1F"/>
    <w:rsid w:val="006F08F0"/>
    <w:rsid w:val="00753B41"/>
    <w:rsid w:val="007F06EC"/>
    <w:rsid w:val="008209A3"/>
    <w:rsid w:val="00822D95"/>
    <w:rsid w:val="008839D8"/>
    <w:rsid w:val="008F6752"/>
    <w:rsid w:val="009F0691"/>
    <w:rsid w:val="00B00F86"/>
    <w:rsid w:val="00B34D8A"/>
    <w:rsid w:val="00BE57C5"/>
    <w:rsid w:val="00C147F6"/>
    <w:rsid w:val="00D36086"/>
    <w:rsid w:val="00D45E52"/>
    <w:rsid w:val="00E34A42"/>
    <w:rsid w:val="00E7240A"/>
    <w:rsid w:val="00F84562"/>
    <w:rsid w:val="00F86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E59A8"/>
  <w15:docId w15:val="{F76CDC84-666A-4DFA-B303-AB06D3BA7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3B1F"/>
    <w:pPr>
      <w:spacing w:after="0" w:line="240" w:lineRule="auto"/>
    </w:pPr>
    <w:rPr>
      <w:rFonts w:ascii="Times New Roman" w:eastAsia="Times New Roman" w:hAnsi="Times New Roman" w:cs="Times New Roman"/>
      <w:sz w:val="24"/>
      <w:szCs w:val="24"/>
      <w:lang w:val="ro-RO"/>
    </w:rPr>
  </w:style>
  <w:style w:type="paragraph" w:styleId="Heading2">
    <w:name w:val="heading 2"/>
    <w:basedOn w:val="Normal"/>
    <w:link w:val="Heading2Char"/>
    <w:uiPriority w:val="9"/>
    <w:qFormat/>
    <w:rsid w:val="00B34D8A"/>
    <w:pPr>
      <w:spacing w:before="100" w:beforeAutospacing="1" w:after="100" w:afterAutospacing="1"/>
      <w:outlineLvl w:val="1"/>
    </w:pPr>
    <w:rPr>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A3B1F"/>
    <w:pPr>
      <w:spacing w:before="100" w:beforeAutospacing="1" w:after="100" w:afterAutospacing="1"/>
    </w:pPr>
    <w:rPr>
      <w:lang w:eastAsia="ro-RO"/>
    </w:rPr>
  </w:style>
  <w:style w:type="paragraph" w:styleId="NoSpacing">
    <w:name w:val="No Spacing"/>
    <w:uiPriority w:val="1"/>
    <w:qFormat/>
    <w:rsid w:val="006A3B1F"/>
    <w:pPr>
      <w:spacing w:after="0" w:line="240" w:lineRule="auto"/>
    </w:pPr>
    <w:rPr>
      <w:rFonts w:ascii="Calibri" w:eastAsia="Calibri" w:hAnsi="Calibri" w:cs="Times New Roman"/>
    </w:rPr>
  </w:style>
  <w:style w:type="character" w:customStyle="1" w:styleId="slitttl1">
    <w:name w:val="s_lit_ttl1"/>
    <w:rsid w:val="006A3B1F"/>
    <w:rPr>
      <w:rFonts w:ascii="Verdana" w:hAnsi="Verdana" w:hint="default"/>
      <w:b/>
      <w:bCs/>
      <w:vanish w:val="0"/>
      <w:webHidden w:val="0"/>
      <w:color w:val="8B0000"/>
      <w:sz w:val="20"/>
      <w:szCs w:val="20"/>
      <w:shd w:val="clear" w:color="auto" w:fill="FFFFFF"/>
      <w:specVanish w:val="0"/>
    </w:rPr>
  </w:style>
  <w:style w:type="character" w:customStyle="1" w:styleId="slitbdy">
    <w:name w:val="s_lit_bdy"/>
    <w:rsid w:val="006A3B1F"/>
    <w:rPr>
      <w:rFonts w:ascii="Verdana" w:hAnsi="Verdana" w:hint="default"/>
      <w:b w:val="0"/>
      <w:bCs w:val="0"/>
      <w:color w:val="000000"/>
      <w:sz w:val="20"/>
      <w:szCs w:val="20"/>
      <w:shd w:val="clear" w:color="auto" w:fill="FFFFFF"/>
    </w:rPr>
  </w:style>
  <w:style w:type="character" w:styleId="Hyperlink">
    <w:name w:val="Hyperlink"/>
    <w:semiHidden/>
    <w:unhideWhenUsed/>
    <w:rsid w:val="007F06EC"/>
    <w:rPr>
      <w:rFonts w:ascii="Times New Roman" w:hAnsi="Times New Roman" w:cs="Times New Roman" w:hint="default"/>
      <w:color w:val="0000FF"/>
      <w:u w:val="single"/>
    </w:rPr>
  </w:style>
  <w:style w:type="paragraph" w:styleId="Header">
    <w:name w:val="header"/>
    <w:basedOn w:val="Normal"/>
    <w:link w:val="HeaderChar"/>
    <w:uiPriority w:val="99"/>
    <w:semiHidden/>
    <w:unhideWhenUsed/>
    <w:rsid w:val="007F06EC"/>
    <w:pPr>
      <w:tabs>
        <w:tab w:val="center" w:pos="4680"/>
        <w:tab w:val="right" w:pos="9360"/>
      </w:tabs>
    </w:pPr>
    <w:rPr>
      <w:rFonts w:ascii="Calibri" w:eastAsia="Calibri" w:hAnsi="Calibri"/>
      <w:sz w:val="22"/>
      <w:szCs w:val="22"/>
      <w:lang w:val="en-US"/>
    </w:rPr>
  </w:style>
  <w:style w:type="character" w:customStyle="1" w:styleId="HeaderChar">
    <w:name w:val="Header Char"/>
    <w:basedOn w:val="DefaultParagraphFont"/>
    <w:link w:val="Header"/>
    <w:uiPriority w:val="99"/>
    <w:semiHidden/>
    <w:rsid w:val="007F06EC"/>
    <w:rPr>
      <w:rFonts w:ascii="Calibri" w:eastAsia="Calibri" w:hAnsi="Calibri" w:cs="Times New Roman"/>
    </w:rPr>
  </w:style>
  <w:style w:type="paragraph" w:styleId="Footer">
    <w:name w:val="footer"/>
    <w:basedOn w:val="Normal"/>
    <w:link w:val="FooterChar"/>
    <w:uiPriority w:val="99"/>
    <w:semiHidden/>
    <w:unhideWhenUsed/>
    <w:rsid w:val="006F08F0"/>
    <w:pPr>
      <w:tabs>
        <w:tab w:val="center" w:pos="4680"/>
        <w:tab w:val="right" w:pos="9360"/>
      </w:tabs>
    </w:pPr>
  </w:style>
  <w:style w:type="character" w:customStyle="1" w:styleId="FooterChar">
    <w:name w:val="Footer Char"/>
    <w:basedOn w:val="DefaultParagraphFont"/>
    <w:link w:val="Footer"/>
    <w:uiPriority w:val="99"/>
    <w:semiHidden/>
    <w:rsid w:val="006F08F0"/>
    <w:rPr>
      <w:rFonts w:ascii="Times New Roman" w:eastAsia="Times New Roman" w:hAnsi="Times New Roman" w:cs="Times New Roman"/>
      <w:sz w:val="24"/>
      <w:szCs w:val="24"/>
      <w:lang w:val="ro-RO"/>
    </w:rPr>
  </w:style>
  <w:style w:type="character" w:customStyle="1" w:styleId="Heading2Char">
    <w:name w:val="Heading 2 Char"/>
    <w:basedOn w:val="DefaultParagraphFont"/>
    <w:link w:val="Heading2"/>
    <w:uiPriority w:val="9"/>
    <w:rsid w:val="00B34D8A"/>
    <w:rPr>
      <w:rFonts w:ascii="Times New Roman" w:eastAsia="Times New Roman" w:hAnsi="Times New Roman" w:cs="Times New Roman"/>
      <w:b/>
      <w:bCs/>
      <w:sz w:val="36"/>
      <w:szCs w:val="36"/>
    </w:rPr>
  </w:style>
  <w:style w:type="paragraph" w:styleId="BalloonText">
    <w:name w:val="Balloon Text"/>
    <w:basedOn w:val="Normal"/>
    <w:link w:val="BalloonTextChar"/>
    <w:uiPriority w:val="99"/>
    <w:semiHidden/>
    <w:unhideWhenUsed/>
    <w:rsid w:val="004905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0546"/>
    <w:rPr>
      <w:rFonts w:ascii="Segoe UI" w:eastAsia="Times New Roman"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80767">
      <w:bodyDiv w:val="1"/>
      <w:marLeft w:val="0"/>
      <w:marRight w:val="0"/>
      <w:marTop w:val="0"/>
      <w:marBottom w:val="0"/>
      <w:divBdr>
        <w:top w:val="none" w:sz="0" w:space="0" w:color="auto"/>
        <w:left w:val="none" w:sz="0" w:space="0" w:color="auto"/>
        <w:bottom w:val="none" w:sz="0" w:space="0" w:color="auto"/>
        <w:right w:val="none" w:sz="0" w:space="0" w:color="auto"/>
      </w:divBdr>
    </w:div>
    <w:div w:id="503741282">
      <w:bodyDiv w:val="1"/>
      <w:marLeft w:val="0"/>
      <w:marRight w:val="0"/>
      <w:marTop w:val="0"/>
      <w:marBottom w:val="0"/>
      <w:divBdr>
        <w:top w:val="none" w:sz="0" w:space="0" w:color="auto"/>
        <w:left w:val="none" w:sz="0" w:space="0" w:color="auto"/>
        <w:bottom w:val="none" w:sz="0" w:space="0" w:color="auto"/>
        <w:right w:val="none" w:sz="0" w:space="0" w:color="auto"/>
      </w:divBdr>
    </w:div>
    <w:div w:id="682826936">
      <w:bodyDiv w:val="1"/>
      <w:marLeft w:val="0"/>
      <w:marRight w:val="0"/>
      <w:marTop w:val="0"/>
      <w:marBottom w:val="0"/>
      <w:divBdr>
        <w:top w:val="none" w:sz="0" w:space="0" w:color="auto"/>
        <w:left w:val="none" w:sz="0" w:space="0" w:color="auto"/>
        <w:bottom w:val="none" w:sz="0" w:space="0" w:color="auto"/>
        <w:right w:val="none" w:sz="0" w:space="0" w:color="auto"/>
      </w:divBdr>
    </w:div>
    <w:div w:id="1120032896">
      <w:bodyDiv w:val="1"/>
      <w:marLeft w:val="0"/>
      <w:marRight w:val="0"/>
      <w:marTop w:val="0"/>
      <w:marBottom w:val="0"/>
      <w:divBdr>
        <w:top w:val="none" w:sz="0" w:space="0" w:color="auto"/>
        <w:left w:val="none" w:sz="0" w:space="0" w:color="auto"/>
        <w:bottom w:val="none" w:sz="0" w:space="0" w:color="auto"/>
        <w:right w:val="none" w:sz="0" w:space="0" w:color="auto"/>
      </w:divBdr>
    </w:div>
    <w:div w:id="1164200772">
      <w:bodyDiv w:val="1"/>
      <w:marLeft w:val="0"/>
      <w:marRight w:val="0"/>
      <w:marTop w:val="0"/>
      <w:marBottom w:val="0"/>
      <w:divBdr>
        <w:top w:val="none" w:sz="0" w:space="0" w:color="auto"/>
        <w:left w:val="none" w:sz="0" w:space="0" w:color="auto"/>
        <w:bottom w:val="none" w:sz="0" w:space="0" w:color="auto"/>
        <w:right w:val="none" w:sz="0" w:space="0" w:color="auto"/>
      </w:divBdr>
    </w:div>
    <w:div w:id="1215312213">
      <w:bodyDiv w:val="1"/>
      <w:marLeft w:val="0"/>
      <w:marRight w:val="0"/>
      <w:marTop w:val="0"/>
      <w:marBottom w:val="0"/>
      <w:divBdr>
        <w:top w:val="none" w:sz="0" w:space="0" w:color="auto"/>
        <w:left w:val="none" w:sz="0" w:space="0" w:color="auto"/>
        <w:bottom w:val="none" w:sz="0" w:space="0" w:color="auto"/>
        <w:right w:val="none" w:sz="0" w:space="0" w:color="auto"/>
      </w:divBdr>
    </w:div>
    <w:div w:id="1773014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ntact@primarialiebling.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1294</Words>
  <Characters>7380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Juridic</cp:lastModifiedBy>
  <cp:revision>4</cp:revision>
  <cp:lastPrinted>2025-03-17T11:41:00Z</cp:lastPrinted>
  <dcterms:created xsi:type="dcterms:W3CDTF">2025-03-10T20:06:00Z</dcterms:created>
  <dcterms:modified xsi:type="dcterms:W3CDTF">2025-03-17T11:43:00Z</dcterms:modified>
</cp:coreProperties>
</file>