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E990" w14:textId="77777777" w:rsidR="005A3406" w:rsidRPr="008E4002" w:rsidRDefault="008E4002" w:rsidP="008E40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02">
        <w:rPr>
          <w:rFonts w:ascii="Times New Roman" w:hAnsi="Times New Roman" w:cs="Times New Roman"/>
          <w:b/>
          <w:bCs/>
          <w:sz w:val="24"/>
          <w:szCs w:val="24"/>
        </w:rPr>
        <w:t>COMUNA MIHAI VITEAZU</w:t>
      </w:r>
    </w:p>
    <w:p w14:paraId="606C2B47" w14:textId="77777777" w:rsidR="008E4002" w:rsidRPr="008E4002" w:rsidRDefault="008E4002" w:rsidP="008E40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02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0F49D33B" w14:textId="24B54176" w:rsidR="00835A46" w:rsidRPr="005F6077" w:rsidRDefault="008E4002" w:rsidP="005F6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02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BB0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3032889"/>
      <w:bookmarkStart w:id="1" w:name="_Hlk195002038"/>
      <w:r w:rsidR="00041019">
        <w:rPr>
          <w:rFonts w:ascii="Times New Roman" w:hAnsi="Times New Roman" w:cs="Times New Roman"/>
          <w:b/>
          <w:bCs/>
          <w:sz w:val="24"/>
          <w:szCs w:val="24"/>
        </w:rPr>
        <w:t>17</w:t>
      </w:r>
      <w:bookmarkEnd w:id="0"/>
      <w:r w:rsidR="00775203">
        <w:rPr>
          <w:rFonts w:ascii="Times New Roman" w:hAnsi="Times New Roman" w:cs="Times New Roman"/>
          <w:b/>
          <w:bCs/>
          <w:sz w:val="24"/>
          <w:szCs w:val="24"/>
        </w:rPr>
        <w:t>415</w:t>
      </w:r>
      <w:bookmarkEnd w:id="1"/>
      <w:r w:rsidR="001D6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00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1715C7">
        <w:rPr>
          <w:rFonts w:ascii="Times New Roman" w:hAnsi="Times New Roman" w:cs="Times New Roman"/>
          <w:b/>
          <w:bCs/>
          <w:sz w:val="24"/>
          <w:szCs w:val="24"/>
        </w:rPr>
        <w:t xml:space="preserve">PNRR-C10/ </w:t>
      </w:r>
      <w:r w:rsidRPr="008E4002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306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5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E7D5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715C7">
        <w:rPr>
          <w:rFonts w:ascii="Times New Roman" w:hAnsi="Times New Roman" w:cs="Times New Roman"/>
          <w:b/>
          <w:bCs/>
          <w:sz w:val="24"/>
          <w:szCs w:val="24"/>
        </w:rPr>
        <w:t>.04.202</w:t>
      </w:r>
      <w:r w:rsidR="00DE7D5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39B650D" w14:textId="77777777" w:rsidR="00835A46" w:rsidRDefault="00835A46" w:rsidP="00BB0A6B">
      <w:pPr>
        <w:spacing w:after="0" w:line="240" w:lineRule="auto"/>
        <w:jc w:val="center"/>
        <w:rPr>
          <w:rFonts w:ascii="Times New Roman" w:hAnsi="Times New Roman" w:cs="Times New Roman"/>
          <w:b/>
          <w:lang w:eastAsia="ro-RO"/>
        </w:rPr>
      </w:pPr>
    </w:p>
    <w:p w14:paraId="7B9C7BFB" w14:textId="1E393462" w:rsidR="00BB0A6B" w:rsidRPr="001331AF" w:rsidRDefault="00BB0A6B" w:rsidP="00BB0A6B">
      <w:pPr>
        <w:spacing w:after="0" w:line="240" w:lineRule="auto"/>
        <w:jc w:val="center"/>
        <w:rPr>
          <w:rFonts w:ascii="Times New Roman" w:hAnsi="Times New Roman" w:cs="Times New Roman"/>
          <w:b/>
          <w:lang w:eastAsia="ro-RO"/>
        </w:rPr>
      </w:pPr>
      <w:r w:rsidRPr="001331AF">
        <w:rPr>
          <w:rFonts w:ascii="Times New Roman" w:hAnsi="Times New Roman" w:cs="Times New Roman"/>
          <w:b/>
          <w:lang w:eastAsia="ro-RO"/>
        </w:rPr>
        <w:t>REFERAT DE APROBARE</w:t>
      </w:r>
    </w:p>
    <w:p w14:paraId="3D4D48CA" w14:textId="590C301D" w:rsidR="00BB0A6B" w:rsidRPr="001331AF" w:rsidRDefault="00E70420" w:rsidP="00BB0A6B">
      <w:pPr>
        <w:spacing w:after="0" w:line="240" w:lineRule="auto"/>
        <w:jc w:val="center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ab/>
      </w:r>
    </w:p>
    <w:p w14:paraId="22970478" w14:textId="1E8DEDFA" w:rsidR="00A65996" w:rsidRPr="00D91EA9" w:rsidRDefault="00BB0A6B" w:rsidP="00A65996">
      <w:pPr>
        <w:jc w:val="center"/>
        <w:rPr>
          <w:rFonts w:ascii="Times New Roman" w:hAnsi="Times New Roman" w:cs="Times New Roman"/>
          <w:b/>
        </w:rPr>
      </w:pPr>
      <w:r w:rsidRPr="00A65996">
        <w:rPr>
          <w:rFonts w:ascii="Times New Roman" w:hAnsi="Times New Roman"/>
          <w:b/>
          <w:sz w:val="24"/>
          <w:szCs w:val="24"/>
          <w:lang w:eastAsia="ro-RO"/>
        </w:rPr>
        <w:t>La proiectul de hotărâre privind</w:t>
      </w:r>
      <w:bookmarkStart w:id="2" w:name="_Hlk44056231"/>
      <w:r w:rsidR="00A65996" w:rsidRPr="00D91EA9">
        <w:rPr>
          <w:rFonts w:ascii="Times New Roman" w:hAnsi="Times New Roman" w:cs="Times New Roman"/>
          <w:b/>
        </w:rPr>
        <w:t xml:space="preserve"> actualizarea devizului general pentru obiectivul de investiții “REABILITAREA MODERATĂ A ȘCOLII GIMNAZIALE MIHAI VODĂ DIN LOC. MIHAI VITEAZU, STR. TRANSILVANIEI, NR. 141, COM. MIHAI VITEAZU, JUD. CLUJ” finanțat prin Programul Național de Redresare și Reziliență, Componenta C10 – Fondul local</w:t>
      </w:r>
    </w:p>
    <w:p w14:paraId="07A20487" w14:textId="77777777" w:rsidR="00A65996" w:rsidRDefault="00A65996" w:rsidP="003C1BAF">
      <w:pPr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bookmarkStart w:id="3" w:name="_Hlk83192014"/>
      <w:bookmarkEnd w:id="2"/>
    </w:p>
    <w:p w14:paraId="32DFA5F6" w14:textId="77777777" w:rsidR="00A65996" w:rsidRDefault="00A65996" w:rsidP="00A65996">
      <w:pPr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Ținând cont de Hotărârea Guvernului </w:t>
      </w:r>
      <w:r w:rsidRPr="00C764DE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nr. 1.116 din 16 noiembrie 2023 </w:t>
      </w:r>
      <w:r w:rsidRPr="00C764DE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 modificarea și completarea </w:t>
      </w:r>
      <w:hyperlink r:id="rId7" w:history="1">
        <w:r w:rsidRPr="00C764DE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Hotărârii Guvernului nr. 907/2016</w:t>
        </w:r>
      </w:hyperlink>
      <w:r w:rsidRPr="00C764DE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privind etapele de elaborare și conținutul-cadru al documentațiilor </w:t>
      </w:r>
      <w:proofErr w:type="spellStart"/>
      <w:r w:rsidRPr="00C764DE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tehnico</w:t>
      </w:r>
      <w:proofErr w:type="spellEnd"/>
      <w:r w:rsidRPr="00C764DE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-economice aferente obiectivelor/proiectelor de investiții finanțate din fonduri publice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;</w:t>
      </w:r>
    </w:p>
    <w:p w14:paraId="1A89DC92" w14:textId="77777777" w:rsidR="00A65996" w:rsidRDefault="00A65996" w:rsidP="00A65996">
      <w:pPr>
        <w:spacing w:before="100" w:beforeAutospacing="1"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5844451" w14:textId="310CDFDD" w:rsidR="00A65996" w:rsidRPr="00A65996" w:rsidRDefault="00A65996" w:rsidP="00A65996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996">
        <w:rPr>
          <w:rFonts w:ascii="Times New Roman" w:eastAsia="Calibri" w:hAnsi="Times New Roman" w:cs="Times New Roman"/>
          <w:sz w:val="24"/>
          <w:szCs w:val="24"/>
        </w:rPr>
        <w:t xml:space="preserve">În data de 26.03.2024 s-a semnat contractul de lucrări nr. 17125 între Comuna Mihai Viteazu și </w:t>
      </w:r>
      <w:r w:rsidRPr="00A65996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S</w:t>
      </w:r>
      <w:r w:rsidRPr="00A65996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.C. SANPET SERV S.R.L.</w:t>
      </w:r>
      <w:r w:rsidRPr="00A6599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A65996">
        <w:rPr>
          <w:rFonts w:ascii="Times New Roman" w:eastAsia="Calibri" w:hAnsi="Times New Roman" w:cs="Times New Roman"/>
          <w:sz w:val="24"/>
          <w:szCs w:val="24"/>
        </w:rPr>
        <w:t xml:space="preserve">privind execuția lucrărilor în cadrul proiectului  </w:t>
      </w:r>
      <w:r w:rsidRPr="00A659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„</w:t>
      </w:r>
      <w:r w:rsidRPr="00A659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Reabilitarea moderată a școlii gimnaziale Mihai Vodă din localitatea Mihai Viteazu, str. Transilvaniei, nr. 141, comuna Mihai Viteazu, județul Cluj”, </w:t>
      </w:r>
      <w:r w:rsidRPr="00A65996">
        <w:rPr>
          <w:rFonts w:ascii="Times New Roman" w:eastAsia="Calibri" w:hAnsi="Times New Roman" w:cs="Times New Roman"/>
          <w:sz w:val="24"/>
          <w:szCs w:val="24"/>
        </w:rPr>
        <w:t xml:space="preserve">la valoarea de </w:t>
      </w:r>
      <w:r w:rsidRPr="00A65996">
        <w:rPr>
          <w:rFonts w:ascii="Times New Roman" w:eastAsia="Calibri" w:hAnsi="Times New Roman" w:cs="Times New Roman"/>
          <w:b/>
          <w:bCs/>
          <w:sz w:val="24"/>
          <w:szCs w:val="24"/>
        </w:rPr>
        <w:t>2.622.942,96</w:t>
      </w:r>
      <w:r w:rsidRPr="00A65996">
        <w:rPr>
          <w:rFonts w:ascii="Times New Roman" w:eastAsia="Calibri" w:hAnsi="Times New Roman" w:cs="Times New Roman"/>
          <w:sz w:val="24"/>
          <w:szCs w:val="24"/>
        </w:rPr>
        <w:t xml:space="preserve"> lei fără TVA, la care se adaugă TVA în valoare de </w:t>
      </w:r>
      <w:r w:rsidRPr="00A65996">
        <w:rPr>
          <w:rFonts w:ascii="Times New Roman" w:eastAsia="Calibri" w:hAnsi="Times New Roman" w:cs="Times New Roman"/>
          <w:b/>
          <w:bCs/>
          <w:sz w:val="24"/>
          <w:szCs w:val="24"/>
        </w:rPr>
        <w:t>498.359,16</w:t>
      </w:r>
      <w:r w:rsidRPr="00A65996">
        <w:rPr>
          <w:rFonts w:ascii="Times New Roman" w:eastAsia="Calibri" w:hAnsi="Times New Roman" w:cs="Times New Roman"/>
          <w:sz w:val="24"/>
          <w:szCs w:val="24"/>
        </w:rPr>
        <w:t xml:space="preserve"> lei TVA, respectiv </w:t>
      </w:r>
      <w:r w:rsidRPr="00A65996">
        <w:rPr>
          <w:rFonts w:ascii="Times New Roman" w:eastAsia="Calibri" w:hAnsi="Times New Roman" w:cs="Times New Roman"/>
          <w:b/>
          <w:iCs/>
          <w:sz w:val="24"/>
          <w:szCs w:val="24"/>
        </w:rPr>
        <w:t>3.121.302,12</w:t>
      </w:r>
      <w:r w:rsidRPr="00A659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65996">
        <w:rPr>
          <w:rFonts w:ascii="Times New Roman" w:eastAsia="Calibri" w:hAnsi="Times New Roman" w:cs="Times New Roman"/>
          <w:sz w:val="24"/>
          <w:szCs w:val="24"/>
        </w:rPr>
        <w:t xml:space="preserve">lei cu TVA inclus. </w:t>
      </w:r>
    </w:p>
    <w:p w14:paraId="30900FE2" w14:textId="77777777" w:rsidR="00A65996" w:rsidRPr="003A3EFF" w:rsidRDefault="00A65996" w:rsidP="00A6599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Urmare a unor modificări survenite pe parcursul execuției lucrărilor consemnate în Notele de constatare, au fost emise dispozițiile de șantier numărul 1 din 2024 și numărul 2 din 2024.</w:t>
      </w:r>
    </w:p>
    <w:p w14:paraId="21BE1849" w14:textId="77777777" w:rsidR="00A65996" w:rsidRPr="003A3EFF" w:rsidRDefault="00A65996" w:rsidP="00A65996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sz w:val="24"/>
          <w:szCs w:val="24"/>
        </w:rPr>
        <w:t xml:space="preserve">În vederea modificării contractului de lucrări </w:t>
      </w:r>
      <w:r w:rsidRPr="003A3EFF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S.C. SANPET SERV S.R.L.</w:t>
      </w:r>
      <w:r w:rsidRPr="003A3EF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 xml:space="preserve">a înaintat beneficiarului NR-ul și NCS-urile întocmite în baza Dispozițiilor de Șantier numărul 1 și 2 îmbrăcate în prețuri, valoarea netă a modificărilor fiind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210.831,71</w:t>
      </w:r>
      <w:r w:rsidRPr="003A3EFF">
        <w:rPr>
          <w:rFonts w:ascii="Times New Roman" w:hAnsi="Times New Roman" w:cs="Times New Roman"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b/>
          <w:sz w:val="24"/>
          <w:szCs w:val="24"/>
        </w:rPr>
        <w:t>lei fără TVA (</w:t>
      </w:r>
      <w:r w:rsidRPr="003A3EFF">
        <w:rPr>
          <w:rFonts w:ascii="Times New Roman" w:hAnsi="Times New Roman" w:cs="Times New Roman"/>
          <w:sz w:val="24"/>
          <w:szCs w:val="24"/>
        </w:rPr>
        <w:t>valoarea NR-urilor fiind de 100.114,15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>lei fără TVA, iar cea a NCS-urilor de 310.945,86 lei fără TVA)</w:t>
      </w:r>
      <w:r w:rsidRPr="003A3E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reprezentând </w:t>
      </w:r>
      <w:r w:rsidRPr="003A3EFF">
        <w:rPr>
          <w:rFonts w:ascii="Times New Roman" w:hAnsi="Times New Roman" w:cs="Times New Roman"/>
          <w:b/>
          <w:sz w:val="24"/>
          <w:szCs w:val="24"/>
        </w:rPr>
        <w:t>8,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A3EF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3EFF">
        <w:rPr>
          <w:rFonts w:ascii="Times New Roman" w:hAnsi="Times New Roman" w:cs="Times New Roman"/>
          <w:b/>
          <w:sz w:val="24"/>
          <w:szCs w:val="24"/>
        </w:rPr>
        <w:t>%</w:t>
      </w: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din valoarea inițială a contractului. </w:t>
      </w:r>
    </w:p>
    <w:p w14:paraId="14B6716D" w14:textId="77777777" w:rsidR="00A65996" w:rsidRPr="003A3EFF" w:rsidRDefault="00A65996" w:rsidP="00A659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Dispoziția de șantier nr. 1: Valoare NCS: 76.266,07 lei fără TVA</w:t>
      </w:r>
    </w:p>
    <w:p w14:paraId="362A3253" w14:textId="77777777" w:rsidR="00A65996" w:rsidRPr="003A3EFF" w:rsidRDefault="00A65996" w:rsidP="00A659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Valoare NR: 0</w:t>
      </w:r>
    </w:p>
    <w:p w14:paraId="0BD957D2" w14:textId="77777777" w:rsidR="00A65996" w:rsidRPr="003A3EFF" w:rsidRDefault="00A65996" w:rsidP="00A659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>Dispoziția de șantier nr. 2: Valoare NCS: 234.679,79 lei fără TVA</w:t>
      </w:r>
    </w:p>
    <w:p w14:paraId="4946A066" w14:textId="35DF92E0" w:rsidR="00A65996" w:rsidRDefault="00A65996" w:rsidP="00A659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E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Valoare NR: 100.114,15 lei fără TVA</w:t>
      </w:r>
    </w:p>
    <w:p w14:paraId="4681BAFA" w14:textId="77777777" w:rsidR="00A65996" w:rsidRDefault="00A65996" w:rsidP="00A6599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5259B" w14:textId="6BBC8739" w:rsidR="00A65996" w:rsidRDefault="00A65996" w:rsidP="00A65996">
      <w:pPr>
        <w:keepNext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3EFF">
        <w:rPr>
          <w:rFonts w:ascii="Times New Roman" w:hAnsi="Times New Roman" w:cs="Times New Roman"/>
          <w:sz w:val="24"/>
          <w:szCs w:val="24"/>
        </w:rPr>
        <w:t xml:space="preserve">Prețul contractului </w:t>
      </w:r>
      <w:r w:rsidR="00EF5065">
        <w:rPr>
          <w:rFonts w:ascii="Times New Roman" w:hAnsi="Times New Roman" w:cs="Times New Roman"/>
          <w:sz w:val="24"/>
          <w:szCs w:val="24"/>
        </w:rPr>
        <w:t xml:space="preserve">de lucrări </w:t>
      </w:r>
      <w:r w:rsidRPr="003A3EFF">
        <w:rPr>
          <w:rFonts w:ascii="Times New Roman" w:hAnsi="Times New Roman" w:cs="Times New Roman"/>
          <w:sz w:val="24"/>
          <w:szCs w:val="24"/>
        </w:rPr>
        <w:t xml:space="preserve">se modifică, de la valoarea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2.622.942,96</w:t>
      </w:r>
      <w:r w:rsidRPr="003A3EFF">
        <w:rPr>
          <w:rFonts w:ascii="Times New Roman" w:hAnsi="Times New Roman" w:cs="Times New Roman"/>
          <w:sz w:val="24"/>
          <w:szCs w:val="24"/>
        </w:rPr>
        <w:t xml:space="preserve"> lei fără TVA, la care se adaugă TVA în valoare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498.359,16</w:t>
      </w:r>
      <w:r w:rsidRPr="003A3EFF">
        <w:rPr>
          <w:rFonts w:ascii="Times New Roman" w:hAnsi="Times New Roman" w:cs="Times New Roman"/>
          <w:sz w:val="24"/>
          <w:szCs w:val="24"/>
        </w:rPr>
        <w:t xml:space="preserve"> lei TVA, respectiv </w:t>
      </w:r>
      <w:r w:rsidRPr="003A3EFF">
        <w:rPr>
          <w:rFonts w:ascii="Times New Roman" w:hAnsi="Times New Roman" w:cs="Times New Roman"/>
          <w:b/>
          <w:iCs/>
          <w:sz w:val="24"/>
          <w:szCs w:val="24"/>
        </w:rPr>
        <w:t>3.121.302,12</w:t>
      </w:r>
      <w:r w:rsidRPr="003A3E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3EFF">
        <w:rPr>
          <w:rFonts w:ascii="Times New Roman" w:hAnsi="Times New Roman" w:cs="Times New Roman"/>
          <w:sz w:val="24"/>
          <w:szCs w:val="24"/>
        </w:rPr>
        <w:t xml:space="preserve">lei cu TVA inclus, </w:t>
      </w:r>
      <w:r w:rsidRPr="00561B3B">
        <w:rPr>
          <w:rFonts w:ascii="Times New Roman" w:hAnsi="Times New Roman" w:cs="Times New Roman"/>
          <w:b/>
          <w:bCs/>
          <w:sz w:val="24"/>
          <w:szCs w:val="24"/>
        </w:rPr>
        <w:t>la valoarea de 2.833.774,67 lei fără TVA</w:t>
      </w:r>
      <w:r w:rsidRPr="003A3E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 care se adaugă TVA 538.417,18 lei, rezultând o valoare de </w:t>
      </w:r>
      <w:r w:rsidRPr="003A3EFF">
        <w:rPr>
          <w:rFonts w:ascii="Times New Roman" w:hAnsi="Times New Roman" w:cs="Times New Roman"/>
          <w:b/>
          <w:bCs/>
          <w:sz w:val="24"/>
          <w:szCs w:val="24"/>
        </w:rPr>
        <w:t>3.372.191,85 lei inclusiv TVA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D5E3E8" w14:textId="793AE459" w:rsidR="00A65996" w:rsidRPr="00A65996" w:rsidRDefault="00A65996" w:rsidP="00A65996">
      <w:pPr>
        <w:jc w:val="both"/>
        <w:rPr>
          <w:rFonts w:ascii="Times New Roman" w:hAnsi="Times New Roman" w:cs="Times New Roman"/>
          <w:sz w:val="24"/>
          <w:szCs w:val="24"/>
        </w:rPr>
      </w:pPr>
      <w:r w:rsidRPr="00F45825">
        <w:rPr>
          <w:rFonts w:ascii="Times New Roman" w:hAnsi="Times New Roman" w:cs="Times New Roman"/>
          <w:sz w:val="24"/>
          <w:szCs w:val="24"/>
        </w:rPr>
        <w:t>Astfel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825">
        <w:rPr>
          <w:rFonts w:ascii="Times New Roman" w:hAnsi="Times New Roman" w:cs="Times New Roman"/>
          <w:sz w:val="24"/>
          <w:szCs w:val="24"/>
        </w:rPr>
        <w:t xml:space="preserve"> rezultă indicatorii </w:t>
      </w:r>
      <w:proofErr w:type="spellStart"/>
      <w:r w:rsidRPr="00F45825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F45825">
        <w:rPr>
          <w:rFonts w:ascii="Times New Roman" w:hAnsi="Times New Roman" w:cs="Times New Roman"/>
          <w:sz w:val="24"/>
          <w:szCs w:val="24"/>
        </w:rPr>
        <w:t>economici și principalele activități</w:t>
      </w:r>
      <w:r>
        <w:rPr>
          <w:rFonts w:ascii="Times New Roman" w:hAnsi="Times New Roman" w:cs="Times New Roman"/>
          <w:sz w:val="24"/>
          <w:szCs w:val="24"/>
        </w:rPr>
        <w:t xml:space="preserve">, precum </w:t>
      </w:r>
      <w:r w:rsidRPr="00F45825">
        <w:rPr>
          <w:rFonts w:ascii="Times New Roman" w:hAnsi="Times New Roman" w:cs="Times New Roman"/>
          <w:sz w:val="24"/>
          <w:szCs w:val="24"/>
        </w:rPr>
        <w:t xml:space="preserve">și capitolele de cheltuieli cuprinse în Devizul general al obiectivului mai sus menționat, conform Anexei nr.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5825">
        <w:rPr>
          <w:rFonts w:ascii="Times New Roman" w:hAnsi="Times New Roman" w:cs="Times New Roman"/>
          <w:sz w:val="24"/>
          <w:szCs w:val="24"/>
        </w:rPr>
        <w:t>, care fac parte integrantă din proiectul de hotărâre al Comunei Mihai Viteazu.</w:t>
      </w:r>
    </w:p>
    <w:p w14:paraId="33CAAD62" w14:textId="1CFBF3C6" w:rsidR="003C1BAF" w:rsidRPr="00C100D9" w:rsidRDefault="003C1BAF" w:rsidP="00A65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0D9">
        <w:rPr>
          <w:rFonts w:ascii="Times New Roman" w:hAnsi="Times New Roman" w:cs="Times New Roman"/>
          <w:sz w:val="24"/>
          <w:szCs w:val="24"/>
        </w:rPr>
        <w:t>Valoarea totală a obiectivului de investiții, conform devizului general</w:t>
      </w:r>
      <w:r>
        <w:rPr>
          <w:rFonts w:ascii="Times New Roman" w:hAnsi="Times New Roman" w:cs="Times New Roman"/>
          <w:sz w:val="24"/>
          <w:szCs w:val="24"/>
        </w:rPr>
        <w:t xml:space="preserve"> actualizat, după </w:t>
      </w:r>
      <w:r w:rsidR="00A65996">
        <w:rPr>
          <w:rFonts w:ascii="Times New Roman" w:hAnsi="Times New Roman" w:cs="Times New Roman"/>
          <w:sz w:val="24"/>
          <w:szCs w:val="24"/>
        </w:rPr>
        <w:t xml:space="preserve">emiterea Dispozițiilor de șantier, </w:t>
      </w:r>
      <w:r>
        <w:rPr>
          <w:rFonts w:ascii="Times New Roman" w:hAnsi="Times New Roman" w:cs="Times New Roman"/>
          <w:sz w:val="24"/>
          <w:szCs w:val="24"/>
        </w:rPr>
        <w:t>este</w:t>
      </w:r>
      <w:r w:rsidRPr="00C100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0"/>
        <w:gridCol w:w="4050"/>
      </w:tblGrid>
      <w:tr w:rsidR="003C1BAF" w:rsidRPr="00C100D9" w14:paraId="1B909EE3" w14:textId="77777777" w:rsidTr="00C413D1">
        <w:trPr>
          <w:jc w:val="center"/>
        </w:trPr>
        <w:tc>
          <w:tcPr>
            <w:tcW w:w="4410" w:type="dxa"/>
            <w:shd w:val="clear" w:color="auto" w:fill="auto"/>
          </w:tcPr>
          <w:p w14:paraId="016A57F4" w14:textId="77777777" w:rsidR="003C1BAF" w:rsidRPr="00C100D9" w:rsidRDefault="003C1BAF" w:rsidP="00C413D1">
            <w:pPr>
              <w:pStyle w:val="TableContents"/>
              <w:rPr>
                <w:b/>
                <w:lang w:val="ro-RO"/>
              </w:rPr>
            </w:pPr>
            <w:r w:rsidRPr="00C100D9">
              <w:t xml:space="preserve"> </w:t>
            </w:r>
            <w:r w:rsidRPr="00C100D9">
              <w:rPr>
                <w:b/>
                <w:lang w:val="ro-RO"/>
              </w:rPr>
              <w:t xml:space="preserve">Cheltuieli totale,  </w:t>
            </w:r>
          </w:p>
          <w:p w14:paraId="67BCECD3" w14:textId="77777777" w:rsidR="003C1BAF" w:rsidRPr="00C100D9" w:rsidRDefault="003C1BAF" w:rsidP="00C413D1">
            <w:pPr>
              <w:pStyle w:val="TableContents"/>
              <w:rPr>
                <w:b/>
              </w:rPr>
            </w:pPr>
            <w:r w:rsidRPr="00C100D9">
              <w:rPr>
                <w:b/>
                <w:lang w:val="ro-RO"/>
              </w:rPr>
              <w:t>din care:</w:t>
            </w:r>
          </w:p>
        </w:tc>
        <w:tc>
          <w:tcPr>
            <w:tcW w:w="4050" w:type="dxa"/>
            <w:shd w:val="clear" w:color="auto" w:fill="auto"/>
          </w:tcPr>
          <w:p w14:paraId="55D65BE7" w14:textId="54A1EB9D" w:rsidR="003C1BAF" w:rsidRPr="00C100D9" w:rsidRDefault="003C1BAF" w:rsidP="00C413D1">
            <w:pPr>
              <w:pStyle w:val="TableContents"/>
              <w:jc w:val="center"/>
              <w:rPr>
                <w:b/>
                <w:lang w:val="it-IT"/>
              </w:rPr>
            </w:pPr>
            <w:r w:rsidRPr="00EF5065">
              <w:rPr>
                <w:b/>
                <w:lang w:val="ro-RO"/>
              </w:rPr>
              <w:t>3.</w:t>
            </w:r>
            <w:r w:rsidR="00EF5065">
              <w:rPr>
                <w:b/>
                <w:lang w:val="ro-RO"/>
              </w:rPr>
              <w:t>359.264,98</w:t>
            </w:r>
            <w:r w:rsidRPr="000B2CAB">
              <w:rPr>
                <w:b/>
                <w:lang w:val="ro-RO"/>
              </w:rPr>
              <w:t xml:space="preserve"> </w:t>
            </w:r>
            <w:r w:rsidRPr="00C100D9">
              <w:rPr>
                <w:b/>
                <w:lang w:val="ro-RO"/>
              </w:rPr>
              <w:t xml:space="preserve">lei </w:t>
            </w:r>
            <w:r>
              <w:rPr>
                <w:b/>
                <w:lang w:val="ro-RO"/>
              </w:rPr>
              <w:t xml:space="preserve">la care se adaugă </w:t>
            </w:r>
            <w:r w:rsidRPr="00C100D9">
              <w:rPr>
                <w:b/>
                <w:lang w:val="ro-RO"/>
              </w:rPr>
              <w:t>TVA</w:t>
            </w:r>
          </w:p>
        </w:tc>
      </w:tr>
      <w:tr w:rsidR="003C1BAF" w:rsidRPr="00C100D9" w14:paraId="192A4EAF" w14:textId="77777777" w:rsidTr="00C413D1">
        <w:trPr>
          <w:trHeight w:val="390"/>
          <w:jc w:val="center"/>
        </w:trPr>
        <w:tc>
          <w:tcPr>
            <w:tcW w:w="4410" w:type="dxa"/>
            <w:shd w:val="clear" w:color="auto" w:fill="auto"/>
          </w:tcPr>
          <w:p w14:paraId="162C2882" w14:textId="77777777" w:rsidR="003C1BAF" w:rsidRPr="00C100D9" w:rsidRDefault="003C1BAF" w:rsidP="00C413D1">
            <w:pPr>
              <w:pStyle w:val="TableContents"/>
              <w:rPr>
                <w:lang w:val="it-IT"/>
              </w:rPr>
            </w:pPr>
            <w:r>
              <w:rPr>
                <w:lang w:val="ro-RO"/>
              </w:rPr>
              <w:lastRenderedPageBreak/>
              <w:t xml:space="preserve">Cheltuieli eligibile </w:t>
            </w:r>
            <w:proofErr w:type="spellStart"/>
            <w:r w:rsidRPr="00793883">
              <w:t>nerambursabile</w:t>
            </w:r>
            <w:proofErr w:type="spellEnd"/>
            <w:r w:rsidRPr="00793883">
              <w:t xml:space="preserve"> din </w:t>
            </w:r>
            <w:r>
              <w:t>PNRR</w:t>
            </w:r>
            <w:r w:rsidRPr="00793883">
              <w:t xml:space="preserve"> </w:t>
            </w:r>
            <w:r>
              <w:t>C</w:t>
            </w:r>
            <w:r w:rsidRPr="00793883">
              <w:t>omponenta C10</w:t>
            </w:r>
          </w:p>
        </w:tc>
        <w:tc>
          <w:tcPr>
            <w:tcW w:w="4050" w:type="dxa"/>
            <w:shd w:val="clear" w:color="auto" w:fill="auto"/>
          </w:tcPr>
          <w:p w14:paraId="371AC5FD" w14:textId="3FBB363E" w:rsidR="003C1BAF" w:rsidRPr="00C100D9" w:rsidRDefault="00EF5065" w:rsidP="00C413D1">
            <w:pPr>
              <w:pStyle w:val="TableContents"/>
              <w:jc w:val="center"/>
              <w:rPr>
                <w:lang w:val="it-IT"/>
              </w:rPr>
            </w:pPr>
            <w:r>
              <w:t>1.594.862,89</w:t>
            </w:r>
            <w:r w:rsidR="003C1BAF">
              <w:t xml:space="preserve"> </w:t>
            </w:r>
            <w:r w:rsidR="003C1BAF" w:rsidRPr="00C100D9">
              <w:rPr>
                <w:lang w:val="ro-RO"/>
              </w:rPr>
              <w:t xml:space="preserve">lei </w:t>
            </w:r>
            <w:r w:rsidR="003C1BAF">
              <w:rPr>
                <w:lang w:val="ro-RO"/>
              </w:rPr>
              <w:t>la care se adaugă</w:t>
            </w:r>
            <w:r w:rsidR="003C1BAF" w:rsidRPr="00C100D9">
              <w:rPr>
                <w:lang w:val="ro-RO"/>
              </w:rPr>
              <w:t xml:space="preserve"> TVA</w:t>
            </w:r>
          </w:p>
        </w:tc>
      </w:tr>
      <w:tr w:rsidR="003C1BAF" w:rsidRPr="00C100D9" w14:paraId="355182ED" w14:textId="77777777" w:rsidTr="00C413D1">
        <w:trPr>
          <w:trHeight w:val="441"/>
          <w:jc w:val="center"/>
        </w:trPr>
        <w:tc>
          <w:tcPr>
            <w:tcW w:w="4410" w:type="dxa"/>
            <w:shd w:val="clear" w:color="auto" w:fill="auto"/>
          </w:tcPr>
          <w:p w14:paraId="071945E7" w14:textId="77777777" w:rsidR="003C1BAF" w:rsidRPr="00C100D9" w:rsidRDefault="003C1BAF" w:rsidP="00C413D1">
            <w:pPr>
              <w:pStyle w:val="TableContents"/>
              <w:rPr>
                <w:lang w:val="it-IT"/>
              </w:rPr>
            </w:pPr>
            <w:proofErr w:type="spellStart"/>
            <w:r>
              <w:t>C</w:t>
            </w:r>
            <w:r w:rsidRPr="0017681D">
              <w:t>heltuie</w:t>
            </w:r>
            <w:r>
              <w:t>li</w:t>
            </w:r>
            <w:proofErr w:type="spellEnd"/>
            <w:r>
              <w:t xml:space="preserve"> </w:t>
            </w:r>
            <w:proofErr w:type="spellStart"/>
            <w:r>
              <w:t>neeligibile</w:t>
            </w:r>
            <w:proofErr w:type="spellEnd"/>
            <w:r>
              <w:t xml:space="preserve"> </w:t>
            </w:r>
            <w:proofErr w:type="spellStart"/>
            <w:r>
              <w:t>suportate</w:t>
            </w:r>
            <w:proofErr w:type="spellEnd"/>
            <w:r>
              <w:t xml:space="preserve"> de la </w:t>
            </w:r>
            <w:proofErr w:type="spellStart"/>
            <w:r>
              <w:t>b</w:t>
            </w:r>
            <w:r w:rsidRPr="0017681D">
              <w:t>ugetul</w:t>
            </w:r>
            <w:proofErr w:type="spellEnd"/>
            <w:r w:rsidRPr="0017681D">
              <w:t xml:space="preserve"> local</w:t>
            </w:r>
          </w:p>
        </w:tc>
        <w:tc>
          <w:tcPr>
            <w:tcW w:w="4050" w:type="dxa"/>
            <w:shd w:val="clear" w:color="auto" w:fill="auto"/>
          </w:tcPr>
          <w:p w14:paraId="6F9B567A" w14:textId="218A8813" w:rsidR="003C1BAF" w:rsidRPr="00C100D9" w:rsidRDefault="00EF5065" w:rsidP="00C413D1">
            <w:pPr>
              <w:pStyle w:val="TableContents"/>
              <w:jc w:val="center"/>
              <w:rPr>
                <w:lang w:val="it-IT"/>
              </w:rPr>
            </w:pPr>
            <w:r>
              <w:t>1.764.402,09</w:t>
            </w:r>
            <w:r w:rsidR="003C1BAF">
              <w:t xml:space="preserve"> </w:t>
            </w:r>
            <w:r w:rsidR="003C1BAF" w:rsidRPr="00C100D9">
              <w:rPr>
                <w:lang w:val="ro-RO"/>
              </w:rPr>
              <w:t xml:space="preserve">lei </w:t>
            </w:r>
            <w:r w:rsidR="003C1BAF">
              <w:rPr>
                <w:lang w:val="ro-RO"/>
              </w:rPr>
              <w:t>la care se adaugă</w:t>
            </w:r>
            <w:r w:rsidR="003C1BAF" w:rsidRPr="00C100D9">
              <w:rPr>
                <w:lang w:val="ro-RO"/>
              </w:rPr>
              <w:t xml:space="preserve"> TVA</w:t>
            </w:r>
          </w:p>
        </w:tc>
      </w:tr>
    </w:tbl>
    <w:p w14:paraId="13189AA3" w14:textId="77777777" w:rsidR="003C1BAF" w:rsidRDefault="003C1BAF" w:rsidP="003C1BAF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E3CDF41" w14:textId="77777777" w:rsidR="00923F8D" w:rsidRDefault="00923F8D" w:rsidP="00923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1E867" w14:textId="5A930BE7" w:rsidR="003C1BAF" w:rsidRPr="00496593" w:rsidRDefault="003C1BAF" w:rsidP="003C1BA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75CB">
        <w:rPr>
          <w:rFonts w:ascii="Times New Roman" w:hAnsi="Times New Roman" w:cs="Times New Roman"/>
          <w:sz w:val="24"/>
          <w:szCs w:val="24"/>
          <w:lang w:val="it-IT"/>
        </w:rPr>
        <w:t xml:space="preserve"> Având în vedere specificațiile de mai sus, supunem spre aprobare Consiliului Local al Comunei Mihai Viteazu proiectul de hotărâre privind </w:t>
      </w:r>
      <w:bookmarkStart w:id="4" w:name="_Hlk150157324"/>
      <w:r w:rsidRPr="005275CB">
        <w:rPr>
          <w:rFonts w:ascii="Times New Roman" w:hAnsi="Times New Roman" w:cs="Times New Roman"/>
          <w:sz w:val="24"/>
          <w:szCs w:val="24"/>
        </w:rPr>
        <w:t xml:space="preserve">aprobarea devizului general actualizat  pentru obiectivul de investiții </w:t>
      </w:r>
      <w:r w:rsidRPr="005275CB">
        <w:rPr>
          <w:rFonts w:ascii="Times New Roman" w:hAnsi="Times New Roman" w:cs="Times New Roman"/>
          <w:b/>
          <w:sz w:val="24"/>
          <w:szCs w:val="24"/>
        </w:rPr>
        <w:t>“Reabilitarea moderată a Școlii Gimnaziale Mihai Vodă din localitatea Mihai Viteazu, str. Transilvaniei, nr. 141, comuna Mihai Viteazu, județul Cluj”</w:t>
      </w:r>
      <w:bookmarkStart w:id="5" w:name="_Hlk124926928"/>
      <w:bookmarkEnd w:id="4"/>
      <w:r w:rsidR="00EF5065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5"/>
    <w:p w14:paraId="03F946DF" w14:textId="77777777" w:rsidR="00923F8D" w:rsidRDefault="00923F8D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21134696" w14:textId="77777777" w:rsidR="00A65996" w:rsidRDefault="00A65996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1F3D4AD3" w14:textId="77777777" w:rsidR="00A65996" w:rsidRDefault="00A65996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0DB94967" w14:textId="77777777" w:rsidR="00A65996" w:rsidRDefault="00A65996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28F857B2" w14:textId="77777777" w:rsidR="00A65996" w:rsidRDefault="00A65996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392E3E8F" w14:textId="77777777" w:rsidR="00A65996" w:rsidRDefault="00A65996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54DF36DA" w14:textId="77777777" w:rsidR="00A65996" w:rsidRDefault="00A65996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</w:p>
    <w:p w14:paraId="2C5BE7B9" w14:textId="3E22B74F" w:rsidR="00F50E44" w:rsidRPr="00624236" w:rsidRDefault="00F50E44" w:rsidP="00F50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  <w:r w:rsidRPr="00624236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PRIMARUL COMUNEI MIHAI VITEAZU,</w:t>
      </w:r>
    </w:p>
    <w:bookmarkEnd w:id="3"/>
    <w:p w14:paraId="3CA9B13C" w14:textId="5131A248" w:rsidR="008E4002" w:rsidRPr="00F50E44" w:rsidRDefault="00A65996" w:rsidP="00C1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OLARU PAUL-CRISTIAN</w:t>
      </w:r>
    </w:p>
    <w:sectPr w:rsidR="008E4002" w:rsidRPr="00F50E44" w:rsidSect="00771FD4">
      <w:footerReference w:type="default" r:id="rId8"/>
      <w:pgSz w:w="11906" w:h="16838"/>
      <w:pgMar w:top="568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032B" w14:textId="77777777" w:rsidR="00FA5F7C" w:rsidRDefault="00FA5F7C" w:rsidP="008E4002">
      <w:pPr>
        <w:spacing w:after="0" w:line="240" w:lineRule="auto"/>
      </w:pPr>
      <w:r>
        <w:separator/>
      </w:r>
    </w:p>
  </w:endnote>
  <w:endnote w:type="continuationSeparator" w:id="0">
    <w:p w14:paraId="424D6313" w14:textId="77777777" w:rsidR="00FA5F7C" w:rsidRDefault="00FA5F7C" w:rsidP="008E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13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849E2" w14:textId="405271F8" w:rsidR="00DE7F34" w:rsidRDefault="00DE7F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4C3BB" w14:textId="77777777" w:rsidR="00DE7F34" w:rsidRDefault="00DE7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3AE0" w14:textId="77777777" w:rsidR="00FA5F7C" w:rsidRDefault="00FA5F7C" w:rsidP="008E4002">
      <w:pPr>
        <w:spacing w:after="0" w:line="240" w:lineRule="auto"/>
      </w:pPr>
      <w:r>
        <w:separator/>
      </w:r>
    </w:p>
  </w:footnote>
  <w:footnote w:type="continuationSeparator" w:id="0">
    <w:p w14:paraId="4A313B8E" w14:textId="77777777" w:rsidR="00FA5F7C" w:rsidRDefault="00FA5F7C" w:rsidP="008E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9BB"/>
    <w:multiLevelType w:val="hybridMultilevel"/>
    <w:tmpl w:val="2D5688B2"/>
    <w:lvl w:ilvl="0" w:tplc="062E8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D43D9"/>
    <w:multiLevelType w:val="hybridMultilevel"/>
    <w:tmpl w:val="54603760"/>
    <w:lvl w:ilvl="0" w:tplc="613A58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66961"/>
    <w:multiLevelType w:val="hybridMultilevel"/>
    <w:tmpl w:val="0FF8EA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A1645"/>
    <w:multiLevelType w:val="hybridMultilevel"/>
    <w:tmpl w:val="1512A95A"/>
    <w:lvl w:ilvl="0" w:tplc="7FDCB7AC">
      <w:start w:val="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3998139">
    <w:abstractNumId w:val="3"/>
  </w:num>
  <w:num w:numId="2" w16cid:durableId="1565137648">
    <w:abstractNumId w:val="2"/>
  </w:num>
  <w:num w:numId="3" w16cid:durableId="786513055">
    <w:abstractNumId w:val="0"/>
  </w:num>
  <w:num w:numId="4" w16cid:durableId="180449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2"/>
    <w:rsid w:val="000064A9"/>
    <w:rsid w:val="00041019"/>
    <w:rsid w:val="000F017E"/>
    <w:rsid w:val="000F0B7C"/>
    <w:rsid w:val="00113452"/>
    <w:rsid w:val="00142AE1"/>
    <w:rsid w:val="0016153D"/>
    <w:rsid w:val="001715C7"/>
    <w:rsid w:val="00182DFE"/>
    <w:rsid w:val="001D6179"/>
    <w:rsid w:val="00234A8B"/>
    <w:rsid w:val="00263ABF"/>
    <w:rsid w:val="00282444"/>
    <w:rsid w:val="002C1228"/>
    <w:rsid w:val="002F1BF5"/>
    <w:rsid w:val="003064D6"/>
    <w:rsid w:val="00324D82"/>
    <w:rsid w:val="00344C6A"/>
    <w:rsid w:val="00346C39"/>
    <w:rsid w:val="00380F68"/>
    <w:rsid w:val="00385D2A"/>
    <w:rsid w:val="003C1BAF"/>
    <w:rsid w:val="003E6B9C"/>
    <w:rsid w:val="00426BE1"/>
    <w:rsid w:val="0042798E"/>
    <w:rsid w:val="004711AA"/>
    <w:rsid w:val="00477443"/>
    <w:rsid w:val="00477CF8"/>
    <w:rsid w:val="004D753D"/>
    <w:rsid w:val="004F714B"/>
    <w:rsid w:val="005529D8"/>
    <w:rsid w:val="00564ABC"/>
    <w:rsid w:val="005A3406"/>
    <w:rsid w:val="005A755A"/>
    <w:rsid w:val="005B57FD"/>
    <w:rsid w:val="005F6077"/>
    <w:rsid w:val="00606928"/>
    <w:rsid w:val="00611449"/>
    <w:rsid w:val="00661480"/>
    <w:rsid w:val="00685AEB"/>
    <w:rsid w:val="006B2D24"/>
    <w:rsid w:val="006F676D"/>
    <w:rsid w:val="00740DC2"/>
    <w:rsid w:val="00771FD4"/>
    <w:rsid w:val="00775203"/>
    <w:rsid w:val="00777F17"/>
    <w:rsid w:val="00781F84"/>
    <w:rsid w:val="007937DF"/>
    <w:rsid w:val="007C7B16"/>
    <w:rsid w:val="007D390D"/>
    <w:rsid w:val="007E5252"/>
    <w:rsid w:val="00803071"/>
    <w:rsid w:val="0080551D"/>
    <w:rsid w:val="008207CA"/>
    <w:rsid w:val="00835A46"/>
    <w:rsid w:val="008527D6"/>
    <w:rsid w:val="008745E8"/>
    <w:rsid w:val="00881203"/>
    <w:rsid w:val="008C4FC4"/>
    <w:rsid w:val="008E4002"/>
    <w:rsid w:val="008E537F"/>
    <w:rsid w:val="008F2646"/>
    <w:rsid w:val="00902EB5"/>
    <w:rsid w:val="00923F8D"/>
    <w:rsid w:val="00951D52"/>
    <w:rsid w:val="00951EA9"/>
    <w:rsid w:val="00991485"/>
    <w:rsid w:val="00997BDA"/>
    <w:rsid w:val="00A0235C"/>
    <w:rsid w:val="00A17032"/>
    <w:rsid w:val="00A65996"/>
    <w:rsid w:val="00A80ADE"/>
    <w:rsid w:val="00AA7A4D"/>
    <w:rsid w:val="00AB3E3B"/>
    <w:rsid w:val="00AC6859"/>
    <w:rsid w:val="00AD7315"/>
    <w:rsid w:val="00AE2EF0"/>
    <w:rsid w:val="00B178B6"/>
    <w:rsid w:val="00B33CF2"/>
    <w:rsid w:val="00B86811"/>
    <w:rsid w:val="00BB0A6B"/>
    <w:rsid w:val="00BB7A31"/>
    <w:rsid w:val="00BC2691"/>
    <w:rsid w:val="00C100D9"/>
    <w:rsid w:val="00C576B8"/>
    <w:rsid w:val="00C60B45"/>
    <w:rsid w:val="00C805B6"/>
    <w:rsid w:val="00C923A4"/>
    <w:rsid w:val="00CC27AB"/>
    <w:rsid w:val="00CD3B7B"/>
    <w:rsid w:val="00D40DA5"/>
    <w:rsid w:val="00D67E54"/>
    <w:rsid w:val="00D86772"/>
    <w:rsid w:val="00DB479E"/>
    <w:rsid w:val="00DB6B76"/>
    <w:rsid w:val="00DD0E9F"/>
    <w:rsid w:val="00DE7D52"/>
    <w:rsid w:val="00DE7F34"/>
    <w:rsid w:val="00E211A3"/>
    <w:rsid w:val="00E454D1"/>
    <w:rsid w:val="00E70420"/>
    <w:rsid w:val="00ED4EB0"/>
    <w:rsid w:val="00EE195F"/>
    <w:rsid w:val="00EF5065"/>
    <w:rsid w:val="00F50E44"/>
    <w:rsid w:val="00F91DCC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7661"/>
  <w15:chartTrackingRefBased/>
  <w15:docId w15:val="{15B6F937-38D5-47A4-ACE9-BDE9EA9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002"/>
  </w:style>
  <w:style w:type="paragraph" w:styleId="Footer">
    <w:name w:val="footer"/>
    <w:basedOn w:val="Normal"/>
    <w:link w:val="FooterChar"/>
    <w:uiPriority w:val="99"/>
    <w:unhideWhenUsed/>
    <w:rsid w:val="008E4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002"/>
  </w:style>
  <w:style w:type="character" w:styleId="Hyperlink">
    <w:name w:val="Hyperlink"/>
    <w:basedOn w:val="DefaultParagraphFont"/>
    <w:uiPriority w:val="99"/>
    <w:unhideWhenUsed/>
    <w:rsid w:val="008E40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00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676D"/>
    <w:rPr>
      <w:i/>
      <w:iCs/>
    </w:rPr>
  </w:style>
  <w:style w:type="paragraph" w:styleId="BodyText2">
    <w:name w:val="Body Text 2"/>
    <w:basedOn w:val="Normal"/>
    <w:link w:val="BodyText2Char"/>
    <w:rsid w:val="00BB0A6B"/>
    <w:pPr>
      <w:spacing w:after="120" w:line="480" w:lineRule="auto"/>
    </w:pPr>
    <w:rPr>
      <w:rFonts w:ascii="Cambria" w:eastAsia="Times New Roman" w:hAnsi="Cambria" w:cs="Times New Roman"/>
      <w:kern w:val="1"/>
      <w:lang w:eastAsia="zh-CN"/>
    </w:rPr>
  </w:style>
  <w:style w:type="character" w:customStyle="1" w:styleId="BodyText2Char">
    <w:name w:val="Body Text 2 Char"/>
    <w:basedOn w:val="DefaultParagraphFont"/>
    <w:link w:val="BodyText2"/>
    <w:rsid w:val="00BB0A6B"/>
    <w:rPr>
      <w:rFonts w:ascii="Cambria" w:eastAsia="Times New Roman" w:hAnsi="Cambria" w:cs="Times New Roman"/>
      <w:kern w:val="1"/>
      <w:lang w:eastAsia="zh-CN"/>
    </w:rPr>
  </w:style>
  <w:style w:type="paragraph" w:styleId="ListParagraph">
    <w:name w:val="List Paragraph"/>
    <w:aliases w:val="body 2,List Paragraph1,Akapit z listą BS,Outlines a.b.c.,List_Paragraph,Multilevel para_II,Akapit z lista BS,Normal bullet 2,List Paragraph11,List Paragraph111,Antes de enumeración,Listă colorată - Accentuare 11,Bullet,Citation List,lp1"/>
    <w:basedOn w:val="Normal"/>
    <w:link w:val="ListParagraphChar"/>
    <w:uiPriority w:val="34"/>
    <w:qFormat/>
    <w:rsid w:val="00B86811"/>
    <w:pPr>
      <w:ind w:left="720"/>
      <w:contextualSpacing/>
    </w:pPr>
  </w:style>
  <w:style w:type="character" w:customStyle="1" w:styleId="ListParagraphChar">
    <w:name w:val="List Paragraph Char"/>
    <w:aliases w:val="body 2 Char,List Paragraph1 Char,Akapit z listą BS Char,Outlines a.b.c. Char,List_Paragraph Char,Multilevel para_II Char,Akapit z lista BS Char,Normal bullet 2 Char,List Paragraph11 Char,List Paragraph111 Char,Bullet Char,lp1 Char"/>
    <w:link w:val="ListParagraph"/>
    <w:uiPriority w:val="34"/>
    <w:qFormat/>
    <w:locked/>
    <w:rsid w:val="00B86811"/>
  </w:style>
  <w:style w:type="character" w:styleId="Strong">
    <w:name w:val="Strong"/>
    <w:basedOn w:val="DefaultParagraphFont"/>
    <w:uiPriority w:val="22"/>
    <w:qFormat/>
    <w:rsid w:val="00C60B4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10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0D9"/>
  </w:style>
  <w:style w:type="paragraph" w:customStyle="1" w:styleId="TableContents">
    <w:name w:val="Table Contents"/>
    <w:basedOn w:val="Normal"/>
    <w:rsid w:val="00C100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sden">
    <w:name w:val="s_den"/>
    <w:basedOn w:val="DefaultParagraphFont"/>
    <w:rsid w:val="003C1BAF"/>
  </w:style>
  <w:style w:type="character" w:customStyle="1" w:styleId="shdr">
    <w:name w:val="s_hdr"/>
    <w:basedOn w:val="DefaultParagraphFont"/>
    <w:rsid w:val="003C1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186607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te a new document." ma:contentTypeScope="" ma:versionID="25311144b569ff27d3605abae1d947aa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38bb92981fecf0590c9c13060e290a29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6A561FF4-A1F2-4F63-815A-626E5B543BDD}"/>
</file>

<file path=customXml/itemProps2.xml><?xml version="1.0" encoding="utf-8"?>
<ds:datastoreItem xmlns:ds="http://schemas.openxmlformats.org/officeDocument/2006/customXml" ds:itemID="{3AFD29E7-5714-4577-B0F7-4EAAD4316A49}"/>
</file>

<file path=customXml/itemProps3.xml><?xml version="1.0" encoding="utf-8"?>
<ds:datastoreItem xmlns:ds="http://schemas.openxmlformats.org/officeDocument/2006/customXml" ds:itemID="{19E92794-2F3E-4161-9D42-C099C131D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ProiecteUE</dc:creator>
  <cp:keywords/>
  <dc:description/>
  <cp:lastModifiedBy>Proiecte Europene</cp:lastModifiedBy>
  <cp:revision>7</cp:revision>
  <cp:lastPrinted>2025-04-08T07:53:00Z</cp:lastPrinted>
  <dcterms:created xsi:type="dcterms:W3CDTF">2025-04-07T11:02:00Z</dcterms:created>
  <dcterms:modified xsi:type="dcterms:W3CDTF">2025-04-08T08:19:00Z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