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7FCC61">
      <w:pPr>
        <w:ind w:left="-1080"/>
        <w:rPr>
          <w:rFonts w:hint="default" w:ascii="Times New Roman" w:hAnsi="Times New Roman" w:cs="Times New Roman"/>
          <w:sz w:val="24"/>
          <w:szCs w:val="24"/>
        </w:rPr>
      </w:pPr>
      <w:bookmarkStart w:id="0" w:name="_Hlk26953962"/>
      <w:bookmarkStart w:id="1" w:name="bookmark40"/>
      <w:bookmarkStart w:id="2" w:name="bookmark41"/>
      <w:bookmarkStart w:id="3" w:name="bookmark42"/>
      <w:r>
        <w:rPr>
          <w:rFonts w:hint="default" w:ascii="Times New Roman" w:hAnsi="Times New Roman" w:cs="Times New Roman"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-175260</wp:posOffset>
            </wp:positionV>
            <wp:extent cx="800100" cy="1043940"/>
            <wp:effectExtent l="0" t="0" r="7620" b="7620"/>
            <wp:wrapSquare wrapText="bothSides"/>
            <wp:docPr id="1" name="Picture 2" descr="Stema_Oficiala_a_Romaniei_din_20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Stema_Oficiala_a_Romaniei_din_2016"/>
                    <pic:cNvPicPr preferRelativeResize="0"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104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cs="Times New Roman"/>
          <w:sz w:val="24"/>
          <w:szCs w:val="2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5723890</wp:posOffset>
            </wp:positionH>
            <wp:positionV relativeFrom="paragraph">
              <wp:posOffset>-274320</wp:posOffset>
            </wp:positionV>
            <wp:extent cx="685800" cy="1143000"/>
            <wp:effectExtent l="0" t="0" r="0" b="0"/>
            <wp:wrapTight wrapText="bothSides">
              <wp:wrapPolygon>
                <wp:start x="0" y="0"/>
                <wp:lineTo x="0" y="21312"/>
                <wp:lineTo x="21120" y="21312"/>
                <wp:lineTo x="21120" y="0"/>
                <wp:lineTo x="0" y="0"/>
              </wp:wrapPolygon>
            </wp:wrapTight>
            <wp:docPr id="2" name="Picture 3" descr="Balaciu IL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" descr="Balaciu IL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776FD57">
      <w:pPr>
        <w:widowControl w:val="0"/>
        <w:jc w:val="center"/>
        <w:rPr>
          <w:rFonts w:hint="default" w:ascii="Times New Roman" w:hAnsi="Times New Roman" w:cs="Times New Roman"/>
          <w:sz w:val="24"/>
          <w:szCs w:val="24"/>
          <w:lang w:val="pt-BR"/>
        </w:rPr>
      </w:pPr>
      <w:r>
        <w:rPr>
          <w:rFonts w:hint="default" w:ascii="Times New Roman" w:hAnsi="Times New Roman" w:cs="Times New Roman"/>
          <w:sz w:val="24"/>
          <w:szCs w:val="24"/>
          <w:lang w:val="pt-BR"/>
        </w:rPr>
        <w:t>ROMÂNIA</w:t>
      </w:r>
    </w:p>
    <w:p w14:paraId="03E2C720">
      <w:pPr>
        <w:widowControl w:val="0"/>
        <w:jc w:val="center"/>
        <w:rPr>
          <w:rFonts w:hint="default" w:ascii="Times New Roman" w:hAnsi="Times New Roman" w:cs="Times New Roman"/>
          <w:sz w:val="24"/>
          <w:szCs w:val="24"/>
          <w:lang w:val="pt-BR"/>
        </w:rPr>
      </w:pPr>
      <w:r>
        <w:rPr>
          <w:rFonts w:hint="default" w:ascii="Times New Roman" w:hAnsi="Times New Roman" w:cs="Times New Roman"/>
          <w:sz w:val="24"/>
          <w:szCs w:val="24"/>
          <w:lang w:val="pt-BR"/>
        </w:rPr>
        <w:t>JUDETUL IALOMIŢA</w:t>
      </w:r>
    </w:p>
    <w:p w14:paraId="6E87B223">
      <w:pPr>
        <w:widowControl w:val="0"/>
        <w:jc w:val="center"/>
        <w:rPr>
          <w:rFonts w:hint="default" w:ascii="Times New Roman" w:hAnsi="Times New Roman" w:cs="Times New Roman"/>
          <w:sz w:val="24"/>
          <w:szCs w:val="24"/>
          <w:lang w:val="pt-BR"/>
        </w:rPr>
      </w:pPr>
      <w:r>
        <w:rPr>
          <w:rFonts w:hint="default" w:ascii="Times New Roman" w:hAnsi="Times New Roman" w:cs="Times New Roman"/>
          <w:sz w:val="24"/>
          <w:szCs w:val="24"/>
          <w:lang w:val="pt-BR"/>
        </w:rPr>
        <w:t>COMUNA BALACIU</w:t>
      </w:r>
    </w:p>
    <w:p w14:paraId="5F510756">
      <w:pPr>
        <w:widowControl w:val="0"/>
        <w:jc w:val="center"/>
        <w:rPr>
          <w:rFonts w:hint="default" w:ascii="Times New Roman" w:hAnsi="Times New Roman" w:cs="Times New Roman"/>
          <w:sz w:val="24"/>
          <w:szCs w:val="24"/>
          <w:lang w:val="pt-BR"/>
        </w:rPr>
      </w:pPr>
      <w:r>
        <w:rPr>
          <w:rFonts w:hint="default" w:ascii="Times New Roman" w:hAnsi="Times New Roman" w:cs="Times New Roman"/>
          <w:sz w:val="24"/>
          <w:szCs w:val="24"/>
          <w:lang w:val="pt-BR"/>
        </w:rPr>
        <w:t>PRIMAR</w:t>
      </w:r>
    </w:p>
    <w:tbl>
      <w:tblPr>
        <w:tblStyle w:val="3"/>
        <w:tblW w:w="0" w:type="auto"/>
        <w:tblInd w:w="159" w:type="dxa"/>
        <w:tblBorders>
          <w:top w:val="thinThickSmallGap" w:color="auto" w:sz="24" w:space="0"/>
          <w:left w:val="thinThickSmallGap" w:color="auto" w:sz="24" w:space="0"/>
          <w:bottom w:val="thinThickSmallGap" w:color="auto" w:sz="24" w:space="0"/>
          <w:right w:val="thinThickSmallGap" w:color="auto" w:sz="24" w:space="0"/>
          <w:insideH w:val="thinThickSmallGap" w:color="auto" w:sz="24" w:space="0"/>
          <w:insideV w:val="thinThickSmallGap" w:color="auto" w:sz="2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49"/>
      </w:tblGrid>
      <w:tr w14:paraId="7B2DA7D6">
        <w:tblPrEx>
          <w:tblBorders>
            <w:top w:val="thinThickSmallGap" w:color="auto" w:sz="24" w:space="0"/>
            <w:left w:val="thinThickSmallGap" w:color="auto" w:sz="24" w:space="0"/>
            <w:bottom w:val="thinThickSmallGap" w:color="auto" w:sz="24" w:space="0"/>
            <w:right w:val="thinThickSmallGap" w:color="auto" w:sz="24" w:space="0"/>
            <w:insideH w:val="thinThickSmallGap" w:color="auto" w:sz="24" w:space="0"/>
            <w:insideV w:val="thinThickSmallGap" w:color="auto" w:sz="2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" w:hRule="atLeast"/>
        </w:trPr>
        <w:tc>
          <w:tcPr>
            <w:tcW w:w="9849" w:type="dxa"/>
            <w:tcBorders>
              <w:top w:val="thinThickSmallGap" w:color="auto" w:sz="12" w:space="0"/>
              <w:left w:val="nil"/>
              <w:bottom w:val="thinThickSmallGap" w:color="auto" w:sz="12" w:space="0"/>
              <w:right w:val="nil"/>
            </w:tcBorders>
            <w:noWrap w:val="0"/>
            <w:vAlign w:val="top"/>
          </w:tcPr>
          <w:p w14:paraId="610C9B28">
            <w:pPr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o-RO"/>
              </w:rPr>
              <w:t xml:space="preserve">COMUNA BALACIU, JUD. IALOMIŢA , str. Calea Bucureşti, nr.22  , cod postal 927040, </w:t>
            </w:r>
          </w:p>
          <w:p w14:paraId="3CA6D54E">
            <w:pPr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o-RO"/>
              </w:rPr>
              <w:t>Tel./Fax: 0243-261244 / 261058, e-mail: primaria@balaciu.ro</w:t>
            </w:r>
          </w:p>
        </w:tc>
      </w:tr>
      <w:tr w14:paraId="4AB37DE8">
        <w:tblPrEx>
          <w:tblBorders>
            <w:top w:val="thinThickSmallGap" w:color="auto" w:sz="24" w:space="0"/>
            <w:left w:val="thinThickSmallGap" w:color="auto" w:sz="24" w:space="0"/>
            <w:bottom w:val="thinThickSmallGap" w:color="auto" w:sz="24" w:space="0"/>
            <w:right w:val="thinThickSmallGap" w:color="auto" w:sz="24" w:space="0"/>
            <w:insideH w:val="thinThickSmallGap" w:color="auto" w:sz="24" w:space="0"/>
            <w:insideV w:val="thinThickSmallGap" w:color="auto" w:sz="2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" w:hRule="atLeast"/>
        </w:trPr>
        <w:tc>
          <w:tcPr>
            <w:tcW w:w="9849" w:type="dxa"/>
            <w:tcBorders>
              <w:top w:val="thinThickSmallGap" w:color="auto" w:sz="12" w:space="0"/>
              <w:left w:val="nil"/>
              <w:bottom w:val="thinThickSmallGap" w:color="auto" w:sz="12" w:space="0"/>
              <w:right w:val="nil"/>
            </w:tcBorders>
            <w:noWrap w:val="0"/>
            <w:vAlign w:val="top"/>
          </w:tcPr>
          <w:p w14:paraId="6A5A0459">
            <w:pPr>
              <w:rPr>
                <w:rFonts w:hint="default"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</w:tr>
      <w:bookmarkEnd w:id="0"/>
    </w:tbl>
    <w:p w14:paraId="57D5FC54">
      <w:pPr>
        <w:tabs>
          <w:tab w:val="left" w:pos="1320"/>
        </w:tabs>
        <w:rPr>
          <w:rFonts w:hint="default" w:ascii="Times New Roman" w:hAnsi="Times New Roman" w:cs="Times New Roman"/>
          <w:sz w:val="24"/>
          <w:szCs w:val="24"/>
          <w:lang w:val="en-US"/>
        </w:rPr>
      </w:pPr>
      <w:r>
        <w:rPr>
          <w:rFonts w:hint="default" w:ascii="Times New Roman" w:hAnsi="Times New Roman" w:cs="Times New Roman"/>
          <w:sz w:val="24"/>
          <w:szCs w:val="24"/>
          <w:lang w:val="ro-RO"/>
        </w:rPr>
        <w:t>Nr.</w:t>
      </w:r>
      <w:r>
        <w:rPr>
          <w:rFonts w:hint="default" w:ascii="Times New Roman" w:hAnsi="Times New Roman" w:cs="Times New Roman"/>
          <w:color w:val="auto"/>
          <w:sz w:val="24"/>
          <w:szCs w:val="24"/>
          <w:lang w:val="en-US"/>
        </w:rPr>
        <w:t>1469/22.04.2025</w:t>
      </w:r>
    </w:p>
    <w:p w14:paraId="4C012ECD">
      <w:pPr>
        <w:tabs>
          <w:tab w:val="left" w:pos="930"/>
        </w:tabs>
        <w:rPr>
          <w:lang w:val="ro-RO"/>
        </w:rPr>
      </w:pPr>
    </w:p>
    <w:p w14:paraId="40666396">
      <w:pPr>
        <w:tabs>
          <w:tab w:val="left" w:pos="930"/>
        </w:tabs>
        <w:rPr>
          <w:rFonts w:hint="default" w:ascii="Times New Roman" w:hAnsi="Times New Roman" w:cs="Times New Roman"/>
          <w:sz w:val="24"/>
          <w:szCs w:val="24"/>
          <w:lang w:val="ro-RO"/>
        </w:rPr>
      </w:pPr>
    </w:p>
    <w:p w14:paraId="67AA998F">
      <w:pPr>
        <w:tabs>
          <w:tab w:val="left" w:pos="3405"/>
        </w:tabs>
        <w:rPr>
          <w:rFonts w:hint="default" w:ascii="Times New Roman" w:hAnsi="Times New Roman" w:cs="Times New Roman"/>
          <w:b/>
          <w:bCs/>
          <w:sz w:val="36"/>
          <w:szCs w:val="36"/>
          <w:lang w:val="ro-RO"/>
        </w:rPr>
      </w:pPr>
      <w:r>
        <w:rPr>
          <w:rFonts w:hint="default" w:ascii="Times New Roman" w:hAnsi="Times New Roman" w:cs="Times New Roman"/>
          <w:sz w:val="24"/>
          <w:szCs w:val="24"/>
          <w:lang w:val="ro-RO"/>
        </w:rPr>
        <w:tab/>
      </w:r>
      <w:r>
        <w:rPr>
          <w:rFonts w:hint="default" w:ascii="Times New Roman" w:hAnsi="Times New Roman" w:cs="Times New Roman"/>
          <w:b/>
          <w:bCs/>
          <w:sz w:val="36"/>
          <w:szCs w:val="36"/>
          <w:lang w:val="ro-RO"/>
        </w:rPr>
        <w:t xml:space="preserve">Raport de specialitate </w:t>
      </w:r>
    </w:p>
    <w:p w14:paraId="783ACEDB">
      <w:pPr>
        <w:jc w:val="center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 w:val="0"/>
          <w:bCs/>
          <w:sz w:val="24"/>
          <w:szCs w:val="24"/>
        </w:rPr>
        <w:t>privind aprobarea studiului de fezabilitate, a  indicatorilor tehnico-economici actualizați și a devizului general actualizat  pentru obiectivul de investiții ”</w:t>
      </w:r>
      <w:r>
        <w:rPr>
          <w:rFonts w:hint="default" w:ascii="Times New Roman" w:hAnsi="Times New Roman" w:cs="Times New Roman"/>
          <w:b w:val="0"/>
          <w:bCs/>
          <w:i/>
          <w:iCs/>
          <w:sz w:val="24"/>
          <w:szCs w:val="24"/>
        </w:rPr>
        <w:t>Infiintare sistem de canalizare, statie de epurare in comunele Sălcioara si Balaciu, județul Ialomița</w:t>
      </w:r>
      <w:r>
        <w:rPr>
          <w:rFonts w:hint="default" w:ascii="Times New Roman" w:hAnsi="Times New Roman" w:cs="Times New Roman"/>
          <w:b w:val="0"/>
          <w:bCs/>
          <w:sz w:val="24"/>
          <w:szCs w:val="24"/>
        </w:rPr>
        <w:t>”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 xml:space="preserve">  Etapa I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4"/>
          <w:szCs w:val="24"/>
        </w:rPr>
        <w:t>aprobat pentru finanțare prin Programul național de investiții „Anghel Saligny”, precum și a sumei reprezentând categoriile de cheltuieli finanțate de la bugetul local pentru realizarea obiectivului</w:t>
      </w:r>
      <w:r>
        <w:rPr>
          <w:rFonts w:hint="default" w:ascii="Times New Roman" w:hAnsi="Times New Roman" w:cs="Times New Roman"/>
          <w:b/>
          <w:sz w:val="24"/>
          <w:szCs w:val="24"/>
        </w:rPr>
        <w:t xml:space="preserve"> </w:t>
      </w:r>
    </w:p>
    <w:p w14:paraId="0E7B83A2">
      <w:pPr>
        <w:tabs>
          <w:tab w:val="left" w:pos="3405"/>
        </w:tabs>
        <w:rPr>
          <w:rFonts w:hint="default" w:ascii="Times New Roman" w:hAnsi="Times New Roman" w:cs="Times New Roman"/>
          <w:sz w:val="24"/>
          <w:szCs w:val="24"/>
          <w:lang w:val="ro-RO"/>
        </w:rPr>
      </w:pPr>
    </w:p>
    <w:bookmarkEnd w:id="1"/>
    <w:bookmarkEnd w:id="2"/>
    <w:bookmarkEnd w:id="3"/>
    <w:p w14:paraId="0A0BBBBE">
      <w:pPr>
        <w:pStyle w:val="7"/>
        <w:keepNext/>
        <w:keepLines/>
        <w:spacing w:after="200" w:line="283" w:lineRule="auto"/>
        <w:ind w:firstLine="680"/>
        <w:jc w:val="both"/>
        <w:rPr>
          <w:rFonts w:hint="default" w:ascii="Times New Roman" w:hAnsi="Times New Roman" w:cs="Times New Roman"/>
          <w:sz w:val="24"/>
          <w:szCs w:val="24"/>
        </w:rPr>
      </w:pPr>
      <w:bookmarkStart w:id="4" w:name="bookmark44"/>
      <w:bookmarkStart w:id="5" w:name="bookmark45"/>
      <w:bookmarkStart w:id="6" w:name="bookmark43"/>
      <w:r>
        <w:rPr>
          <w:rFonts w:hint="default" w:ascii="Times New Roman" w:hAnsi="Times New Roman" w:cs="Times New Roman"/>
          <w:color w:val="000000"/>
          <w:sz w:val="24"/>
          <w:szCs w:val="24"/>
        </w:rPr>
        <w:t>In conformitate cu prevederile :</w:t>
      </w:r>
      <w:bookmarkEnd w:id="4"/>
      <w:bookmarkEnd w:id="5"/>
      <w:bookmarkEnd w:id="6"/>
    </w:p>
    <w:p w14:paraId="7F2E1A26">
      <w:pPr>
        <w:pStyle w:val="4"/>
        <w:numPr>
          <w:ilvl w:val="0"/>
          <w:numId w:val="1"/>
        </w:numPr>
        <w:tabs>
          <w:tab w:val="left" w:pos="947"/>
        </w:tabs>
        <w:spacing w:after="200"/>
        <w:ind w:firstLine="680"/>
        <w:jc w:val="both"/>
        <w:rPr>
          <w:rFonts w:hint="default" w:ascii="Times New Roman" w:hAnsi="Times New Roman" w:cs="Times New Roman"/>
          <w:sz w:val="24"/>
          <w:szCs w:val="24"/>
        </w:rPr>
      </w:pPr>
      <w:bookmarkStart w:id="7" w:name="bookmark46"/>
      <w:bookmarkEnd w:id="7"/>
      <w:r>
        <w:rPr>
          <w:rFonts w:hint="default" w:ascii="Times New Roman" w:hAnsi="Times New Roman" w:cs="Times New Roman"/>
          <w:color w:val="000000"/>
          <w:sz w:val="24"/>
          <w:szCs w:val="24"/>
        </w:rPr>
        <w:t>OUG 95/2021 pentru aprobarea Programului national de investitii "Anghel Saligny",</w:t>
      </w:r>
      <w:bookmarkStart w:id="14" w:name="_GoBack"/>
      <w:bookmarkEnd w:id="14"/>
    </w:p>
    <w:p w14:paraId="26AE1180">
      <w:pPr>
        <w:pStyle w:val="4"/>
        <w:numPr>
          <w:ilvl w:val="0"/>
          <w:numId w:val="1"/>
        </w:numPr>
        <w:tabs>
          <w:tab w:val="left" w:pos="947"/>
        </w:tabs>
        <w:spacing w:after="200"/>
        <w:ind w:firstLine="68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color w:val="000000"/>
          <w:sz w:val="24"/>
          <w:szCs w:val="24"/>
        </w:rPr>
        <w:t>Legea nr. 273/2006 privind finanjele publice locale, cu modificarile si completarile ulterioare, Legea nr.317/2021 legea bugetului de stat pe anul 2022;</w:t>
      </w:r>
    </w:p>
    <w:p w14:paraId="7EE23257">
      <w:pPr>
        <w:pStyle w:val="4"/>
        <w:numPr>
          <w:ilvl w:val="0"/>
          <w:numId w:val="1"/>
        </w:numPr>
        <w:tabs>
          <w:tab w:val="left" w:pos="968"/>
        </w:tabs>
        <w:spacing w:after="200" w:line="276" w:lineRule="auto"/>
        <w:ind w:firstLine="700"/>
        <w:jc w:val="both"/>
        <w:rPr>
          <w:rFonts w:hint="default" w:ascii="Times New Roman" w:hAnsi="Times New Roman" w:cs="Times New Roman"/>
          <w:sz w:val="24"/>
          <w:szCs w:val="24"/>
        </w:rPr>
      </w:pPr>
      <w:bookmarkStart w:id="8" w:name="bookmark47"/>
      <w:bookmarkEnd w:id="8"/>
      <w:r>
        <w:rPr>
          <w:rFonts w:hint="default" w:ascii="Times New Roman" w:hAnsi="Times New Roman" w:cs="Times New Roman"/>
          <w:color w:val="000000"/>
          <w:sz w:val="24"/>
          <w:szCs w:val="24"/>
        </w:rPr>
        <w:t>HG nr. 907/2016 privind etapele de elaborate si continutul-cadru al documentatiilor tehnico- economice aferente obiectivelor/ proiectelor de investitii finantate din fonduri publice;</w:t>
      </w:r>
    </w:p>
    <w:p w14:paraId="46B22173">
      <w:pPr>
        <w:pStyle w:val="4"/>
        <w:numPr>
          <w:ilvl w:val="0"/>
          <w:numId w:val="1"/>
        </w:numPr>
        <w:tabs>
          <w:tab w:val="left" w:pos="968"/>
        </w:tabs>
        <w:spacing w:after="200"/>
        <w:ind w:firstLine="700"/>
        <w:jc w:val="both"/>
        <w:rPr>
          <w:rFonts w:hint="default" w:ascii="Times New Roman" w:hAnsi="Times New Roman" w:cs="Times New Roman"/>
          <w:sz w:val="24"/>
          <w:szCs w:val="24"/>
        </w:rPr>
      </w:pPr>
      <w:bookmarkStart w:id="9" w:name="bookmark48"/>
      <w:bookmarkEnd w:id="9"/>
      <w:r>
        <w:rPr>
          <w:rFonts w:hint="default" w:ascii="Times New Roman" w:hAnsi="Times New Roman" w:cs="Times New Roman"/>
          <w:color w:val="000000"/>
          <w:sz w:val="24"/>
          <w:szCs w:val="24"/>
        </w:rPr>
        <w:t>Ordinul nr. 278/24.02.2022 privind aprobarea Normelor metodologice pentru punerea in aplicare a prevederilor Ordonantei de urgenta a Guvernului nr. 95/2021 pentru aprobarea Programului national de investitii "Anghel Saligny", pentru categoriile de investitii prevazute la art. 4 alin. (1) lit. b) din Ordonanta de urgenta a Guvernului nr. 95/2021.</w:t>
      </w:r>
    </w:p>
    <w:p w14:paraId="3ABA1DB5">
      <w:pPr>
        <w:pStyle w:val="4"/>
        <w:numPr>
          <w:ilvl w:val="0"/>
          <w:numId w:val="1"/>
        </w:numPr>
        <w:tabs>
          <w:tab w:val="left" w:pos="963"/>
        </w:tabs>
        <w:spacing w:after="0" w:line="286" w:lineRule="auto"/>
        <w:ind w:firstLine="700"/>
        <w:jc w:val="both"/>
        <w:rPr>
          <w:rFonts w:hint="default" w:ascii="Times New Roman" w:hAnsi="Times New Roman" w:cs="Times New Roman"/>
          <w:sz w:val="24"/>
          <w:szCs w:val="24"/>
        </w:rPr>
      </w:pPr>
      <w:bookmarkStart w:id="10" w:name="bookmark49"/>
      <w:bookmarkEnd w:id="10"/>
      <w:r>
        <w:rPr>
          <w:rFonts w:hint="default" w:ascii="Times New Roman" w:hAnsi="Times New Roman" w:cs="Times New Roman"/>
          <w:color w:val="000000"/>
          <w:sz w:val="24"/>
          <w:szCs w:val="24"/>
        </w:rPr>
        <w:t>129 alin. 2 lit. c) si art. 139 (1) si alin. (3) lit. g din OUG nr. 57 din 2019 - Codul Administrativ, cu modificarile si completarile ulterioare.</w:t>
      </w:r>
    </w:p>
    <w:p w14:paraId="4D3F9A36">
      <w:pPr>
        <w:pStyle w:val="4"/>
        <w:numPr>
          <w:numId w:val="0"/>
        </w:numPr>
        <w:tabs>
          <w:tab w:val="left" w:pos="963"/>
        </w:tabs>
        <w:spacing w:after="0" w:line="286" w:lineRule="auto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425FD252">
      <w:pPr>
        <w:pStyle w:val="4"/>
        <w:numPr>
          <w:numId w:val="0"/>
        </w:numPr>
        <w:tabs>
          <w:tab w:val="left" w:pos="262"/>
        </w:tabs>
        <w:spacing w:after="0" w:line="276" w:lineRule="auto"/>
        <w:ind w:firstLine="240" w:firstLineChars="10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color w:val="000000"/>
          <w:sz w:val="24"/>
          <w:szCs w:val="24"/>
          <w:lang w:val="en-US"/>
        </w:rPr>
        <w:t xml:space="preserve">       - </w:t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t>Proiectul de Hotarare al Consiliului Local nr</w:t>
      </w:r>
      <w:r>
        <w:rPr>
          <w:rFonts w:hint="default" w:ascii="Times New Roman" w:hAnsi="Times New Roman" w:cs="Times New Roman"/>
          <w:color w:val="000000"/>
          <w:sz w:val="24"/>
          <w:szCs w:val="24"/>
          <w:lang w:val="en-US"/>
        </w:rPr>
        <w:t>. 38</w:t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t>/</w:t>
      </w:r>
      <w:r>
        <w:rPr>
          <w:rFonts w:hint="default" w:ascii="Times New Roman" w:hAnsi="Times New Roman" w:cs="Times New Roman"/>
          <w:color w:val="000000"/>
          <w:sz w:val="24"/>
          <w:szCs w:val="24"/>
          <w:lang w:val="en-US"/>
        </w:rPr>
        <w:t>04</w:t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t>.</w:t>
      </w:r>
      <w:r>
        <w:rPr>
          <w:rFonts w:hint="default" w:ascii="Times New Roman" w:hAnsi="Times New Roman" w:cs="Times New Roman"/>
          <w:color w:val="000000"/>
          <w:sz w:val="24"/>
          <w:szCs w:val="24"/>
          <w:lang w:val="en-US"/>
        </w:rPr>
        <w:t>11</w:t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t>.202</w:t>
      </w:r>
      <w:r>
        <w:rPr>
          <w:rFonts w:hint="default" w:ascii="Times New Roman" w:hAnsi="Times New Roman" w:cs="Times New Roman"/>
          <w:color w:val="000000"/>
          <w:sz w:val="24"/>
          <w:szCs w:val="24"/>
          <w:lang w:val="en-US"/>
        </w:rPr>
        <w:t>1</w:t>
      </w:r>
      <w:r>
        <w:rPr>
          <w:rFonts w:hint="default" w:ascii="Times New Roman" w:hAnsi="Times New Roman" w:cs="Times New Roman"/>
          <w:color w:val="000000"/>
          <w:sz w:val="24"/>
          <w:szCs w:val="24"/>
        </w:rPr>
        <w:t>, privind aprobarea cererii de finantare, a devizelor estimative, a indicatorilor tehnico-economici si aprobarea cofinantarii de la bugetui local pentru obiectivul</w:t>
      </w:r>
      <w:bookmarkStart w:id="11" w:name="bookmark52"/>
      <w:bookmarkStart w:id="12" w:name="bookmark54"/>
      <w:bookmarkStart w:id="13" w:name="bookmark51"/>
      <w:r>
        <w:rPr>
          <w:rFonts w:hint="default"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4"/>
          <w:szCs w:val="24"/>
        </w:rPr>
        <w:t>”</w:t>
      </w:r>
      <w:r>
        <w:rPr>
          <w:rFonts w:hint="default" w:ascii="Times New Roman" w:hAnsi="Times New Roman" w:cs="Times New Roman"/>
          <w:b w:val="0"/>
          <w:bCs/>
          <w:i/>
          <w:iCs/>
          <w:sz w:val="24"/>
          <w:szCs w:val="24"/>
        </w:rPr>
        <w:t>Infiintare sistem de canalizare, statie de epurare in comunele Sălcioara si Balaciu, județul Ialomița</w:t>
      </w:r>
      <w:bookmarkEnd w:id="11"/>
      <w:bookmarkEnd w:id="12"/>
      <w:bookmarkEnd w:id="13"/>
      <w:r>
        <w:rPr>
          <w:rFonts w:hint="default" w:ascii="Times New Roman" w:hAnsi="Times New Roman" w:cs="Times New Roman"/>
          <w:b w:val="0"/>
          <w:bCs/>
          <w:i/>
          <w:iCs/>
          <w:sz w:val="24"/>
          <w:szCs w:val="24"/>
          <w:lang w:val="en-US"/>
        </w:rPr>
        <w:t>”;</w:t>
      </w:r>
    </w:p>
    <w:p w14:paraId="4F1ED161">
      <w:pPr>
        <w:pStyle w:val="4"/>
        <w:numPr>
          <w:numId w:val="0"/>
        </w:numPr>
        <w:tabs>
          <w:tab w:val="left" w:pos="963"/>
        </w:tabs>
        <w:spacing w:after="0" w:line="286" w:lineRule="auto"/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111275EF">
      <w:pPr>
        <w:ind w:firstLine="720" w:firstLineChars="30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Tinand cont de cele prezentate, consider oportuna si necesara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 xml:space="preserve"> aprobarea</w:t>
      </w:r>
      <w:r>
        <w:rPr>
          <w:rFonts w:hint="default" w:ascii="Times New Roman" w:hAnsi="Times New Roman" w:cs="Times New Roman"/>
          <w:sz w:val="24"/>
          <w:szCs w:val="24"/>
        </w:rPr>
        <w:t xml:space="preserve"> proiect</w:t>
      </w:r>
      <w:r>
        <w:rPr>
          <w:rFonts w:hint="default" w:ascii="Times New Roman" w:hAnsi="Times New Roman" w:cs="Times New Roman"/>
          <w:sz w:val="24"/>
          <w:szCs w:val="24"/>
          <w:lang w:val="en-US"/>
        </w:rPr>
        <w:t>ului</w:t>
      </w:r>
      <w:r>
        <w:rPr>
          <w:rFonts w:hint="default" w:ascii="Times New Roman" w:hAnsi="Times New Roman" w:cs="Times New Roman"/>
          <w:sz w:val="24"/>
          <w:szCs w:val="24"/>
        </w:rPr>
        <w:t xml:space="preserve"> de hotarare </w:t>
      </w:r>
      <w:r>
        <w:rPr>
          <w:rFonts w:hint="default" w:ascii="Times New Roman" w:hAnsi="Times New Roman" w:cs="Times New Roman"/>
          <w:b w:val="0"/>
          <w:bCs/>
          <w:sz w:val="24"/>
          <w:szCs w:val="24"/>
        </w:rPr>
        <w:t>privind aprobarea studiului de fezabilitate, a  indicatorilor tehnico-economici actualizați și a devizului general actualizat  pentru obiectivul de investiții ”</w:t>
      </w:r>
      <w:r>
        <w:rPr>
          <w:rFonts w:hint="default" w:ascii="Times New Roman" w:hAnsi="Times New Roman" w:cs="Times New Roman"/>
          <w:b w:val="0"/>
          <w:bCs/>
          <w:i/>
          <w:iCs/>
          <w:sz w:val="24"/>
          <w:szCs w:val="24"/>
        </w:rPr>
        <w:t>Infiintare sistem de canalizare, statie de epurare in comunele Sălcioara si Balaciu, județul Ialomița</w:t>
      </w:r>
      <w:r>
        <w:rPr>
          <w:rFonts w:hint="default" w:ascii="Times New Roman" w:hAnsi="Times New Roman" w:cs="Times New Roman"/>
          <w:b w:val="0"/>
          <w:bCs/>
          <w:sz w:val="24"/>
          <w:szCs w:val="24"/>
        </w:rPr>
        <w:t>”</w:t>
      </w:r>
      <w:r>
        <w:rPr>
          <w:rFonts w:hint="default" w:ascii="Times New Roman" w:hAnsi="Times New Roman" w:cs="Times New Roman"/>
          <w:b/>
          <w:bCs/>
          <w:sz w:val="24"/>
          <w:szCs w:val="24"/>
        </w:rPr>
        <w:t xml:space="preserve">  Etapa I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4"/>
          <w:szCs w:val="24"/>
        </w:rPr>
        <w:t>aprobat pentru finanțare prin Programul național de investiții „Anghel Saligny”, precum și a sumei reprezentând categoriile de cheltuieli finanțate de la bugetul local pentru realizarea obiectivului</w:t>
      </w:r>
      <w:r>
        <w:rPr>
          <w:rFonts w:hint="default" w:ascii="Times New Roman" w:hAnsi="Times New Roman" w:cs="Times New Roman"/>
          <w:b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</w:rPr>
        <w:t>.</w:t>
      </w:r>
    </w:p>
    <w:p w14:paraId="5A722592">
      <w:pPr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73B31378">
      <w:pPr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4291B320">
      <w:pPr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54335D2A">
      <w:pPr>
        <w:jc w:val="both"/>
        <w:rPr>
          <w:rFonts w:hint="default" w:ascii="Times New Roman" w:hAnsi="Times New Roman" w:cs="Times New Roman"/>
          <w:sz w:val="24"/>
          <w:szCs w:val="24"/>
        </w:rPr>
      </w:pPr>
    </w:p>
    <w:p w14:paraId="4DE68C3E">
      <w:pPr>
        <w:tabs>
          <w:tab w:val="left" w:pos="930"/>
          <w:tab w:val="left" w:pos="2715"/>
        </w:tabs>
        <w:ind w:firstLine="3960" w:firstLineChars="1800"/>
        <w:rPr>
          <w:rFonts w:hint="default" w:ascii="Times New Roman" w:hAnsi="Times New Roman" w:cs="Times New Roman"/>
          <w:sz w:val="22"/>
          <w:szCs w:val="22"/>
          <w:lang w:val="ro-RO"/>
        </w:rPr>
      </w:pPr>
      <w:r>
        <w:rPr>
          <w:rFonts w:hint="default" w:ascii="Times New Roman" w:hAnsi="Times New Roman" w:cs="Times New Roman"/>
          <w:sz w:val="22"/>
          <w:szCs w:val="22"/>
          <w:lang w:val="ro-RO"/>
        </w:rPr>
        <w:t xml:space="preserve">Intocmit </w:t>
      </w:r>
    </w:p>
    <w:p w14:paraId="20873684">
      <w:pPr>
        <w:tabs>
          <w:tab w:val="left" w:pos="930"/>
          <w:tab w:val="left" w:pos="2715"/>
        </w:tabs>
        <w:ind w:firstLine="720"/>
        <w:rPr>
          <w:rFonts w:hint="default" w:ascii="Times New Roman" w:hAnsi="Times New Roman" w:cs="Times New Roman"/>
          <w:sz w:val="22"/>
          <w:szCs w:val="22"/>
          <w:lang w:val="ro-RO"/>
        </w:rPr>
      </w:pPr>
      <w:r>
        <w:rPr>
          <w:rFonts w:hint="default" w:ascii="Times New Roman" w:hAnsi="Times New Roman" w:cs="Times New Roman"/>
          <w:sz w:val="22"/>
          <w:szCs w:val="22"/>
          <w:lang w:val="ro-RO"/>
        </w:rPr>
        <w:t xml:space="preserve">                                  Compartiment urbanism, lucrari publice</w:t>
      </w:r>
    </w:p>
    <w:p w14:paraId="10660BB9">
      <w:pPr>
        <w:tabs>
          <w:tab w:val="left" w:pos="930"/>
          <w:tab w:val="left" w:pos="2715"/>
        </w:tabs>
        <w:ind w:firstLine="720"/>
        <w:rPr>
          <w:rFonts w:hint="default" w:ascii="Times New Roman" w:hAnsi="Times New Roman" w:cs="Times New Roman"/>
          <w:sz w:val="22"/>
          <w:szCs w:val="22"/>
          <w:lang w:val="en-US"/>
        </w:rPr>
      </w:pPr>
      <w:r>
        <w:rPr>
          <w:rFonts w:hint="default" w:ascii="Times New Roman" w:hAnsi="Times New Roman" w:cs="Times New Roman"/>
          <w:sz w:val="22"/>
          <w:szCs w:val="22"/>
          <w:lang w:val="ro-RO"/>
        </w:rPr>
        <w:t xml:space="preserve">                                                     Referent</w:t>
      </w:r>
      <w:r>
        <w:rPr>
          <w:rFonts w:hint="default" w:ascii="Times New Roman" w:hAnsi="Times New Roman" w:cs="Times New Roman"/>
          <w:sz w:val="22"/>
          <w:szCs w:val="22"/>
          <w:lang w:val="en-US"/>
        </w:rPr>
        <w:t xml:space="preserve"> asistent</w:t>
      </w:r>
    </w:p>
    <w:p w14:paraId="6FEDA5B4">
      <w:pPr>
        <w:tabs>
          <w:tab w:val="left" w:pos="930"/>
          <w:tab w:val="left" w:pos="2715"/>
        </w:tabs>
        <w:ind w:firstLine="720"/>
        <w:rPr>
          <w:rFonts w:hint="default" w:ascii="Times New Roman" w:hAnsi="Times New Roman" w:cs="Times New Roman"/>
          <w:sz w:val="28"/>
          <w:szCs w:val="28"/>
          <w:lang w:val="ro-RO"/>
        </w:rPr>
      </w:pPr>
      <w:r>
        <w:rPr>
          <w:rFonts w:hint="default" w:ascii="Times New Roman" w:hAnsi="Times New Roman" w:cs="Times New Roman"/>
          <w:sz w:val="22"/>
          <w:szCs w:val="22"/>
          <w:lang w:val="ro-RO"/>
        </w:rPr>
        <w:t xml:space="preserve">                                               Stefan Gina-Magdalena</w:t>
      </w:r>
    </w:p>
    <w:p w14:paraId="5D4B33C1">
      <w:pPr>
        <w:jc w:val="both"/>
        <w:rPr>
          <w:rFonts w:hint="default" w:ascii="Times New Roman" w:hAnsi="Times New Roman" w:cs="Times New Roman"/>
          <w:sz w:val="24"/>
          <w:szCs w:val="24"/>
        </w:rPr>
      </w:pPr>
    </w:p>
    <w:sectPr>
      <w:pgSz w:w="12240" w:h="15840"/>
      <w:pgMar w:top="1440" w:right="1041" w:bottom="144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EE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Courier New">
    <w:panose1 w:val="02070309020205020404"/>
    <w:charset w:val="EE"/>
    <w:family w:val="modern"/>
    <w:pitch w:val="default"/>
    <w:sig w:usb0="E0002EFF" w:usb1="C0007843" w:usb2="00000009" w:usb3="00000000" w:csb0="400001FF" w:csb1="FFFF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Algerian">
    <w:panose1 w:val="04020705040A02060702"/>
    <w:charset w:val="00"/>
    <w:family w:val="decorative"/>
    <w:pitch w:val="default"/>
    <w:sig w:usb0="00000003" w:usb1="00000000" w:usb2="00000000" w:usb3="00000000" w:csb0="20000001" w:csb1="00000000"/>
  </w:font>
  <w:font w:name="Comic Sans MS">
    <w:panose1 w:val="030F0702030302020204"/>
    <w:charset w:val="00"/>
    <w:family w:val="auto"/>
    <w:pitch w:val="default"/>
    <w:sig w:usb0="00000687" w:usb1="00000013" w:usb2="00000000" w:usb3="00000000" w:csb0="2000009F" w:csb1="00000000"/>
  </w:font>
  <w:font w:name="Castellar">
    <w:panose1 w:val="020A0402060406010301"/>
    <w:charset w:val="00"/>
    <w:family w:val="auto"/>
    <w:pitch w:val="default"/>
    <w:sig w:usb0="00000003" w:usb1="00000000" w:usb2="00000000" w:usb3="00000000" w:csb0="20000001" w:csb1="00000000"/>
  </w:font>
  <w:font w:name="Carlito">
    <w:panose1 w:val="020F0502020204030204"/>
    <w:charset w:val="00"/>
    <w:family w:val="auto"/>
    <w:pitch w:val="default"/>
    <w:sig w:usb0="E10002FF" w:usb1="5000ECFF" w:usb2="00000009" w:usb3="00000000" w:csb0="2000019F" w:csb1="00000000"/>
  </w:font>
  <w:font w:name="Tahoma">
    <w:panose1 w:val="020B0604030504040204"/>
    <w:charset w:val="EE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8C72E84"/>
    <w:multiLevelType w:val="multilevel"/>
    <w:tmpl w:val="78C72E84"/>
    <w:lvl w:ilvl="0" w:tentative="0">
      <w:start w:val="1"/>
      <w:numFmt w:val="bullet"/>
      <w:lvlText w:val="-"/>
      <w:lvlJc w:val="left"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0BC"/>
    <w:rsid w:val="002800BC"/>
    <w:rsid w:val="002A056D"/>
    <w:rsid w:val="005E6C39"/>
    <w:rsid w:val="00686F4F"/>
    <w:rsid w:val="006F1B0D"/>
    <w:rsid w:val="007D00F0"/>
    <w:rsid w:val="007F302B"/>
    <w:rsid w:val="008B09C0"/>
    <w:rsid w:val="00924B27"/>
    <w:rsid w:val="00B30C31"/>
    <w:rsid w:val="00BF38A4"/>
    <w:rsid w:val="00D62856"/>
    <w:rsid w:val="00E17F1C"/>
    <w:rsid w:val="7C454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0" w:line="240" w:lineRule="auto"/>
    </w:pPr>
    <w:rPr>
      <w:rFonts w:ascii="Courier New" w:hAnsi="Courier New" w:eastAsia="Courier New" w:cs="Courier New"/>
      <w:color w:val="000000"/>
      <w:sz w:val="24"/>
      <w:szCs w:val="24"/>
      <w:lang w:val="en-US" w:eastAsia="en-US" w:bidi="en-US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link w:val="5"/>
    <w:qFormat/>
    <w:uiPriority w:val="0"/>
    <w:pPr>
      <w:spacing w:after="180" w:line="283" w:lineRule="auto"/>
      <w:ind w:firstLine="400"/>
    </w:pPr>
    <w:rPr>
      <w:rFonts w:ascii="Times New Roman" w:hAnsi="Times New Roman" w:eastAsia="Times New Roman" w:cs="Times New Roman"/>
      <w:color w:val="auto"/>
      <w:sz w:val="20"/>
      <w:szCs w:val="20"/>
      <w:lang w:bidi="ar-SA"/>
    </w:rPr>
  </w:style>
  <w:style w:type="character" w:customStyle="1" w:styleId="5">
    <w:name w:val="Corp text Caracter"/>
    <w:basedOn w:val="2"/>
    <w:link w:val="4"/>
    <w:qFormat/>
    <w:uiPriority w:val="0"/>
    <w:rPr>
      <w:rFonts w:ascii="Times New Roman" w:hAnsi="Times New Roman" w:eastAsia="Times New Roman" w:cs="Times New Roman"/>
      <w:sz w:val="20"/>
      <w:szCs w:val="20"/>
    </w:rPr>
  </w:style>
  <w:style w:type="character" w:customStyle="1" w:styleId="6">
    <w:name w:val="Heading #3_"/>
    <w:basedOn w:val="2"/>
    <w:link w:val="7"/>
    <w:uiPriority w:val="0"/>
    <w:rPr>
      <w:rFonts w:ascii="Times New Roman" w:hAnsi="Times New Roman" w:eastAsia="Times New Roman" w:cs="Times New Roman"/>
      <w:b/>
      <w:bCs/>
      <w:sz w:val="20"/>
      <w:szCs w:val="20"/>
    </w:rPr>
  </w:style>
  <w:style w:type="paragraph" w:customStyle="1" w:styleId="7">
    <w:name w:val="Heading #3"/>
    <w:basedOn w:val="1"/>
    <w:link w:val="6"/>
    <w:qFormat/>
    <w:uiPriority w:val="0"/>
    <w:pPr>
      <w:spacing w:after="180" w:line="286" w:lineRule="auto"/>
      <w:ind w:firstLine="640"/>
      <w:outlineLvl w:val="2"/>
    </w:pPr>
    <w:rPr>
      <w:rFonts w:ascii="Times New Roman" w:hAnsi="Times New Roman" w:eastAsia="Times New Roman" w:cs="Times New Roman"/>
      <w:b/>
      <w:bCs/>
      <w:color w:val="auto"/>
      <w:sz w:val="20"/>
      <w:szCs w:val="20"/>
      <w:lang w:bidi="ar-SA"/>
    </w:rPr>
  </w:style>
  <w:style w:type="character" w:customStyle="1" w:styleId="8">
    <w:name w:val="Body text (2)_"/>
    <w:basedOn w:val="2"/>
    <w:link w:val="9"/>
    <w:uiPriority w:val="0"/>
    <w:rPr>
      <w:rFonts w:ascii="Times New Roman" w:hAnsi="Times New Roman" w:eastAsia="Times New Roman" w:cs="Times New Roman"/>
      <w:b/>
      <w:bCs/>
      <w:sz w:val="26"/>
      <w:szCs w:val="26"/>
    </w:rPr>
  </w:style>
  <w:style w:type="paragraph" w:customStyle="1" w:styleId="9">
    <w:name w:val="Body text (2)"/>
    <w:basedOn w:val="1"/>
    <w:link w:val="8"/>
    <w:uiPriority w:val="0"/>
    <w:pPr>
      <w:spacing w:after="200"/>
      <w:jc w:val="center"/>
    </w:pPr>
    <w:rPr>
      <w:rFonts w:ascii="Times New Roman" w:hAnsi="Times New Roman" w:eastAsia="Times New Roman" w:cs="Times New Roman"/>
      <w:b/>
      <w:bCs/>
      <w:color w:val="auto"/>
      <w:sz w:val="26"/>
      <w:szCs w:val="26"/>
      <w:lang w:bidi="ar-SA"/>
    </w:rPr>
  </w:style>
  <w:style w:type="character" w:customStyle="1" w:styleId="10">
    <w:name w:val="Body Text Char1"/>
    <w:basedOn w:val="2"/>
    <w:semiHidden/>
    <w:qFormat/>
    <w:uiPriority w:val="99"/>
    <w:rPr>
      <w:rFonts w:ascii="Courier New" w:hAnsi="Courier New" w:eastAsia="Courier New" w:cs="Courier New"/>
      <w:color w:val="000000"/>
      <w:sz w:val="24"/>
      <w:szCs w:val="24"/>
      <w:lang w:bidi="en-U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image" Target="media/image2.jpe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268</Words>
  <Characters>1557</Characters>
  <Lines>12</Lines>
  <Paragraphs>3</Paragraphs>
  <TotalTime>6</TotalTime>
  <ScaleCrop>false</ScaleCrop>
  <LinksUpToDate>false</LinksUpToDate>
  <CharactersWithSpaces>1822</CharactersWithSpaces>
  <Application>WPS Office_12.2.0.20795_F1E327BC-269C-435d-A152-05C5408002CA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2025-03-18T09:33:00Z</dcterms:created>
  <dc:creator>primprest</dc:creator>
  <cp:lastModifiedBy>Urbanism Balaciu</cp:lastModifiedBy>
  <dcterms:modified xsi:type="dcterms:W3CDTF">2025-04-22T08:16:07Z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1033-12.2.0.20795</vt:lpwstr>
  </property>
  <property fmtid="{D5CDD505-2E9C-101B-9397-08002B2CF9AE}" pid="3" name="ICV">
    <vt:lpwstr>7D3474725C4B4B159243724673424163_12</vt:lpwstr>
  </property>
</Properties>
</file>