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B932">
      <w:pPr>
        <w:widowControl w:val="0"/>
        <w:jc w:val="center"/>
        <w:rPr>
          <w:rFonts w:ascii="Tahoma" w:hAnsi="Tahoma" w:cs="Tahoma"/>
          <w:lang w:val="pt-BR"/>
        </w:rPr>
      </w:pPr>
      <w:r>
        <w:rPr>
          <w:rFonts w:hint="default" w:ascii="Tahoma" w:hAnsi="Tahoma" w:cs="Tahoma"/>
          <w:lang w:val="ro-RO"/>
        </w:rPr>
        <w:t xml:space="preserve">       </w:t>
      </w:r>
      <w:r>
        <w:rPr>
          <w:rFonts w:ascii="Tahoma" w:hAnsi="Tahoma" w:cs="Tahoma"/>
          <w:lang w:val="pt-BR"/>
        </w:rPr>
        <w:t>ROMÂNIA</w:t>
      </w:r>
    </w:p>
    <w:p w14:paraId="5875B141">
      <w:pPr>
        <w:widowControl w:val="0"/>
        <w:jc w:val="center"/>
        <w:rPr>
          <w:rFonts w:ascii="Tahoma" w:hAnsi="Tahoma" w:cs="Tahoma"/>
          <w:lang w:val="pt-BR"/>
        </w:rPr>
      </w:pPr>
      <w:r>
        <w:rPr>
          <w:rFonts w:hint="default" w:ascii="Tahoma" w:hAnsi="Tahoma" w:cs="Tahoma"/>
          <w:lang w:val="ro-RO"/>
        </w:rPr>
        <w:t xml:space="preserve">      </w:t>
      </w:r>
      <w:r>
        <w:rPr>
          <w:rFonts w:ascii="Tahoma" w:hAnsi="Tahoma" w:cs="Tahoma"/>
          <w:lang w:val="pt-BR"/>
        </w:rPr>
        <w:t>JUDETUL IALOMIŢA</w:t>
      </w:r>
    </w:p>
    <w:p w14:paraId="21DD2952">
      <w:pPr>
        <w:widowControl w:val="0"/>
        <w:jc w:val="center"/>
        <w:rPr>
          <w:rFonts w:ascii="Tahoma" w:hAnsi="Tahoma" w:cs="Tahoma"/>
          <w:lang w:val="pt-BR"/>
        </w:rPr>
      </w:pPr>
      <w:r>
        <w:rPr>
          <w:rFonts w:hint="default" w:ascii="Tahoma" w:hAnsi="Tahoma" w:cs="Tahoma"/>
          <w:lang w:val="ro-RO"/>
        </w:rPr>
        <w:t xml:space="preserve">       </w:t>
      </w:r>
      <w:r>
        <w:rPr>
          <w:rFonts w:ascii="Tahoma" w:hAnsi="Tahoma" w:cs="Tahoma"/>
          <w:lang w:val="pt-BR"/>
        </w:rPr>
        <w:t>COMUNA BALACIU</w:t>
      </w:r>
    </w:p>
    <w:p w14:paraId="098DEBBC">
      <w:pPr>
        <w:widowControl w:val="0"/>
        <w:jc w:val="left"/>
        <w:rPr>
          <w:rFonts w:hint="default" w:ascii="Tahoma" w:hAnsi="Tahoma" w:cs="Tahoma"/>
          <w:lang w:val="ro-RO"/>
        </w:rPr>
      </w:pPr>
      <w:r>
        <w:rPr>
          <w:rFonts w:hint="default" w:ascii="Tahoma" w:hAnsi="Tahoma" w:cs="Tahoma"/>
          <w:sz w:val="18"/>
          <w:szCs w:val="18"/>
          <w:lang w:val="ro-RO"/>
        </w:rPr>
        <w:t xml:space="preserve">          COMPARTIMENT URBANISM, LUCRARI PUBLICE, PROTECTIA MEDIULUI, SITUATII DE URGENTA</w:t>
      </w:r>
    </w:p>
    <w:tbl>
      <w:tblPr>
        <w:tblStyle w:val="3"/>
        <w:tblW w:w="9360" w:type="dxa"/>
        <w:tblInd w:w="159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thinThickSmallGap" w:color="auto" w:sz="24" w:space="0"/>
          <w:insideV w:val="thinThickSmallGap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6C0BCA6A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thinThickSmallGap" w:color="auto" w:sz="24" w:space="0"/>
            <w:insideV w:val="thinThickSmall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360" w:type="dxa"/>
            <w:tcBorders>
              <w:top w:val="thinThickSmallGap" w:color="auto" w:sz="12" w:space="0"/>
              <w:left w:val="nil"/>
              <w:bottom w:val="thinThickSmallGap" w:color="auto" w:sz="12" w:space="0"/>
              <w:right w:val="nil"/>
            </w:tcBorders>
            <w:noWrap w:val="0"/>
            <w:vAlign w:val="top"/>
          </w:tcPr>
          <w:p w14:paraId="3B7E9E0E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 xml:space="preserve">COMUNA BALACIU, JUD. IALOMIŢA , str. Calea Bucureşti, nr.22  , cod postal 927040, </w:t>
            </w:r>
          </w:p>
          <w:p w14:paraId="705B806A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Tel./Fax: 0243-261244 / 261058, e-mail: primaria@balaciu.ro</w:t>
            </w:r>
          </w:p>
        </w:tc>
      </w:tr>
    </w:tbl>
    <w:p w14:paraId="465ED1FF">
      <w:pPr>
        <w:tabs>
          <w:tab w:val="left" w:pos="3405"/>
        </w:tabs>
        <w:rPr>
          <w:rFonts w:hint="default"/>
          <w:sz w:val="28"/>
          <w:szCs w:val="28"/>
          <w:lang w:val="ro-RO"/>
        </w:rPr>
      </w:pPr>
      <w:r>
        <w:rPr>
          <w:rFonts w:hint="default"/>
          <w:sz w:val="28"/>
          <w:szCs w:val="28"/>
          <w:lang w:val="ro-RO"/>
        </w:rPr>
        <w:t>Nr.</w:t>
      </w:r>
      <w:r>
        <w:rPr>
          <w:rFonts w:hint="default"/>
          <w:color w:val="auto"/>
          <w:sz w:val="28"/>
          <w:szCs w:val="28"/>
          <w:lang w:val="en-US"/>
        </w:rPr>
        <w:t>1611/30</w:t>
      </w:r>
      <w:r>
        <w:rPr>
          <w:rFonts w:hint="default"/>
          <w:sz w:val="28"/>
          <w:szCs w:val="28"/>
          <w:lang w:val="ro-RO"/>
        </w:rPr>
        <w:t>.04.2025</w:t>
      </w:r>
    </w:p>
    <w:p w14:paraId="7EF848E2">
      <w:pPr>
        <w:tabs>
          <w:tab w:val="left" w:pos="3405"/>
        </w:tabs>
        <w:rPr>
          <w:rFonts w:hint="default"/>
          <w:sz w:val="28"/>
          <w:szCs w:val="28"/>
          <w:lang w:val="ro-RO"/>
        </w:rPr>
      </w:pPr>
    </w:p>
    <w:p w14:paraId="6E56AC93">
      <w:pPr>
        <w:tabs>
          <w:tab w:val="left" w:pos="3405"/>
        </w:tabs>
        <w:rPr>
          <w:rFonts w:hint="default"/>
          <w:sz w:val="28"/>
          <w:szCs w:val="28"/>
          <w:lang w:val="ro-RO"/>
        </w:rPr>
      </w:pPr>
    </w:p>
    <w:p w14:paraId="10CC2887">
      <w:pPr>
        <w:tabs>
          <w:tab w:val="left" w:pos="3405"/>
        </w:tabs>
        <w:rPr>
          <w:rFonts w:hint="default"/>
          <w:sz w:val="28"/>
          <w:szCs w:val="28"/>
          <w:lang w:val="ro-RO"/>
        </w:rPr>
      </w:pPr>
    </w:p>
    <w:p w14:paraId="0A1FABBB">
      <w:pPr>
        <w:tabs>
          <w:tab w:val="left" w:pos="3405"/>
        </w:tabs>
        <w:rPr>
          <w:rFonts w:hint="default"/>
          <w:sz w:val="28"/>
          <w:szCs w:val="28"/>
          <w:lang w:val="ro-RO"/>
        </w:rPr>
      </w:pPr>
    </w:p>
    <w:p w14:paraId="653C722A">
      <w:pPr>
        <w:tabs>
          <w:tab w:val="left" w:pos="3405"/>
        </w:tabs>
        <w:ind w:firstLine="3001" w:firstLineChars="1250"/>
        <w:rPr>
          <w:rFonts w:hint="default" w:ascii="Arial" w:hAnsi="Arial" w:cs="Arial"/>
          <w:sz w:val="24"/>
          <w:szCs w:val="24"/>
          <w:lang w:val="ro-RO"/>
        </w:rPr>
      </w:pPr>
      <w:r>
        <w:rPr>
          <w:rFonts w:hint="default" w:ascii="Arial" w:hAnsi="Arial" w:cs="Arial"/>
          <w:b/>
          <w:bCs/>
          <w:sz w:val="24"/>
          <w:szCs w:val="24"/>
          <w:lang w:val="ro-RO"/>
        </w:rPr>
        <w:t>Raport de specialitate</w:t>
      </w:r>
      <w:r>
        <w:rPr>
          <w:rFonts w:hint="default" w:ascii="Arial" w:hAnsi="Arial" w:cs="Arial"/>
          <w:sz w:val="24"/>
          <w:szCs w:val="24"/>
          <w:lang w:val="ro-RO"/>
        </w:rPr>
        <w:t xml:space="preserve"> </w:t>
      </w:r>
    </w:p>
    <w:p w14:paraId="08B8E3A6">
      <w:pPr>
        <w:tabs>
          <w:tab w:val="left" w:pos="3405"/>
        </w:tabs>
        <w:rPr>
          <w:rFonts w:hint="default" w:ascii="Arial" w:hAnsi="Arial" w:cs="Arial"/>
          <w:sz w:val="24"/>
          <w:szCs w:val="24"/>
          <w:lang w:val="ro-RO"/>
        </w:rPr>
      </w:pPr>
    </w:p>
    <w:p w14:paraId="35A863B9">
      <w:pPr>
        <w:jc w:val="center"/>
        <w:rPr>
          <w:rFonts w:ascii="Tahoma" w:hAnsi="Tahoma" w:cs="Tahoma"/>
          <w:i/>
          <w:iCs/>
          <w:color w:val="auto"/>
          <w:sz w:val="24"/>
          <w:szCs w:val="24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la proiectul de hotărâre nr.</w:t>
      </w:r>
      <w:r>
        <w:rPr>
          <w:rFonts w:hint="default" w:ascii="Tahoma" w:hAnsi="Tahoma" w:cs="Tahoma"/>
          <w:sz w:val="22"/>
          <w:szCs w:val="22"/>
          <w:lang w:val="en-US"/>
        </w:rPr>
        <w:t>23</w:t>
      </w:r>
      <w:r>
        <w:rPr>
          <w:rFonts w:ascii="Tahoma" w:hAnsi="Tahoma" w:cs="Tahoma"/>
          <w:sz w:val="22"/>
          <w:szCs w:val="22"/>
          <w:lang w:val="ro-RO"/>
        </w:rPr>
        <w:t xml:space="preserve"> din </w:t>
      </w:r>
      <w:r>
        <w:rPr>
          <w:rFonts w:hint="default" w:ascii="Tahoma" w:hAnsi="Tahoma" w:cs="Tahoma"/>
          <w:sz w:val="22"/>
          <w:szCs w:val="22"/>
          <w:lang w:val="en-US"/>
        </w:rPr>
        <w:t>30.04.2025</w:t>
      </w:r>
      <w:r>
        <w:rPr>
          <w:rFonts w:ascii="Tahoma" w:hAnsi="Tahoma" w:cs="Tahoma"/>
          <w:sz w:val="22"/>
          <w:szCs w:val="22"/>
          <w:lang w:val="ro-RO"/>
        </w:rPr>
        <w:t xml:space="preserve"> </w:t>
      </w:r>
      <w:bookmarkStart w:id="0" w:name="_Hlk71018677"/>
      <w:r>
        <w:rPr>
          <w:rFonts w:ascii="Tahoma" w:hAnsi="Tahoma" w:cs="Tahoma"/>
          <w:bCs/>
          <w:sz w:val="24"/>
          <w:szCs w:val="24"/>
          <w:lang w:val="ro-RO"/>
        </w:rPr>
        <w:t xml:space="preserve">privind aprobarea </w:t>
      </w:r>
      <w:r>
        <w:rPr>
          <w:rStyle w:val="4"/>
          <w:rFonts w:ascii="Tahoma" w:hAnsi="Tahoma" w:eastAsia="Bitstream Vera Sans" w:cs="Tahoma"/>
          <w:bCs/>
          <w:i/>
          <w:iCs/>
          <w:sz w:val="24"/>
          <w:szCs w:val="24"/>
          <w:lang w:val="ro-RO"/>
        </w:rPr>
        <w:t xml:space="preserve"> </w:t>
      </w:r>
      <w:r>
        <w:rPr>
          <w:rStyle w:val="4"/>
          <w:rFonts w:hint="default" w:ascii="Tahoma" w:hAnsi="Tahoma" w:eastAsia="Bitstream Vera Sans" w:cs="Tahoma"/>
          <w:bCs/>
          <w:i/>
          <w:iCs/>
          <w:sz w:val="24"/>
          <w:szCs w:val="24"/>
          <w:lang w:val="en-US"/>
        </w:rPr>
        <w:t xml:space="preserve">PTE , a </w:t>
      </w:r>
      <w:r>
        <w:rPr>
          <w:rStyle w:val="4"/>
          <w:rFonts w:ascii="Tahoma" w:hAnsi="Tahoma" w:eastAsia="Bitstream Vera Sans" w:cs="Tahoma"/>
          <w:bCs/>
          <w:i/>
          <w:iCs/>
          <w:sz w:val="24"/>
          <w:szCs w:val="24"/>
          <w:lang w:val="ro-RO"/>
        </w:rPr>
        <w:t>Devizul</w:t>
      </w:r>
      <w:bookmarkStart w:id="1" w:name="_Hlk44155795"/>
      <w:r>
        <w:rPr>
          <w:rStyle w:val="4"/>
          <w:rFonts w:hint="default" w:ascii="Tahoma" w:hAnsi="Tahoma" w:eastAsia="Bitstream Vera Sans" w:cs="Tahoma"/>
          <w:bCs/>
          <w:i/>
          <w:iCs/>
          <w:sz w:val="24"/>
          <w:szCs w:val="24"/>
          <w:lang w:val="en-US"/>
        </w:rPr>
        <w:t xml:space="preserve">ui si a cheltuielilor </w:t>
      </w:r>
      <w:r>
        <w:rPr>
          <w:rStyle w:val="4"/>
          <w:rFonts w:hint="default" w:ascii="Tahoma" w:hAnsi="Tahoma" w:eastAsia="Bitstream Vera Sans" w:cs="Tahoma"/>
          <w:bCs/>
          <w:i w:val="0"/>
          <w:iCs w:val="0"/>
          <w:sz w:val="24"/>
          <w:szCs w:val="24"/>
          <w:lang w:val="en-US"/>
        </w:rPr>
        <w:t xml:space="preserve">legate de </w:t>
      </w:r>
      <w:bookmarkEnd w:id="1"/>
      <w:r>
        <w:rPr>
          <w:rStyle w:val="4"/>
          <w:rFonts w:hint="default" w:ascii="Tahoma" w:hAnsi="Tahoma" w:eastAsia="Bitstream Vera Sans" w:cs="Tahoma"/>
          <w:bCs/>
          <w:color w:val="auto"/>
          <w:sz w:val="24"/>
          <w:szCs w:val="24"/>
          <w:lang w:val="en-US"/>
        </w:rPr>
        <w:t>investitia</w:t>
      </w:r>
      <w:r>
        <w:rPr>
          <w:rStyle w:val="4"/>
          <w:rFonts w:ascii="Tahoma" w:hAnsi="Tahoma" w:eastAsia="Bitstream Vera Sans" w:cs="Tahoma"/>
          <w:bCs/>
          <w:color w:val="FF0000"/>
          <w:sz w:val="24"/>
          <w:szCs w:val="24"/>
          <w:lang w:val="ro-RO"/>
        </w:rPr>
        <w:t xml:space="preserve"> </w:t>
      </w:r>
      <w:bookmarkEnd w:id="0"/>
      <w:r>
        <w:rPr>
          <w:rFonts w:ascii="Tahoma" w:hAnsi="Tahoma" w:cs="Tahoma"/>
          <w:i/>
          <w:iCs/>
          <w:color w:val="auto"/>
          <w:sz w:val="24"/>
          <w:szCs w:val="24"/>
        </w:rPr>
        <w:t>”</w:t>
      </w:r>
      <w:r>
        <w:rPr>
          <w:rFonts w:hint="default" w:ascii="Tahoma" w:hAnsi="Tahoma" w:cs="Tahoma"/>
          <w:i/>
          <w:iCs/>
          <w:color w:val="auto"/>
          <w:sz w:val="24"/>
          <w:szCs w:val="24"/>
          <w:lang w:val="en-US"/>
        </w:rPr>
        <w:t>Alimentare cu energie electrica statie de incarcare microbuz electric 22kw/400V</w:t>
      </w:r>
      <w:r>
        <w:rPr>
          <w:rFonts w:ascii="Tahoma" w:hAnsi="Tahoma" w:cs="Tahoma"/>
          <w:i/>
          <w:iCs/>
          <w:color w:val="auto"/>
          <w:sz w:val="24"/>
          <w:szCs w:val="24"/>
          <w:lang w:val="ro-RO"/>
        </w:rPr>
        <w:t>”</w:t>
      </w:r>
    </w:p>
    <w:p w14:paraId="25291011">
      <w:pPr>
        <w:jc w:val="left"/>
        <w:rPr>
          <w:rFonts w:hint="default" w:ascii="Arial" w:hAnsi="Arial" w:eastAsia="Bitstream Vera Sans" w:cs="Arial"/>
          <w:b/>
          <w:i/>
          <w:iCs/>
          <w:sz w:val="24"/>
          <w:szCs w:val="24"/>
          <w:lang w:val="ro-RO"/>
        </w:rPr>
      </w:pPr>
    </w:p>
    <w:p w14:paraId="1B90FFAC">
      <w:pPr>
        <w:tabs>
          <w:tab w:val="left" w:pos="3405"/>
        </w:tabs>
        <w:jc w:val="left"/>
        <w:rPr>
          <w:rFonts w:hint="default" w:ascii="Arial" w:hAnsi="Arial" w:cs="Arial"/>
          <w:b/>
          <w:sz w:val="24"/>
          <w:szCs w:val="24"/>
          <w:lang w:val="ro-RO"/>
        </w:rPr>
      </w:pPr>
    </w:p>
    <w:p w14:paraId="4D2B37F5">
      <w:pPr>
        <w:tabs>
          <w:tab w:val="left" w:pos="3405"/>
        </w:tabs>
        <w:jc w:val="left"/>
        <w:rPr>
          <w:rFonts w:hint="default" w:ascii="Arial" w:hAnsi="Arial" w:cs="Arial"/>
          <w:b/>
          <w:sz w:val="24"/>
          <w:szCs w:val="24"/>
          <w:lang w:val="ro-RO"/>
        </w:rPr>
      </w:pPr>
    </w:p>
    <w:p w14:paraId="229FCFB0">
      <w:pPr>
        <w:jc w:val="left"/>
        <w:rPr>
          <w:rFonts w:hint="default" w:ascii="Arial" w:hAnsi="Arial" w:eastAsia="Bitstream Vera Sans" w:cs="Arial"/>
          <w:b/>
          <w:i/>
          <w:iCs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 xml:space="preserve">         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Subsemnata </w:t>
      </w:r>
      <w:r>
        <w:rPr>
          <w:rFonts w:hint="default" w:ascii="Tahoma" w:hAnsi="Tahoma" w:cs="Tahoma"/>
          <w:sz w:val="24"/>
          <w:szCs w:val="24"/>
          <w:lang w:val="ro-RO"/>
        </w:rPr>
        <w:t>Ș</w:t>
      </w:r>
      <w:r>
        <w:rPr>
          <w:rFonts w:hint="default" w:ascii="Tahoma" w:hAnsi="Tahoma" w:cs="Tahoma"/>
          <w:i/>
          <w:iCs/>
          <w:sz w:val="24"/>
          <w:szCs w:val="24"/>
          <w:lang w:val="en-US"/>
        </w:rPr>
        <w:t>tefan Gina-Magdalena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av</w:t>
      </w:r>
      <w:r>
        <w:rPr>
          <w:rFonts w:hint="default" w:ascii="Tahoma" w:hAnsi="Tahoma" w:cs="Tahoma"/>
          <w:sz w:val="24"/>
          <w:szCs w:val="24"/>
          <w:lang w:val="ro-RO"/>
        </w:rPr>
        <w:t>â</w:t>
      </w:r>
      <w:r>
        <w:rPr>
          <w:rFonts w:hint="default" w:ascii="Tahoma" w:hAnsi="Tahoma" w:cs="Tahoma"/>
          <w:sz w:val="24"/>
          <w:szCs w:val="24"/>
          <w:lang w:val="en-US"/>
        </w:rPr>
        <w:t>nd func</w:t>
      </w:r>
      <w:r>
        <w:rPr>
          <w:rFonts w:hint="default" w:ascii="Tahoma" w:hAnsi="Tahoma" w:cs="Tahoma"/>
          <w:sz w:val="24"/>
          <w:szCs w:val="24"/>
          <w:lang w:val="ro-RO"/>
        </w:rPr>
        <w:t>ți</w:t>
      </w:r>
      <w:r>
        <w:rPr>
          <w:rFonts w:hint="default" w:ascii="Tahoma" w:hAnsi="Tahoma" w:cs="Tahoma"/>
          <w:sz w:val="24"/>
          <w:szCs w:val="24"/>
          <w:lang w:val="en-US"/>
        </w:rPr>
        <w:t>a de  referent</w:t>
      </w:r>
      <w:r>
        <w:rPr>
          <w:rFonts w:hint="default" w:ascii="Tahoma" w:hAnsi="Tahoma" w:cs="Tahoma"/>
          <w:sz w:val="24"/>
          <w:szCs w:val="24"/>
          <w:lang w:val="ro-RO"/>
        </w:rPr>
        <w:t>,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grad asistent, compartiment  urbanism, lucr</w:t>
      </w:r>
      <w:r>
        <w:rPr>
          <w:rFonts w:hint="default" w:ascii="Tahoma" w:hAnsi="Tahoma" w:cs="Tahoma"/>
          <w:sz w:val="24"/>
          <w:szCs w:val="24"/>
          <w:lang w:val="ro-RO"/>
        </w:rPr>
        <w:t>ă</w:t>
      </w:r>
      <w:r>
        <w:rPr>
          <w:rFonts w:hint="default" w:ascii="Tahoma" w:hAnsi="Tahoma" w:cs="Tahoma"/>
          <w:sz w:val="24"/>
          <w:szCs w:val="24"/>
          <w:lang w:val="en-US"/>
        </w:rPr>
        <w:t>ri publice, protec</w:t>
      </w:r>
      <w:r>
        <w:rPr>
          <w:rFonts w:hint="default" w:ascii="Tahoma" w:hAnsi="Tahoma" w:cs="Tahoma"/>
          <w:sz w:val="24"/>
          <w:szCs w:val="24"/>
          <w:lang w:val="ro-RO"/>
        </w:rPr>
        <w:t>ț</w:t>
      </w:r>
      <w:r>
        <w:rPr>
          <w:rFonts w:hint="default" w:ascii="Tahoma" w:hAnsi="Tahoma" w:cs="Tahoma"/>
          <w:sz w:val="24"/>
          <w:szCs w:val="24"/>
          <w:lang w:val="en-US"/>
        </w:rPr>
        <w:t>ia  mediului, situaţii de urgenţă in cadrul prim</w:t>
      </w:r>
      <w:r>
        <w:rPr>
          <w:rFonts w:hint="default" w:ascii="Tahoma" w:hAnsi="Tahoma" w:cs="Tahoma"/>
          <w:sz w:val="24"/>
          <w:szCs w:val="24"/>
          <w:lang w:val="ro-RO"/>
        </w:rPr>
        <w:t>ă</w:t>
      </w:r>
      <w:r>
        <w:rPr>
          <w:rFonts w:hint="default" w:ascii="Tahoma" w:hAnsi="Tahoma" w:cs="Tahoma"/>
          <w:sz w:val="24"/>
          <w:szCs w:val="24"/>
          <w:lang w:val="en-US"/>
        </w:rPr>
        <w:t>riei comunei Balaciu, luand in considerare referatul de aprobare al dlui primar nr.23/30</w:t>
      </w:r>
      <w:bookmarkStart w:id="2" w:name="_GoBack"/>
      <w:bookmarkEnd w:id="2"/>
      <w:r>
        <w:rPr>
          <w:rFonts w:hint="default" w:ascii="Tahoma" w:hAnsi="Tahoma" w:cs="Tahoma"/>
          <w:sz w:val="24"/>
          <w:szCs w:val="24"/>
          <w:lang w:val="en-US"/>
        </w:rPr>
        <w:t xml:space="preserve">.04.2025 in care sunt prezentate motivele realizarii investitiei si avand in vedere </w:t>
      </w:r>
      <w:r>
        <w:rPr>
          <w:rFonts w:hint="default" w:ascii="Tahoma" w:hAnsi="Tahoma" w:cs="Tahoma"/>
        </w:rPr>
        <w:t xml:space="preserve"> </w:t>
      </w:r>
      <w:r>
        <w:rPr>
          <w:rFonts w:hint="default" w:ascii="Tahoma" w:hAnsi="Tahoma" w:cs="Tahoma"/>
          <w:lang w:val="en-US"/>
        </w:rPr>
        <w:t>n</w:t>
      </w:r>
      <w:r>
        <w:rPr>
          <w:rFonts w:hint="default" w:ascii="Tahoma" w:hAnsi="Tahoma" w:cs="Tahoma"/>
        </w:rPr>
        <w:t xml:space="preserve">ecesitatea asigurării infrastructurii de încărcare pentru microbuze verzi achiziționate </w:t>
      </w:r>
      <w:r>
        <w:rPr>
          <w:rFonts w:hint="default" w:ascii="Tahoma" w:hAnsi="Tahoma" w:cs="Tahoma"/>
          <w:lang w:val="en-US"/>
        </w:rPr>
        <w:t xml:space="preserve">de Consiliul Judetean Ialomita </w:t>
      </w:r>
      <w:r>
        <w:rPr>
          <w:rFonts w:hint="default" w:ascii="Tahoma" w:hAnsi="Tahoma" w:cs="Tahoma"/>
        </w:rPr>
        <w:t>prin PNRR</w:t>
      </w:r>
      <w:r>
        <w:rPr>
          <w:rFonts w:hint="default" w:ascii="Tahoma" w:hAnsi="Tahoma" w:cs="Tahoma"/>
          <w:lang w:val="en-US"/>
        </w:rPr>
        <w:t>,</w:t>
      </w:r>
      <w:r>
        <w:rPr>
          <w:rFonts w:hint="default"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en-US"/>
        </w:rPr>
        <w:t>va rog sa luati in considerare ce</w:t>
      </w:r>
      <w:r>
        <w:rPr>
          <w:rFonts w:hint="default" w:ascii="Arial" w:hAnsi="Arial" w:cs="Arial"/>
          <w:sz w:val="24"/>
          <w:szCs w:val="24"/>
        </w:rPr>
        <w:t>le prezentate, pentru aprobarea</w:t>
      </w:r>
      <w:r>
        <w:rPr>
          <w:rFonts w:ascii="Tahoma" w:hAnsi="Tahoma" w:cs="Tahoma"/>
          <w:bCs/>
          <w:sz w:val="24"/>
          <w:szCs w:val="24"/>
          <w:lang w:val="ro-RO"/>
        </w:rPr>
        <w:t xml:space="preserve"> </w:t>
      </w:r>
      <w:r>
        <w:rPr>
          <w:rStyle w:val="4"/>
          <w:rFonts w:ascii="Tahoma" w:hAnsi="Tahoma" w:eastAsia="Bitstream Vera Sans" w:cs="Tahoma"/>
          <w:bCs/>
          <w:i/>
          <w:iCs/>
          <w:sz w:val="24"/>
          <w:szCs w:val="24"/>
          <w:lang w:val="ro-RO"/>
        </w:rPr>
        <w:t xml:space="preserve"> </w:t>
      </w:r>
      <w:r>
        <w:rPr>
          <w:rStyle w:val="4"/>
          <w:rFonts w:hint="default" w:ascii="Tahoma" w:hAnsi="Tahoma" w:eastAsia="Bitstream Vera Sans" w:cs="Tahoma"/>
          <w:bCs/>
          <w:i/>
          <w:iCs/>
          <w:sz w:val="24"/>
          <w:szCs w:val="24"/>
          <w:lang w:val="en-US"/>
        </w:rPr>
        <w:t xml:space="preserve">PTE , a </w:t>
      </w:r>
      <w:r>
        <w:rPr>
          <w:rStyle w:val="4"/>
          <w:rFonts w:ascii="Tahoma" w:hAnsi="Tahoma" w:eastAsia="Bitstream Vera Sans" w:cs="Tahoma"/>
          <w:bCs/>
          <w:i/>
          <w:iCs/>
          <w:sz w:val="24"/>
          <w:szCs w:val="24"/>
          <w:lang w:val="ro-RO"/>
        </w:rPr>
        <w:t>Devizul</w:t>
      </w:r>
      <w:r>
        <w:rPr>
          <w:rStyle w:val="4"/>
          <w:rFonts w:hint="default" w:ascii="Tahoma" w:hAnsi="Tahoma" w:eastAsia="Bitstream Vera Sans" w:cs="Tahoma"/>
          <w:bCs/>
          <w:i/>
          <w:iCs/>
          <w:sz w:val="24"/>
          <w:szCs w:val="24"/>
          <w:lang w:val="en-US"/>
        </w:rPr>
        <w:t xml:space="preserve">ui si a cheltuielilor aferente </w:t>
      </w:r>
      <w:r>
        <w:rPr>
          <w:rFonts w:hint="default" w:ascii="Arial" w:hAnsi="Arial" w:cs="Arial"/>
          <w:sz w:val="24"/>
          <w:szCs w:val="24"/>
        </w:rPr>
        <w:t>obiectivul</w:t>
      </w:r>
      <w:r>
        <w:rPr>
          <w:rFonts w:hint="default" w:ascii="Arial" w:hAnsi="Arial" w:cs="Arial"/>
          <w:sz w:val="24"/>
          <w:szCs w:val="24"/>
          <w:lang w:val="en-US"/>
        </w:rPr>
        <w:t>ui</w:t>
      </w:r>
      <w:r>
        <w:rPr>
          <w:rFonts w:hint="default" w:ascii="Arial" w:hAnsi="Arial" w:cs="Arial"/>
          <w:sz w:val="24"/>
          <w:szCs w:val="24"/>
        </w:rPr>
        <w:t xml:space="preserve"> de investitii </w:t>
      </w:r>
      <w:r>
        <w:rPr>
          <w:rStyle w:val="4"/>
          <w:rFonts w:ascii="Tahoma" w:hAnsi="Tahoma" w:eastAsia="Bitstream Vera Sans" w:cs="Tahoma"/>
          <w:b/>
          <w:bCs/>
          <w:i/>
          <w:color w:val="auto"/>
          <w:sz w:val="22"/>
          <w:szCs w:val="22"/>
          <w:lang w:val="ro-RO"/>
        </w:rPr>
        <w:t>„</w:t>
      </w:r>
      <w:r>
        <w:rPr>
          <w:rStyle w:val="4"/>
          <w:rFonts w:hint="default" w:ascii="Tahoma" w:hAnsi="Tahoma" w:eastAsia="Bitstream Vera Sans" w:cs="Tahoma"/>
          <w:b/>
          <w:bCs/>
          <w:i/>
          <w:color w:val="auto"/>
          <w:sz w:val="22"/>
          <w:szCs w:val="22"/>
          <w:lang w:val="en-US"/>
        </w:rPr>
        <w:t>Alimentare cu energie electrica statie de incarcare microbuz electric 22kw/400V</w:t>
      </w:r>
      <w:r>
        <w:rPr>
          <w:rStyle w:val="4"/>
          <w:rFonts w:hint="default" w:ascii="Tahoma" w:hAnsi="Tahoma" w:eastAsia="Bitstream Vera Sans" w:cs="Tahoma"/>
          <w:b/>
          <w:bCs/>
          <w:i/>
          <w:color w:val="auto"/>
          <w:sz w:val="22"/>
          <w:szCs w:val="22"/>
          <w:lang w:val="ro-RO"/>
        </w:rPr>
        <w:t>”</w:t>
      </w:r>
      <w:r>
        <w:rPr>
          <w:rFonts w:hint="default"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en-US"/>
        </w:rPr>
        <w:t xml:space="preserve"> in valoare totala de 57.850,00 lei cu TVA</w:t>
      </w:r>
    </w:p>
    <w:p w14:paraId="6A2B3CB6">
      <w:pPr>
        <w:pStyle w:val="5"/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fr-FR"/>
        </w:rPr>
      </w:pPr>
    </w:p>
    <w:p w14:paraId="433DCE19">
      <w:pPr>
        <w:tabs>
          <w:tab w:val="left" w:pos="3405"/>
        </w:tabs>
        <w:rPr>
          <w:b/>
          <w:sz w:val="28"/>
          <w:szCs w:val="28"/>
          <w:lang w:val="ro-RO"/>
        </w:rPr>
      </w:pPr>
    </w:p>
    <w:p w14:paraId="2D6E1C2F">
      <w:pPr>
        <w:tabs>
          <w:tab w:val="left" w:pos="3405"/>
        </w:tabs>
        <w:rPr>
          <w:b/>
          <w:sz w:val="28"/>
          <w:szCs w:val="28"/>
          <w:lang w:val="ro-RO"/>
        </w:rPr>
      </w:pPr>
    </w:p>
    <w:p w14:paraId="7741726A">
      <w:pPr>
        <w:tabs>
          <w:tab w:val="left" w:pos="3405"/>
        </w:tabs>
        <w:rPr>
          <w:b/>
          <w:sz w:val="28"/>
          <w:szCs w:val="28"/>
          <w:lang w:val="ro-RO"/>
        </w:rPr>
      </w:pPr>
    </w:p>
    <w:p w14:paraId="5B15CD9F">
      <w:pPr>
        <w:tabs>
          <w:tab w:val="left" w:pos="3405"/>
        </w:tabs>
        <w:rPr>
          <w:b/>
          <w:sz w:val="28"/>
          <w:szCs w:val="28"/>
          <w:lang w:val="ro-RO"/>
        </w:rPr>
      </w:pPr>
    </w:p>
    <w:p w14:paraId="6BD1B447">
      <w:pPr>
        <w:tabs>
          <w:tab w:val="left" w:pos="930"/>
          <w:tab w:val="left" w:pos="2715"/>
        </w:tabs>
        <w:ind w:firstLine="720"/>
        <w:rPr>
          <w:rFonts w:hint="default"/>
          <w:sz w:val="20"/>
          <w:szCs w:val="20"/>
          <w:lang w:val="en-US"/>
        </w:rPr>
      </w:pPr>
      <w:r>
        <w:rPr>
          <w:sz w:val="36"/>
          <w:szCs w:val="36"/>
          <w:lang w:val="ro-RO"/>
        </w:rPr>
        <w:t xml:space="preserve">       </w:t>
      </w:r>
      <w:r>
        <w:rPr>
          <w:sz w:val="36"/>
          <w:szCs w:val="36"/>
          <w:lang w:val="ro-RO"/>
        </w:rPr>
        <w:tab/>
      </w:r>
      <w:r>
        <w:rPr>
          <w:sz w:val="28"/>
          <w:szCs w:val="28"/>
          <w:lang w:val="ro-RO"/>
        </w:rPr>
        <w:t xml:space="preserve">                 </w:t>
      </w:r>
      <w:r>
        <w:rPr>
          <w:sz w:val="20"/>
          <w:szCs w:val="20"/>
          <w:lang w:val="ro-RO"/>
        </w:rPr>
        <w:t xml:space="preserve">  Intocmit</w:t>
      </w:r>
      <w:r>
        <w:rPr>
          <w:rFonts w:hint="default"/>
          <w:sz w:val="20"/>
          <w:szCs w:val="20"/>
          <w:lang w:val="en-US"/>
        </w:rPr>
        <w:t>,</w:t>
      </w:r>
    </w:p>
    <w:p w14:paraId="2F1538CB">
      <w:pPr>
        <w:tabs>
          <w:tab w:val="left" w:pos="930"/>
          <w:tab w:val="left" w:pos="2715"/>
        </w:tabs>
        <w:ind w:firstLine="72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           </w:t>
      </w:r>
      <w:r>
        <w:rPr>
          <w:rFonts w:hint="default"/>
          <w:sz w:val="20"/>
          <w:szCs w:val="20"/>
          <w:lang w:val="ro-RO"/>
        </w:rPr>
        <w:t xml:space="preserve">              </w:t>
      </w:r>
      <w:r>
        <w:rPr>
          <w:sz w:val="20"/>
          <w:szCs w:val="20"/>
          <w:lang w:val="ro-RO"/>
        </w:rPr>
        <w:t xml:space="preserve"> Compartiment urbanism, lucrari publice</w:t>
      </w:r>
    </w:p>
    <w:p w14:paraId="714EDC6F">
      <w:pPr>
        <w:tabs>
          <w:tab w:val="left" w:pos="930"/>
          <w:tab w:val="left" w:pos="2715"/>
        </w:tabs>
        <w:ind w:firstLine="720"/>
        <w:rPr>
          <w:rFonts w:hint="default"/>
          <w:sz w:val="20"/>
          <w:szCs w:val="20"/>
          <w:lang w:val="en-US"/>
        </w:rPr>
      </w:pPr>
      <w:r>
        <w:rPr>
          <w:sz w:val="20"/>
          <w:szCs w:val="20"/>
          <w:lang w:val="ro-RO"/>
        </w:rPr>
        <w:t xml:space="preserve">                                        </w:t>
      </w:r>
      <w:r>
        <w:rPr>
          <w:rFonts w:hint="default"/>
          <w:sz w:val="20"/>
          <w:szCs w:val="20"/>
          <w:lang w:val="ro-RO"/>
        </w:rPr>
        <w:t xml:space="preserve">              </w:t>
      </w:r>
      <w:r>
        <w:rPr>
          <w:sz w:val="20"/>
          <w:szCs w:val="20"/>
          <w:lang w:val="ro-RO"/>
        </w:rPr>
        <w:t xml:space="preserve"> Referent</w:t>
      </w:r>
      <w:r>
        <w:rPr>
          <w:rFonts w:hint="default"/>
          <w:sz w:val="20"/>
          <w:szCs w:val="20"/>
          <w:lang w:val="en-US"/>
        </w:rPr>
        <w:t xml:space="preserve"> asistent </w:t>
      </w:r>
    </w:p>
    <w:p w14:paraId="6BF6DD00">
      <w:pPr>
        <w:tabs>
          <w:tab w:val="left" w:pos="930"/>
          <w:tab w:val="left" w:pos="2715"/>
        </w:tabs>
        <w:ind w:firstLine="720"/>
      </w:pPr>
      <w:r>
        <w:rPr>
          <w:sz w:val="28"/>
          <w:szCs w:val="28"/>
          <w:lang w:val="ro-RO"/>
        </w:rPr>
        <w:t xml:space="preserve">                                Stefan Gina-Magdalen</w:t>
      </w:r>
      <w:r>
        <w:rPr>
          <w:rFonts w:hint="default"/>
          <w:sz w:val="28"/>
          <w:szCs w:val="28"/>
          <w:lang w:val="ro-RO"/>
        </w:rPr>
        <w:t>a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itstream Vera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02D31"/>
    <w:rsid w:val="0CD425B7"/>
    <w:rsid w:val="11F61337"/>
    <w:rsid w:val="1F5B0B56"/>
    <w:rsid w:val="3C6E58FF"/>
    <w:rsid w:val="4CC40FAE"/>
    <w:rsid w:val="725D0BB3"/>
    <w:rsid w:val="7F102D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uiPriority w:val="0"/>
    <w:rPr>
      <w:rFonts w:hint="default" w:ascii="TimesNewRomanPSMT" w:hAnsi="TimesNewRomanPSMT"/>
      <w:color w:val="000000"/>
      <w:sz w:val="26"/>
      <w:szCs w:val="26"/>
    </w:rPr>
  </w:style>
  <w:style w:type="paragraph" w:styleId="5">
    <w:name w:val="List Paragraph"/>
    <w:basedOn w:val="1"/>
    <w:qFormat/>
    <w:uiPriority w:val="34"/>
    <w:pPr>
      <w:widowControl w:val="0"/>
      <w:autoSpaceDE w:val="0"/>
      <w:autoSpaceDN w:val="0"/>
      <w:spacing w:before="5"/>
      <w:ind w:left="117" w:firstLine="510"/>
    </w:pPr>
    <w:rPr>
      <w:rFonts w:ascii="Arial MT" w:hAnsi="Arial MT" w:eastAsia="Arial MT" w:cs="Arial MT"/>
      <w:sz w:val="22"/>
      <w:szCs w:val="22"/>
      <w:lang w:val="ro-RO"/>
    </w:rPr>
  </w:style>
  <w:style w:type="character" w:customStyle="1" w:styleId="6">
    <w:name w:val="Body text_"/>
    <w:link w:val="7"/>
    <w:qFormat/>
    <w:uiPriority w:val="99"/>
  </w:style>
  <w:style w:type="paragraph" w:customStyle="1" w:styleId="7">
    <w:name w:val="Body Text1"/>
    <w:basedOn w:val="1"/>
    <w:link w:val="6"/>
    <w:qFormat/>
    <w:uiPriority w:val="99"/>
    <w:pPr>
      <w:widowControl w:val="0"/>
      <w:shd w:val="clear" w:color="auto" w:fill="FFFFFF"/>
      <w:overflowPunct/>
      <w:autoSpaceDE/>
      <w:autoSpaceDN/>
      <w:adjustRightInd/>
      <w:spacing w:after="140" w:line="276" w:lineRule="auto"/>
      <w:textAlignment w:val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2077</Characters>
  <Lines>0</Lines>
  <Paragraphs>0</Paragraphs>
  <TotalTime>48</TotalTime>
  <ScaleCrop>false</ScaleCrop>
  <LinksUpToDate>false</LinksUpToDate>
  <CharactersWithSpaces>2563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2023-05-25T12:13:00Z</dcterms:created>
  <dc:creator>Urbanism Balaciu</dc:creator>
  <cp:lastModifiedBy>Urbanism Balaciu</cp:lastModifiedBy>
  <cp:lastPrinted>2023-06-12T11:55:00Z</cp:lastPrinted>
  <dcterms:modified xsi:type="dcterms:W3CDTF">2025-04-30T07:31:07Z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508EFCCC8D90491FB7D45C973B5BA4B9_13</vt:lpwstr>
  </property>
</Properties>
</file>