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9169389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9169390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A45419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131915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3911D0" w:rsidRDefault="003911D0" w:rsidP="003911D0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132"/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privind </w:t>
      </w:r>
      <w:bookmarkEnd w:id="0"/>
      <w:r w:rsidR="00EB0AC1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darea</w:t>
      </w:r>
      <w:r w:rsidRPr="007326E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în folosință gratuită, pe o perioadă de </w:t>
      </w:r>
      <w:r w:rsidRPr="004F780D">
        <w:rPr>
          <w:rFonts w:ascii="Times New Roman" w:hAnsi="Times New Roman"/>
          <w:b/>
          <w:i/>
          <w:sz w:val="24"/>
          <w:szCs w:val="24"/>
          <w:lang w:val="ro-RO"/>
        </w:rPr>
        <w:t>10 ani,</w:t>
      </w:r>
      <w:r w:rsidRPr="007326E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a spațiului în suprafață utilă totală de 322</w:t>
      </w:r>
      <w:r w:rsidRPr="004F780D">
        <w:rPr>
          <w:rFonts w:ascii="Times New Roman" w:hAnsi="Times New Roman"/>
          <w:b/>
          <w:i/>
          <w:sz w:val="24"/>
          <w:szCs w:val="24"/>
          <w:lang w:val="ro-RO"/>
        </w:rPr>
        <w:t xml:space="preserve">,5 mp, </w:t>
      </w:r>
      <w:r w:rsidR="004F780D" w:rsidRPr="004F780D">
        <w:rPr>
          <w:rFonts w:ascii="Times New Roman" w:hAnsi="Times New Roman"/>
          <w:b/>
          <w:i/>
          <w:sz w:val="24"/>
          <w:szCs w:val="24"/>
          <w:lang w:val="ro-RO"/>
        </w:rPr>
        <w:t>compus din etaj și casa scării,</w:t>
      </w:r>
      <w:r w:rsidR="004F780D">
        <w:rPr>
          <w:rFonts w:ascii="Times New Roman" w:hAnsi="Times New Roman"/>
          <w:b/>
          <w:i/>
          <w:color w:val="FF0000"/>
          <w:sz w:val="24"/>
          <w:szCs w:val="24"/>
          <w:lang w:val="ro-RO"/>
        </w:rPr>
        <w:t xml:space="preserve"> </w:t>
      </w:r>
      <w:r w:rsidRPr="007326E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aflat în imobilul situat în Municipiul Drobeta Turnu Severin, strada Petre Sergescu, numărul 3A, identificat cu NC 61836-C1, </w:t>
      </w:r>
    </w:p>
    <w:p w:rsidR="002A3EF4" w:rsidRDefault="003911D0" w:rsidP="003911D0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7326E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către Centrul Județean de Aparatură Medicală</w:t>
      </w:r>
    </w:p>
    <w:p w:rsidR="002A3EF4" w:rsidRDefault="002A3EF4" w:rsidP="002A3EF4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53CA7" w:rsidRPr="00A3431F" w:rsidRDefault="00C53CA7" w:rsidP="00A3431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:rsidR="00AA0C8D" w:rsidRPr="00523E1A" w:rsidRDefault="00AA0C8D" w:rsidP="00AA0C8D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1" w:name="_Hlk129080139"/>
      <w:bookmarkStart w:id="2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adresa nr.</w:t>
      </w:r>
      <w:r w:rsidR="00060E9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BE513B" w:rsidRPr="00BE513B">
        <w:rPr>
          <w:rFonts w:ascii="Times New Roman" w:hAnsi="Times New Roman"/>
          <w:color w:val="000000" w:themeColor="text1"/>
          <w:sz w:val="24"/>
          <w:szCs w:val="24"/>
          <w:lang w:val="ro-RO"/>
        </w:rPr>
        <w:t>15</w:t>
      </w:r>
      <w:r w:rsidR="0091649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526/24.04.2025 </w:t>
      </w:r>
      <w:r w:rsidR="00BE513B" w:rsidRPr="00BE513B">
        <w:rPr>
          <w:rFonts w:ascii="Times New Roman" w:hAnsi="Times New Roman"/>
          <w:color w:val="000000" w:themeColor="text1"/>
          <w:sz w:val="24"/>
          <w:szCs w:val="24"/>
          <w:lang w:val="ro-RO"/>
        </w:rPr>
        <w:t>formulată de Centrul Județean de Aparatură Medicală Mehedinți</w:t>
      </w:r>
      <w:r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:rsidR="00AA0C8D" w:rsidRPr="003F0049" w:rsidRDefault="00AA0C8D" w:rsidP="003F0049">
      <w:pPr>
        <w:pStyle w:val="Listparagraf"/>
        <w:numPr>
          <w:ilvl w:val="0"/>
          <w:numId w:val="1"/>
        </w:numPr>
        <w:spacing w:after="0"/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r w:rsidRPr="003F0049">
        <w:rPr>
          <w:rFonts w:ascii="Times New Roman" w:hAnsi="Times New Roman"/>
          <w:sz w:val="24"/>
          <w:szCs w:val="24"/>
          <w:lang w:val="ro-RO"/>
        </w:rPr>
        <w:t>certificatul de Înregistrare Fiscală seria</w:t>
      </w:r>
      <w:r w:rsidR="00BE513B" w:rsidRPr="000A2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E513B" w:rsidRPr="00E32DA4">
        <w:rPr>
          <w:rFonts w:ascii="Times New Roman" w:hAnsi="Times New Roman"/>
          <w:sz w:val="24"/>
          <w:szCs w:val="24"/>
          <w:lang w:val="ro-RO"/>
        </w:rPr>
        <w:t xml:space="preserve">R nr. 12623720 al </w:t>
      </w:r>
      <w:r w:rsidR="00BE513B" w:rsidRPr="00E32DA4">
        <w:rPr>
          <w:rFonts w:ascii="Times New Roman" w:hAnsi="Times New Roman"/>
          <w:color w:val="000000" w:themeColor="text1"/>
          <w:sz w:val="24"/>
          <w:szCs w:val="24"/>
          <w:lang w:val="ro-RO"/>
        </w:rPr>
        <w:t>Centrul</w:t>
      </w:r>
      <w:r w:rsidR="00BE513B">
        <w:rPr>
          <w:rFonts w:ascii="Times New Roman" w:hAnsi="Times New Roman"/>
          <w:color w:val="000000" w:themeColor="text1"/>
          <w:sz w:val="24"/>
          <w:szCs w:val="24"/>
          <w:lang w:val="ro-RO"/>
        </w:rPr>
        <w:t>ui</w:t>
      </w:r>
      <w:r w:rsidR="00BE513B" w:rsidRPr="00E32DA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Județean de Aparatură Medicală</w:t>
      </w:r>
      <w:r w:rsidRPr="003F0049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E728B7" w:rsidRDefault="00E728B7" w:rsidP="00E728B7">
      <w:pPr>
        <w:pStyle w:val="Listparagraf"/>
        <w:numPr>
          <w:ilvl w:val="0"/>
          <w:numId w:val="1"/>
        </w:numPr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bookmarkStart w:id="3" w:name="_Hlk129600338"/>
      <w:bookmarkEnd w:id="1"/>
      <w:bookmarkEnd w:id="2"/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 w:rsidRPr="000A220A">
        <w:rPr>
          <w:rFonts w:ascii="Times New Roman" w:hAnsi="Times New Roman"/>
          <w:sz w:val="24"/>
          <w:szCs w:val="24"/>
          <w:lang w:val="ro-RO"/>
        </w:rPr>
        <w:t>art. 362, alin. 2 din OUG 57/2019 privind Codul administrativ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conform cărora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F3631">
        <w:rPr>
          <w:rFonts w:ascii="Times New Roman" w:hAnsi="Times New Roman"/>
          <w:iCs/>
          <w:sz w:val="24"/>
          <w:szCs w:val="24"/>
          <w:lang w:val="ro-RO"/>
        </w:rPr>
        <w:t>”</w:t>
      </w:r>
      <w:r w:rsidRPr="000D7F14">
        <w:rPr>
          <w:rFonts w:ascii="Times New Roman" w:hAnsi="Times New Roman"/>
          <w:i/>
          <w:iCs/>
          <w:sz w:val="24"/>
          <w:szCs w:val="24"/>
          <w:lang w:val="ro-RO"/>
        </w:rPr>
        <w:t>Bunurile proprietate privată a unităţilor administrativ-teritoriale pot fi date în folosinţă gratuită,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pe termen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limitat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, după caz,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0D7F14">
        <w:rPr>
          <w:rFonts w:ascii="Times New Roman" w:hAnsi="Times New Roman"/>
          <w:i/>
          <w:iCs/>
          <w:sz w:val="24"/>
          <w:szCs w:val="24"/>
          <w:lang w:val="ro-RO"/>
        </w:rPr>
        <w:t xml:space="preserve">persoanelor juridice fără scop lucrativ, care desfăşoară activitate de binefacere sau de utilitate publică,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ori serviciilor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public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 w:rsidRPr="00FF3631">
        <w:rPr>
          <w:rFonts w:ascii="Times New Roman" w:hAnsi="Times New Roman"/>
          <w:iCs/>
          <w:sz w:val="24"/>
          <w:szCs w:val="24"/>
          <w:lang w:val="ro-RO"/>
        </w:rPr>
        <w:t>”</w:t>
      </w:r>
      <w:r w:rsidRPr="00FF3631">
        <w:rPr>
          <w:rFonts w:ascii="Times New Roman" w:hAnsi="Times New Roman"/>
          <w:sz w:val="24"/>
          <w:szCs w:val="24"/>
          <w:lang w:val="ro-RO"/>
        </w:rPr>
        <w:t>;</w:t>
      </w:r>
    </w:p>
    <w:p w:rsidR="00E728B7" w:rsidRPr="006269DD" w:rsidRDefault="00E728B7" w:rsidP="00E728B7">
      <w:pPr>
        <w:pStyle w:val="Listparagraf"/>
        <w:ind w:left="0" w:firstLine="45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- </w:t>
      </w:r>
      <w:r w:rsidRPr="006269DD">
        <w:rPr>
          <w:rFonts w:ascii="Times New Roman" w:hAnsi="Times New Roman"/>
          <w:sz w:val="24"/>
          <w:szCs w:val="24"/>
          <w:lang w:val="ro-RO"/>
        </w:rPr>
        <w:t>dispozițiile art. 19, alin. 1 din Legea nr. 95/2006 privind reforma în domeniul sănătății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F3631">
        <w:rPr>
          <w:rFonts w:ascii="Times New Roman" w:hAnsi="Times New Roman"/>
          <w:iCs/>
          <w:sz w:val="24"/>
          <w:szCs w:val="24"/>
          <w:lang w:val="ro-RO"/>
        </w:rPr>
        <w:t>”</w:t>
      </w:r>
      <w:r w:rsidRPr="006269DD">
        <w:rPr>
          <w:rFonts w:ascii="Times New Roman" w:hAnsi="Times New Roman"/>
          <w:i/>
          <w:iCs/>
          <w:sz w:val="24"/>
          <w:szCs w:val="24"/>
          <w:lang w:val="ro-RO"/>
        </w:rPr>
        <w:t>În subordinea direcţiilor de sănătate publică funcţionează unităţi sanitare publice de pe raza teritoriului arondat, cu excepţia unităţilor sanitare publice de interes naţional sau a celor aparţinând ministerelor ori instituţiilor cu reţele sanitare proprii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.</w:t>
      </w:r>
      <w:r w:rsidRPr="00FF3631">
        <w:rPr>
          <w:rFonts w:ascii="Times New Roman" w:hAnsi="Times New Roman"/>
          <w:iCs/>
          <w:sz w:val="24"/>
          <w:szCs w:val="24"/>
          <w:lang w:val="ro-RO"/>
        </w:rPr>
        <w:t>”</w:t>
      </w:r>
      <w:r w:rsidRPr="00FF3631">
        <w:rPr>
          <w:rFonts w:ascii="Times New Roman" w:hAnsi="Times New Roman"/>
          <w:sz w:val="24"/>
          <w:szCs w:val="24"/>
          <w:lang w:val="ro-RO"/>
        </w:rPr>
        <w:t>;</w:t>
      </w:r>
    </w:p>
    <w:p w:rsidR="00E728B7" w:rsidRPr="00E728B7" w:rsidRDefault="00E728B7" w:rsidP="00E728B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6269DD">
        <w:rPr>
          <w:rFonts w:ascii="Times New Roman" w:hAnsi="Times New Roman"/>
          <w:sz w:val="24"/>
          <w:szCs w:val="24"/>
          <w:lang w:val="ro-RO"/>
        </w:rPr>
        <w:t>dispozițiile art. 2 din Ordinul Ministerului Sănătății nr. 33/2000 privind reorganizarea atelierelor judeţene de întreţinere şi reparaţii ale aparaturii medicale conform cărora</w:t>
      </w:r>
      <w:r w:rsidRPr="006269DD">
        <w:rPr>
          <w:rFonts w:ascii="Times New Roman" w:hAnsi="Times New Roman"/>
          <w:sz w:val="24"/>
          <w:szCs w:val="24"/>
        </w:rPr>
        <w:t>:</w:t>
      </w:r>
      <w:r w:rsidRPr="006269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69DD">
        <w:rPr>
          <w:rFonts w:ascii="Times New Roman" w:hAnsi="Times New Roman"/>
          <w:i/>
          <w:iCs/>
          <w:sz w:val="24"/>
          <w:szCs w:val="24"/>
          <w:lang w:val="ro-RO"/>
        </w:rPr>
        <w:t>”Centrele judeţene de aparatură medicală sunt unităţi sanitare cu personalitate juridică în subordinea direcţiilor de sănătate publică şi funcţionează pe principiul autogestiunii, finanţarea realizându-se integral din venituri extrabugetare.”</w:t>
      </w:r>
      <w:r w:rsidRPr="006269DD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FF4811" w:rsidRPr="00523E1A" w:rsidRDefault="00FF4811" w:rsidP="00E728B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</w:t>
      </w:r>
      <w:r w:rsidR="00352E84" w:rsidRPr="00352E84">
        <w:rPr>
          <w:rFonts w:ascii="Times New Roman" w:hAnsi="Times New Roman"/>
          <w:sz w:val="24"/>
          <w:szCs w:val="24"/>
          <w:lang w:val="ro-RO"/>
        </w:rPr>
        <w:t>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g)</w:t>
      </w:r>
      <w:r w:rsidR="001E655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entitatea care suportă cheltuielile de întreţinere a bunului, potrivit destinaţiei sale; h) modalităţi de angajare a răspunderii şi sancţiuni.”</w:t>
      </w:r>
      <w:r w:rsidRPr="00060E9E">
        <w:rPr>
          <w:rFonts w:ascii="Times New Roman" w:hAnsi="Times New Roman"/>
          <w:sz w:val="24"/>
          <w:szCs w:val="24"/>
          <w:lang w:val="ro-RO"/>
        </w:rPr>
        <w:t>;</w:t>
      </w:r>
      <w:bookmarkEnd w:id="3"/>
    </w:p>
    <w:p w:rsidR="00143D4E" w:rsidRPr="00523E1A" w:rsidRDefault="00143D4E" w:rsidP="00131915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lastRenderedPageBreak/>
        <w:t>avizele comisiilor de specialitate ale Consiliului Local al Municipiului Drobeta Turnu Severin;</w:t>
      </w:r>
    </w:p>
    <w:p w:rsidR="009226AC" w:rsidRPr="00523E1A" w:rsidRDefault="00051499" w:rsidP="00143D4E">
      <w:pPr>
        <w:pStyle w:val="Listparagraf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051499" w:rsidRPr="00B45BDC" w:rsidRDefault="00AE7D9D" w:rsidP="00E728B7">
      <w:pPr>
        <w:pStyle w:val="Listparagraf"/>
        <w:ind w:left="0" w:firstLine="450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>, propun ca în sedința Consiliului Local al Municipiului Drobeta Turnu Severin,</w:t>
      </w:r>
      <w:r w:rsidR="00A15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A15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8847BB" w:rsidRPr="00B45BDC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ă</w:t>
      </w:r>
      <w:bookmarkStart w:id="4" w:name="_Hlk129080393"/>
      <w:r w:rsidR="00E728B7" w:rsidRPr="00E728B7">
        <w:rPr>
          <w:rFonts w:ascii="Times New Roman" w:hAnsi="Times New Roman"/>
          <w:sz w:val="24"/>
          <w:szCs w:val="24"/>
          <w:lang w:val="ro-RO"/>
        </w:rPr>
        <w:t xml:space="preserve">, pe o perioadă de 10 ani, a spațiului în suprafață utilă totală de 322,5 mp, </w:t>
      </w:r>
      <w:r w:rsidR="004F780D" w:rsidRPr="00E728B7">
        <w:rPr>
          <w:rFonts w:ascii="Times New Roman" w:hAnsi="Times New Roman"/>
          <w:sz w:val="24"/>
          <w:szCs w:val="24"/>
          <w:lang w:val="ro-RO"/>
        </w:rPr>
        <w:t>com</w:t>
      </w:r>
      <w:r w:rsidR="004F780D">
        <w:rPr>
          <w:rFonts w:ascii="Times New Roman" w:hAnsi="Times New Roman"/>
          <w:sz w:val="24"/>
          <w:szCs w:val="24"/>
          <w:lang w:val="ro-RO"/>
        </w:rPr>
        <w:t xml:space="preserve">pus din etaj și casa scării, </w:t>
      </w:r>
      <w:r w:rsidR="00E728B7" w:rsidRPr="00E728B7">
        <w:rPr>
          <w:rFonts w:ascii="Times New Roman" w:hAnsi="Times New Roman"/>
          <w:sz w:val="24"/>
          <w:szCs w:val="24"/>
          <w:lang w:val="ro-RO"/>
        </w:rPr>
        <w:t xml:space="preserve">aflat în imobilul situat în Municipiul Drobeta Turnu Severin, strada Petre Sergescu, numărul 3A, identificat cu NC 61836-C1, </w:t>
      </w:r>
      <w:r w:rsidR="00E728B7">
        <w:rPr>
          <w:rFonts w:ascii="Times New Roman" w:hAnsi="Times New Roman"/>
          <w:sz w:val="24"/>
          <w:szCs w:val="24"/>
          <w:lang w:val="ro-RO"/>
        </w:rPr>
        <w:t>c</w:t>
      </w:r>
      <w:r w:rsidR="00E728B7" w:rsidRPr="00E728B7">
        <w:rPr>
          <w:rFonts w:ascii="Times New Roman" w:hAnsi="Times New Roman"/>
          <w:sz w:val="24"/>
          <w:szCs w:val="24"/>
          <w:lang w:val="ro-RO"/>
        </w:rPr>
        <w:t>ătre Centrul Județean de Aparatură Medicală</w:t>
      </w:r>
      <w:r w:rsidR="00A76B01" w:rsidRPr="00B45BDC">
        <w:rPr>
          <w:rFonts w:ascii="Times New Roman" w:hAnsi="Times New Roman"/>
          <w:sz w:val="24"/>
          <w:szCs w:val="24"/>
          <w:lang w:val="ro-RO"/>
        </w:rPr>
        <w:t>.</w:t>
      </w:r>
    </w:p>
    <w:bookmarkEnd w:id="4"/>
    <w:p w:rsidR="00236410" w:rsidRPr="00AE6E39" w:rsidRDefault="00236410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9226CA" w:rsidRDefault="000B1ED8" w:rsidP="004A0DFA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:rsidR="004045D4" w:rsidRDefault="004045D4" w:rsidP="004045D4">
      <w:pPr>
        <w:rPr>
          <w:rFonts w:ascii="Times New Roman" w:hAnsi="Times New Roman"/>
          <w:sz w:val="26"/>
          <w:szCs w:val="26"/>
          <w:lang w:val="ro-RO"/>
        </w:rPr>
      </w:pPr>
    </w:p>
    <w:p w:rsidR="004045D4" w:rsidRPr="004045D4" w:rsidRDefault="004045D4" w:rsidP="004045D4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045D4" w:rsidRPr="004045D4" w:rsidSect="009C3D43">
      <w:pgSz w:w="11906" w:h="16838" w:code="9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80C81DB4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3019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381"/>
    <w:rsid w:val="00020571"/>
    <w:rsid w:val="00021748"/>
    <w:rsid w:val="00023AC0"/>
    <w:rsid w:val="00047735"/>
    <w:rsid w:val="00051499"/>
    <w:rsid w:val="00060E9E"/>
    <w:rsid w:val="00073D27"/>
    <w:rsid w:val="00082BC8"/>
    <w:rsid w:val="000832B3"/>
    <w:rsid w:val="000865F7"/>
    <w:rsid w:val="000A29ED"/>
    <w:rsid w:val="000B1ED8"/>
    <w:rsid w:val="000D435B"/>
    <w:rsid w:val="00121064"/>
    <w:rsid w:val="00131915"/>
    <w:rsid w:val="001414E0"/>
    <w:rsid w:val="00141803"/>
    <w:rsid w:val="00143D4E"/>
    <w:rsid w:val="00144EB7"/>
    <w:rsid w:val="00145574"/>
    <w:rsid w:val="00165D74"/>
    <w:rsid w:val="00166CBB"/>
    <w:rsid w:val="0016747B"/>
    <w:rsid w:val="00194528"/>
    <w:rsid w:val="001A29ED"/>
    <w:rsid w:val="001C0373"/>
    <w:rsid w:val="001C3266"/>
    <w:rsid w:val="001E5D77"/>
    <w:rsid w:val="001E6555"/>
    <w:rsid w:val="00207131"/>
    <w:rsid w:val="002147AD"/>
    <w:rsid w:val="00236410"/>
    <w:rsid w:val="002410F8"/>
    <w:rsid w:val="0026695A"/>
    <w:rsid w:val="0027030C"/>
    <w:rsid w:val="0028061B"/>
    <w:rsid w:val="002872D0"/>
    <w:rsid w:val="00291E62"/>
    <w:rsid w:val="002A3EF4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911D0"/>
    <w:rsid w:val="003C7DC6"/>
    <w:rsid w:val="003D0163"/>
    <w:rsid w:val="003E7695"/>
    <w:rsid w:val="003F0049"/>
    <w:rsid w:val="004045D4"/>
    <w:rsid w:val="00426718"/>
    <w:rsid w:val="0043765F"/>
    <w:rsid w:val="00473120"/>
    <w:rsid w:val="004A0DFA"/>
    <w:rsid w:val="004A7168"/>
    <w:rsid w:val="004C1B7A"/>
    <w:rsid w:val="004D3FD3"/>
    <w:rsid w:val="004E6CB2"/>
    <w:rsid w:val="004F2266"/>
    <w:rsid w:val="004F780D"/>
    <w:rsid w:val="00523E1A"/>
    <w:rsid w:val="0054150B"/>
    <w:rsid w:val="00541DFA"/>
    <w:rsid w:val="00547A42"/>
    <w:rsid w:val="00593AB1"/>
    <w:rsid w:val="00593F24"/>
    <w:rsid w:val="005B7B55"/>
    <w:rsid w:val="005D5639"/>
    <w:rsid w:val="005D7439"/>
    <w:rsid w:val="005F25E0"/>
    <w:rsid w:val="005F6621"/>
    <w:rsid w:val="005F66BE"/>
    <w:rsid w:val="006164EB"/>
    <w:rsid w:val="00631C2E"/>
    <w:rsid w:val="00644038"/>
    <w:rsid w:val="006508D8"/>
    <w:rsid w:val="006A0071"/>
    <w:rsid w:val="006B3201"/>
    <w:rsid w:val="006D1CAD"/>
    <w:rsid w:val="006D59EC"/>
    <w:rsid w:val="006F4B50"/>
    <w:rsid w:val="00702E4C"/>
    <w:rsid w:val="00757789"/>
    <w:rsid w:val="007606B9"/>
    <w:rsid w:val="007665FE"/>
    <w:rsid w:val="0076721F"/>
    <w:rsid w:val="00772C9B"/>
    <w:rsid w:val="00796F02"/>
    <w:rsid w:val="007A59CF"/>
    <w:rsid w:val="007A72AA"/>
    <w:rsid w:val="007B6DD6"/>
    <w:rsid w:val="007C0C8B"/>
    <w:rsid w:val="007C0F42"/>
    <w:rsid w:val="007D26ED"/>
    <w:rsid w:val="007E6F9A"/>
    <w:rsid w:val="00801C7E"/>
    <w:rsid w:val="00806E63"/>
    <w:rsid w:val="00834E0D"/>
    <w:rsid w:val="00835FE8"/>
    <w:rsid w:val="00845A66"/>
    <w:rsid w:val="008521AE"/>
    <w:rsid w:val="008847BB"/>
    <w:rsid w:val="008A35FE"/>
    <w:rsid w:val="008B0E12"/>
    <w:rsid w:val="008B0FCA"/>
    <w:rsid w:val="008B3B76"/>
    <w:rsid w:val="008C1407"/>
    <w:rsid w:val="008C4F8E"/>
    <w:rsid w:val="008D0A9B"/>
    <w:rsid w:val="008D70BF"/>
    <w:rsid w:val="008E0A0B"/>
    <w:rsid w:val="008E5324"/>
    <w:rsid w:val="008F3DBC"/>
    <w:rsid w:val="008F6D72"/>
    <w:rsid w:val="00914AD5"/>
    <w:rsid w:val="00916496"/>
    <w:rsid w:val="009226AC"/>
    <w:rsid w:val="009226CA"/>
    <w:rsid w:val="00941E70"/>
    <w:rsid w:val="00943EC0"/>
    <w:rsid w:val="0097106F"/>
    <w:rsid w:val="0098060C"/>
    <w:rsid w:val="009A16ED"/>
    <w:rsid w:val="009C3D43"/>
    <w:rsid w:val="009D57DF"/>
    <w:rsid w:val="009E5CC8"/>
    <w:rsid w:val="00A15E68"/>
    <w:rsid w:val="00A200CB"/>
    <w:rsid w:val="00A3431F"/>
    <w:rsid w:val="00A35C2F"/>
    <w:rsid w:val="00A45419"/>
    <w:rsid w:val="00A72E1D"/>
    <w:rsid w:val="00A76B01"/>
    <w:rsid w:val="00AA0C8D"/>
    <w:rsid w:val="00AA509B"/>
    <w:rsid w:val="00AC3FB5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4DB8"/>
    <w:rsid w:val="00BE513B"/>
    <w:rsid w:val="00C00939"/>
    <w:rsid w:val="00C1727C"/>
    <w:rsid w:val="00C53CA7"/>
    <w:rsid w:val="00C53F80"/>
    <w:rsid w:val="00C64BD6"/>
    <w:rsid w:val="00CA3B04"/>
    <w:rsid w:val="00CD56A4"/>
    <w:rsid w:val="00D15842"/>
    <w:rsid w:val="00D424AC"/>
    <w:rsid w:val="00D5644E"/>
    <w:rsid w:val="00D6690F"/>
    <w:rsid w:val="00D70910"/>
    <w:rsid w:val="00D85CA2"/>
    <w:rsid w:val="00DC0311"/>
    <w:rsid w:val="00DE3C4B"/>
    <w:rsid w:val="00DF091B"/>
    <w:rsid w:val="00E06E4A"/>
    <w:rsid w:val="00E728B7"/>
    <w:rsid w:val="00E80C96"/>
    <w:rsid w:val="00EA09EC"/>
    <w:rsid w:val="00EA2A59"/>
    <w:rsid w:val="00EB0AC1"/>
    <w:rsid w:val="00EE4FF3"/>
    <w:rsid w:val="00EF0958"/>
    <w:rsid w:val="00F1089E"/>
    <w:rsid w:val="00F56F3C"/>
    <w:rsid w:val="00F611FE"/>
    <w:rsid w:val="00F655B6"/>
    <w:rsid w:val="00F7066D"/>
    <w:rsid w:val="00F738C7"/>
    <w:rsid w:val="00F8214F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2001"/>
  <w15:docId w15:val="{440BA672-A5BE-496A-A580-54E8400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541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146</cp:revision>
  <cp:lastPrinted>2022-07-21T06:20:00Z</cp:lastPrinted>
  <dcterms:created xsi:type="dcterms:W3CDTF">2022-02-14T11:28:00Z</dcterms:created>
  <dcterms:modified xsi:type="dcterms:W3CDTF">2025-05-19T11:17:00Z</dcterms:modified>
</cp:coreProperties>
</file>