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4B932">
      <w:pPr>
        <w:widowControl w:val="0"/>
        <w:jc w:val="center"/>
        <w:rPr>
          <w:rFonts w:ascii="Tahoma" w:hAnsi="Tahoma" w:cs="Tahoma"/>
          <w:lang w:val="pt-BR"/>
        </w:rPr>
      </w:pPr>
      <w:r>
        <w:rPr>
          <w:rFonts w:hint="default" w:ascii="Tahoma" w:hAnsi="Tahoma" w:cs="Tahoma"/>
          <w:lang w:val="ro-RO"/>
        </w:rPr>
        <w:t xml:space="preserve">       </w:t>
      </w:r>
      <w:r>
        <w:rPr>
          <w:rFonts w:ascii="Tahoma" w:hAnsi="Tahoma" w:cs="Tahoma"/>
          <w:lang w:val="pt-BR"/>
        </w:rPr>
        <w:t>ROMÂNIA</w:t>
      </w:r>
    </w:p>
    <w:p w14:paraId="5875B141">
      <w:pPr>
        <w:widowControl w:val="0"/>
        <w:jc w:val="center"/>
        <w:rPr>
          <w:rFonts w:ascii="Tahoma" w:hAnsi="Tahoma" w:cs="Tahoma"/>
          <w:lang w:val="pt-BR"/>
        </w:rPr>
      </w:pPr>
      <w:r>
        <w:rPr>
          <w:rFonts w:hint="default" w:ascii="Tahoma" w:hAnsi="Tahoma" w:cs="Tahoma"/>
          <w:lang w:val="ro-RO"/>
        </w:rPr>
        <w:t xml:space="preserve">      </w:t>
      </w:r>
      <w:r>
        <w:rPr>
          <w:rFonts w:ascii="Tahoma" w:hAnsi="Tahoma" w:cs="Tahoma"/>
          <w:lang w:val="pt-BR"/>
        </w:rPr>
        <w:t>JUDETUL IALOMIŢA</w:t>
      </w:r>
    </w:p>
    <w:p w14:paraId="21DD2952">
      <w:pPr>
        <w:widowControl w:val="0"/>
        <w:jc w:val="center"/>
        <w:rPr>
          <w:rFonts w:ascii="Tahoma" w:hAnsi="Tahoma" w:cs="Tahoma"/>
          <w:lang w:val="pt-BR"/>
        </w:rPr>
      </w:pPr>
      <w:r>
        <w:rPr>
          <w:rFonts w:hint="default" w:ascii="Tahoma" w:hAnsi="Tahoma" w:cs="Tahoma"/>
          <w:lang w:val="ro-RO"/>
        </w:rPr>
        <w:t xml:space="preserve">       </w:t>
      </w:r>
      <w:r>
        <w:rPr>
          <w:rFonts w:ascii="Tahoma" w:hAnsi="Tahoma" w:cs="Tahoma"/>
          <w:lang w:val="pt-BR"/>
        </w:rPr>
        <w:t>COMUNA BALACIU</w:t>
      </w:r>
    </w:p>
    <w:p w14:paraId="098DEBBC">
      <w:pPr>
        <w:widowControl w:val="0"/>
        <w:jc w:val="left"/>
        <w:rPr>
          <w:rFonts w:hint="default" w:ascii="Tahoma" w:hAnsi="Tahoma" w:cs="Tahoma"/>
          <w:lang w:val="ro-RO"/>
        </w:rPr>
      </w:pPr>
      <w:r>
        <w:rPr>
          <w:rFonts w:hint="default" w:ascii="Tahoma" w:hAnsi="Tahoma" w:cs="Tahoma"/>
          <w:sz w:val="18"/>
          <w:szCs w:val="18"/>
          <w:lang w:val="ro-RO"/>
        </w:rPr>
        <w:t xml:space="preserve">          COMPARTIMENT URBANISM, LUCRARI PUBLICE, PROTECTIA MEDIULUI, SITUATII DE URGENTA</w:t>
      </w:r>
    </w:p>
    <w:tbl>
      <w:tblPr>
        <w:tblStyle w:val="5"/>
        <w:tblW w:w="9360" w:type="dxa"/>
        <w:tblInd w:w="159" w:type="dxa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thinThickSmallGap" w:color="auto" w:sz="24" w:space="0"/>
          <w:insideV w:val="thinThickSmallGap" w:color="auto" w:sz="2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6C0BCA6A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thinThickSmallGap" w:color="auto" w:sz="24" w:space="0"/>
            <w:insideV w:val="thinThickSmall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360" w:type="dxa"/>
            <w:tcBorders>
              <w:top w:val="thinThickSmallGap" w:color="auto" w:sz="12" w:space="0"/>
              <w:left w:val="nil"/>
              <w:bottom w:val="thinThickSmallGap" w:color="auto" w:sz="12" w:space="0"/>
              <w:right w:val="nil"/>
            </w:tcBorders>
            <w:noWrap w:val="0"/>
            <w:vAlign w:val="top"/>
          </w:tcPr>
          <w:p w14:paraId="3B7E9E0E">
            <w:pPr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 xml:space="preserve">COMUNA BALACIU, JUD. IALOMIŢA , str. Calea Bucureşti, nr.22  , cod postal 927040, </w:t>
            </w:r>
          </w:p>
          <w:p w14:paraId="705B806A">
            <w:pPr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>Tel./Fax: 0243-261244 / 261058, e-mail: primaria@balaciu.ro</w:t>
            </w:r>
          </w:p>
        </w:tc>
      </w:tr>
    </w:tbl>
    <w:p w14:paraId="465ED1FF">
      <w:pPr>
        <w:tabs>
          <w:tab w:val="left" w:pos="3405"/>
        </w:tabs>
        <w:rPr>
          <w:rFonts w:hint="default"/>
          <w:sz w:val="28"/>
          <w:szCs w:val="28"/>
          <w:lang w:val="ro-RO"/>
        </w:rPr>
      </w:pPr>
      <w:r>
        <w:rPr>
          <w:rFonts w:hint="default"/>
          <w:sz w:val="28"/>
          <w:szCs w:val="28"/>
          <w:lang w:val="ro-RO"/>
        </w:rPr>
        <w:t>Nr.</w:t>
      </w:r>
      <w:r>
        <w:rPr>
          <w:rFonts w:hint="default"/>
          <w:color w:val="auto"/>
          <w:sz w:val="28"/>
          <w:szCs w:val="28"/>
          <w:lang w:val="en-US"/>
        </w:rPr>
        <w:t>2203/10.06</w:t>
      </w:r>
      <w:r>
        <w:rPr>
          <w:rFonts w:hint="default"/>
          <w:sz w:val="28"/>
          <w:szCs w:val="28"/>
          <w:lang w:val="ro-RO"/>
        </w:rPr>
        <w:t>.2025</w:t>
      </w:r>
    </w:p>
    <w:p w14:paraId="0A1FABBB">
      <w:pPr>
        <w:tabs>
          <w:tab w:val="left" w:pos="3405"/>
        </w:tabs>
        <w:rPr>
          <w:rFonts w:hint="default"/>
          <w:sz w:val="28"/>
          <w:szCs w:val="28"/>
          <w:lang w:val="ro-RO"/>
        </w:rPr>
      </w:pPr>
    </w:p>
    <w:p w14:paraId="08B8E3A6">
      <w:pPr>
        <w:tabs>
          <w:tab w:val="left" w:pos="3405"/>
        </w:tabs>
        <w:ind w:firstLine="2401" w:firstLineChars="750"/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o-RO"/>
        </w:rPr>
        <w:t>Raport de specialitate</w:t>
      </w:r>
    </w:p>
    <w:p w14:paraId="4D2B37F5">
      <w:pPr>
        <w:pStyle w:val="2"/>
        <w:keepNext w:val="0"/>
        <w:keepLines w:val="0"/>
        <w:widowControl/>
        <w:suppressLineNumbers w:val="0"/>
        <w:shd w:val="clear" w:fill="FFFFFF"/>
        <w:spacing w:line="12" w:lineRule="atLeast"/>
        <w:ind w:left="0" w:firstLine="0"/>
        <w:jc w:val="center"/>
        <w:rPr>
          <w:rFonts w:hint="default" w:ascii="Times New Roman" w:hAnsi="Times New Roman" w:cs="Times New Roman"/>
          <w:b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o-RO"/>
        </w:rPr>
        <w:t>la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proiectul de hotarare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privind asocierea Unității Administrativ-Teritoriale comuna Balaciu cu Unitatea Administrativ-Teritorială Județul Ialomița în vederea realizării proiectului de interes județean „Creșterea Eficienței Energetice a Clădirilor Publice din Județul Ialomița” din cadrul Programului Regional Sud Muntenia 2021-2027,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/>
        </w:rPr>
        <w:t xml:space="preserve"> 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imobile aflate în domeniul public al comunei Balaciu</w:t>
      </w:r>
    </w:p>
    <w:p w14:paraId="7B1F1A85">
      <w:pPr>
        <w:pStyle w:val="3"/>
        <w:keepNext w:val="0"/>
        <w:keepLines w:val="0"/>
        <w:widowControl/>
        <w:suppressLineNumbers w:val="0"/>
        <w:spacing w:line="12" w:lineRule="atLeast"/>
        <w:ind w:left="0" w:firstLine="0"/>
        <w:jc w:val="both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Subsemnata 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>Ș</w:t>
      </w:r>
      <w:r>
        <w:rPr>
          <w:rFonts w:hint="default" w:ascii="Times New Roman" w:hAnsi="Times New Roman" w:cs="Times New Roman"/>
          <w:i/>
          <w:iCs/>
          <w:sz w:val="22"/>
          <w:szCs w:val="22"/>
          <w:lang w:val="en-US"/>
        </w:rPr>
        <w:t>tefan Gina-Magdalena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av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>â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nd func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>ți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a de  referent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>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grad asistent, compartiment  urbanism, lucr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>ă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ri publice, protec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>ț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ia  mediului, situaţii de urgenţă in cadrul prim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>ă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riei comunei Balaciu, luand in considerare referatul de aprobare al dlui primar nr.29/28.05.2025 si a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sz w:val="22"/>
          <w:szCs w:val="22"/>
        </w:rPr>
        <w:t>nalizând temeiurile juridice, respectiv:</w:t>
      </w:r>
    </w:p>
    <w:p w14:paraId="42CA577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1" w:after="0" w:afterAutospacing="1"/>
        <w:ind w:left="720" w:hanging="360"/>
        <w:jc w:val="both"/>
        <w:rPr>
          <w:rFonts w:hint="default" w:ascii="Times New Roman" w:hAnsi="Times New Roman" w:eastAsia="sans-serif" w:cs="Times New Roman"/>
          <w:color w:val="auto"/>
          <w:sz w:val="22"/>
          <w:szCs w:val="22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2"/>
          <w:szCs w:val="22"/>
        </w:rPr>
        <w:t>prevederile 120 si 121 alin.(1) şi (2) din Constituţia României, republicată;       </w:t>
      </w:r>
    </w:p>
    <w:p w14:paraId="6D35822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1" w:after="0" w:afterAutospacing="1"/>
        <w:ind w:left="720" w:hanging="360"/>
        <w:jc w:val="both"/>
        <w:rPr>
          <w:rFonts w:hint="default" w:ascii="Times New Roman" w:hAnsi="Times New Roman" w:eastAsia="sans-serif" w:cs="Times New Roman"/>
          <w:color w:val="auto"/>
          <w:sz w:val="22"/>
          <w:szCs w:val="22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2"/>
          <w:szCs w:val="22"/>
        </w:rPr>
        <w:t>prevederile art.8 şi 9 din Carta europeană a autonomiei locale, adoptată la Strasbourg la 15.10.1985, ratificată prin Legea nr.199/1997; </w:t>
      </w:r>
    </w:p>
    <w:p w14:paraId="3F34FA7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1" w:after="0" w:afterAutospacing="1"/>
        <w:ind w:left="720" w:hanging="360"/>
        <w:jc w:val="both"/>
        <w:rPr>
          <w:rFonts w:hint="default" w:ascii="Times New Roman" w:hAnsi="Times New Roman" w:eastAsia="sans-serif" w:cs="Times New Roman"/>
          <w:color w:val="auto"/>
          <w:sz w:val="22"/>
          <w:szCs w:val="22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2"/>
          <w:szCs w:val="22"/>
        </w:rPr>
        <w:t>art.3 ,art.96 alin.(1-3), art.106 alin.(1) art.129 alin.(9) lit.a) raportat la alin.(2) lit.e), art.140 alin.(1), art.197,art.198 , art.240 alin.(1) art. 243 alin. (1) lit.a)  din Ordonanta de Urgenţă a Guvernului nr.57/2019 privind Codul administrativ, cu modificările şi completările ulterioare, coroborate cu cele ale art. 1 alin. (1) şi alin. (2) lit. b) şi d) din anexa nr. 1 la aceasta;</w:t>
      </w:r>
    </w:p>
    <w:p w14:paraId="6D6E590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1" w:after="0" w:afterAutospacing="1"/>
        <w:ind w:left="720" w:hanging="360"/>
        <w:jc w:val="both"/>
        <w:rPr>
          <w:rFonts w:hint="default" w:ascii="Times New Roman" w:hAnsi="Times New Roman" w:eastAsia="sans-serif" w:cs="Times New Roman"/>
          <w:color w:val="auto"/>
          <w:sz w:val="22"/>
          <w:szCs w:val="22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2"/>
          <w:szCs w:val="22"/>
        </w:rPr>
        <w:t>Programul Regional Sud Muntenia 2021-2027, Prioritatea 2 – „O regiune cu orașe prietenoase cu mediu”, Operațiunea D – „Promovarea eficienței energetice și reducerea emisiilor de gaze cu efect de seră prin investiții în clădiri publice, ale căror documentații tehnice au fost elaborate în cadrul Contractului de finanțare a serviciilor de dezvoltare a proiectelor cu nr. ELENA - 2019 - 154, finanțat din Horizon 2020 Energy Efficency Focus”, APEL PRSM/638/PRSM_P2/OP2 – „Promovarea eficienței energetice și reducerea emisiilor de gaze cu efect de seră prin investiții în clădiri publice – Facilitatea ELENA”;</w:t>
      </w:r>
    </w:p>
    <w:p w14:paraId="2A07601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1" w:after="0" w:afterAutospacing="1"/>
        <w:ind w:left="720" w:hanging="360"/>
        <w:jc w:val="both"/>
        <w:rPr>
          <w:rFonts w:hint="default" w:ascii="Times New Roman" w:hAnsi="Times New Roman" w:eastAsia="sans-serif" w:cs="Times New Roman"/>
          <w:color w:val="auto"/>
          <w:sz w:val="22"/>
          <w:szCs w:val="22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2"/>
          <w:szCs w:val="22"/>
        </w:rPr>
        <w:t>Legea nr. 315/2004 privind dezvoltarea regională în România, cu modificările și completările ulterioare;</w:t>
      </w:r>
    </w:p>
    <w:p w14:paraId="67E6346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1" w:after="0" w:afterAutospacing="1"/>
        <w:ind w:left="720" w:hanging="360"/>
        <w:jc w:val="both"/>
        <w:rPr>
          <w:rFonts w:hint="default" w:ascii="Times New Roman" w:hAnsi="Times New Roman" w:eastAsia="sans-serif" w:cs="Times New Roman"/>
          <w:color w:val="auto"/>
          <w:sz w:val="22"/>
          <w:szCs w:val="22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2"/>
          <w:szCs w:val="22"/>
        </w:rPr>
        <w:t>prevederile Directivei UE 2012/27/ privind eficiența energetică;</w:t>
      </w:r>
    </w:p>
    <w:p w14:paraId="49EEED9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1" w:after="0" w:afterAutospacing="1"/>
        <w:ind w:left="720" w:hanging="360"/>
        <w:jc w:val="both"/>
        <w:rPr>
          <w:rFonts w:hint="default" w:ascii="Times New Roman" w:hAnsi="Times New Roman" w:eastAsia="sans-serif" w:cs="Times New Roman"/>
          <w:color w:val="auto"/>
          <w:sz w:val="22"/>
          <w:szCs w:val="22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2"/>
          <w:szCs w:val="22"/>
        </w:rPr>
        <w:t>prevederile Ordonanței de Urgență a Guvernului nr.133/2021 privind gestionarea financiară a fondurilor europene pentru perioada de programare 2021-2027 alocate României din Fondul european de dezvoltare regională, Fondul de coeziune, Fondul social european Plus, Fondul pentru o tranziție justă</w:t>
      </w:r>
      <w:r>
        <w:rPr>
          <w:rFonts w:hint="default" w:eastAsia="sans-serif" w:cs="Times New Roman"/>
          <w:i w:val="0"/>
          <w:iCs w:val="0"/>
          <w:caps w:val="0"/>
          <w:color w:val="auto"/>
          <w:spacing w:val="0"/>
          <w:sz w:val="22"/>
          <w:szCs w:val="22"/>
          <w:lang w:val="en-US"/>
        </w:rPr>
        <w:t>.</w:t>
      </w:r>
    </w:p>
    <w:p w14:paraId="229FCFB0">
      <w:pPr>
        <w:jc w:val="left"/>
        <w:rPr>
          <w:rFonts w:hint="default" w:ascii="Arial" w:hAnsi="Arial" w:eastAsia="Bitstream Vera Sans" w:cs="Arial"/>
          <w:b/>
          <w:i/>
          <w:iCs/>
          <w:sz w:val="24"/>
          <w:szCs w:val="24"/>
          <w:lang w:val="en-US"/>
        </w:rPr>
      </w:pPr>
      <w:r>
        <w:rPr>
          <w:rFonts w:hint="default" w:eastAsia="sans-serif"/>
          <w:color w:val="auto"/>
          <w:sz w:val="22"/>
          <w:szCs w:val="22"/>
          <w:lang w:val="en-US"/>
        </w:rPr>
        <w:t>Față de cele prezentate propun spre aprobare prezentul proiect de hotărâre.</w:t>
      </w:r>
      <w:bookmarkStart w:id="0" w:name="_GoBack"/>
      <w:bookmarkEnd w:id="0"/>
    </w:p>
    <w:p w14:paraId="5B15CD9F">
      <w:pPr>
        <w:tabs>
          <w:tab w:val="left" w:pos="3405"/>
        </w:tabs>
        <w:rPr>
          <w:b/>
          <w:sz w:val="28"/>
          <w:szCs w:val="28"/>
          <w:lang w:val="ro-RO"/>
        </w:rPr>
      </w:pPr>
    </w:p>
    <w:p w14:paraId="6BD1B447">
      <w:pPr>
        <w:tabs>
          <w:tab w:val="left" w:pos="930"/>
          <w:tab w:val="left" w:pos="2715"/>
        </w:tabs>
        <w:ind w:firstLine="720"/>
        <w:rPr>
          <w:rFonts w:hint="default"/>
          <w:sz w:val="20"/>
          <w:szCs w:val="20"/>
          <w:lang w:val="en-US"/>
        </w:rPr>
      </w:pPr>
      <w:r>
        <w:rPr>
          <w:sz w:val="36"/>
          <w:szCs w:val="36"/>
          <w:lang w:val="ro-RO"/>
        </w:rPr>
        <w:t xml:space="preserve">       </w:t>
      </w:r>
      <w:r>
        <w:rPr>
          <w:sz w:val="36"/>
          <w:szCs w:val="36"/>
          <w:lang w:val="ro-RO"/>
        </w:rPr>
        <w:tab/>
      </w:r>
      <w:r>
        <w:rPr>
          <w:sz w:val="28"/>
          <w:szCs w:val="28"/>
          <w:lang w:val="ro-RO"/>
        </w:rPr>
        <w:t xml:space="preserve">                 </w:t>
      </w:r>
      <w:r>
        <w:rPr>
          <w:sz w:val="20"/>
          <w:szCs w:val="20"/>
          <w:lang w:val="ro-RO"/>
        </w:rPr>
        <w:t xml:space="preserve">  Intocmit</w:t>
      </w:r>
      <w:r>
        <w:rPr>
          <w:rFonts w:hint="default"/>
          <w:sz w:val="20"/>
          <w:szCs w:val="20"/>
          <w:lang w:val="en-US"/>
        </w:rPr>
        <w:t>,</w:t>
      </w:r>
    </w:p>
    <w:p w14:paraId="2F1538CB">
      <w:pPr>
        <w:tabs>
          <w:tab w:val="left" w:pos="930"/>
          <w:tab w:val="left" w:pos="2715"/>
        </w:tabs>
        <w:ind w:firstLine="72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                    </w:t>
      </w:r>
      <w:r>
        <w:rPr>
          <w:rFonts w:hint="default"/>
          <w:sz w:val="20"/>
          <w:szCs w:val="20"/>
          <w:lang w:val="ro-RO"/>
        </w:rPr>
        <w:t xml:space="preserve">              </w:t>
      </w:r>
      <w:r>
        <w:rPr>
          <w:sz w:val="20"/>
          <w:szCs w:val="20"/>
          <w:lang w:val="ro-RO"/>
        </w:rPr>
        <w:t xml:space="preserve"> Compartiment urbanism, lucrari publice</w:t>
      </w:r>
    </w:p>
    <w:p w14:paraId="714EDC6F">
      <w:pPr>
        <w:tabs>
          <w:tab w:val="left" w:pos="930"/>
          <w:tab w:val="left" w:pos="2715"/>
        </w:tabs>
        <w:ind w:firstLine="720"/>
        <w:rPr>
          <w:rFonts w:hint="default"/>
          <w:sz w:val="20"/>
          <w:szCs w:val="20"/>
          <w:lang w:val="en-US"/>
        </w:rPr>
      </w:pPr>
      <w:r>
        <w:rPr>
          <w:sz w:val="20"/>
          <w:szCs w:val="20"/>
          <w:lang w:val="ro-RO"/>
        </w:rPr>
        <w:t xml:space="preserve">                                        </w:t>
      </w:r>
      <w:r>
        <w:rPr>
          <w:rFonts w:hint="default"/>
          <w:sz w:val="20"/>
          <w:szCs w:val="20"/>
          <w:lang w:val="ro-RO"/>
        </w:rPr>
        <w:t xml:space="preserve">              </w:t>
      </w:r>
      <w:r>
        <w:rPr>
          <w:sz w:val="20"/>
          <w:szCs w:val="20"/>
          <w:lang w:val="ro-RO"/>
        </w:rPr>
        <w:t xml:space="preserve"> Referent</w:t>
      </w:r>
      <w:r>
        <w:rPr>
          <w:rFonts w:hint="default"/>
          <w:sz w:val="20"/>
          <w:szCs w:val="20"/>
          <w:lang w:val="en-US"/>
        </w:rPr>
        <w:t xml:space="preserve"> asistent </w:t>
      </w:r>
    </w:p>
    <w:p w14:paraId="6BF6DD00">
      <w:pPr>
        <w:tabs>
          <w:tab w:val="left" w:pos="930"/>
          <w:tab w:val="left" w:pos="2715"/>
        </w:tabs>
        <w:ind w:firstLine="720"/>
      </w:pPr>
      <w:r>
        <w:rPr>
          <w:sz w:val="28"/>
          <w:szCs w:val="28"/>
          <w:lang w:val="ro-RO"/>
        </w:rPr>
        <w:t xml:space="preserve">                                Stefan Gina-Magdalen</w:t>
      </w:r>
      <w:r>
        <w:rPr>
          <w:rFonts w:hint="default"/>
          <w:sz w:val="28"/>
          <w:szCs w:val="28"/>
          <w:lang w:val="ro-RO"/>
        </w:rPr>
        <w:t>a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itstream Vera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6BADD0"/>
    <w:multiLevelType w:val="multilevel"/>
    <w:tmpl w:val="746BADD0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02D31"/>
    <w:rsid w:val="0CD425B7"/>
    <w:rsid w:val="11F61337"/>
    <w:rsid w:val="1F5B0B56"/>
    <w:rsid w:val="3C6E58FF"/>
    <w:rsid w:val="4356541B"/>
    <w:rsid w:val="4CC40FAE"/>
    <w:rsid w:val="6D7A3113"/>
    <w:rsid w:val="725D0BB3"/>
    <w:rsid w:val="7F102D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style01"/>
    <w:uiPriority w:val="0"/>
    <w:rPr>
      <w:rFonts w:hint="default" w:ascii="TimesNewRomanPSMT" w:hAnsi="TimesNewRomanPSMT"/>
      <w:color w:val="000000"/>
      <w:sz w:val="26"/>
      <w:szCs w:val="26"/>
    </w:rPr>
  </w:style>
  <w:style w:type="paragraph" w:styleId="7">
    <w:name w:val="List Paragraph"/>
    <w:basedOn w:val="1"/>
    <w:qFormat/>
    <w:uiPriority w:val="34"/>
    <w:pPr>
      <w:widowControl w:val="0"/>
      <w:autoSpaceDE w:val="0"/>
      <w:autoSpaceDN w:val="0"/>
      <w:spacing w:before="5"/>
      <w:ind w:left="117" w:firstLine="510"/>
    </w:pPr>
    <w:rPr>
      <w:rFonts w:ascii="Arial MT" w:hAnsi="Arial MT" w:eastAsia="Arial MT" w:cs="Arial MT"/>
      <w:sz w:val="22"/>
      <w:szCs w:val="22"/>
      <w:lang w:val="ro-RO"/>
    </w:rPr>
  </w:style>
  <w:style w:type="character" w:customStyle="1" w:styleId="8">
    <w:name w:val="Body text_"/>
    <w:link w:val="9"/>
    <w:qFormat/>
    <w:uiPriority w:val="99"/>
  </w:style>
  <w:style w:type="paragraph" w:customStyle="1" w:styleId="9">
    <w:name w:val="Body Text1"/>
    <w:basedOn w:val="1"/>
    <w:link w:val="8"/>
    <w:qFormat/>
    <w:uiPriority w:val="99"/>
    <w:pPr>
      <w:widowControl w:val="0"/>
      <w:shd w:val="clear" w:color="auto" w:fill="FFFFFF"/>
      <w:overflowPunct/>
      <w:autoSpaceDE/>
      <w:autoSpaceDN/>
      <w:adjustRightInd/>
      <w:spacing w:after="140" w:line="276" w:lineRule="auto"/>
      <w:textAlignment w:val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2077</Characters>
  <Lines>0</Lines>
  <Paragraphs>0</Paragraphs>
  <TotalTime>76</TotalTime>
  <ScaleCrop>false</ScaleCrop>
  <LinksUpToDate>false</LinksUpToDate>
  <CharactersWithSpaces>2563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2023-05-25T12:13:00Z</dcterms:created>
  <dc:creator>Urbanism Balaciu</dc:creator>
  <cp:lastModifiedBy>Urbanism Balaciu</cp:lastModifiedBy>
  <cp:lastPrinted>2025-06-11T05:23:55Z</cp:lastPrinted>
  <dcterms:modified xsi:type="dcterms:W3CDTF">2025-06-11T05:27:08Z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CB2636CB4B2C4958BDC7E94A9DCFF678_13</vt:lpwstr>
  </property>
</Properties>
</file>