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D1991">
      <w:pPr>
        <w:tabs>
          <w:tab w:val="left" w:pos="930"/>
        </w:tabs>
        <w:rPr>
          <w:lang w:val="ro-RO"/>
        </w:rPr>
      </w:pPr>
      <w:r>
        <w:rPr>
          <w:lang w:val="ro-RO"/>
        </w:rPr>
        <w:t xml:space="preserve"> </w:t>
      </w:r>
    </w:p>
    <w:p w14:paraId="754C27BF">
      <w:pPr>
        <w:tabs>
          <w:tab w:val="left" w:pos="930"/>
        </w:tabs>
        <w:rPr>
          <w:rFonts w:ascii="Tahoma" w:hAnsi="Tahoma" w:cs="Tahoma"/>
          <w:sz w:val="36"/>
          <w:szCs w:val="36"/>
          <w:lang w:val="ro-RO"/>
        </w:rPr>
      </w:pPr>
      <w:r>
        <w:rPr>
          <w:rFonts w:ascii="Tahoma" w:hAnsi="Tahoma" w:cs="Tahoma"/>
          <w:sz w:val="36"/>
          <w:szCs w:val="36"/>
          <w:lang w:val="ro-RO"/>
        </w:rPr>
        <w:t xml:space="preserve"> </w:t>
      </w:r>
    </w:p>
    <w:p w14:paraId="4AD91255">
      <w:pPr>
        <w:tabs>
          <w:tab w:val="left" w:pos="930"/>
        </w:tabs>
        <w:suppressAutoHyphens/>
        <w:ind w:firstLine="220" w:firstLineChars="100"/>
        <w:rPr>
          <w:rFonts w:ascii="Tahoma" w:hAnsi="Tahoma" w:eastAsia="Times New Roman" w:cs="Tahoma"/>
          <w:sz w:val="22"/>
          <w:szCs w:val="22"/>
          <w:lang w:val="ro-RO" w:eastAsia="ar-SA"/>
        </w:rPr>
      </w:pPr>
      <w:r>
        <w:rPr>
          <w:rFonts w:ascii="Tahoma" w:hAnsi="Tahoma" w:eastAsia="Times New Roman" w:cs="Tahoma"/>
          <w:sz w:val="22"/>
          <w:szCs w:val="22"/>
          <w:lang w:val="ro-RO" w:eastAsia="ar-SA"/>
        </w:rPr>
        <w:t xml:space="preserve"> </w:t>
      </w:r>
      <w:r>
        <w:rPr>
          <w:rFonts w:hint="default" w:ascii="Tahoma" w:hAnsi="Tahoma" w:cs="Tahoma"/>
          <w:sz w:val="22"/>
          <w:szCs w:val="22"/>
          <w:lang w:val="en-US" w:eastAsia="ar-SA"/>
        </w:rPr>
        <w:t xml:space="preserve">  </w:t>
      </w:r>
      <w:r>
        <w:rPr>
          <w:rFonts w:ascii="Tahoma" w:hAnsi="Tahoma" w:eastAsia="Times New Roman" w:cs="Tahoma"/>
          <w:sz w:val="22"/>
          <w:szCs w:val="22"/>
          <w:lang w:val="ro-RO" w:eastAsia="ar-SA"/>
        </w:rPr>
        <w:t xml:space="preserve">ROMANIA </w:t>
      </w:r>
    </w:p>
    <w:p w14:paraId="32215ED5">
      <w:pPr>
        <w:tabs>
          <w:tab w:val="left" w:pos="930"/>
        </w:tabs>
        <w:suppressAutoHyphens/>
        <w:rPr>
          <w:rFonts w:ascii="Tahoma" w:hAnsi="Tahoma" w:eastAsia="Times New Roman" w:cs="Tahoma"/>
          <w:sz w:val="22"/>
          <w:szCs w:val="22"/>
          <w:lang w:val="ro-RO" w:eastAsia="ar-SA"/>
        </w:rPr>
      </w:pPr>
      <w:r>
        <w:rPr>
          <w:rFonts w:ascii="Tahoma" w:hAnsi="Tahoma" w:eastAsia="Times New Roman" w:cs="Tahoma"/>
          <w:sz w:val="22"/>
          <w:szCs w:val="22"/>
          <w:lang w:val="ro-RO" w:eastAsia="ar-SA"/>
        </w:rPr>
        <w:t xml:space="preserve">JUDETUL IALOMITA </w:t>
      </w:r>
    </w:p>
    <w:p w14:paraId="66FD5BCA">
      <w:pPr>
        <w:tabs>
          <w:tab w:val="left" w:pos="930"/>
        </w:tabs>
        <w:suppressAutoHyphens/>
        <w:rPr>
          <w:rFonts w:ascii="Tahoma" w:hAnsi="Tahoma" w:eastAsia="Times New Roman" w:cs="Tahoma"/>
          <w:sz w:val="22"/>
          <w:szCs w:val="22"/>
          <w:lang w:val="ro-RO" w:eastAsia="ar-SA"/>
        </w:rPr>
      </w:pPr>
      <w:r>
        <w:rPr>
          <w:rFonts w:ascii="Tahoma" w:hAnsi="Tahoma" w:eastAsia="Times New Roman" w:cs="Tahoma"/>
          <w:sz w:val="22"/>
          <w:szCs w:val="22"/>
          <w:lang w:val="ro-RO" w:eastAsia="ar-SA"/>
        </w:rPr>
        <w:t>COMUNA BALACIU</w:t>
      </w:r>
    </w:p>
    <w:p w14:paraId="6A433311">
      <w:pPr>
        <w:tabs>
          <w:tab w:val="left" w:pos="930"/>
        </w:tabs>
        <w:suppressAutoHyphens/>
        <w:rPr>
          <w:rFonts w:ascii="Tahoma" w:hAnsi="Tahoma" w:eastAsia="Times New Roman" w:cs="Tahoma"/>
          <w:sz w:val="22"/>
          <w:szCs w:val="22"/>
          <w:lang w:val="ro-RO" w:eastAsia="ar-SA"/>
        </w:rPr>
      </w:pPr>
      <w:r>
        <w:rPr>
          <w:rFonts w:ascii="Tahoma" w:hAnsi="Tahoma" w:eastAsia="Times New Roman" w:cs="Tahoma"/>
          <w:sz w:val="22"/>
          <w:szCs w:val="22"/>
          <w:lang w:val="ro-RO" w:eastAsia="ar-SA"/>
        </w:rPr>
        <w:t xml:space="preserve">       PRIMAR</w:t>
      </w:r>
    </w:p>
    <w:p w14:paraId="3A6B16F1">
      <w:pPr>
        <w:tabs>
          <w:tab w:val="left" w:pos="930"/>
        </w:tabs>
        <w:suppressAutoHyphens/>
        <w:rPr>
          <w:rFonts w:ascii="Tahoma" w:hAnsi="Tahoma" w:eastAsia="Times New Roman" w:cs="Tahoma"/>
          <w:sz w:val="22"/>
          <w:szCs w:val="22"/>
          <w:lang w:val="ro-RO" w:eastAsia="ar-SA"/>
        </w:rPr>
      </w:pPr>
      <w:r>
        <w:rPr>
          <w:rFonts w:ascii="Tahoma" w:hAnsi="Tahoma" w:eastAsia="Times New Roman" w:cs="Tahoma"/>
          <w:sz w:val="22"/>
          <w:szCs w:val="22"/>
          <w:lang w:val="ro-RO" w:eastAsia="ar-SA"/>
        </w:rPr>
        <w:t>Nr.34 din 18.06.2025</w:t>
      </w:r>
    </w:p>
    <w:p w14:paraId="38DBA7CC">
      <w:pPr>
        <w:tabs>
          <w:tab w:val="left" w:pos="930"/>
        </w:tabs>
        <w:suppressAutoHyphens/>
        <w:rPr>
          <w:rFonts w:ascii="Tahoma" w:hAnsi="Tahoma" w:eastAsia="Times New Roman" w:cs="Tahoma"/>
          <w:sz w:val="22"/>
          <w:szCs w:val="22"/>
          <w:lang w:val="ro-RO" w:eastAsia="ar-SA"/>
        </w:rPr>
      </w:pPr>
      <w:r>
        <w:rPr>
          <w:rFonts w:ascii="Tahoma" w:hAnsi="Tahoma" w:eastAsia="Times New Roman" w:cs="Tahoma"/>
          <w:sz w:val="22"/>
          <w:szCs w:val="22"/>
          <w:lang w:val="ro-RO" w:eastAsia="ar-SA"/>
        </w:rPr>
        <w:t xml:space="preserve"> </w:t>
      </w:r>
    </w:p>
    <w:p w14:paraId="4CFEAA9A">
      <w:pPr>
        <w:tabs>
          <w:tab w:val="left" w:pos="930"/>
        </w:tabs>
        <w:suppressAutoHyphens/>
        <w:rPr>
          <w:rFonts w:ascii="Tahoma" w:hAnsi="Tahoma" w:eastAsia="Times New Roman" w:cs="Tahoma"/>
          <w:sz w:val="22"/>
          <w:szCs w:val="22"/>
          <w:lang w:val="ro-RO" w:eastAsia="ar-SA"/>
        </w:rPr>
      </w:pPr>
    </w:p>
    <w:p w14:paraId="13E5CBFC">
      <w:pPr>
        <w:tabs>
          <w:tab w:val="left" w:pos="3405"/>
        </w:tabs>
        <w:suppressAutoHyphens/>
        <w:rPr>
          <w:rFonts w:ascii="Tahoma" w:hAnsi="Tahoma" w:eastAsia="Times New Roman" w:cs="Tahoma"/>
          <w:b/>
          <w:sz w:val="22"/>
          <w:szCs w:val="22"/>
          <w:lang w:val="ro-RO" w:eastAsia="ar-SA"/>
        </w:rPr>
      </w:pPr>
      <w:r>
        <w:rPr>
          <w:rFonts w:ascii="Tahoma" w:hAnsi="Tahoma" w:eastAsia="Times New Roman" w:cs="Tahoma"/>
          <w:sz w:val="22"/>
          <w:szCs w:val="22"/>
          <w:lang w:val="ro-RO" w:eastAsia="ar-SA"/>
        </w:rPr>
        <w:tab/>
      </w:r>
      <w:r>
        <w:rPr>
          <w:rFonts w:ascii="Tahoma" w:hAnsi="Tahoma" w:eastAsia="Times New Roman" w:cs="Tahoma"/>
          <w:sz w:val="22"/>
          <w:szCs w:val="22"/>
          <w:lang w:val="ro-RO" w:eastAsia="ar-SA"/>
        </w:rPr>
        <w:t xml:space="preserve"> </w:t>
      </w:r>
      <w:r>
        <w:rPr>
          <w:rFonts w:ascii="Tahoma" w:hAnsi="Tahoma" w:eastAsia="Times New Roman" w:cs="Tahoma"/>
          <w:b/>
          <w:sz w:val="22"/>
          <w:szCs w:val="22"/>
          <w:lang w:val="ro-RO" w:eastAsia="ar-SA"/>
        </w:rPr>
        <w:t>Referat de aprobare</w:t>
      </w:r>
    </w:p>
    <w:p w14:paraId="089C75E9">
      <w:pPr>
        <w:suppressAutoHyphens/>
        <w:spacing w:line="276" w:lineRule="auto"/>
        <w:jc w:val="center"/>
        <w:rPr>
          <w:rFonts w:ascii="Tahoma" w:hAnsi="Tahoma" w:eastAsia="Times New Roman" w:cs="Tahoma"/>
          <w:bCs/>
          <w:i/>
          <w:iCs/>
          <w:sz w:val="22"/>
          <w:szCs w:val="22"/>
          <w:lang w:val="it-CH" w:eastAsia="ar-SA"/>
        </w:rPr>
      </w:pPr>
      <w:bookmarkStart w:id="0" w:name="_GoBack"/>
      <w:r>
        <w:rPr>
          <w:rFonts w:ascii="Tahoma" w:hAnsi="Tahoma" w:eastAsia="Times New Roman" w:cs="Tahoma"/>
          <w:sz w:val="22"/>
          <w:szCs w:val="22"/>
          <w:lang w:val="ro-RO" w:eastAsia="ar-SA"/>
        </w:rPr>
        <w:t xml:space="preserve">la proiectul de hotarare nr. 34 din 18.06.2025  </w:t>
      </w:r>
      <w:r>
        <w:rPr>
          <w:rFonts w:ascii="Tahoma" w:hAnsi="Tahoma" w:eastAsia="Times New Roman" w:cs="Tahoma"/>
          <w:bCs/>
          <w:sz w:val="22"/>
          <w:szCs w:val="22"/>
          <w:lang w:val="it-CH" w:eastAsia="ar-SA"/>
        </w:rPr>
        <w:t>privind aprobarea Documentației de Avizare a Lucrărilor de Intervenție (DALI), a principalilor indicatori tehnico-economici și a devizului general pentru obiectivul de investiții  „</w:t>
      </w:r>
      <w:r>
        <w:rPr>
          <w:rFonts w:ascii="Tahoma" w:hAnsi="Tahoma" w:eastAsia="Times New Roman" w:cs="Tahoma"/>
          <w:bCs/>
          <w:i/>
          <w:iCs/>
          <w:sz w:val="22"/>
          <w:szCs w:val="22"/>
          <w:lang w:val="it-CH" w:eastAsia="ar-SA"/>
        </w:rPr>
        <w:t xml:space="preserve">Creşterea eficienţei energetice a clădirii Şcolii Gimnaziale ,,Arhimandrit Teofil” comuna Balaciu, judeţul Ialomiţa,, </w:t>
      </w:r>
    </w:p>
    <w:bookmarkEnd w:id="0"/>
    <w:p w14:paraId="6DDE1D30">
      <w:pPr>
        <w:suppressAutoHyphens/>
        <w:spacing w:line="276" w:lineRule="auto"/>
        <w:jc w:val="center"/>
        <w:rPr>
          <w:rFonts w:ascii="Tahoma" w:hAnsi="Tahoma" w:eastAsia="Times New Roman" w:cs="Tahoma"/>
          <w:sz w:val="22"/>
          <w:szCs w:val="22"/>
          <w:lang w:val="it-CH" w:eastAsia="ar-SA"/>
        </w:rPr>
      </w:pPr>
    </w:p>
    <w:p w14:paraId="22478A51">
      <w:pPr>
        <w:tabs>
          <w:tab w:val="left" w:pos="420"/>
          <w:tab w:val="left" w:pos="3405"/>
        </w:tabs>
        <w:suppressAutoHyphens/>
        <w:rPr>
          <w:rFonts w:ascii="Tahoma" w:hAnsi="Tahoma" w:eastAsia="Times New Roman" w:cs="Tahoma"/>
          <w:sz w:val="22"/>
          <w:szCs w:val="22"/>
          <w:lang w:val="ro-RO" w:eastAsia="ar-SA"/>
        </w:rPr>
      </w:pPr>
      <w:r>
        <w:rPr>
          <w:rFonts w:ascii="Tahoma" w:hAnsi="Tahoma" w:eastAsia="Times New Roman" w:cs="Tahoma"/>
          <w:sz w:val="22"/>
          <w:szCs w:val="22"/>
          <w:lang w:val="ro-RO" w:eastAsia="ar-SA"/>
        </w:rPr>
        <w:tab/>
      </w:r>
      <w:r>
        <w:rPr>
          <w:rFonts w:ascii="Tahoma" w:hAnsi="Tahoma" w:eastAsia="Times New Roman" w:cs="Tahoma"/>
          <w:sz w:val="22"/>
          <w:szCs w:val="22"/>
          <w:lang w:val="ro-RO" w:eastAsia="ar-SA"/>
        </w:rPr>
        <w:t>Subsemnatul Mihu Cornel, primar al comunei Balaciu, având în vedere:</w:t>
      </w:r>
    </w:p>
    <w:p w14:paraId="72B5D2D1">
      <w:pPr>
        <w:tabs>
          <w:tab w:val="left" w:pos="420"/>
          <w:tab w:val="left" w:pos="3405"/>
        </w:tabs>
        <w:suppressAutoHyphens/>
        <w:ind w:left="720"/>
        <w:rPr>
          <w:rFonts w:ascii="Tahoma" w:hAnsi="Tahoma" w:eastAsia="Times New Roman" w:cs="Tahoma"/>
          <w:sz w:val="22"/>
          <w:szCs w:val="22"/>
          <w:lang w:val="ro-RO" w:eastAsia="ar-SA"/>
        </w:rPr>
      </w:pPr>
      <w:r>
        <w:rPr>
          <w:rFonts w:ascii="Tahoma" w:hAnsi="Tahoma" w:eastAsia="Times New Roman" w:cs="Tahoma"/>
          <w:sz w:val="22"/>
          <w:szCs w:val="22"/>
          <w:lang w:val="ro-RO" w:eastAsia="ar-SA"/>
        </w:rPr>
        <w:t>-Prevederile art.136 alin.1 din O.U.G. nr.57/2019 privind codul administrativ, cu completarile ulterioare</w:t>
      </w:r>
    </w:p>
    <w:p w14:paraId="5270C341">
      <w:pPr>
        <w:spacing w:line="276" w:lineRule="auto"/>
        <w:ind w:firstLine="660" w:firstLineChars="300"/>
        <w:jc w:val="left"/>
        <w:rPr>
          <w:rFonts w:ascii="Tahoma" w:hAnsi="Tahoma" w:eastAsia="Times New Roman" w:cs="Tahoma"/>
          <w:sz w:val="22"/>
          <w:szCs w:val="22"/>
          <w:lang w:val="ro-RO" w:eastAsia="ar-SA"/>
        </w:rPr>
      </w:pPr>
      <w:r>
        <w:rPr>
          <w:rFonts w:ascii="Tahoma" w:hAnsi="Tahoma" w:eastAsia="Times New Roman" w:cs="Tahoma"/>
          <w:sz w:val="22"/>
          <w:szCs w:val="22"/>
          <w:lang w:val="ro-RO" w:eastAsia="ar-SA"/>
        </w:rPr>
        <w:t>-prevederile art.25 alin.(4) din Regulamentul de organizare si funcionare al Consiliului Local Balaciu, aprobat prin HCL nr.41 din 25.11.2021.</w:t>
      </w:r>
    </w:p>
    <w:p w14:paraId="04DAE165">
      <w:pPr>
        <w:spacing w:line="276" w:lineRule="auto"/>
        <w:jc w:val="left"/>
        <w:rPr>
          <w:rFonts w:ascii="Tahoma" w:hAnsi="Tahoma" w:eastAsia="Times New Roman" w:cs="Tahoma"/>
          <w:sz w:val="22"/>
          <w:szCs w:val="22"/>
          <w:lang w:val="ro-RO" w:eastAsia="ar-SA"/>
        </w:rPr>
      </w:pPr>
    </w:p>
    <w:p w14:paraId="0661F2AD">
      <w:pPr>
        <w:spacing w:line="276" w:lineRule="auto"/>
        <w:jc w:val="left"/>
        <w:rPr>
          <w:rStyle w:val="16"/>
          <w:rFonts w:ascii="Tahoma" w:hAnsi="Tahoma" w:eastAsia="Bitstream Vera Sans" w:cs="Tahoma"/>
          <w:bCs/>
          <w:sz w:val="22"/>
          <w:szCs w:val="22"/>
          <w:lang w:val="ro-RO"/>
        </w:rPr>
      </w:pPr>
      <w:r>
        <w:rPr>
          <w:rFonts w:ascii="Tahoma" w:hAnsi="Tahoma" w:cs="Tahoma"/>
          <w:w w:val="105"/>
        </w:rPr>
        <w:t xml:space="preserve">        </w:t>
      </w:r>
      <w:r>
        <w:rPr>
          <w:rFonts w:ascii="Tahoma" w:hAnsi="Tahoma" w:cs="Tahoma"/>
          <w:w w:val="105"/>
          <w:sz w:val="22"/>
          <w:szCs w:val="22"/>
        </w:rPr>
        <w:t xml:space="preserve">  </w:t>
      </w:r>
      <w:r>
        <w:rPr>
          <w:rFonts w:ascii="Tahoma" w:hAnsi="Tahoma" w:cs="Tahoma"/>
          <w:sz w:val="22"/>
          <w:szCs w:val="22"/>
        </w:rPr>
        <w:t xml:space="preserve">Prin proiectul de hotărâre supus atentiei consiliului local se propune </w:t>
      </w:r>
      <w:r>
        <w:rPr>
          <w:rFonts w:ascii="Tahoma" w:hAnsi="Tahoma" w:cs="Tahoma"/>
          <w:bCs/>
          <w:sz w:val="22"/>
          <w:szCs w:val="22"/>
          <w:lang w:val="it-CH"/>
        </w:rPr>
        <w:t xml:space="preserve"> aprobarea Documentației de Avizare a Lucrărilor de Intervenție (DALI), a principalilor indicatori tehnico-economici și a devizului general pentru obiectivul de investiții</w:t>
      </w:r>
      <w:r>
        <w:rPr>
          <w:rFonts w:hint="default" w:ascii="Tahoma" w:hAnsi="Tahoma" w:cs="Tahoma"/>
          <w:bCs/>
          <w:sz w:val="22"/>
          <w:szCs w:val="22"/>
          <w:lang w:val="en-US"/>
        </w:rPr>
        <w:t xml:space="preserve"> </w:t>
      </w:r>
      <w:r>
        <w:rPr>
          <w:rFonts w:ascii="Tahoma" w:hAnsi="Tahoma" w:cs="Tahoma"/>
          <w:bCs/>
          <w:sz w:val="22"/>
          <w:szCs w:val="22"/>
          <w:lang w:val="it-CH"/>
        </w:rPr>
        <w:t xml:space="preserve"> „</w:t>
      </w:r>
      <w:r>
        <w:rPr>
          <w:rFonts w:ascii="Tahoma" w:hAnsi="Tahoma" w:cs="Tahoma"/>
          <w:bCs/>
          <w:i/>
          <w:iCs/>
          <w:sz w:val="22"/>
          <w:szCs w:val="22"/>
          <w:lang w:val="it-CH"/>
        </w:rPr>
        <w:t>Creşterea eficienţei energetice a clădirii Şcolii Gimnaziale ,,Arhimandrit Teofil” comuna Balaciu, judeţul Ialomiţa,,</w:t>
      </w:r>
      <w:r>
        <w:rPr>
          <w:rStyle w:val="16"/>
          <w:rFonts w:ascii="Tahoma" w:hAnsi="Tahoma" w:eastAsia="Bitstream Vera Sans" w:cs="Tahoma"/>
          <w:bCs/>
          <w:sz w:val="22"/>
          <w:szCs w:val="22"/>
          <w:lang w:val="ro-RO"/>
        </w:rPr>
        <w:t xml:space="preserve">. </w:t>
      </w:r>
    </w:p>
    <w:p w14:paraId="2641CAFB">
      <w:pPr>
        <w:rPr>
          <w:rStyle w:val="16"/>
          <w:rFonts w:ascii="Tahoma" w:hAnsi="Tahoma" w:eastAsia="Bitstream Vera Sans" w:cs="Tahoma"/>
          <w:bCs/>
          <w:sz w:val="22"/>
          <w:szCs w:val="22"/>
          <w:lang w:val="ro-RO"/>
        </w:rPr>
      </w:pPr>
      <w:r>
        <w:rPr>
          <w:rStyle w:val="16"/>
          <w:rFonts w:ascii="Tahoma" w:hAnsi="Tahoma" w:eastAsia="Bitstream Vera Sans" w:cs="Tahoma"/>
          <w:bCs/>
          <w:sz w:val="22"/>
          <w:szCs w:val="22"/>
          <w:lang w:val="ro-RO"/>
        </w:rPr>
        <w:t xml:space="preserve">     </w:t>
      </w:r>
    </w:p>
    <w:p w14:paraId="553C3A83">
      <w:pPr>
        <w:numPr>
          <w:ilvl w:val="0"/>
          <w:numId w:val="1"/>
        </w:numPr>
        <w:tabs>
          <w:tab w:val="clear" w:pos="420"/>
        </w:tabs>
        <w:ind w:left="420" w:leftChars="0" w:hanging="420" w:firstLineChars="0"/>
        <w:rPr>
          <w:rStyle w:val="16"/>
          <w:rFonts w:ascii="Tahoma" w:hAnsi="Tahoma" w:eastAsia="Bitstream Vera Sans" w:cs="Tahoma"/>
          <w:bCs/>
          <w:sz w:val="22"/>
          <w:szCs w:val="22"/>
          <w:lang w:val="ro-RO"/>
        </w:rPr>
      </w:pPr>
      <w:r>
        <w:rPr>
          <w:rStyle w:val="16"/>
          <w:rFonts w:ascii="Tahoma" w:hAnsi="Tahoma" w:eastAsia="Bitstream Vera Sans" w:cs="Tahoma"/>
          <w:bCs/>
          <w:sz w:val="22"/>
          <w:szCs w:val="22"/>
          <w:lang w:val="ro-RO"/>
        </w:rPr>
        <w:t>Avand in vedere ca prin HCL nr</w:t>
      </w:r>
      <w:r>
        <w:rPr>
          <w:rStyle w:val="16"/>
          <w:rFonts w:ascii="Tahoma" w:hAnsi="Tahoma" w:eastAsia="Bitstream Vera Sans" w:cs="Tahoma"/>
          <w:bCs/>
          <w:color w:val="auto"/>
          <w:sz w:val="22"/>
          <w:szCs w:val="22"/>
          <w:highlight w:val="none"/>
          <w:lang w:val="ro-RO"/>
        </w:rPr>
        <w:t xml:space="preserve">. </w:t>
      </w:r>
      <w:r>
        <w:rPr>
          <w:rStyle w:val="16"/>
          <w:rFonts w:hint="default" w:ascii="Tahoma" w:hAnsi="Tahoma" w:eastAsia="Bitstream Vera Sans" w:cs="Tahoma"/>
          <w:bCs/>
          <w:color w:val="auto"/>
          <w:sz w:val="22"/>
          <w:szCs w:val="22"/>
          <w:highlight w:val="none"/>
          <w:lang w:val="en-US"/>
        </w:rPr>
        <w:t xml:space="preserve">54/27.11.2023, </w:t>
      </w:r>
      <w:r>
        <w:rPr>
          <w:rStyle w:val="16"/>
          <w:rFonts w:ascii="Tahoma" w:hAnsi="Tahoma" w:eastAsia="Bitstream Vera Sans" w:cs="Tahoma"/>
          <w:bCs/>
          <w:sz w:val="22"/>
          <w:szCs w:val="22"/>
          <w:lang w:val="ro-RO"/>
        </w:rPr>
        <w:t xml:space="preserve">s-a aprobat Nota conceptuala si Tema de proiectare aferente investitiei </w:t>
      </w:r>
      <w:r>
        <w:rPr>
          <w:rFonts w:ascii="Tahoma" w:hAnsi="Tahoma" w:cs="Tahoma"/>
          <w:bCs/>
          <w:sz w:val="22"/>
          <w:szCs w:val="22"/>
          <w:lang w:val="it-CH"/>
        </w:rPr>
        <w:t xml:space="preserve"> „</w:t>
      </w:r>
      <w:r>
        <w:rPr>
          <w:rFonts w:ascii="Tahoma" w:hAnsi="Tahoma" w:cs="Tahoma"/>
          <w:bCs/>
          <w:i/>
          <w:iCs/>
          <w:sz w:val="22"/>
          <w:szCs w:val="22"/>
          <w:lang w:val="it-CH"/>
        </w:rPr>
        <w:t>Creşterea eficienţei energetice a clădirii Şcolii Gimnaziale ,,Arhimandrit Teofil” comuna Balaciu, judeţul Ialomiţa,,</w:t>
      </w:r>
      <w:r>
        <w:rPr>
          <w:rStyle w:val="16"/>
          <w:rFonts w:ascii="Tahoma" w:hAnsi="Tahoma" w:eastAsia="Bitstream Vera Sans" w:cs="Tahoma"/>
          <w:bCs/>
          <w:sz w:val="22"/>
          <w:szCs w:val="22"/>
          <w:lang w:val="ro-RO"/>
        </w:rPr>
        <w:t xml:space="preserve">. </w:t>
      </w:r>
    </w:p>
    <w:p w14:paraId="4C91D1AC">
      <w:pPr>
        <w:numPr>
          <w:ilvl w:val="0"/>
          <w:numId w:val="1"/>
        </w:numPr>
        <w:tabs>
          <w:tab w:val="clear" w:pos="420"/>
        </w:tabs>
        <w:ind w:left="420" w:leftChars="0" w:hanging="420" w:firstLineChars="0"/>
        <w:rPr>
          <w:rFonts w:ascii="Tahoma" w:hAnsi="Tahoma" w:eastAsia="Bitstream Vera Sans" w:cs="Tahoma"/>
          <w:bCs/>
          <w:color w:val="000000"/>
          <w:sz w:val="22"/>
          <w:szCs w:val="22"/>
          <w:lang w:val="ro-RO"/>
        </w:rPr>
      </w:pPr>
      <w:r>
        <w:rPr>
          <w:rStyle w:val="16"/>
          <w:rFonts w:ascii="Tahoma" w:hAnsi="Tahoma" w:eastAsia="Bitstream Vera Sans" w:cs="Tahoma"/>
          <w:bCs/>
          <w:sz w:val="22"/>
          <w:szCs w:val="22"/>
          <w:lang w:val="ro-RO"/>
        </w:rPr>
        <w:t xml:space="preserve">In conformitate cu prevederile art.44  alin.1 din Legea nr.273/2006, privind finantele publice locale, cu modificarile si completarile ulterioare, documentatiile tehnico-economice ale obiectivelor de investitii noi, a caror finantare se asigura integral sau in completare din bugetele locale, precum si a celor finantate din imprumuturi interne si externe, contractate direct sau garantate de autoritatile administratiei publice locale, se aproba de catre autoritatile deliberative.  </w:t>
      </w:r>
    </w:p>
    <w:p w14:paraId="532FDCDA">
      <w:pPr>
        <w:numPr>
          <w:ilvl w:val="0"/>
          <w:numId w:val="1"/>
        </w:numPr>
        <w:ind w:left="420" w:leftChars="0" w:hanging="420" w:firstLineChars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Conform prevederilor art.1 alin.(2) din H.G. nr. 907/29.11.2016  privind etapele de elaborare si continutul-cadru al  documentatiilor tehnico-economice aferente obiectivelor/proiectelor de investitii finantate din fonduri publice este oportuna adoptarea unei hotarari privind aprobarea </w:t>
      </w:r>
      <w:r>
        <w:rPr>
          <w:rFonts w:ascii="Tahoma" w:hAnsi="Tahoma" w:cs="Tahoma"/>
          <w:bCs/>
          <w:sz w:val="22"/>
          <w:szCs w:val="22"/>
          <w:lang w:val="ro-RO"/>
        </w:rPr>
        <w:t xml:space="preserve"> </w:t>
      </w:r>
      <w:r>
        <w:rPr>
          <w:rStyle w:val="16"/>
          <w:rFonts w:ascii="Tahoma" w:hAnsi="Tahoma" w:eastAsia="Bitstream Vera Sans" w:cs="Tahoma"/>
          <w:bCs/>
          <w:i/>
          <w:iCs/>
          <w:sz w:val="22"/>
          <w:szCs w:val="22"/>
          <w:lang w:val="ro-RO"/>
        </w:rPr>
        <w:t xml:space="preserve">documentatiei de avizare a lucrarilor de interventie (DALI) si a devizului general </w:t>
      </w:r>
      <w:r>
        <w:rPr>
          <w:rStyle w:val="16"/>
          <w:rFonts w:ascii="Tahoma" w:hAnsi="Tahoma" w:eastAsia="Bitstream Vera Sans" w:cs="Tahoma"/>
          <w:bCs/>
          <w:sz w:val="22"/>
          <w:szCs w:val="22"/>
          <w:lang w:val="ro-RO"/>
        </w:rPr>
        <w:t xml:space="preserve"> .</w:t>
      </w:r>
    </w:p>
    <w:p w14:paraId="4F8D1E34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4FCF8690">
      <w:pPr>
        <w:spacing w:line="276" w:lineRule="auto"/>
        <w:jc w:val="left"/>
        <w:rPr>
          <w:rFonts w:ascii="Tahoma" w:hAnsi="Tahoma" w:eastAsia="Bitstream Vera Sans" w:cs="Tahoma"/>
          <w:bCs/>
          <w:color w:val="000000"/>
          <w:sz w:val="22"/>
          <w:szCs w:val="22"/>
          <w:lang w:val="ro-RO"/>
        </w:rPr>
      </w:pPr>
      <w:r>
        <w:rPr>
          <w:rFonts w:ascii="Tahoma" w:hAnsi="Tahoma" w:cs="Tahoma"/>
          <w:b w:val="0"/>
          <w:bCs/>
          <w:sz w:val="22"/>
          <w:szCs w:val="22"/>
        </w:rPr>
        <w:t>Avand in vedere cele prezentate mai sus</w:t>
      </w:r>
      <w:r>
        <w:rPr>
          <w:rFonts w:ascii="Tahoma" w:hAnsi="Tahoma" w:cs="Tahoma"/>
          <w:b/>
          <w:sz w:val="22"/>
          <w:szCs w:val="22"/>
        </w:rPr>
        <w:t xml:space="preserve"> propun Consiliului Local Balaciu spre dezbatere si aprobare,</w:t>
      </w:r>
      <w:r>
        <w:rPr>
          <w:rFonts w:ascii="Tahoma" w:hAnsi="Tahoma" w:cs="Tahoma"/>
          <w:b w:val="0"/>
          <w:bCs/>
          <w:sz w:val="22"/>
          <w:szCs w:val="22"/>
        </w:rPr>
        <w:t xml:space="preserve"> </w:t>
      </w:r>
      <w:r>
        <w:rPr>
          <w:rFonts w:hint="default" w:ascii="Tahoma" w:hAnsi="Tahoma" w:cs="Tahoma"/>
          <w:b w:val="0"/>
          <w:bCs/>
          <w:sz w:val="22"/>
          <w:szCs w:val="22"/>
          <w:lang w:val="en-US"/>
        </w:rPr>
        <w:t>p</w:t>
      </w:r>
      <w:r>
        <w:rPr>
          <w:rFonts w:ascii="Tahoma" w:hAnsi="Tahoma" w:cs="Tahoma"/>
          <w:b w:val="0"/>
          <w:bCs/>
          <w:sz w:val="22"/>
          <w:szCs w:val="22"/>
        </w:rPr>
        <w:t>roiectul de hotarare privind</w:t>
      </w:r>
      <w:r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Cs/>
          <w:sz w:val="22"/>
          <w:szCs w:val="22"/>
          <w:lang w:val="it-CH"/>
        </w:rPr>
        <w:t>aprobarea Documentației de Avizare a Lucrărilor de Intervenție (DALI), a principalilor indicatori tehnico-economici și a devizului general pentru obiectivul de investiții</w:t>
      </w:r>
      <w:r>
        <w:rPr>
          <w:rFonts w:hint="default" w:ascii="Tahoma" w:hAnsi="Tahoma" w:cs="Tahoma"/>
          <w:bCs/>
          <w:sz w:val="22"/>
          <w:szCs w:val="22"/>
          <w:lang w:val="en-US"/>
        </w:rPr>
        <w:t xml:space="preserve"> </w:t>
      </w:r>
      <w:r>
        <w:rPr>
          <w:rFonts w:ascii="Tahoma" w:hAnsi="Tahoma" w:cs="Tahoma"/>
          <w:bCs/>
          <w:sz w:val="22"/>
          <w:szCs w:val="22"/>
          <w:lang w:val="it-CH"/>
        </w:rPr>
        <w:t xml:space="preserve"> „</w:t>
      </w:r>
      <w:r>
        <w:rPr>
          <w:rFonts w:ascii="Tahoma" w:hAnsi="Tahoma" w:cs="Tahoma"/>
          <w:bCs/>
          <w:i/>
          <w:iCs/>
          <w:sz w:val="22"/>
          <w:szCs w:val="22"/>
          <w:lang w:val="it-CH"/>
        </w:rPr>
        <w:t>Creşterea eficienţei energetice a clădirii Şcolii Gimnaziale ,,Arhimandrit Teofil” comuna Balaciu, judeţul Ialomiţa,,</w:t>
      </w:r>
      <w:r>
        <w:rPr>
          <w:rStyle w:val="16"/>
          <w:rFonts w:ascii="Tahoma" w:hAnsi="Tahoma" w:eastAsia="Bitstream Vera Sans" w:cs="Tahoma"/>
          <w:bCs/>
          <w:sz w:val="22"/>
          <w:szCs w:val="22"/>
          <w:lang w:val="ro-RO"/>
        </w:rPr>
        <w:t>.</w:t>
      </w:r>
    </w:p>
    <w:p w14:paraId="2E35CAB2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</w:t>
      </w:r>
      <w:r>
        <w:rPr>
          <w:rFonts w:ascii="Tahoma" w:hAnsi="Tahoma" w:cs="Tahoma"/>
          <w:sz w:val="22"/>
          <w:szCs w:val="22"/>
        </w:rPr>
        <w:tab/>
      </w:r>
    </w:p>
    <w:p w14:paraId="078FB229">
      <w:pPr>
        <w:tabs>
          <w:tab w:val="left" w:pos="3360"/>
        </w:tabs>
        <w:rPr>
          <w:rFonts w:ascii="Tahoma" w:hAnsi="Tahoma" w:cs="Tahoma"/>
          <w:sz w:val="22"/>
          <w:szCs w:val="22"/>
          <w:lang w:val="ro-RO"/>
        </w:rPr>
      </w:pPr>
      <w:r>
        <w:rPr>
          <w:rFonts w:ascii="Tahoma" w:hAnsi="Tahoma" w:cs="Tahoma"/>
          <w:sz w:val="22"/>
          <w:szCs w:val="22"/>
          <w:lang w:val="ro-RO"/>
        </w:rPr>
        <w:tab/>
      </w:r>
    </w:p>
    <w:p w14:paraId="1596CC99">
      <w:pPr>
        <w:tabs>
          <w:tab w:val="left" w:pos="2295"/>
        </w:tabs>
        <w:rPr>
          <w:rFonts w:ascii="Tahoma" w:hAnsi="Tahoma" w:cs="Tahoma"/>
          <w:lang w:val="ro-RO"/>
        </w:rPr>
      </w:pPr>
    </w:p>
    <w:p w14:paraId="3E64B281">
      <w:pPr>
        <w:jc w:val="center"/>
        <w:rPr>
          <w:rFonts w:ascii="Tahoma" w:hAnsi="Tahoma" w:cs="Tahoma"/>
          <w:lang w:val="ro-RO"/>
        </w:rPr>
      </w:pPr>
      <w:r>
        <w:rPr>
          <w:rFonts w:ascii="Tahoma" w:hAnsi="Tahoma" w:cs="Tahoma"/>
          <w:lang w:val="ro-RO"/>
        </w:rPr>
        <w:t>Primar,</w:t>
      </w:r>
    </w:p>
    <w:p w14:paraId="3BAF52FA">
      <w:pPr>
        <w:tabs>
          <w:tab w:val="left" w:pos="3960"/>
        </w:tabs>
        <w:rPr>
          <w:rFonts w:ascii="Tahoma" w:hAnsi="Tahoma" w:cs="Tahoma"/>
          <w:lang w:val="ro-RO"/>
        </w:rPr>
      </w:pPr>
      <w:r>
        <w:rPr>
          <w:rFonts w:ascii="Tahoma" w:hAnsi="Tahoma" w:cs="Tahoma"/>
          <w:lang w:val="ro-RO"/>
        </w:rPr>
        <w:tab/>
      </w:r>
      <w:r>
        <w:rPr>
          <w:rFonts w:ascii="Tahoma" w:hAnsi="Tahoma" w:cs="Tahoma"/>
          <w:lang w:val="ro-RO"/>
        </w:rPr>
        <w:t xml:space="preserve">    MIHU CORNEL</w:t>
      </w:r>
    </w:p>
    <w:sectPr>
      <w:pgSz w:w="12240" w:h="15840"/>
      <w:pgMar w:top="432" w:right="734" w:bottom="288" w:left="1411" w:header="706" w:footer="706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Bitstream Vera Sans">
    <w:altName w:val="Arial"/>
    <w:panose1 w:val="00000000000000000000"/>
    <w:charset w:val="00"/>
    <w:family w:val="swiss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154BD7"/>
    <w:multiLevelType w:val="singleLevel"/>
    <w:tmpl w:val="BB154BD7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TrackMoves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874"/>
    <w:rsid w:val="000011C8"/>
    <w:rsid w:val="0000504C"/>
    <w:rsid w:val="00007B45"/>
    <w:rsid w:val="000131E5"/>
    <w:rsid w:val="00016E53"/>
    <w:rsid w:val="00017013"/>
    <w:rsid w:val="00023336"/>
    <w:rsid w:val="00024160"/>
    <w:rsid w:val="00027777"/>
    <w:rsid w:val="000431BB"/>
    <w:rsid w:val="000464D6"/>
    <w:rsid w:val="000539DA"/>
    <w:rsid w:val="000547AE"/>
    <w:rsid w:val="00056E09"/>
    <w:rsid w:val="00062750"/>
    <w:rsid w:val="00064533"/>
    <w:rsid w:val="00064F89"/>
    <w:rsid w:val="0007105C"/>
    <w:rsid w:val="00072735"/>
    <w:rsid w:val="0008717F"/>
    <w:rsid w:val="000910DF"/>
    <w:rsid w:val="00092CC0"/>
    <w:rsid w:val="00094786"/>
    <w:rsid w:val="0009592F"/>
    <w:rsid w:val="00095B80"/>
    <w:rsid w:val="000A04FB"/>
    <w:rsid w:val="000A2FA6"/>
    <w:rsid w:val="000A7A5C"/>
    <w:rsid w:val="000C024F"/>
    <w:rsid w:val="000C224F"/>
    <w:rsid w:val="000C2518"/>
    <w:rsid w:val="000C4E37"/>
    <w:rsid w:val="000C62FF"/>
    <w:rsid w:val="000D0456"/>
    <w:rsid w:val="000D4752"/>
    <w:rsid w:val="000E29BF"/>
    <w:rsid w:val="000E3534"/>
    <w:rsid w:val="000F59AF"/>
    <w:rsid w:val="000F6DC0"/>
    <w:rsid w:val="001041A4"/>
    <w:rsid w:val="0011343B"/>
    <w:rsid w:val="0011357D"/>
    <w:rsid w:val="0011400C"/>
    <w:rsid w:val="001176F4"/>
    <w:rsid w:val="00120B63"/>
    <w:rsid w:val="00123115"/>
    <w:rsid w:val="00124AD6"/>
    <w:rsid w:val="001265C9"/>
    <w:rsid w:val="001343F1"/>
    <w:rsid w:val="001346F7"/>
    <w:rsid w:val="00135CB1"/>
    <w:rsid w:val="00137D08"/>
    <w:rsid w:val="00143971"/>
    <w:rsid w:val="00145D03"/>
    <w:rsid w:val="001472D6"/>
    <w:rsid w:val="00150A0D"/>
    <w:rsid w:val="0015155F"/>
    <w:rsid w:val="00154AA7"/>
    <w:rsid w:val="00173290"/>
    <w:rsid w:val="00174F7C"/>
    <w:rsid w:val="001755BC"/>
    <w:rsid w:val="00183FC9"/>
    <w:rsid w:val="001855C8"/>
    <w:rsid w:val="001925CB"/>
    <w:rsid w:val="00193011"/>
    <w:rsid w:val="001935E6"/>
    <w:rsid w:val="001936CE"/>
    <w:rsid w:val="00194E8D"/>
    <w:rsid w:val="001A007D"/>
    <w:rsid w:val="001A0E9B"/>
    <w:rsid w:val="001A5051"/>
    <w:rsid w:val="001A7E97"/>
    <w:rsid w:val="001B4E30"/>
    <w:rsid w:val="001B7A67"/>
    <w:rsid w:val="001D0B94"/>
    <w:rsid w:val="001D3B16"/>
    <w:rsid w:val="001E4F64"/>
    <w:rsid w:val="001E54D3"/>
    <w:rsid w:val="001E69C1"/>
    <w:rsid w:val="001F0290"/>
    <w:rsid w:val="001F4E87"/>
    <w:rsid w:val="001F7C3D"/>
    <w:rsid w:val="00202903"/>
    <w:rsid w:val="00210C2D"/>
    <w:rsid w:val="0021317C"/>
    <w:rsid w:val="0021430A"/>
    <w:rsid w:val="00225406"/>
    <w:rsid w:val="00227C86"/>
    <w:rsid w:val="00233321"/>
    <w:rsid w:val="00234516"/>
    <w:rsid w:val="00236C99"/>
    <w:rsid w:val="00236ED8"/>
    <w:rsid w:val="00244607"/>
    <w:rsid w:val="00245441"/>
    <w:rsid w:val="00245980"/>
    <w:rsid w:val="00250395"/>
    <w:rsid w:val="002506E7"/>
    <w:rsid w:val="00250AFD"/>
    <w:rsid w:val="002515DE"/>
    <w:rsid w:val="002527CC"/>
    <w:rsid w:val="00254348"/>
    <w:rsid w:val="002548B6"/>
    <w:rsid w:val="00255040"/>
    <w:rsid w:val="00257472"/>
    <w:rsid w:val="00271E2F"/>
    <w:rsid w:val="00272245"/>
    <w:rsid w:val="00273D38"/>
    <w:rsid w:val="002747FF"/>
    <w:rsid w:val="0027550F"/>
    <w:rsid w:val="002900BD"/>
    <w:rsid w:val="002917B9"/>
    <w:rsid w:val="0029527D"/>
    <w:rsid w:val="002A10D2"/>
    <w:rsid w:val="002B440C"/>
    <w:rsid w:val="002C2DAC"/>
    <w:rsid w:val="002C3551"/>
    <w:rsid w:val="002C5D87"/>
    <w:rsid w:val="002D0DCA"/>
    <w:rsid w:val="002D1C4B"/>
    <w:rsid w:val="002D539E"/>
    <w:rsid w:val="002D772C"/>
    <w:rsid w:val="002E1EB0"/>
    <w:rsid w:val="002E2929"/>
    <w:rsid w:val="002E43C3"/>
    <w:rsid w:val="002F0363"/>
    <w:rsid w:val="002F2CB1"/>
    <w:rsid w:val="002F3B8D"/>
    <w:rsid w:val="002F4DEC"/>
    <w:rsid w:val="002F6119"/>
    <w:rsid w:val="002F675A"/>
    <w:rsid w:val="00305C29"/>
    <w:rsid w:val="00305E5B"/>
    <w:rsid w:val="00306380"/>
    <w:rsid w:val="00312075"/>
    <w:rsid w:val="00312B91"/>
    <w:rsid w:val="00314346"/>
    <w:rsid w:val="0031734C"/>
    <w:rsid w:val="00322D26"/>
    <w:rsid w:val="0032337E"/>
    <w:rsid w:val="0032413A"/>
    <w:rsid w:val="00326621"/>
    <w:rsid w:val="003322EF"/>
    <w:rsid w:val="00337DAE"/>
    <w:rsid w:val="003400A2"/>
    <w:rsid w:val="00344E1A"/>
    <w:rsid w:val="00346A28"/>
    <w:rsid w:val="003524C2"/>
    <w:rsid w:val="00353F60"/>
    <w:rsid w:val="00354588"/>
    <w:rsid w:val="00357180"/>
    <w:rsid w:val="0036740E"/>
    <w:rsid w:val="0037292A"/>
    <w:rsid w:val="003748CD"/>
    <w:rsid w:val="00375808"/>
    <w:rsid w:val="00381839"/>
    <w:rsid w:val="0038643B"/>
    <w:rsid w:val="003864AB"/>
    <w:rsid w:val="0039265C"/>
    <w:rsid w:val="0039395D"/>
    <w:rsid w:val="00393C57"/>
    <w:rsid w:val="003976E9"/>
    <w:rsid w:val="003A4034"/>
    <w:rsid w:val="003A6059"/>
    <w:rsid w:val="003B48BF"/>
    <w:rsid w:val="003C2B9E"/>
    <w:rsid w:val="003D67B7"/>
    <w:rsid w:val="003D7020"/>
    <w:rsid w:val="003E7171"/>
    <w:rsid w:val="003F12FE"/>
    <w:rsid w:val="003F5193"/>
    <w:rsid w:val="003F6B6A"/>
    <w:rsid w:val="0040424E"/>
    <w:rsid w:val="00406148"/>
    <w:rsid w:val="00407195"/>
    <w:rsid w:val="00407FA4"/>
    <w:rsid w:val="00417043"/>
    <w:rsid w:val="00421E88"/>
    <w:rsid w:val="004247CB"/>
    <w:rsid w:val="0042513F"/>
    <w:rsid w:val="004321BA"/>
    <w:rsid w:val="004326F6"/>
    <w:rsid w:val="004467F4"/>
    <w:rsid w:val="00451C6C"/>
    <w:rsid w:val="004555BB"/>
    <w:rsid w:val="00473AF8"/>
    <w:rsid w:val="0047443A"/>
    <w:rsid w:val="00474AF7"/>
    <w:rsid w:val="004847B5"/>
    <w:rsid w:val="004871CE"/>
    <w:rsid w:val="00487806"/>
    <w:rsid w:val="00487B5A"/>
    <w:rsid w:val="00490C6D"/>
    <w:rsid w:val="004A0A90"/>
    <w:rsid w:val="004A24AA"/>
    <w:rsid w:val="004A5CF1"/>
    <w:rsid w:val="004C5E7D"/>
    <w:rsid w:val="004C71F7"/>
    <w:rsid w:val="004C7CB6"/>
    <w:rsid w:val="004D0A57"/>
    <w:rsid w:val="004D0F94"/>
    <w:rsid w:val="004E0E8D"/>
    <w:rsid w:val="004E6193"/>
    <w:rsid w:val="004F0DAB"/>
    <w:rsid w:val="004F1E41"/>
    <w:rsid w:val="0050052F"/>
    <w:rsid w:val="00501CFF"/>
    <w:rsid w:val="00504207"/>
    <w:rsid w:val="0050576D"/>
    <w:rsid w:val="005100FA"/>
    <w:rsid w:val="00514AA0"/>
    <w:rsid w:val="0052537E"/>
    <w:rsid w:val="005256B9"/>
    <w:rsid w:val="005262BA"/>
    <w:rsid w:val="00534B04"/>
    <w:rsid w:val="00535217"/>
    <w:rsid w:val="00550835"/>
    <w:rsid w:val="0055614B"/>
    <w:rsid w:val="00557281"/>
    <w:rsid w:val="0055767A"/>
    <w:rsid w:val="0056418F"/>
    <w:rsid w:val="005668B9"/>
    <w:rsid w:val="0058116D"/>
    <w:rsid w:val="005822E2"/>
    <w:rsid w:val="00583E77"/>
    <w:rsid w:val="0058646D"/>
    <w:rsid w:val="00591ABB"/>
    <w:rsid w:val="005923F5"/>
    <w:rsid w:val="00594001"/>
    <w:rsid w:val="00595EEA"/>
    <w:rsid w:val="005A0E3D"/>
    <w:rsid w:val="005A2260"/>
    <w:rsid w:val="005A4561"/>
    <w:rsid w:val="005A7435"/>
    <w:rsid w:val="005A7850"/>
    <w:rsid w:val="005B060D"/>
    <w:rsid w:val="005B19A8"/>
    <w:rsid w:val="005B19F9"/>
    <w:rsid w:val="005B2CA8"/>
    <w:rsid w:val="005B36B8"/>
    <w:rsid w:val="005B3D29"/>
    <w:rsid w:val="005B6D24"/>
    <w:rsid w:val="005B6DD2"/>
    <w:rsid w:val="005B7BBF"/>
    <w:rsid w:val="005C3646"/>
    <w:rsid w:val="005D036B"/>
    <w:rsid w:val="005D10BC"/>
    <w:rsid w:val="005D13B5"/>
    <w:rsid w:val="005D1F21"/>
    <w:rsid w:val="005D4ED6"/>
    <w:rsid w:val="005D52EC"/>
    <w:rsid w:val="005D65AC"/>
    <w:rsid w:val="005D750A"/>
    <w:rsid w:val="005D7641"/>
    <w:rsid w:val="005E0996"/>
    <w:rsid w:val="005E4001"/>
    <w:rsid w:val="005E49FD"/>
    <w:rsid w:val="005F0F1C"/>
    <w:rsid w:val="005F30C3"/>
    <w:rsid w:val="005F39DD"/>
    <w:rsid w:val="00600261"/>
    <w:rsid w:val="0060278D"/>
    <w:rsid w:val="0060506B"/>
    <w:rsid w:val="006059D0"/>
    <w:rsid w:val="006066C7"/>
    <w:rsid w:val="00610320"/>
    <w:rsid w:val="00610929"/>
    <w:rsid w:val="0061389C"/>
    <w:rsid w:val="00613C71"/>
    <w:rsid w:val="0061649E"/>
    <w:rsid w:val="00621403"/>
    <w:rsid w:val="00621EEA"/>
    <w:rsid w:val="00623DAD"/>
    <w:rsid w:val="00626F48"/>
    <w:rsid w:val="00627059"/>
    <w:rsid w:val="00641FFD"/>
    <w:rsid w:val="00652006"/>
    <w:rsid w:val="0065314F"/>
    <w:rsid w:val="006533F8"/>
    <w:rsid w:val="00663B80"/>
    <w:rsid w:val="00665A2B"/>
    <w:rsid w:val="006673FB"/>
    <w:rsid w:val="00667601"/>
    <w:rsid w:val="006746BD"/>
    <w:rsid w:val="006761C0"/>
    <w:rsid w:val="00680210"/>
    <w:rsid w:val="0068106B"/>
    <w:rsid w:val="0068455E"/>
    <w:rsid w:val="006871D4"/>
    <w:rsid w:val="0068788A"/>
    <w:rsid w:val="00690BBC"/>
    <w:rsid w:val="00691388"/>
    <w:rsid w:val="00695563"/>
    <w:rsid w:val="006975EE"/>
    <w:rsid w:val="006A579D"/>
    <w:rsid w:val="006A5D32"/>
    <w:rsid w:val="006A744F"/>
    <w:rsid w:val="006C0B9B"/>
    <w:rsid w:val="006C349B"/>
    <w:rsid w:val="006D3E57"/>
    <w:rsid w:val="006E0D8A"/>
    <w:rsid w:val="006E1CBD"/>
    <w:rsid w:val="006E34F6"/>
    <w:rsid w:val="006E36B2"/>
    <w:rsid w:val="006E509D"/>
    <w:rsid w:val="006E76AB"/>
    <w:rsid w:val="006F18F9"/>
    <w:rsid w:val="00702312"/>
    <w:rsid w:val="0070483E"/>
    <w:rsid w:val="00706E34"/>
    <w:rsid w:val="007070A8"/>
    <w:rsid w:val="007106E7"/>
    <w:rsid w:val="00711CA5"/>
    <w:rsid w:val="0071223C"/>
    <w:rsid w:val="007169A6"/>
    <w:rsid w:val="00717A0F"/>
    <w:rsid w:val="0073392B"/>
    <w:rsid w:val="00733E62"/>
    <w:rsid w:val="00737E3C"/>
    <w:rsid w:val="0074009B"/>
    <w:rsid w:val="00743F82"/>
    <w:rsid w:val="00755682"/>
    <w:rsid w:val="00755C47"/>
    <w:rsid w:val="00756482"/>
    <w:rsid w:val="0076427F"/>
    <w:rsid w:val="00765884"/>
    <w:rsid w:val="00765E73"/>
    <w:rsid w:val="00783148"/>
    <w:rsid w:val="00783916"/>
    <w:rsid w:val="00784175"/>
    <w:rsid w:val="00794164"/>
    <w:rsid w:val="00797EB1"/>
    <w:rsid w:val="007A5A67"/>
    <w:rsid w:val="007B0956"/>
    <w:rsid w:val="007B39A7"/>
    <w:rsid w:val="007B63B0"/>
    <w:rsid w:val="007D0451"/>
    <w:rsid w:val="007D04AB"/>
    <w:rsid w:val="007D76BF"/>
    <w:rsid w:val="007E14FA"/>
    <w:rsid w:val="007E1F76"/>
    <w:rsid w:val="007E5CA9"/>
    <w:rsid w:val="007E6757"/>
    <w:rsid w:val="007F0B0E"/>
    <w:rsid w:val="007F7DB8"/>
    <w:rsid w:val="0080019D"/>
    <w:rsid w:val="00800CCA"/>
    <w:rsid w:val="00802421"/>
    <w:rsid w:val="00802BD8"/>
    <w:rsid w:val="00803106"/>
    <w:rsid w:val="00806001"/>
    <w:rsid w:val="008062B3"/>
    <w:rsid w:val="00807973"/>
    <w:rsid w:val="0081222A"/>
    <w:rsid w:val="00813076"/>
    <w:rsid w:val="00816575"/>
    <w:rsid w:val="00816DBD"/>
    <w:rsid w:val="0082155E"/>
    <w:rsid w:val="00827E70"/>
    <w:rsid w:val="00830A81"/>
    <w:rsid w:val="008320D7"/>
    <w:rsid w:val="008327E3"/>
    <w:rsid w:val="00835500"/>
    <w:rsid w:val="00842C70"/>
    <w:rsid w:val="00842CEC"/>
    <w:rsid w:val="008438D6"/>
    <w:rsid w:val="00846CA8"/>
    <w:rsid w:val="00853B23"/>
    <w:rsid w:val="008570EC"/>
    <w:rsid w:val="008605CC"/>
    <w:rsid w:val="0086146E"/>
    <w:rsid w:val="00863DDC"/>
    <w:rsid w:val="00866410"/>
    <w:rsid w:val="00867448"/>
    <w:rsid w:val="008764F0"/>
    <w:rsid w:val="00880079"/>
    <w:rsid w:val="00880613"/>
    <w:rsid w:val="00882E22"/>
    <w:rsid w:val="00886088"/>
    <w:rsid w:val="008928F5"/>
    <w:rsid w:val="008A048B"/>
    <w:rsid w:val="008A2486"/>
    <w:rsid w:val="008C1E8D"/>
    <w:rsid w:val="008C2887"/>
    <w:rsid w:val="008C3498"/>
    <w:rsid w:val="008D37DC"/>
    <w:rsid w:val="008D3ACE"/>
    <w:rsid w:val="008D75A1"/>
    <w:rsid w:val="008E4B20"/>
    <w:rsid w:val="008F2603"/>
    <w:rsid w:val="0090054B"/>
    <w:rsid w:val="00905664"/>
    <w:rsid w:val="00911970"/>
    <w:rsid w:val="009152F4"/>
    <w:rsid w:val="009165E4"/>
    <w:rsid w:val="00920CE7"/>
    <w:rsid w:val="00921C95"/>
    <w:rsid w:val="0092293C"/>
    <w:rsid w:val="00930DD5"/>
    <w:rsid w:val="009315E8"/>
    <w:rsid w:val="009333C8"/>
    <w:rsid w:val="00934767"/>
    <w:rsid w:val="0095066D"/>
    <w:rsid w:val="00953D0C"/>
    <w:rsid w:val="009556FC"/>
    <w:rsid w:val="00960F88"/>
    <w:rsid w:val="0096111A"/>
    <w:rsid w:val="009628C0"/>
    <w:rsid w:val="00967828"/>
    <w:rsid w:val="00970EA1"/>
    <w:rsid w:val="009720F9"/>
    <w:rsid w:val="009726EB"/>
    <w:rsid w:val="00973BEC"/>
    <w:rsid w:val="00975003"/>
    <w:rsid w:val="00976C48"/>
    <w:rsid w:val="00981D61"/>
    <w:rsid w:val="0098509F"/>
    <w:rsid w:val="009953FD"/>
    <w:rsid w:val="009A044B"/>
    <w:rsid w:val="009A20F3"/>
    <w:rsid w:val="009A46DE"/>
    <w:rsid w:val="009A6921"/>
    <w:rsid w:val="009B1693"/>
    <w:rsid w:val="009B1FF6"/>
    <w:rsid w:val="009B22A3"/>
    <w:rsid w:val="009B2A7C"/>
    <w:rsid w:val="009B2DCD"/>
    <w:rsid w:val="009B3049"/>
    <w:rsid w:val="009B719D"/>
    <w:rsid w:val="009C1614"/>
    <w:rsid w:val="009C3C9D"/>
    <w:rsid w:val="009C4490"/>
    <w:rsid w:val="009E1A78"/>
    <w:rsid w:val="009E47BF"/>
    <w:rsid w:val="009E7CFB"/>
    <w:rsid w:val="009F0D5F"/>
    <w:rsid w:val="009F5311"/>
    <w:rsid w:val="009F6FA6"/>
    <w:rsid w:val="00A05A91"/>
    <w:rsid w:val="00A07752"/>
    <w:rsid w:val="00A12418"/>
    <w:rsid w:val="00A12C79"/>
    <w:rsid w:val="00A1363D"/>
    <w:rsid w:val="00A2056B"/>
    <w:rsid w:val="00A21B9E"/>
    <w:rsid w:val="00A34AC8"/>
    <w:rsid w:val="00A40305"/>
    <w:rsid w:val="00A50950"/>
    <w:rsid w:val="00A53287"/>
    <w:rsid w:val="00A53D1C"/>
    <w:rsid w:val="00A643BB"/>
    <w:rsid w:val="00A71813"/>
    <w:rsid w:val="00A73067"/>
    <w:rsid w:val="00A73139"/>
    <w:rsid w:val="00A737CF"/>
    <w:rsid w:val="00A75273"/>
    <w:rsid w:val="00A77AB4"/>
    <w:rsid w:val="00A816D1"/>
    <w:rsid w:val="00A85726"/>
    <w:rsid w:val="00A9017B"/>
    <w:rsid w:val="00A93684"/>
    <w:rsid w:val="00A973AC"/>
    <w:rsid w:val="00AA0437"/>
    <w:rsid w:val="00AA074A"/>
    <w:rsid w:val="00AA2227"/>
    <w:rsid w:val="00AA2606"/>
    <w:rsid w:val="00AA47B2"/>
    <w:rsid w:val="00AA52AB"/>
    <w:rsid w:val="00AB11ED"/>
    <w:rsid w:val="00AB678C"/>
    <w:rsid w:val="00AC004A"/>
    <w:rsid w:val="00AC1977"/>
    <w:rsid w:val="00AC32E4"/>
    <w:rsid w:val="00AC34D8"/>
    <w:rsid w:val="00AC5C5C"/>
    <w:rsid w:val="00AC7CF3"/>
    <w:rsid w:val="00AD4BE6"/>
    <w:rsid w:val="00AE15CC"/>
    <w:rsid w:val="00AE713B"/>
    <w:rsid w:val="00AE7D87"/>
    <w:rsid w:val="00AF0700"/>
    <w:rsid w:val="00AF6DAE"/>
    <w:rsid w:val="00AF6FF2"/>
    <w:rsid w:val="00B06489"/>
    <w:rsid w:val="00B10FE3"/>
    <w:rsid w:val="00B1751B"/>
    <w:rsid w:val="00B22A8B"/>
    <w:rsid w:val="00B23AE0"/>
    <w:rsid w:val="00B27903"/>
    <w:rsid w:val="00B41EB9"/>
    <w:rsid w:val="00B4470E"/>
    <w:rsid w:val="00B4772C"/>
    <w:rsid w:val="00B55F59"/>
    <w:rsid w:val="00B56EDB"/>
    <w:rsid w:val="00B60654"/>
    <w:rsid w:val="00B6495F"/>
    <w:rsid w:val="00B6530D"/>
    <w:rsid w:val="00B66033"/>
    <w:rsid w:val="00B71F7F"/>
    <w:rsid w:val="00B72130"/>
    <w:rsid w:val="00B756A3"/>
    <w:rsid w:val="00B75F78"/>
    <w:rsid w:val="00B7724B"/>
    <w:rsid w:val="00B821C8"/>
    <w:rsid w:val="00B835E4"/>
    <w:rsid w:val="00B8503C"/>
    <w:rsid w:val="00B85176"/>
    <w:rsid w:val="00B93E9F"/>
    <w:rsid w:val="00BA18EF"/>
    <w:rsid w:val="00BA3FB0"/>
    <w:rsid w:val="00BB08F7"/>
    <w:rsid w:val="00BB358A"/>
    <w:rsid w:val="00BB710A"/>
    <w:rsid w:val="00BC0400"/>
    <w:rsid w:val="00BC510F"/>
    <w:rsid w:val="00BC529C"/>
    <w:rsid w:val="00BC6306"/>
    <w:rsid w:val="00BC6465"/>
    <w:rsid w:val="00BE1221"/>
    <w:rsid w:val="00BE21DE"/>
    <w:rsid w:val="00BE268E"/>
    <w:rsid w:val="00BE29E7"/>
    <w:rsid w:val="00BE7272"/>
    <w:rsid w:val="00BF15C6"/>
    <w:rsid w:val="00BF428B"/>
    <w:rsid w:val="00BF4AAD"/>
    <w:rsid w:val="00BF5004"/>
    <w:rsid w:val="00C03F4C"/>
    <w:rsid w:val="00C064D6"/>
    <w:rsid w:val="00C123D5"/>
    <w:rsid w:val="00C1258D"/>
    <w:rsid w:val="00C17F6B"/>
    <w:rsid w:val="00C2112F"/>
    <w:rsid w:val="00C411EC"/>
    <w:rsid w:val="00C46333"/>
    <w:rsid w:val="00C46DD7"/>
    <w:rsid w:val="00C52040"/>
    <w:rsid w:val="00C53ADD"/>
    <w:rsid w:val="00C56E0E"/>
    <w:rsid w:val="00C57491"/>
    <w:rsid w:val="00C61DCE"/>
    <w:rsid w:val="00C65EDF"/>
    <w:rsid w:val="00C70105"/>
    <w:rsid w:val="00C70DFB"/>
    <w:rsid w:val="00C71014"/>
    <w:rsid w:val="00C72179"/>
    <w:rsid w:val="00C73309"/>
    <w:rsid w:val="00C74CAF"/>
    <w:rsid w:val="00C752DE"/>
    <w:rsid w:val="00C77100"/>
    <w:rsid w:val="00C8031D"/>
    <w:rsid w:val="00C8244A"/>
    <w:rsid w:val="00C868F6"/>
    <w:rsid w:val="00C87830"/>
    <w:rsid w:val="00C9397B"/>
    <w:rsid w:val="00C9691B"/>
    <w:rsid w:val="00CA0430"/>
    <w:rsid w:val="00CB1B84"/>
    <w:rsid w:val="00CB1CD1"/>
    <w:rsid w:val="00CB4321"/>
    <w:rsid w:val="00CB5501"/>
    <w:rsid w:val="00CB6CBE"/>
    <w:rsid w:val="00CB7EB2"/>
    <w:rsid w:val="00CC39E4"/>
    <w:rsid w:val="00CC3E81"/>
    <w:rsid w:val="00CC547E"/>
    <w:rsid w:val="00CD5B6F"/>
    <w:rsid w:val="00CE286A"/>
    <w:rsid w:val="00CE7121"/>
    <w:rsid w:val="00CF2E80"/>
    <w:rsid w:val="00CF57DA"/>
    <w:rsid w:val="00D0588B"/>
    <w:rsid w:val="00D07A85"/>
    <w:rsid w:val="00D07BC3"/>
    <w:rsid w:val="00D11B76"/>
    <w:rsid w:val="00D141D1"/>
    <w:rsid w:val="00D14518"/>
    <w:rsid w:val="00D15CBF"/>
    <w:rsid w:val="00D22C67"/>
    <w:rsid w:val="00D259E0"/>
    <w:rsid w:val="00D308B6"/>
    <w:rsid w:val="00D32F14"/>
    <w:rsid w:val="00D37E22"/>
    <w:rsid w:val="00D418ED"/>
    <w:rsid w:val="00D42047"/>
    <w:rsid w:val="00D5190F"/>
    <w:rsid w:val="00D567A1"/>
    <w:rsid w:val="00D569FF"/>
    <w:rsid w:val="00D64478"/>
    <w:rsid w:val="00D64B01"/>
    <w:rsid w:val="00D66C23"/>
    <w:rsid w:val="00D739EB"/>
    <w:rsid w:val="00D73A37"/>
    <w:rsid w:val="00D744B7"/>
    <w:rsid w:val="00D77D70"/>
    <w:rsid w:val="00D846ED"/>
    <w:rsid w:val="00D84FB5"/>
    <w:rsid w:val="00D86F06"/>
    <w:rsid w:val="00D90DBC"/>
    <w:rsid w:val="00D93F49"/>
    <w:rsid w:val="00D94D3D"/>
    <w:rsid w:val="00D95DF7"/>
    <w:rsid w:val="00DA2AD3"/>
    <w:rsid w:val="00DA4795"/>
    <w:rsid w:val="00DA69CF"/>
    <w:rsid w:val="00DB1D1F"/>
    <w:rsid w:val="00DB3322"/>
    <w:rsid w:val="00DB4B37"/>
    <w:rsid w:val="00DB6EB6"/>
    <w:rsid w:val="00DC3130"/>
    <w:rsid w:val="00DD4CD5"/>
    <w:rsid w:val="00DE2C66"/>
    <w:rsid w:val="00DE4CCD"/>
    <w:rsid w:val="00DE74D3"/>
    <w:rsid w:val="00DE764B"/>
    <w:rsid w:val="00E00FA2"/>
    <w:rsid w:val="00E012AC"/>
    <w:rsid w:val="00E01BCC"/>
    <w:rsid w:val="00E045D4"/>
    <w:rsid w:val="00E1438A"/>
    <w:rsid w:val="00E16280"/>
    <w:rsid w:val="00E20DF4"/>
    <w:rsid w:val="00E21C7A"/>
    <w:rsid w:val="00E25F71"/>
    <w:rsid w:val="00E27A52"/>
    <w:rsid w:val="00E3402A"/>
    <w:rsid w:val="00E373A7"/>
    <w:rsid w:val="00E42254"/>
    <w:rsid w:val="00E54AAA"/>
    <w:rsid w:val="00E55C6B"/>
    <w:rsid w:val="00E56C5C"/>
    <w:rsid w:val="00E570C1"/>
    <w:rsid w:val="00E75408"/>
    <w:rsid w:val="00E808D2"/>
    <w:rsid w:val="00E84FA4"/>
    <w:rsid w:val="00E861CC"/>
    <w:rsid w:val="00E9310E"/>
    <w:rsid w:val="00EA3481"/>
    <w:rsid w:val="00EA4A85"/>
    <w:rsid w:val="00EB159E"/>
    <w:rsid w:val="00EB2316"/>
    <w:rsid w:val="00EB4874"/>
    <w:rsid w:val="00EC15EC"/>
    <w:rsid w:val="00EC39D9"/>
    <w:rsid w:val="00EC3DDD"/>
    <w:rsid w:val="00EC628E"/>
    <w:rsid w:val="00ED2864"/>
    <w:rsid w:val="00EE048E"/>
    <w:rsid w:val="00EE38FD"/>
    <w:rsid w:val="00EE5FDE"/>
    <w:rsid w:val="00EE7CAD"/>
    <w:rsid w:val="00EF4D56"/>
    <w:rsid w:val="00F002EF"/>
    <w:rsid w:val="00F0140A"/>
    <w:rsid w:val="00F019E9"/>
    <w:rsid w:val="00F02677"/>
    <w:rsid w:val="00F03D79"/>
    <w:rsid w:val="00F1237E"/>
    <w:rsid w:val="00F123A0"/>
    <w:rsid w:val="00F14226"/>
    <w:rsid w:val="00F17819"/>
    <w:rsid w:val="00F17F7C"/>
    <w:rsid w:val="00F20089"/>
    <w:rsid w:val="00F222BC"/>
    <w:rsid w:val="00F32F91"/>
    <w:rsid w:val="00F332A7"/>
    <w:rsid w:val="00F351F5"/>
    <w:rsid w:val="00F43BA3"/>
    <w:rsid w:val="00F44AA2"/>
    <w:rsid w:val="00F51382"/>
    <w:rsid w:val="00F521F5"/>
    <w:rsid w:val="00F52D6A"/>
    <w:rsid w:val="00F60753"/>
    <w:rsid w:val="00F60CB9"/>
    <w:rsid w:val="00F63231"/>
    <w:rsid w:val="00F641E5"/>
    <w:rsid w:val="00F650D3"/>
    <w:rsid w:val="00F72022"/>
    <w:rsid w:val="00F75117"/>
    <w:rsid w:val="00F802DD"/>
    <w:rsid w:val="00F8177B"/>
    <w:rsid w:val="00F82190"/>
    <w:rsid w:val="00F85F9C"/>
    <w:rsid w:val="00F8688E"/>
    <w:rsid w:val="00F90563"/>
    <w:rsid w:val="00F90BC1"/>
    <w:rsid w:val="00F928C2"/>
    <w:rsid w:val="00F92F9D"/>
    <w:rsid w:val="00F94FA7"/>
    <w:rsid w:val="00F975EA"/>
    <w:rsid w:val="00FA00D2"/>
    <w:rsid w:val="00FA041E"/>
    <w:rsid w:val="00FB08DF"/>
    <w:rsid w:val="00FC3C28"/>
    <w:rsid w:val="00FC4240"/>
    <w:rsid w:val="00FC49AC"/>
    <w:rsid w:val="00FC7733"/>
    <w:rsid w:val="00FD08EC"/>
    <w:rsid w:val="00FD5B26"/>
    <w:rsid w:val="00FF2823"/>
    <w:rsid w:val="00FF4C61"/>
    <w:rsid w:val="09A26A6B"/>
    <w:rsid w:val="3B2A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qFormat/>
    <w:uiPriority w:val="0"/>
    <w:pPr>
      <w:keepNext/>
      <w:ind w:left="720"/>
      <w:outlineLvl w:val="1"/>
    </w:pPr>
    <w:rPr>
      <w:rFonts w:ascii="Tahoma" w:hAnsi="Tahoma"/>
      <w:szCs w:val="20"/>
      <w:lang w:val="ro-RO" w:eastAsia="ro-RO"/>
    </w:rPr>
  </w:style>
  <w:style w:type="paragraph" w:styleId="3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link w:val="15"/>
    <w:qFormat/>
    <w:uiPriority w:val="1"/>
    <w:pPr>
      <w:widowControl w:val="0"/>
      <w:autoSpaceDE w:val="0"/>
      <w:autoSpaceDN w:val="0"/>
    </w:pPr>
    <w:rPr>
      <w:rFonts w:ascii="Arial MT" w:hAnsi="Arial MT" w:eastAsia="Arial MT" w:cs="Arial MT"/>
      <w:sz w:val="20"/>
      <w:szCs w:val="20"/>
      <w:lang w:val="ro-RO"/>
    </w:rPr>
  </w:style>
  <w:style w:type="paragraph" w:styleId="8">
    <w:name w:val="footer"/>
    <w:basedOn w:val="1"/>
    <w:link w:val="14"/>
    <w:qFormat/>
    <w:uiPriority w:val="99"/>
    <w:pPr>
      <w:tabs>
        <w:tab w:val="center" w:pos="4536"/>
        <w:tab w:val="right" w:pos="9072"/>
      </w:tabs>
    </w:pPr>
    <w:rPr>
      <w:rFonts w:ascii="Calibri" w:hAnsi="Calibri" w:eastAsia="Calibri" w:cs="Calibri"/>
      <w:sz w:val="22"/>
      <w:szCs w:val="22"/>
      <w:lang w:val="ro-RO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eastAsia="Courier New" w:cs="Courier New"/>
      <w:sz w:val="20"/>
      <w:szCs w:val="20"/>
      <w:lang w:val="ro-RO" w:eastAsia="ro-RO"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/>
    </w:pPr>
    <w:rPr>
      <w:lang w:val="ro-RO" w:eastAsia="ro-RO"/>
    </w:rPr>
  </w:style>
  <w:style w:type="table" w:customStyle="1" w:styleId="12">
    <w:name w:val="Tabel grilă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 Spacing"/>
    <w:qFormat/>
    <w:uiPriority w:val="0"/>
    <w:rPr>
      <w:rFonts w:ascii="Calibri" w:hAnsi="Calibri" w:eastAsia="Times New Roman" w:cs="Times New Roman"/>
      <w:sz w:val="22"/>
      <w:szCs w:val="22"/>
      <w:lang w:val="en-US" w:eastAsia="en-US" w:bidi="ar-SA"/>
    </w:rPr>
  </w:style>
  <w:style w:type="character" w:customStyle="1" w:styleId="14">
    <w:name w:val="Subsol Caracter"/>
    <w:basedOn w:val="4"/>
    <w:link w:val="8"/>
    <w:qFormat/>
    <w:uiPriority w:val="99"/>
    <w:rPr>
      <w:rFonts w:ascii="Calibri" w:hAnsi="Calibri" w:eastAsia="Calibri" w:cs="Calibri"/>
      <w:sz w:val="22"/>
      <w:szCs w:val="22"/>
      <w:lang w:eastAsia="en-US"/>
    </w:rPr>
  </w:style>
  <w:style w:type="character" w:customStyle="1" w:styleId="15">
    <w:name w:val="Corp text Caracter"/>
    <w:basedOn w:val="4"/>
    <w:link w:val="7"/>
    <w:qFormat/>
    <w:uiPriority w:val="1"/>
    <w:rPr>
      <w:rFonts w:ascii="Arial MT" w:hAnsi="Arial MT" w:eastAsia="Arial MT" w:cs="Arial MT"/>
      <w:lang w:eastAsia="en-US"/>
    </w:rPr>
  </w:style>
  <w:style w:type="character" w:customStyle="1" w:styleId="16">
    <w:name w:val="fontstyle01"/>
    <w:qFormat/>
    <w:uiPriority w:val="0"/>
    <w:rPr>
      <w:rFonts w:hint="default" w:ascii="TimesNewRomanPSMT" w:hAnsi="TimesNewRomanPSMT"/>
      <w:color w:val="000000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F97CB-2705-4DC7-B5C3-C198C9097B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388</Words>
  <Characters>2256</Characters>
  <Lines>18</Lines>
  <Paragraphs>5</Paragraphs>
  <TotalTime>3</TotalTime>
  <ScaleCrop>false</ScaleCrop>
  <LinksUpToDate>false</LinksUpToDate>
  <CharactersWithSpaces>2639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2022-05-09T08:40:00Z</dcterms:created>
  <dc:creator>admin</dc:creator>
  <cp:lastModifiedBy>Urbanism Balaciu</cp:lastModifiedBy>
  <cp:lastPrinted>2022-02-23T06:08:00Z</cp:lastPrinted>
  <dcterms:modified xsi:type="dcterms:W3CDTF">2025-06-19T09:19:29Z</dcterms:modified>
  <dc:title>ROMÂNIA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5328D31200134CFC9BBE877251DFA667_13</vt:lpwstr>
  </property>
</Properties>
</file>