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44CFF" w14:textId="77777777" w:rsidR="00FF4EB4" w:rsidRPr="00FF4EB4" w:rsidRDefault="00FF4EB4" w:rsidP="00FF4EB4">
      <w:pPr>
        <w:spacing w:after="0" w:line="240" w:lineRule="auto"/>
        <w:rPr>
          <w:rFonts w:ascii="Times New Roman" w:eastAsia="Times New Roman" w:hAnsi="Times New Roman" w:cs="Times New Roman"/>
          <w:sz w:val="20"/>
          <w:szCs w:val="20"/>
          <w:lang w:eastAsia="ro-RO"/>
        </w:rPr>
      </w:pPr>
    </w:p>
    <w:tbl>
      <w:tblPr>
        <w:tblW w:w="0" w:type="auto"/>
        <w:tblLayout w:type="fixed"/>
        <w:tblLook w:val="01E0" w:firstRow="1" w:lastRow="1" w:firstColumn="1" w:lastColumn="1" w:noHBand="0" w:noVBand="0"/>
      </w:tblPr>
      <w:tblGrid>
        <w:gridCol w:w="1668"/>
        <w:gridCol w:w="6095"/>
        <w:gridCol w:w="1701"/>
      </w:tblGrid>
      <w:tr w:rsidR="006876F1" w:rsidRPr="006876F1" w14:paraId="31DC8B50" w14:textId="77777777" w:rsidTr="00871C5E">
        <w:trPr>
          <w:trHeight w:val="1985"/>
        </w:trPr>
        <w:tc>
          <w:tcPr>
            <w:tcW w:w="1668" w:type="dxa"/>
            <w:hideMark/>
          </w:tcPr>
          <w:p w14:paraId="4465E410" w14:textId="4B499A94" w:rsidR="006876F1" w:rsidRPr="006876F1" w:rsidRDefault="006876F1" w:rsidP="006876F1">
            <w:pPr>
              <w:spacing w:after="0" w:line="240" w:lineRule="auto"/>
              <w:rPr>
                <w:rFonts w:ascii="Times New Roman" w:eastAsia="Times New Roman" w:hAnsi="Times New Roman" w:cs="Times New Roman"/>
                <w:sz w:val="24"/>
                <w:szCs w:val="24"/>
                <w:lang w:eastAsia="ro-RO"/>
              </w:rPr>
            </w:pPr>
            <w:r w:rsidRPr="006876F1">
              <w:rPr>
                <w:rFonts w:ascii="Times New Roman" w:eastAsia="Times New Roman" w:hAnsi="Times New Roman" w:cs="Times New Roman"/>
                <w:noProof/>
                <w:sz w:val="20"/>
                <w:szCs w:val="20"/>
                <w:lang w:eastAsia="ro-RO"/>
              </w:rPr>
              <w:drawing>
                <wp:inline distT="0" distB="0" distL="0" distR="0" wp14:anchorId="033FDF4B" wp14:editId="32DC5F87">
                  <wp:extent cx="922020" cy="1154430"/>
                  <wp:effectExtent l="0" t="0" r="0" b="7620"/>
                  <wp:docPr id="5" name="Imagine 5" descr="https://upload.wikimedia.org/wikipedia/commons/thumb/7/70/Coat_of_arms_of_Romania.svg/800px-Coat_of_arms_of_Rom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https://upload.wikimedia.org/wikipedia/commons/thumb/7/70/Coat_of_arms_of_Romania.svg/800px-Coat_of_arms_of_Romania.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2020" cy="1154430"/>
                          </a:xfrm>
                          <a:prstGeom prst="rect">
                            <a:avLst/>
                          </a:prstGeom>
                          <a:noFill/>
                          <a:ln>
                            <a:noFill/>
                          </a:ln>
                        </pic:spPr>
                      </pic:pic>
                    </a:graphicData>
                  </a:graphic>
                </wp:inline>
              </w:drawing>
            </w:r>
          </w:p>
        </w:tc>
        <w:tc>
          <w:tcPr>
            <w:tcW w:w="6095" w:type="dxa"/>
            <w:hideMark/>
          </w:tcPr>
          <w:p w14:paraId="13EB0CEA" w14:textId="77777777" w:rsidR="006876F1" w:rsidRPr="006876F1" w:rsidRDefault="006876F1" w:rsidP="006876F1">
            <w:pPr>
              <w:keepNext/>
              <w:spacing w:after="0" w:line="240" w:lineRule="auto"/>
              <w:jc w:val="center"/>
              <w:outlineLvl w:val="5"/>
              <w:rPr>
                <w:rFonts w:ascii="Monotype Corsiva" w:eastAsia="Times New Roman" w:hAnsi="Monotype Corsiva" w:cs="Times New Roman"/>
                <w:bCs/>
                <w:sz w:val="48"/>
                <w:szCs w:val="20"/>
                <w:lang w:eastAsia="ro-RO"/>
              </w:rPr>
            </w:pPr>
            <w:r w:rsidRPr="006876F1">
              <w:rPr>
                <w:rFonts w:ascii="Monotype Corsiva" w:eastAsia="Times New Roman" w:hAnsi="Monotype Corsiva" w:cs="Times New Roman"/>
                <w:bCs/>
                <w:sz w:val="48"/>
                <w:szCs w:val="20"/>
                <w:lang w:eastAsia="ro-RO"/>
              </w:rPr>
              <w:t>ROMÂNIA</w:t>
            </w:r>
          </w:p>
          <w:p w14:paraId="3B5B21FC" w14:textId="77777777" w:rsidR="006876F1" w:rsidRPr="006876F1" w:rsidRDefault="006876F1" w:rsidP="006876F1">
            <w:pPr>
              <w:keepNext/>
              <w:spacing w:after="0" w:line="240" w:lineRule="auto"/>
              <w:jc w:val="center"/>
              <w:outlineLvl w:val="5"/>
              <w:rPr>
                <w:rFonts w:ascii="Monotype Corsiva" w:eastAsia="Times New Roman" w:hAnsi="Monotype Corsiva" w:cs="Times New Roman"/>
                <w:bCs/>
                <w:sz w:val="48"/>
                <w:szCs w:val="20"/>
                <w:lang w:eastAsia="ro-RO"/>
              </w:rPr>
            </w:pPr>
            <w:r w:rsidRPr="006876F1">
              <w:rPr>
                <w:rFonts w:ascii="Monotype Corsiva" w:eastAsia="Times New Roman" w:hAnsi="Monotype Corsiva" w:cs="Times New Roman"/>
                <w:bCs/>
                <w:sz w:val="48"/>
                <w:szCs w:val="20"/>
                <w:lang w:eastAsia="ro-RO"/>
              </w:rPr>
              <w:t>JUDEŢUL IAŞI</w:t>
            </w:r>
          </w:p>
          <w:p w14:paraId="32338422" w14:textId="77777777" w:rsidR="006876F1" w:rsidRPr="006876F1" w:rsidRDefault="006876F1" w:rsidP="006876F1">
            <w:pPr>
              <w:keepNext/>
              <w:spacing w:after="0" w:line="240" w:lineRule="auto"/>
              <w:jc w:val="center"/>
              <w:outlineLvl w:val="5"/>
              <w:rPr>
                <w:rFonts w:ascii="Monotype Corsiva" w:eastAsia="Times New Roman" w:hAnsi="Monotype Corsiva" w:cs="Times New Roman"/>
                <w:bCs/>
                <w:sz w:val="48"/>
                <w:szCs w:val="20"/>
                <w:lang w:eastAsia="ro-RO"/>
              </w:rPr>
            </w:pPr>
            <w:r w:rsidRPr="006876F1">
              <w:rPr>
                <w:rFonts w:ascii="Monotype Corsiva" w:eastAsia="Times New Roman" w:hAnsi="Monotype Corsiva" w:cs="Times New Roman"/>
                <w:bCs/>
                <w:sz w:val="48"/>
                <w:szCs w:val="20"/>
                <w:lang w:eastAsia="ro-RO"/>
              </w:rPr>
              <w:t>COMUNA ARONEANU</w:t>
            </w:r>
          </w:p>
          <w:p w14:paraId="7D60E00B" w14:textId="77777777" w:rsidR="006876F1" w:rsidRPr="006876F1" w:rsidRDefault="006876F1" w:rsidP="006876F1">
            <w:pPr>
              <w:spacing w:after="0" w:line="240" w:lineRule="auto"/>
              <w:jc w:val="center"/>
              <w:rPr>
                <w:rFonts w:ascii="Times New Roman" w:eastAsia="Times New Roman" w:hAnsi="Times New Roman" w:cs="Times New Roman"/>
                <w:i/>
                <w:sz w:val="18"/>
                <w:szCs w:val="24"/>
                <w:lang w:eastAsia="ro-RO"/>
              </w:rPr>
            </w:pPr>
          </w:p>
        </w:tc>
        <w:tc>
          <w:tcPr>
            <w:tcW w:w="1701" w:type="dxa"/>
            <w:hideMark/>
          </w:tcPr>
          <w:p w14:paraId="08800215" w14:textId="6804F1DC" w:rsidR="006876F1" w:rsidRPr="006876F1" w:rsidRDefault="006876F1" w:rsidP="006876F1">
            <w:pPr>
              <w:spacing w:after="0" w:line="240" w:lineRule="auto"/>
              <w:rPr>
                <w:rFonts w:ascii="Arial" w:eastAsia="Times New Roman" w:hAnsi="Arial" w:cs="Arial"/>
                <w:iCs/>
                <w:sz w:val="24"/>
                <w:szCs w:val="16"/>
                <w:lang w:eastAsia="ro-RO"/>
              </w:rPr>
            </w:pPr>
            <w:r w:rsidRPr="006876F1">
              <w:rPr>
                <w:rFonts w:ascii="Times New Roman" w:eastAsia="Times New Roman" w:hAnsi="Times New Roman" w:cs="Times New Roman"/>
                <w:noProof/>
                <w:sz w:val="20"/>
                <w:szCs w:val="20"/>
                <w:lang w:eastAsia="ro-RO"/>
              </w:rPr>
              <w:drawing>
                <wp:anchor distT="0" distB="0" distL="114300" distR="114300" simplePos="0" relativeHeight="251659264" behindDoc="1" locked="0" layoutInCell="1" allowOverlap="1" wp14:anchorId="1B3960B6" wp14:editId="3F63857D">
                  <wp:simplePos x="0" y="0"/>
                  <wp:positionH relativeFrom="column">
                    <wp:posOffset>-65405</wp:posOffset>
                  </wp:positionH>
                  <wp:positionV relativeFrom="paragraph">
                    <wp:posOffset>-1364615</wp:posOffset>
                  </wp:positionV>
                  <wp:extent cx="922020" cy="1108075"/>
                  <wp:effectExtent l="0" t="0" r="0" b="0"/>
                  <wp:wrapTight wrapText="bothSides">
                    <wp:wrapPolygon edited="0">
                      <wp:start x="0" y="0"/>
                      <wp:lineTo x="0" y="21167"/>
                      <wp:lineTo x="20975" y="21167"/>
                      <wp:lineTo x="20975" y="0"/>
                      <wp:lineTo x="0" y="0"/>
                    </wp:wrapPolygon>
                  </wp:wrapTight>
                  <wp:docPr id="6" name="Imagine 6" descr="StemaAron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temaAron mic"/>
                          <pic:cNvPicPr>
                            <a:picLocks noChangeAspect="1" noChangeArrowheads="1"/>
                          </pic:cNvPicPr>
                        </pic:nvPicPr>
                        <pic:blipFill>
                          <a:blip r:embed="rId8" cstate="print">
                            <a:lum bright="40000" contrast="80000"/>
                            <a:extLst>
                              <a:ext uri="{28A0092B-C50C-407E-A947-70E740481C1C}">
                                <a14:useLocalDpi xmlns:a14="http://schemas.microsoft.com/office/drawing/2010/main" val="0"/>
                              </a:ext>
                            </a:extLst>
                          </a:blip>
                          <a:srcRect/>
                          <a:stretch>
                            <a:fillRect/>
                          </a:stretch>
                        </pic:blipFill>
                        <pic:spPr bwMode="auto">
                          <a:xfrm>
                            <a:off x="0" y="0"/>
                            <a:ext cx="922020" cy="11080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876F1" w:rsidRPr="006876F1" w14:paraId="5028F772" w14:textId="77777777" w:rsidTr="00871C5E">
        <w:trPr>
          <w:cantSplit/>
          <w:trHeight w:val="229"/>
        </w:trPr>
        <w:tc>
          <w:tcPr>
            <w:tcW w:w="9464" w:type="dxa"/>
            <w:gridSpan w:val="3"/>
            <w:hideMark/>
          </w:tcPr>
          <w:p w14:paraId="74D951ED" w14:textId="77777777" w:rsidR="006876F1" w:rsidRPr="006876F1" w:rsidRDefault="006876F1" w:rsidP="006876F1">
            <w:pPr>
              <w:spacing w:after="0" w:line="240" w:lineRule="auto"/>
              <w:rPr>
                <w:rFonts w:ascii="Arial" w:eastAsia="Times New Roman" w:hAnsi="Arial" w:cs="Arial"/>
                <w:b/>
                <w:bCs/>
                <w:iCs/>
                <w:sz w:val="16"/>
                <w:szCs w:val="16"/>
                <w:lang w:eastAsia="ro-RO"/>
              </w:rPr>
            </w:pPr>
            <w:r w:rsidRPr="006876F1">
              <w:rPr>
                <w:rFonts w:ascii="Monotype Corsiva" w:eastAsia="Times New Roman" w:hAnsi="Monotype Corsiva" w:cs="Times New Roman"/>
                <w:b/>
                <w:bCs/>
                <w:sz w:val="18"/>
                <w:szCs w:val="24"/>
                <w:lang w:eastAsia="ro-RO"/>
              </w:rPr>
              <w:t xml:space="preserve">Telefon/fax 0232/299.255 Cod fiscal 4540038 Cod poştal 707020 </w:t>
            </w:r>
            <w:r w:rsidRPr="006876F1">
              <w:rPr>
                <w:rFonts w:ascii="Monotype Corsiva" w:eastAsia="Times New Roman" w:hAnsi="Monotype Corsiva" w:cs="Times New Roman"/>
                <w:b/>
                <w:bCs/>
                <w:i/>
                <w:sz w:val="18"/>
                <w:szCs w:val="24"/>
                <w:lang w:eastAsia="ro-RO"/>
              </w:rPr>
              <w:t xml:space="preserve">e-mail: </w:t>
            </w:r>
            <w:hyperlink r:id="rId9" w:history="1">
              <w:r w:rsidRPr="006876F1">
                <w:rPr>
                  <w:rFonts w:ascii="Monotype Corsiva" w:eastAsia="Times New Roman" w:hAnsi="Monotype Corsiva" w:cs="Times New Roman"/>
                  <w:b/>
                  <w:bCs/>
                  <w:i/>
                  <w:color w:val="0000FF"/>
                  <w:sz w:val="18"/>
                  <w:szCs w:val="24"/>
                  <w:u w:val="single"/>
                  <w:lang w:eastAsia="ro-RO"/>
                </w:rPr>
                <w:t>primariaaroneanu@yahoo.com</w:t>
              </w:r>
            </w:hyperlink>
            <w:r w:rsidRPr="006876F1">
              <w:rPr>
                <w:rFonts w:ascii="Monotype Corsiva" w:eastAsia="Times New Roman" w:hAnsi="Monotype Corsiva" w:cs="Times New Roman"/>
                <w:b/>
                <w:bCs/>
                <w:i/>
                <w:sz w:val="18"/>
                <w:szCs w:val="24"/>
                <w:lang w:eastAsia="ro-RO"/>
              </w:rPr>
              <w:t xml:space="preserve"> internet: http : </w:t>
            </w:r>
            <w:hyperlink r:id="rId10" w:history="1">
              <w:r w:rsidRPr="006876F1">
                <w:rPr>
                  <w:rFonts w:ascii="Monotype Corsiva" w:eastAsia="Times New Roman" w:hAnsi="Monotype Corsiva" w:cs="Times New Roman"/>
                  <w:b/>
                  <w:bCs/>
                  <w:i/>
                  <w:color w:val="0000FF"/>
                  <w:sz w:val="18"/>
                  <w:szCs w:val="24"/>
                  <w:u w:val="single"/>
                  <w:lang w:eastAsia="ro-RO"/>
                </w:rPr>
                <w:t>www.comunaaroneanu.ro</w:t>
              </w:r>
            </w:hyperlink>
          </w:p>
        </w:tc>
      </w:tr>
    </w:tbl>
    <w:p w14:paraId="4EA99E1D" w14:textId="77777777" w:rsidR="006876F1" w:rsidRPr="006876F1" w:rsidRDefault="006876F1" w:rsidP="006876F1">
      <w:pPr>
        <w:spacing w:after="0" w:line="240" w:lineRule="auto"/>
        <w:jc w:val="center"/>
        <w:rPr>
          <w:rFonts w:ascii="Times New Roman" w:eastAsia="Times New Roman" w:hAnsi="Times New Roman" w:cs="Times New Roman"/>
          <w:b/>
          <w:color w:val="FF0000"/>
          <w:sz w:val="20"/>
          <w:szCs w:val="20"/>
          <w:lang w:eastAsia="ro-RO"/>
        </w:rPr>
      </w:pPr>
      <w:r w:rsidRPr="006876F1">
        <w:rPr>
          <w:rFonts w:ascii="Times New Roman" w:eastAsia="Times New Roman" w:hAnsi="Times New Roman" w:cs="Times New Roman"/>
          <w:b/>
          <w:color w:val="FF0000"/>
          <w:sz w:val="20"/>
          <w:szCs w:val="20"/>
          <w:lang w:eastAsia="ro-RO"/>
        </w:rPr>
        <w:t xml:space="preserve">                                                                                                                  </w:t>
      </w:r>
      <w:r w:rsidRPr="006876F1">
        <w:rPr>
          <w:rFonts w:ascii="Times New Roman" w:eastAsia="Times New Roman" w:hAnsi="Times New Roman" w:cs="Times New Roman"/>
          <w:b/>
          <w:sz w:val="20"/>
          <w:szCs w:val="20"/>
          <w:lang w:eastAsia="ro-RO"/>
        </w:rPr>
        <w:t>Nr. de înreg. 20.713/26.10.2021</w:t>
      </w:r>
    </w:p>
    <w:p w14:paraId="5C23A63C" w14:textId="77777777" w:rsidR="006876F1" w:rsidRPr="006876F1" w:rsidRDefault="006876F1" w:rsidP="006876F1">
      <w:pPr>
        <w:spacing w:after="0" w:line="240" w:lineRule="auto"/>
        <w:jc w:val="center"/>
        <w:rPr>
          <w:rFonts w:ascii="Times New Roman" w:eastAsia="Times New Roman" w:hAnsi="Times New Roman" w:cs="Times New Roman"/>
          <w:b/>
          <w:sz w:val="32"/>
          <w:szCs w:val="32"/>
          <w:lang w:eastAsia="ro-RO"/>
        </w:rPr>
      </w:pPr>
    </w:p>
    <w:p w14:paraId="5EAD349F" w14:textId="77777777" w:rsidR="006876F1" w:rsidRPr="006876F1" w:rsidRDefault="006876F1" w:rsidP="006876F1">
      <w:pPr>
        <w:spacing w:after="0" w:line="240" w:lineRule="auto"/>
        <w:jc w:val="center"/>
        <w:rPr>
          <w:rFonts w:ascii="Times New Roman" w:eastAsia="Times New Roman" w:hAnsi="Times New Roman" w:cs="Times New Roman"/>
          <w:b/>
          <w:sz w:val="32"/>
          <w:szCs w:val="32"/>
          <w:lang w:eastAsia="ro-RO"/>
        </w:rPr>
      </w:pPr>
    </w:p>
    <w:p w14:paraId="3EE0329B" w14:textId="77777777" w:rsidR="006876F1" w:rsidRDefault="006876F1" w:rsidP="006876F1">
      <w:pPr>
        <w:spacing w:after="0" w:line="240" w:lineRule="auto"/>
        <w:jc w:val="center"/>
        <w:rPr>
          <w:rFonts w:ascii="Times New Roman" w:eastAsia="Times New Roman" w:hAnsi="Times New Roman" w:cs="Times New Roman"/>
          <w:b/>
          <w:sz w:val="32"/>
          <w:szCs w:val="32"/>
          <w:lang w:eastAsia="ro-RO"/>
        </w:rPr>
      </w:pPr>
    </w:p>
    <w:p w14:paraId="04E8B488" w14:textId="77777777" w:rsidR="006876F1" w:rsidRDefault="006876F1" w:rsidP="006876F1">
      <w:pPr>
        <w:spacing w:after="0" w:line="240" w:lineRule="auto"/>
        <w:jc w:val="center"/>
        <w:rPr>
          <w:rFonts w:ascii="Times New Roman" w:eastAsia="Times New Roman" w:hAnsi="Times New Roman" w:cs="Times New Roman"/>
          <w:b/>
          <w:sz w:val="32"/>
          <w:szCs w:val="32"/>
          <w:lang w:eastAsia="ro-RO"/>
        </w:rPr>
      </w:pPr>
    </w:p>
    <w:p w14:paraId="35C89606" w14:textId="6E6268FF" w:rsidR="006876F1" w:rsidRPr="006876F1" w:rsidRDefault="006876F1" w:rsidP="006876F1">
      <w:pPr>
        <w:spacing w:after="0" w:line="240" w:lineRule="auto"/>
        <w:jc w:val="center"/>
        <w:rPr>
          <w:rFonts w:ascii="Times New Roman" w:eastAsia="Times New Roman" w:hAnsi="Times New Roman" w:cs="Times New Roman"/>
          <w:b/>
          <w:sz w:val="32"/>
          <w:szCs w:val="32"/>
          <w:lang w:eastAsia="ro-RO"/>
        </w:rPr>
      </w:pPr>
      <w:r w:rsidRPr="006876F1">
        <w:rPr>
          <w:rFonts w:ascii="Times New Roman" w:eastAsia="Times New Roman" w:hAnsi="Times New Roman" w:cs="Times New Roman"/>
          <w:b/>
          <w:sz w:val="32"/>
          <w:szCs w:val="32"/>
          <w:lang w:eastAsia="ro-RO"/>
        </w:rPr>
        <w:t>Referat de specialitate</w:t>
      </w:r>
    </w:p>
    <w:p w14:paraId="6B302AFC" w14:textId="77777777" w:rsidR="006876F1" w:rsidRPr="006876F1" w:rsidRDefault="006876F1" w:rsidP="006876F1">
      <w:pPr>
        <w:spacing w:after="0" w:line="360" w:lineRule="auto"/>
        <w:ind w:firstLine="720"/>
        <w:rPr>
          <w:rFonts w:ascii="Times New Roman" w:eastAsia="Times New Roman" w:hAnsi="Times New Roman" w:cs="Times New Roman"/>
          <w:b/>
          <w:sz w:val="24"/>
          <w:szCs w:val="24"/>
          <w:lang w:eastAsia="ro-RO"/>
        </w:rPr>
      </w:pPr>
      <w:r w:rsidRPr="006876F1">
        <w:rPr>
          <w:rFonts w:ascii="Times New Roman" w:eastAsia="Times New Roman" w:hAnsi="Times New Roman" w:cs="Times New Roman"/>
          <w:b/>
          <w:sz w:val="24"/>
          <w:szCs w:val="24"/>
          <w:lang w:eastAsia="ro-RO"/>
        </w:rPr>
        <w:t xml:space="preserve">                                              </w:t>
      </w:r>
    </w:p>
    <w:p w14:paraId="31EDF85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sz w:val="24"/>
          <w:szCs w:val="24"/>
          <w:lang w:val="fr-FR" w:eastAsia="ro-RO"/>
        </w:rPr>
      </w:pPr>
      <w:r w:rsidRPr="006876F1">
        <w:rPr>
          <w:rFonts w:ascii="Times New Roman" w:eastAsia="Times New Roman" w:hAnsi="Times New Roman" w:cs="Times New Roman"/>
          <w:sz w:val="24"/>
          <w:szCs w:val="24"/>
          <w:lang w:eastAsia="ro-RO"/>
        </w:rPr>
        <w:t xml:space="preserve">Subsemnata, </w:t>
      </w:r>
      <w:r w:rsidRPr="006876F1">
        <w:rPr>
          <w:rFonts w:ascii="Times New Roman" w:eastAsia="Times New Roman" w:hAnsi="Times New Roman" w:cs="Times New Roman"/>
          <w:iCs/>
          <w:sz w:val="24"/>
          <w:szCs w:val="24"/>
          <w:lang w:eastAsia="ro-RO"/>
        </w:rPr>
        <w:t xml:space="preserve">Cobjuc Delia, consilier juridic cu atribuţii în domeniul achiziţiilor publice </w:t>
      </w:r>
      <w:r w:rsidRPr="006876F1">
        <w:rPr>
          <w:rFonts w:ascii="Times New Roman" w:eastAsia="Times New Roman" w:hAnsi="Times New Roman" w:cs="Times New Roman"/>
          <w:iCs/>
          <w:sz w:val="24"/>
          <w:szCs w:val="24"/>
          <w:lang w:val="en-US" w:eastAsia="ro-RO"/>
        </w:rPr>
        <w:t>(</w:t>
      </w:r>
      <w:r w:rsidRPr="006876F1">
        <w:rPr>
          <w:rFonts w:ascii="Times New Roman" w:eastAsia="Times New Roman" w:hAnsi="Times New Roman" w:cs="Times New Roman"/>
          <w:iCs/>
          <w:sz w:val="24"/>
          <w:szCs w:val="24"/>
          <w:lang w:eastAsia="ro-RO"/>
        </w:rPr>
        <w:t>în temeiul Acordului de Cooperare încheiat cu Asociaţia Comunelor din România – Filiala Judeţeană Iaşi</w:t>
      </w:r>
      <w:r w:rsidRPr="006876F1">
        <w:rPr>
          <w:rFonts w:ascii="Times New Roman" w:eastAsia="Times New Roman" w:hAnsi="Times New Roman" w:cs="Times New Roman"/>
          <w:iCs/>
          <w:sz w:val="24"/>
          <w:szCs w:val="24"/>
          <w:lang w:val="en-US" w:eastAsia="ro-RO"/>
        </w:rPr>
        <w:t>)</w:t>
      </w:r>
      <w:r w:rsidRPr="006876F1">
        <w:rPr>
          <w:rFonts w:ascii="Times New Roman" w:eastAsia="Times New Roman" w:hAnsi="Times New Roman" w:cs="Times New Roman"/>
          <w:sz w:val="24"/>
          <w:szCs w:val="24"/>
          <w:lang w:eastAsia="ro-RO"/>
        </w:rPr>
        <w:t>, solicit Consiliului Local al comunei Aroneanu punerea în discuţie şi adoptarea unei hotărâri privind</w:t>
      </w:r>
      <w:r w:rsidRPr="006876F1">
        <w:rPr>
          <w:rFonts w:ascii="Times New Roman" w:eastAsia="Times New Roman" w:hAnsi="Times New Roman" w:cs="Times New Roman"/>
          <w:b/>
          <w:bCs/>
          <w:i/>
          <w:sz w:val="24"/>
          <w:szCs w:val="24"/>
          <w:lang w:eastAsia="ro-RO"/>
        </w:rPr>
        <w:t xml:space="preserve"> Achiziţia dotărilor minimale pentru Centrul de Permanenţă Aroneanu</w:t>
      </w:r>
      <w:r w:rsidRPr="006876F1">
        <w:rPr>
          <w:rFonts w:ascii="Times New Roman" w:eastAsia="Times New Roman" w:hAnsi="Times New Roman" w:cs="Times New Roman"/>
          <w:sz w:val="24"/>
          <w:szCs w:val="24"/>
          <w:lang w:eastAsia="ro-RO"/>
        </w:rPr>
        <w:t>,</w:t>
      </w:r>
      <w:r w:rsidRPr="006876F1">
        <w:rPr>
          <w:rFonts w:ascii="Times New Roman" w:eastAsia="Times New Roman" w:hAnsi="Times New Roman" w:cs="Times New Roman"/>
          <w:b/>
          <w:iCs/>
          <w:sz w:val="24"/>
          <w:szCs w:val="24"/>
          <w:lang w:eastAsia="ro-RO"/>
        </w:rPr>
        <w:t xml:space="preserve"> </w:t>
      </w:r>
      <w:r w:rsidRPr="006876F1">
        <w:rPr>
          <w:rFonts w:ascii="Times New Roman" w:eastAsia="Times New Roman" w:hAnsi="Times New Roman" w:cs="Times New Roman"/>
          <w:bCs/>
          <w:iCs/>
          <w:sz w:val="24"/>
          <w:szCs w:val="24"/>
          <w:lang w:eastAsia="ro-RO"/>
        </w:rPr>
        <w:t>raport întocmit în conformitate cu</w:t>
      </w:r>
      <w:r w:rsidRPr="006876F1">
        <w:rPr>
          <w:rFonts w:ascii="Times New Roman" w:eastAsia="Times New Roman" w:hAnsi="Times New Roman" w:cs="Times New Roman"/>
          <w:b/>
          <w:bCs/>
          <w:iCs/>
          <w:sz w:val="24"/>
          <w:szCs w:val="24"/>
          <w:lang w:eastAsia="ro-RO"/>
        </w:rPr>
        <w:t xml:space="preserve"> </w:t>
      </w:r>
      <w:r w:rsidRPr="006876F1">
        <w:rPr>
          <w:rFonts w:ascii="Times New Roman" w:eastAsia="Times New Roman" w:hAnsi="Times New Roman" w:cs="Times New Roman"/>
          <w:iCs/>
          <w:sz w:val="24"/>
          <w:szCs w:val="24"/>
          <w:lang w:eastAsia="ro-RO"/>
        </w:rPr>
        <w:t>art. 136 alin. (8) lit. b) din O.U.G. nr. 57/2019 privind Codul administrativ.</w:t>
      </w:r>
    </w:p>
    <w:p w14:paraId="115CDF93" w14:textId="77777777" w:rsidR="006876F1" w:rsidRPr="006876F1" w:rsidRDefault="006876F1" w:rsidP="006876F1">
      <w:pPr>
        <w:spacing w:after="0" w:line="480" w:lineRule="auto"/>
        <w:ind w:firstLine="720"/>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
          <w:sz w:val="24"/>
          <w:szCs w:val="24"/>
          <w:lang w:eastAsia="ro-RO"/>
        </w:rPr>
        <w:t>În drept,</w:t>
      </w:r>
      <w:r w:rsidRPr="006876F1">
        <w:rPr>
          <w:rFonts w:ascii="Times New Roman" w:eastAsia="Times New Roman" w:hAnsi="Times New Roman" w:cs="Times New Roman"/>
          <w:sz w:val="24"/>
          <w:szCs w:val="24"/>
          <w:lang w:eastAsia="ro-RO"/>
        </w:rPr>
        <w:t xml:space="preserve"> îmi întemeiez solicitarea pe prevederile legale specifice în materie, respectiv: </w:t>
      </w:r>
      <w:r w:rsidRPr="006876F1">
        <w:rPr>
          <w:rFonts w:ascii="Times New Roman" w:eastAsia="Times New Roman" w:hAnsi="Times New Roman" w:cs="Times New Roman"/>
          <w:iCs/>
          <w:noProof/>
          <w:sz w:val="24"/>
          <w:szCs w:val="24"/>
          <w:lang w:eastAsia="ro-RO"/>
        </w:rPr>
        <w:t>art. 7 alin. (2) din Legea nr. 98/2016 a achiziţiilor publice publicată în M.Of. nr. 390 din 23 mai 2016, cu modificările și completările ulterioare;</w:t>
      </w:r>
      <w:r w:rsidRPr="006876F1">
        <w:rPr>
          <w:rFonts w:ascii="Times New Roman" w:eastAsia="Times New Roman" w:hAnsi="Times New Roman" w:cs="Times New Roman"/>
          <w:iCs/>
          <w:sz w:val="24"/>
          <w:szCs w:val="24"/>
          <w:lang w:eastAsia="ro-RO"/>
        </w:rPr>
        <w:t xml:space="preserve"> </w:t>
      </w:r>
      <w:r w:rsidRPr="006876F1">
        <w:rPr>
          <w:rFonts w:ascii="Times New Roman" w:eastAsia="Times New Roman" w:hAnsi="Times New Roman" w:cs="Times New Roman"/>
          <w:color w:val="000000"/>
          <w:sz w:val="24"/>
          <w:szCs w:val="24"/>
          <w:bdr w:val="none" w:sz="0" w:space="0" w:color="auto" w:frame="1"/>
          <w:shd w:val="clear" w:color="auto" w:fill="FFFFFF"/>
          <w:lang w:eastAsia="ro-RO"/>
        </w:rPr>
        <w:t>Hotărârea nr. 395 din 2 iunie 2016 pentru aprobarea Normelor metodologice de aplicare a prevederilor referitoare la atribuirea contractului de achiziție publică/acordului-cadru din </w:t>
      </w:r>
      <w:hyperlink r:id="rId11" w:history="1">
        <w:r w:rsidRPr="006876F1">
          <w:rPr>
            <w:rFonts w:ascii="Times New Roman" w:eastAsia="Times New Roman" w:hAnsi="Times New Roman" w:cs="Times New Roman"/>
            <w:color w:val="000000"/>
            <w:sz w:val="24"/>
            <w:szCs w:val="24"/>
            <w:bdr w:val="none" w:sz="0" w:space="0" w:color="auto" w:frame="1"/>
            <w:shd w:val="clear" w:color="auto" w:fill="FFFFFF"/>
            <w:lang w:eastAsia="ro-RO"/>
          </w:rPr>
          <w:t>Legea nr. 98/2016</w:t>
        </w:r>
      </w:hyperlink>
      <w:r w:rsidRPr="006876F1">
        <w:rPr>
          <w:rFonts w:ascii="Times New Roman" w:eastAsia="Times New Roman" w:hAnsi="Times New Roman" w:cs="Times New Roman"/>
          <w:color w:val="000000"/>
          <w:sz w:val="24"/>
          <w:szCs w:val="24"/>
          <w:bdr w:val="none" w:sz="0" w:space="0" w:color="auto" w:frame="1"/>
          <w:shd w:val="clear" w:color="auto" w:fill="FFFFFF"/>
          <w:lang w:eastAsia="ro-RO"/>
        </w:rPr>
        <w:t> privind achizițiile publice</w:t>
      </w:r>
      <w:r w:rsidRPr="006876F1">
        <w:rPr>
          <w:rFonts w:ascii="Times New Roman" w:eastAsia="Times New Roman" w:hAnsi="Times New Roman" w:cs="Times New Roman"/>
          <w:iCs/>
          <w:noProof/>
          <w:sz w:val="24"/>
          <w:szCs w:val="24"/>
          <w:lang w:eastAsia="ro-RO"/>
        </w:rPr>
        <w:t xml:space="preserve">; </w:t>
      </w:r>
      <w:r w:rsidRPr="006876F1">
        <w:rPr>
          <w:rFonts w:ascii="Times New Roman" w:eastAsia="Times New Roman" w:hAnsi="Times New Roman" w:cs="Times New Roman"/>
          <w:iCs/>
          <w:sz w:val="24"/>
          <w:szCs w:val="24"/>
          <w:lang w:eastAsia="ro-RO"/>
        </w:rPr>
        <w:t xml:space="preserve">Legea nr. 15/2021 a bugetului de stat pe anul 2021; Legea nr. 273/2006 privind finanţele publice locale, cu modificările şi completările ulterioare; </w:t>
      </w:r>
      <w:r w:rsidRPr="006876F1">
        <w:rPr>
          <w:rFonts w:ascii="Times New Roman" w:eastAsia="Times New Roman" w:hAnsi="Times New Roman" w:cs="Times New Roman"/>
          <w:sz w:val="24"/>
          <w:szCs w:val="24"/>
          <w:lang w:eastAsia="ro-RO"/>
        </w:rPr>
        <w:t>CPV din 16 decembrie 2003 de modificare a Regulamentului (CE) nr. 2195/2002 al Parlamentului European şi al Consiliului privind Vocabularul comun privind achiziţiile publice (CPV)</w:t>
      </w:r>
      <w:r w:rsidRPr="006876F1">
        <w:rPr>
          <w:rFonts w:ascii="Times New Roman" w:eastAsia="Times New Roman" w:hAnsi="Times New Roman" w:cs="Times New Roman"/>
          <w:sz w:val="24"/>
          <w:szCs w:val="24"/>
          <w:lang w:val="en-US" w:eastAsia="ro-RO"/>
        </w:rPr>
        <w:t>;</w:t>
      </w:r>
      <w:r w:rsidRPr="006876F1">
        <w:rPr>
          <w:rFonts w:ascii="Times New Roman" w:eastAsia="Times New Roman" w:hAnsi="Times New Roman" w:cs="Times New Roman"/>
          <w:iCs/>
          <w:sz w:val="24"/>
          <w:szCs w:val="24"/>
          <w:lang w:eastAsia="ro-RO"/>
        </w:rPr>
        <w:t xml:space="preserve"> Legea nr. 500/2002 privind finanţele publice, cu modificările şi completările ulterioare; Legea nr. 82/1991, a contabilităţii, republicată, </w:t>
      </w:r>
      <w:r w:rsidRPr="006876F1">
        <w:rPr>
          <w:rFonts w:ascii="Times New Roman" w:eastAsia="Times New Roman" w:hAnsi="Times New Roman" w:cs="Times New Roman"/>
          <w:iCs/>
          <w:sz w:val="24"/>
          <w:szCs w:val="24"/>
          <w:lang w:eastAsia="ro-RO"/>
        </w:rPr>
        <w:lastRenderedPageBreak/>
        <w:t>cu modificările şi completările ulterioare şi O.U.G. nr. 57/2019 privind Codul administrativ, Legea nr. 263 din 16 iunie 2004  privind asigurarea continuităţii asistenţei medicale primare prin centrele de permanenţă, Normele metodologice din 1 iunie 2011 cu privire la asigurarea continuităţii asistenţei medicale primare prin centrele de permanenţă, Ordinul nr. 1.484/7.310/2017 pentru modificarea şi completarea Normelor metodologice cu privire la asigurarea continuităţii asistenţei medicale primare prin centrele de permanenţă, aprobate prin Ordinul ministrului sănătăţii şi al ministrului administraţiei şi internelor nr. 697/112/2011 şi Normele metodologice din 1 iunie 2011 cu privire la asigurarea continuităţii asistenţei medicale primare prin centrele de permanenţă.</w:t>
      </w:r>
    </w:p>
    <w:p w14:paraId="32F9C632"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
          <w:iCs/>
          <w:sz w:val="24"/>
          <w:szCs w:val="24"/>
          <w:lang w:eastAsia="ro-RO"/>
        </w:rPr>
        <w:t>În fapt</w:t>
      </w:r>
      <w:r w:rsidRPr="006876F1">
        <w:rPr>
          <w:rFonts w:ascii="Times New Roman" w:eastAsia="Times New Roman" w:hAnsi="Times New Roman" w:cs="Times New Roman"/>
          <w:iCs/>
          <w:sz w:val="24"/>
          <w:szCs w:val="24"/>
          <w:lang w:eastAsia="ro-RO"/>
        </w:rPr>
        <w:t>, pentru asigurarea bunei funcţionări şi a continuităţii activităţii Centrului de permanenţă de la nivelul Comunei Aroneanu, judeţul Iaşi - unitate medicală care funcționează în afara programului normal de lucru al cabinetelor medicale individuale, deservită de medici de familie și care asigură asistența medicală primară cetăţenilor comunei Aroneanu, se impune achiziţionarea următoarelor dotări minimale constând în</w:t>
      </w:r>
      <w:r w:rsidRPr="006876F1">
        <w:rPr>
          <w:rFonts w:ascii="Times New Roman" w:eastAsia="Times New Roman" w:hAnsi="Times New Roman" w:cs="Times New Roman"/>
          <w:iCs/>
          <w:sz w:val="24"/>
          <w:szCs w:val="24"/>
          <w:lang w:val="en-US" w:eastAsia="ro-RO"/>
        </w:rPr>
        <w:t>:</w:t>
      </w:r>
    </w:p>
    <w:p w14:paraId="3335440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val="en-US" w:eastAsia="ro-RO"/>
        </w:rPr>
        <w:t xml:space="preserve">a) </w:t>
      </w:r>
      <w:r w:rsidRPr="006876F1">
        <w:rPr>
          <w:rFonts w:ascii="Times New Roman" w:eastAsia="Times New Roman" w:hAnsi="Times New Roman" w:cs="Times New Roman"/>
          <w:b/>
          <w:iCs/>
          <w:sz w:val="24"/>
          <w:szCs w:val="24"/>
          <w:lang w:eastAsia="ro-RO"/>
        </w:rPr>
        <w:t>Electrocardiograf 1200G</w:t>
      </w:r>
      <w:r w:rsidRPr="006876F1">
        <w:rPr>
          <w:rFonts w:ascii="Times New Roman" w:eastAsia="Times New Roman" w:hAnsi="Times New Roman" w:cs="Times New Roman"/>
          <w:iCs/>
          <w:sz w:val="24"/>
          <w:szCs w:val="24"/>
          <w:lang w:eastAsia="ro-RO"/>
        </w:rPr>
        <w:t xml:space="preserve"> - ekg cu afisare si imprimare pe 12 canale si cu interpretare. De asemenea, electrocardiograful dispune de un display de 8″ la o rezolutie de 800×600 pixeli, unde cele 12 derivatii se vad la o calitate superioara.</w:t>
      </w:r>
    </w:p>
    <w:p w14:paraId="1D80A966"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Caracteristici:</w:t>
      </w:r>
    </w:p>
    <w:p w14:paraId="6BEF7F80"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electrocardiograf cu 12 derivatii;</w:t>
      </w:r>
    </w:p>
    <w:p w14:paraId="5DFB3C5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diplay 8″, rezolutie 800×600 pixeli;</w:t>
      </w:r>
    </w:p>
    <w:p w14:paraId="0A46FD1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printare pe 12 derivatii in moduri multiple;</w:t>
      </w:r>
    </w:p>
    <w:p w14:paraId="6067741A"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analiza si interpretare automata a rezultatelor;</w:t>
      </w:r>
    </w:p>
    <w:p w14:paraId="7BDDFE1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memorie de peste 1000 de masuratori;</w:t>
      </w:r>
    </w:p>
    <w:p w14:paraId="0E6A4AE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alimentare la reteaua electrica sau cu acumulator;</w:t>
      </w:r>
    </w:p>
    <w:p w14:paraId="1EC7FB0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lastRenderedPageBreak/>
        <w:t>– durata acumulatorului: 4 ore sau 150 de unde sau 90 min de printare;</w:t>
      </w:r>
    </w:p>
    <w:p w14:paraId="78F6DC9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imprimare pe imprimanta termica proprie sau prin USB pe orice imprimanta legata la calculator;</w:t>
      </w:r>
    </w:p>
    <w:p w14:paraId="317A6A66"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hartia termosensibila: 210 mm x 2 m;</w:t>
      </w:r>
    </w:p>
    <w:p w14:paraId="40508C2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garantie 12 luni.</w:t>
      </w:r>
    </w:p>
    <w:p w14:paraId="6D1E218A"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Pachetul vine cu urmatoarele componente:</w:t>
      </w:r>
    </w:p>
    <w:p w14:paraId="37F995C2"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electrocardiograful 1200G;</w:t>
      </w:r>
    </w:p>
    <w:p w14:paraId="7CF2F93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cablu pacient;</w:t>
      </w:r>
    </w:p>
    <w:p w14:paraId="105050C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4 electrozi membre;</w:t>
      </w:r>
    </w:p>
    <w:p w14:paraId="7436F3EC"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6 electrozi precordiali;</w:t>
      </w:r>
    </w:p>
    <w:p w14:paraId="7B388F94"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1 rola hartie;</w:t>
      </w:r>
    </w:p>
    <w:p w14:paraId="43E921D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cablu alimentare;</w:t>
      </w:r>
    </w:p>
    <w:p w14:paraId="61C51A4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acumulator;</w:t>
      </w:r>
    </w:p>
    <w:p w14:paraId="618E5E26"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instructiuni de utilizare.</w:t>
      </w:r>
    </w:p>
    <w:p w14:paraId="2DBECCC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b/>
          <w:iCs/>
          <w:sz w:val="24"/>
          <w:szCs w:val="24"/>
          <w:lang w:eastAsia="ro-RO"/>
        </w:rPr>
        <w:t xml:space="preserve">b) Ecograf color </w:t>
      </w:r>
      <w:r w:rsidRPr="006876F1">
        <w:rPr>
          <w:rFonts w:ascii="Times New Roman" w:eastAsia="Times New Roman" w:hAnsi="Times New Roman" w:cs="Times New Roman"/>
          <w:iCs/>
          <w:sz w:val="24"/>
          <w:szCs w:val="24"/>
          <w:lang w:eastAsia="ro-RO"/>
        </w:rPr>
        <w:t>- performanțe excelente în domeniile obstetrică, ginecologie, pediatrie, sânge, musculo-scheletal și vase de sânge. Pachete software incluse pentru obstetrică, ginecologie, urologie, părți moi, cardiologie.</w:t>
      </w:r>
    </w:p>
    <w:p w14:paraId="0BC269C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Caracteristici:</w:t>
      </w:r>
    </w:p>
    <w:p w14:paraId="3C6194D8"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Display 12,1” de inalta rezolutie, cu unghi de vizualizare de 90°, design compact și modern;</w:t>
      </w:r>
    </w:p>
    <w:p w14:paraId="0698053A"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2 conectori sonde activi;</w:t>
      </w:r>
    </w:p>
    <w:p w14:paraId="110D44FC"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Baterie litiu integrată pentru funcționare continuă.</w:t>
      </w:r>
    </w:p>
    <w:p w14:paraId="451C32E4"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Tehnologii imagistică:</w:t>
      </w:r>
    </w:p>
    <w:p w14:paraId="65D9294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Speckle noise removal technology;</w:t>
      </w:r>
    </w:p>
    <w:p w14:paraId="5711311A"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lastRenderedPageBreak/>
        <w:t>– Tissue harmonics imaging technology;</w:t>
      </w:r>
    </w:p>
    <w:p w14:paraId="4995A802"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Color deflection imaging technology;</w:t>
      </w:r>
    </w:p>
    <w:p w14:paraId="0D5B2E58"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Automated carotid IMT measurement;</w:t>
      </w:r>
    </w:p>
    <w:p w14:paraId="7E0DA2B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Color Doppler spectrum auto measurement and analysis;</w:t>
      </w:r>
    </w:p>
    <w:p w14:paraId="6C28EC0C"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Linear independent deflection imaging technology;</w:t>
      </w:r>
    </w:p>
    <w:p w14:paraId="78F47BF8"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Dual/Triple synchronous technology;</w:t>
      </w:r>
    </w:p>
    <w:p w14:paraId="5644E3C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Unique puncture guide technology.</w:t>
      </w:r>
    </w:p>
    <w:p w14:paraId="2BE37841"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Echipat cu 2 sonde la alegere din: convexa, liniara, microconvexa sau transvaginala.</w:t>
      </w:r>
    </w:p>
    <w:p w14:paraId="50890E1C"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Garantie 2 ani.</w:t>
      </w:r>
    </w:p>
    <w:p w14:paraId="34EF205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xml:space="preserve">c) </w:t>
      </w:r>
      <w:r w:rsidRPr="006876F1">
        <w:rPr>
          <w:rFonts w:ascii="Times New Roman" w:eastAsia="Times New Roman" w:hAnsi="Times New Roman" w:cs="Times New Roman"/>
          <w:b/>
          <w:iCs/>
          <w:sz w:val="24"/>
          <w:szCs w:val="24"/>
          <w:lang w:val="en-US" w:eastAsia="ro-RO"/>
        </w:rPr>
        <w:t>Defibrilator extern semi-automat</w:t>
      </w:r>
      <w:r w:rsidRPr="006876F1">
        <w:rPr>
          <w:rFonts w:ascii="Times New Roman" w:eastAsia="Times New Roman" w:hAnsi="Times New Roman" w:cs="Times New Roman"/>
          <w:iCs/>
          <w:sz w:val="24"/>
          <w:szCs w:val="24"/>
          <w:lang w:val="en-US" w:eastAsia="ro-RO"/>
        </w:rPr>
        <w:t xml:space="preserve"> (AED) cu baterie, ușor de utilizat, mic si usor. Citește automat electrocardiograma pacientului (ECG) și determină dacă exista un stop cardiac care necesită defibrilare, astfel încât atât profesioniștii din domeniul medical, cat și publicului larg il poate opera cu ușurință. Aceasta ghidează utilizatorul de-a lungul unei operațiune de salvare folosind comenzi vocale și indicatori (cu LED-uri și grafici).</w:t>
      </w:r>
    </w:p>
    <w:p w14:paraId="54B9619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Caracteristici:</w:t>
      </w:r>
    </w:p>
    <w:p w14:paraId="66E25EA2"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Putere iesire: 150 J (adulti), 50 J (copii);</w:t>
      </w:r>
    </w:p>
    <w:p w14:paraId="1555593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Timp incarcare: mai putin de 10 secunde;</w:t>
      </w:r>
    </w:p>
    <w:p w14:paraId="064BC608"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Capacitate baterie: minim 200 socuri la 150J;</w:t>
      </w:r>
    </w:p>
    <w:p w14:paraId="23F8E5D8"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Instructiuni vocale in limba romana detaliate si alarme vizuale pentru operatiunile de defibrilare la adulti si copii;</w:t>
      </w:r>
    </w:p>
    <w:p w14:paraId="1E96472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Butoane: ON/OFF, I-button (pentru informatii), buton pentru socuri;</w:t>
      </w:r>
    </w:p>
    <w:p w14:paraId="0634085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Afisaj LCD: status defibrilator, status baterie, status electrozi defibrilare;</w:t>
      </w:r>
    </w:p>
    <w:p w14:paraId="1530F0C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Senzor data expirare electrozi, senzor conexiune electrozi;</w:t>
      </w:r>
    </w:p>
    <w:p w14:paraId="119125AF"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Monitor CPR;</w:t>
      </w:r>
    </w:p>
    <w:p w14:paraId="085F70F0"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lastRenderedPageBreak/>
        <w:t>– Memoria interna poate stoca pana la 3 ore de evenimente si derivitaii EKG;</w:t>
      </w:r>
    </w:p>
    <w:p w14:paraId="507C49C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Card SD si port IrDA pentru transmitere date catre PC.</w:t>
      </w:r>
    </w:p>
    <w:p w14:paraId="4B283A8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Sistem analiza pacient:</w:t>
      </w:r>
    </w:p>
    <w:p w14:paraId="615A2CF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Analiza ritm socuri: fibrilare ventriculara, tahicardie ventriculara;</w:t>
      </w:r>
    </w:p>
    <w:p w14:paraId="5B7B534C"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Senzitivitate si specificitate: respecta ghidurile AAMI DF80.</w:t>
      </w:r>
    </w:p>
    <w:p w14:paraId="25376F7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Dimensiuni:</w:t>
      </w:r>
    </w:p>
    <w:p w14:paraId="5ABBEE70"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lxLxH: 260 x 256 x 69.5 mm</w:t>
      </w:r>
    </w:p>
    <w:p w14:paraId="76B7201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Greutate: 2.4 kg</w:t>
      </w:r>
    </w:p>
    <w:p w14:paraId="6A5717A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Pachetul contine:</w:t>
      </w:r>
    </w:p>
    <w:p w14:paraId="2A3340E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defibrilatorul IPAD;</w:t>
      </w:r>
    </w:p>
    <w:p w14:paraId="0B4DB29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set de padele de unica folosinta pentru adulti;</w:t>
      </w:r>
    </w:p>
    <w:p w14:paraId="3EC9081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baterie LiMnO2;</w:t>
      </w:r>
    </w:p>
    <w:p w14:paraId="414783B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val="en-US" w:eastAsia="ro-RO"/>
        </w:rPr>
      </w:pPr>
      <w:r w:rsidRPr="006876F1">
        <w:rPr>
          <w:rFonts w:ascii="Times New Roman" w:eastAsia="Times New Roman" w:hAnsi="Times New Roman" w:cs="Times New Roman"/>
          <w:iCs/>
          <w:sz w:val="24"/>
          <w:szCs w:val="24"/>
          <w:lang w:val="en-US" w:eastAsia="ro-RO"/>
        </w:rPr>
        <w:t>– ghid de utilizare;</w:t>
      </w:r>
    </w:p>
    <w:p w14:paraId="6F95C46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val="en-US" w:eastAsia="ro-RO"/>
        </w:rPr>
        <w:t>d)</w:t>
      </w:r>
      <w:r w:rsidRPr="006876F1">
        <w:rPr>
          <w:rFonts w:ascii="Times New Roman" w:eastAsia="Times New Roman" w:hAnsi="Times New Roman" w:cs="Times New Roman"/>
          <w:color w:val="FF0000"/>
          <w:sz w:val="20"/>
          <w:szCs w:val="20"/>
          <w:lang w:eastAsia="ro-RO"/>
        </w:rPr>
        <w:t xml:space="preserve"> </w:t>
      </w:r>
      <w:r w:rsidRPr="006876F1">
        <w:rPr>
          <w:rFonts w:ascii="Times New Roman" w:eastAsia="Times New Roman" w:hAnsi="Times New Roman" w:cs="Times New Roman"/>
          <w:b/>
          <w:iCs/>
          <w:sz w:val="24"/>
          <w:szCs w:val="24"/>
          <w:lang w:eastAsia="ro-RO"/>
        </w:rPr>
        <w:t>Spirometru portabil</w:t>
      </w:r>
      <w:r w:rsidRPr="006876F1">
        <w:rPr>
          <w:rFonts w:ascii="Times New Roman" w:eastAsia="Times New Roman" w:hAnsi="Times New Roman" w:cs="Times New Roman"/>
          <w:iCs/>
          <w:sz w:val="24"/>
          <w:szCs w:val="24"/>
          <w:lang w:eastAsia="ro-RO"/>
        </w:rPr>
        <w:t xml:space="preserve"> - masoara nivelul debitului expirator maxim instantaneu (PERF), volumul expirator fortat intr-o secunda (FEV1) si capacitatea vitala fortata (CVF).</w:t>
      </w:r>
    </w:p>
    <w:p w14:paraId="5F9C559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Parametrii masurati: FVC, FEV1, FEV1 / FVC, PEF, FEF25 , FEF50, FEF75, FEF2575)</w:t>
      </w:r>
    </w:p>
    <w:p w14:paraId="0B8D833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Informațiile despre personal (inclusiv înălțimea, vârsta, sexul etc.) pot fi setate. – Diagrama volumului de flux, afișare grafică volum-timp.</w:t>
      </w:r>
    </w:p>
    <w:p w14:paraId="4EEF8F46"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Datele pot fi stocate, șterse, încărcate și revizuite;</w:t>
      </w:r>
    </w:p>
    <w:p w14:paraId="57585668"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Afișarea graficului de tendințe;</w:t>
      </w:r>
    </w:p>
    <w:p w14:paraId="72F7B5C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Indicarea stării de sănătate;</w:t>
      </w:r>
    </w:p>
    <w:p w14:paraId="2405D05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Funcția de calibrare;</w:t>
      </w:r>
    </w:p>
    <w:p w14:paraId="0E1657E0"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Funcție promptă de depășire pentru volum și debit;</w:t>
      </w:r>
    </w:p>
    <w:p w14:paraId="0A35DDA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Indicați expirarea în 6 secunde prin indicatori;</w:t>
      </w:r>
    </w:p>
    <w:p w14:paraId="4F86239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lastRenderedPageBreak/>
        <w:t>– Începeți măsurarea cu un singur buton;</w:t>
      </w:r>
    </w:p>
    <w:p w14:paraId="6811423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Datele pot fi transmise prin cablu USB sau Bluetooth;</w:t>
      </w:r>
    </w:p>
    <w:p w14:paraId="7925D4F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Ceasul în timp real poate fi setat și afișat;</w:t>
      </w:r>
    </w:p>
    <w:p w14:paraId="3B685FF9"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Indicarea puterii bateriei;</w:t>
      </w:r>
    </w:p>
    <w:p w14:paraId="2E36B5B0"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Oprire automată atunci când nu există nicio operațiune în două minute.</w:t>
      </w:r>
    </w:p>
    <w:p w14:paraId="03E4FFC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xml:space="preserve">e) </w:t>
      </w:r>
      <w:r w:rsidRPr="006876F1">
        <w:rPr>
          <w:rFonts w:ascii="Times New Roman" w:eastAsia="Times New Roman" w:hAnsi="Times New Roman" w:cs="Times New Roman"/>
          <w:b/>
          <w:iCs/>
          <w:sz w:val="24"/>
          <w:szCs w:val="24"/>
          <w:lang w:eastAsia="ro-RO"/>
        </w:rPr>
        <w:t>Concentrator oxigen Owgels  5LITRI</w:t>
      </w:r>
      <w:r w:rsidRPr="006876F1">
        <w:rPr>
          <w:rFonts w:ascii="Times New Roman" w:eastAsia="Times New Roman" w:hAnsi="Times New Roman" w:cs="Times New Roman"/>
          <w:iCs/>
          <w:sz w:val="24"/>
          <w:szCs w:val="24"/>
          <w:lang w:eastAsia="ro-RO"/>
        </w:rPr>
        <w:t xml:space="preserve"> - dispozitiv medical de oxigenoterapie pentru pacienții cu probleme respiratorii.</w:t>
      </w:r>
    </w:p>
    <w:p w14:paraId="03360D4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A fost conceput pentru a oferi o cantitate mare de oxigen. Se utilizează împreună cu o canulă pentru a canaliza oxigenul de la concentrator la pacient. Poate fi utilizat atât acasă, cât și în instituții medicale. Este mobil, ușor de utilizat și are o interfață separată pentru nebulizare. Are display LCD și 3 tipuri de alarme (concentrație scăzută, presiune scăzută și pană de curent).</w:t>
      </w:r>
    </w:p>
    <w:p w14:paraId="4BA914C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Caracteristici tehnice:</w:t>
      </w:r>
    </w:p>
    <w:p w14:paraId="308F9713"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Debit: 0 – 5 LPM;</w:t>
      </w:r>
    </w:p>
    <w:p w14:paraId="0FA390E4"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Concentrația de oxigen: 93% ± 3% (5l/min);</w:t>
      </w:r>
    </w:p>
    <w:p w14:paraId="10FA3E44"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Putere de intrare: 350VA;</w:t>
      </w:r>
    </w:p>
    <w:p w14:paraId="6B337C76"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Nivel de zgomot: ≤50dB (A);</w:t>
      </w:r>
    </w:p>
    <w:p w14:paraId="313A98D4"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Dimensiuni: 340 x 300 x 650 mm;</w:t>
      </w:r>
    </w:p>
    <w:p w14:paraId="3005CE77"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Greutate: 19 kg;</w:t>
      </w:r>
    </w:p>
    <w:p w14:paraId="69CE6FB6"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Garanție: 12 luni.</w:t>
      </w:r>
    </w:p>
    <w:p w14:paraId="2FA09A12"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Pachetul conține:</w:t>
      </w:r>
    </w:p>
    <w:p w14:paraId="3F436F2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Aparat de oxigen;</w:t>
      </w:r>
    </w:p>
    <w:p w14:paraId="190C9B2A"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Rezervor;</w:t>
      </w:r>
    </w:p>
    <w:p w14:paraId="13A96C3B"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Furtun prelungitor;</w:t>
      </w:r>
    </w:p>
    <w:p w14:paraId="65A9E255"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Furtun pentru nas.</w:t>
      </w:r>
    </w:p>
    <w:p w14:paraId="415CBAFC"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p>
    <w:p w14:paraId="1D7E22CD"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p>
    <w:p w14:paraId="0B09D05E" w14:textId="77777777" w:rsidR="006876F1" w:rsidRPr="006876F1" w:rsidRDefault="006876F1" w:rsidP="006876F1">
      <w:pPr>
        <w:autoSpaceDE w:val="0"/>
        <w:autoSpaceDN w:val="0"/>
        <w:adjustRightInd w:val="0"/>
        <w:spacing w:after="0" w:line="480" w:lineRule="auto"/>
        <w:ind w:firstLine="708"/>
        <w:jc w:val="both"/>
        <w:rPr>
          <w:rFonts w:ascii="Times New Roman" w:eastAsia="Times New Roman" w:hAnsi="Times New Roman" w:cs="Times New Roman"/>
          <w:iCs/>
          <w:sz w:val="24"/>
          <w:szCs w:val="24"/>
          <w:lang w:eastAsia="ro-RO"/>
        </w:rPr>
      </w:pPr>
      <w:r w:rsidRPr="006876F1">
        <w:rPr>
          <w:rFonts w:ascii="Times New Roman" w:eastAsia="Times New Roman" w:hAnsi="Times New Roman" w:cs="Times New Roman"/>
          <w:iCs/>
          <w:sz w:val="24"/>
          <w:szCs w:val="24"/>
          <w:lang w:eastAsia="ro-RO"/>
        </w:rPr>
        <w:t xml:space="preserve">                                                          </w:t>
      </w:r>
      <w:r w:rsidRPr="006876F1">
        <w:rPr>
          <w:rFonts w:ascii="Times New Roman" w:eastAsia="Times New Roman" w:hAnsi="Times New Roman" w:cs="Times New Roman"/>
          <w:sz w:val="24"/>
          <w:szCs w:val="24"/>
          <w:lang w:eastAsia="ro-RO"/>
        </w:rPr>
        <w:t xml:space="preserve">  Consilier juridic cu atribuţii în achiziţii publice,</w:t>
      </w:r>
    </w:p>
    <w:p w14:paraId="128B5AFA" w14:textId="77777777" w:rsidR="006876F1" w:rsidRPr="006876F1" w:rsidRDefault="006876F1" w:rsidP="006876F1">
      <w:pPr>
        <w:spacing w:after="0" w:line="480" w:lineRule="auto"/>
        <w:ind w:left="4248" w:firstLine="708"/>
        <w:rPr>
          <w:rFonts w:ascii="Times New Roman" w:eastAsia="Times New Roman" w:hAnsi="Times New Roman" w:cs="Times New Roman"/>
          <w:sz w:val="24"/>
          <w:szCs w:val="24"/>
          <w:lang w:eastAsia="ro-RO"/>
        </w:rPr>
      </w:pPr>
      <w:r w:rsidRPr="006876F1">
        <w:rPr>
          <w:rFonts w:ascii="Times New Roman" w:eastAsia="Times New Roman" w:hAnsi="Times New Roman" w:cs="Times New Roman"/>
          <w:sz w:val="24"/>
          <w:szCs w:val="24"/>
          <w:lang w:eastAsia="ro-RO"/>
        </w:rPr>
        <w:t xml:space="preserve">                   Cobjuc Delia</w:t>
      </w:r>
    </w:p>
    <w:p w14:paraId="072DDE79" w14:textId="77777777" w:rsidR="006876F1" w:rsidRPr="006876F1" w:rsidRDefault="006876F1" w:rsidP="006876F1">
      <w:pPr>
        <w:spacing w:after="0" w:line="240" w:lineRule="auto"/>
        <w:rPr>
          <w:rFonts w:ascii="Times New Roman" w:eastAsia="Times New Roman" w:hAnsi="Times New Roman" w:cs="Times New Roman"/>
          <w:sz w:val="20"/>
          <w:szCs w:val="20"/>
          <w:lang w:eastAsia="ro-RO"/>
        </w:rPr>
      </w:pPr>
    </w:p>
    <w:p w14:paraId="05BC7D89" w14:textId="77777777" w:rsidR="006876F1" w:rsidRPr="006876F1" w:rsidRDefault="006876F1" w:rsidP="006876F1">
      <w:pPr>
        <w:spacing w:after="0" w:line="240" w:lineRule="auto"/>
        <w:rPr>
          <w:rFonts w:ascii="Times New Roman" w:eastAsia="Times New Roman" w:hAnsi="Times New Roman" w:cs="Times New Roman"/>
          <w:sz w:val="20"/>
          <w:szCs w:val="20"/>
          <w:lang w:eastAsia="ro-RO"/>
        </w:rPr>
      </w:pPr>
    </w:p>
    <w:p w14:paraId="2B289F60" w14:textId="77777777" w:rsidR="006876F1" w:rsidRPr="006876F1" w:rsidRDefault="006876F1" w:rsidP="006876F1">
      <w:pPr>
        <w:spacing w:after="0" w:line="240" w:lineRule="auto"/>
        <w:rPr>
          <w:rFonts w:ascii="Times New Roman" w:eastAsia="Times New Roman" w:hAnsi="Times New Roman" w:cs="Times New Roman"/>
          <w:sz w:val="20"/>
          <w:szCs w:val="20"/>
          <w:lang w:eastAsia="ro-RO"/>
        </w:rPr>
      </w:pPr>
    </w:p>
    <w:p w14:paraId="6380DF5E" w14:textId="77777777" w:rsidR="0052685B" w:rsidRPr="00FF4EB4" w:rsidRDefault="0052685B" w:rsidP="00FF4EB4"/>
    <w:sectPr w:rsidR="0052685B" w:rsidRPr="00FF4EB4" w:rsidSect="00A26FA0">
      <w:footerReference w:type="even" r:id="rId12"/>
      <w:footerReference w:type="default" r:id="rId13"/>
      <w:pgSz w:w="12240" w:h="15840"/>
      <w:pgMar w:top="899" w:right="1134" w:bottom="568" w:left="1418" w:header="709" w:footer="709" w:gutter="0"/>
      <w:cols w:space="708"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0E505" w14:textId="77777777" w:rsidR="00B44B04" w:rsidRDefault="00B44B04">
      <w:pPr>
        <w:spacing w:after="0" w:line="240" w:lineRule="auto"/>
      </w:pPr>
      <w:r>
        <w:separator/>
      </w:r>
    </w:p>
  </w:endnote>
  <w:endnote w:type="continuationSeparator" w:id="0">
    <w:p w14:paraId="2DF1DD15" w14:textId="77777777" w:rsidR="00B44B04" w:rsidRDefault="00B44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EE"/>
    <w:family w:val="script"/>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B58B8" w14:textId="77777777" w:rsidR="003616A4" w:rsidRDefault="003D6AB9">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9976EF3" w14:textId="77777777" w:rsidR="003616A4" w:rsidRDefault="00B44B04">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7784C" w14:textId="77777777" w:rsidR="003616A4" w:rsidRDefault="003D6AB9">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10DED6CD" w14:textId="77777777" w:rsidR="003616A4" w:rsidRDefault="00B44B04">
    <w:pPr>
      <w:jc w:val="center"/>
    </w:pPr>
  </w:p>
  <w:p w14:paraId="4FE32C1F" w14:textId="77777777" w:rsidR="003616A4" w:rsidRDefault="00B44B04" w:rsidP="00A26FA0">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BF66E" w14:textId="77777777" w:rsidR="00B44B04" w:rsidRDefault="00B44B04">
      <w:pPr>
        <w:spacing w:after="0" w:line="240" w:lineRule="auto"/>
      </w:pPr>
      <w:r>
        <w:separator/>
      </w:r>
    </w:p>
  </w:footnote>
  <w:footnote w:type="continuationSeparator" w:id="0">
    <w:p w14:paraId="72A6669C" w14:textId="77777777" w:rsidR="00B44B04" w:rsidRDefault="00B44B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40F5"/>
    <w:multiLevelType w:val="hybridMultilevel"/>
    <w:tmpl w:val="F774CA0C"/>
    <w:lvl w:ilvl="0" w:tplc="08090009">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27541CC"/>
    <w:multiLevelType w:val="hybridMultilevel"/>
    <w:tmpl w:val="C1AEA7AE"/>
    <w:lvl w:ilvl="0" w:tplc="0809000B">
      <w:start w:val="1"/>
      <w:numFmt w:val="bullet"/>
      <w:lvlText w:val=""/>
      <w:lvlJc w:val="left"/>
      <w:pPr>
        <w:ind w:left="1080"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26B81DD7"/>
    <w:multiLevelType w:val="hybridMultilevel"/>
    <w:tmpl w:val="3B7456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9EB315C"/>
    <w:multiLevelType w:val="hybridMultilevel"/>
    <w:tmpl w:val="A5EAAD90"/>
    <w:lvl w:ilvl="0" w:tplc="0418000B">
      <w:start w:val="1"/>
      <w:numFmt w:val="bullet"/>
      <w:lvlText w:val=""/>
      <w:lvlJc w:val="left"/>
      <w:pPr>
        <w:ind w:left="928"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6FA601CB"/>
    <w:multiLevelType w:val="hybridMultilevel"/>
    <w:tmpl w:val="6D6897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1B"/>
    <w:rsid w:val="0000791B"/>
    <w:rsid w:val="00024DDB"/>
    <w:rsid w:val="0016502E"/>
    <w:rsid w:val="001C056B"/>
    <w:rsid w:val="00303C9E"/>
    <w:rsid w:val="00387C24"/>
    <w:rsid w:val="003D6AB9"/>
    <w:rsid w:val="003E0859"/>
    <w:rsid w:val="00417A6B"/>
    <w:rsid w:val="004500BA"/>
    <w:rsid w:val="004C4F79"/>
    <w:rsid w:val="0052685B"/>
    <w:rsid w:val="00666534"/>
    <w:rsid w:val="006876F1"/>
    <w:rsid w:val="007559D4"/>
    <w:rsid w:val="008F3BB8"/>
    <w:rsid w:val="00A05295"/>
    <w:rsid w:val="00B0141E"/>
    <w:rsid w:val="00B44B04"/>
    <w:rsid w:val="00B8329C"/>
    <w:rsid w:val="00BE6B26"/>
    <w:rsid w:val="00D42B71"/>
    <w:rsid w:val="00D50CDD"/>
    <w:rsid w:val="00D6285C"/>
    <w:rsid w:val="00DD0EDC"/>
    <w:rsid w:val="00E70F2C"/>
    <w:rsid w:val="00ED4CFE"/>
    <w:rsid w:val="00FF4E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2BDDC"/>
  <w15:chartTrackingRefBased/>
  <w15:docId w15:val="{DD7746E6-87CF-4561-A774-74F99FEC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29C"/>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B8329C"/>
    <w:pPr>
      <w:spacing w:after="0" w:line="240" w:lineRule="auto"/>
    </w:pPr>
    <w:rPr>
      <w:rFonts w:ascii="Arial" w:eastAsia="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semiHidden/>
    <w:unhideWhenUsed/>
    <w:rsid w:val="00B8329C"/>
    <w:rPr>
      <w:color w:val="0563C1" w:themeColor="hyperlink"/>
      <w:u w:val="single"/>
    </w:rPr>
  </w:style>
  <w:style w:type="paragraph" w:styleId="Corptext">
    <w:name w:val="Body Text"/>
    <w:basedOn w:val="Normal"/>
    <w:link w:val="CorptextCaracter"/>
    <w:uiPriority w:val="1"/>
    <w:semiHidden/>
    <w:unhideWhenUsed/>
    <w:qFormat/>
    <w:rsid w:val="00B832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uiPriority w:val="1"/>
    <w:semiHidden/>
    <w:rsid w:val="00B8329C"/>
    <w:rPr>
      <w:rFonts w:ascii="Times New Roman" w:eastAsia="Times New Roman" w:hAnsi="Times New Roman" w:cs="Times New Roman"/>
      <w:sz w:val="24"/>
      <w:szCs w:val="24"/>
    </w:rPr>
  </w:style>
  <w:style w:type="table" w:customStyle="1" w:styleId="Tabelgril1">
    <w:name w:val="Tabel grilă1"/>
    <w:basedOn w:val="TabelNormal"/>
    <w:next w:val="Tabelgril"/>
    <w:uiPriority w:val="59"/>
    <w:rsid w:val="00024DD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16502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semiHidden/>
    <w:unhideWhenUsed/>
    <w:rsid w:val="003D6AB9"/>
    <w:pPr>
      <w:tabs>
        <w:tab w:val="center" w:pos="4536"/>
        <w:tab w:val="right" w:pos="9072"/>
      </w:tabs>
      <w:spacing w:after="0" w:line="240" w:lineRule="auto"/>
    </w:pPr>
  </w:style>
  <w:style w:type="character" w:customStyle="1" w:styleId="SubsolCaracter">
    <w:name w:val="Subsol Caracter"/>
    <w:basedOn w:val="Fontdeparagrafimplicit"/>
    <w:link w:val="Subsol"/>
    <w:uiPriority w:val="99"/>
    <w:semiHidden/>
    <w:rsid w:val="003D6AB9"/>
  </w:style>
  <w:style w:type="character" w:styleId="Numrdepagin">
    <w:name w:val="page number"/>
    <w:basedOn w:val="Fontdeparagrafimplicit"/>
    <w:rsid w:val="003D6AB9"/>
  </w:style>
  <w:style w:type="table" w:customStyle="1" w:styleId="TableGrid2">
    <w:name w:val="Table Grid2"/>
    <w:basedOn w:val="TabelNormal"/>
    <w:next w:val="Tabelgril"/>
    <w:uiPriority w:val="59"/>
    <w:rsid w:val="008F3B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gislatie.just.ro/Public/DetaliiDocumentAfis/17866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omunaaroneanu.ro/" TargetMode="External"/><Relationship Id="rId4" Type="http://schemas.openxmlformats.org/officeDocument/2006/relationships/webSettings" Target="webSettings.xml"/><Relationship Id="rId9" Type="http://schemas.openxmlformats.org/officeDocument/2006/relationships/hyperlink" Target="mailto:primariaaroneanu@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1225</Words>
  <Characters>7105</Characters>
  <Application>Microsoft Office Word</Application>
  <DocSecurity>0</DocSecurity>
  <Lines>59</Lines>
  <Paragraphs>16</Paragraphs>
  <ScaleCrop>false</ScaleCrop>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Primaria Aroneanu</cp:lastModifiedBy>
  <cp:revision>20</cp:revision>
  <dcterms:created xsi:type="dcterms:W3CDTF">2021-11-02T10:40:00Z</dcterms:created>
  <dcterms:modified xsi:type="dcterms:W3CDTF">2021-11-03T10:24:00Z</dcterms:modified>
</cp:coreProperties>
</file>