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620"/>
      </w:tblGrid>
      <w:tr w:rsidR="00814ABA" w:rsidRPr="00196CCD" w:rsidTr="001A084B">
        <w:tc>
          <w:tcPr>
            <w:tcW w:w="4893" w:type="dxa"/>
            <w:shd w:val="clear" w:color="auto" w:fill="auto"/>
          </w:tcPr>
          <w:p w:rsidR="00814ABA" w:rsidRPr="00196CCD" w:rsidRDefault="00814ABA" w:rsidP="001A084B">
            <w:pPr>
              <w:pStyle w:val="NoSpacing"/>
              <w:rPr>
                <w:rFonts w:ascii="Arial Narrow" w:hAnsi="Arial Narrow"/>
                <w:sz w:val="24"/>
                <w:szCs w:val="24"/>
                <w:lang w:val="ro-RO"/>
              </w:rPr>
            </w:pPr>
            <w:r w:rsidRPr="00196CCD">
              <w:rPr>
                <w:rFonts w:ascii="Arial Narrow" w:hAnsi="Arial Narrow"/>
                <w:sz w:val="24"/>
                <w:szCs w:val="24"/>
                <w:lang w:val="ro-RO"/>
              </w:rPr>
              <w:t>Beneficiar</w:t>
            </w:r>
          </w:p>
          <w:p w:rsidR="00814ABA" w:rsidRPr="00196CCD" w:rsidRDefault="00814ABA" w:rsidP="001A084B">
            <w:pPr>
              <w:pStyle w:val="NoSpacing"/>
              <w:rPr>
                <w:rFonts w:ascii="Arial Narrow" w:hAnsi="Arial Narrow"/>
                <w:sz w:val="24"/>
                <w:szCs w:val="24"/>
                <w:lang w:val="ro-RO"/>
              </w:rPr>
            </w:pPr>
            <w:r w:rsidRPr="00196CCD">
              <w:rPr>
                <w:rFonts w:ascii="Arial Narrow" w:hAnsi="Arial Narrow"/>
                <w:sz w:val="24"/>
                <w:szCs w:val="24"/>
                <w:lang w:val="ro-RO"/>
              </w:rPr>
              <w:t>COMUNA CRUCEA</w:t>
            </w:r>
          </w:p>
        </w:tc>
        <w:tc>
          <w:tcPr>
            <w:tcW w:w="4894" w:type="dxa"/>
            <w:shd w:val="clear" w:color="auto" w:fill="auto"/>
          </w:tcPr>
          <w:p w:rsidR="00814ABA" w:rsidRPr="00196CCD" w:rsidRDefault="00814ABA" w:rsidP="001A084B">
            <w:pPr>
              <w:pStyle w:val="NoSpacing"/>
              <w:rPr>
                <w:rFonts w:ascii="Arial Narrow" w:hAnsi="Arial Narrow"/>
                <w:sz w:val="24"/>
                <w:szCs w:val="24"/>
                <w:lang w:val="ro-RO"/>
              </w:rPr>
            </w:pPr>
            <w:r w:rsidRPr="00196CCD">
              <w:rPr>
                <w:rFonts w:ascii="Arial Narrow" w:hAnsi="Arial Narrow"/>
                <w:sz w:val="24"/>
                <w:szCs w:val="24"/>
                <w:lang w:val="ro-RO"/>
              </w:rPr>
              <w:t>Aprob</w:t>
            </w:r>
          </w:p>
          <w:p w:rsidR="00814ABA" w:rsidRPr="00196CCD" w:rsidRDefault="00814ABA" w:rsidP="001A084B">
            <w:pPr>
              <w:pStyle w:val="NoSpacing"/>
              <w:rPr>
                <w:rFonts w:ascii="Arial Narrow" w:hAnsi="Arial Narrow"/>
                <w:sz w:val="24"/>
                <w:szCs w:val="24"/>
                <w:lang w:val="ro-RO"/>
              </w:rPr>
            </w:pPr>
            <w:r w:rsidRPr="00196CCD">
              <w:rPr>
                <w:rFonts w:ascii="Arial Narrow" w:hAnsi="Arial Narrow"/>
                <w:sz w:val="24"/>
                <w:szCs w:val="24"/>
                <w:lang w:val="ro-RO"/>
              </w:rPr>
              <w:t>PRIMAR,  Tudorache Iulian</w:t>
            </w:r>
          </w:p>
        </w:tc>
      </w:tr>
      <w:tr w:rsidR="00814ABA" w:rsidRPr="00196CCD" w:rsidTr="001A084B">
        <w:tc>
          <w:tcPr>
            <w:tcW w:w="4893" w:type="dxa"/>
            <w:shd w:val="clear" w:color="auto" w:fill="auto"/>
          </w:tcPr>
          <w:p w:rsidR="00814ABA" w:rsidRPr="00196CCD" w:rsidRDefault="00814ABA" w:rsidP="001A084B">
            <w:pPr>
              <w:pStyle w:val="NoSpacing"/>
              <w:rPr>
                <w:rFonts w:ascii="Arial Narrow" w:hAnsi="Arial Narrow"/>
                <w:sz w:val="24"/>
                <w:szCs w:val="24"/>
                <w:lang w:val="ro-RO"/>
              </w:rPr>
            </w:pPr>
            <w:r w:rsidRPr="00196CCD">
              <w:rPr>
                <w:rFonts w:ascii="Arial Narrow" w:hAnsi="Arial Narrow"/>
                <w:sz w:val="24"/>
                <w:szCs w:val="24"/>
                <w:lang w:val="ro-RO"/>
              </w:rPr>
              <w:t xml:space="preserve">Nr. </w:t>
            </w:r>
            <w:r>
              <w:rPr>
                <w:rFonts w:ascii="Arial Narrow" w:hAnsi="Arial Narrow"/>
                <w:sz w:val="24"/>
                <w:szCs w:val="24"/>
                <w:lang w:val="ro-RO"/>
              </w:rPr>
              <w:t>_________</w:t>
            </w:r>
            <w:r w:rsidRPr="00196CCD">
              <w:rPr>
                <w:rFonts w:ascii="Arial Narrow" w:hAnsi="Arial Narrow"/>
                <w:sz w:val="24"/>
                <w:szCs w:val="24"/>
                <w:lang w:val="ro-RO"/>
              </w:rPr>
              <w:t xml:space="preserve">  din </w:t>
            </w:r>
            <w:r>
              <w:rPr>
                <w:rFonts w:ascii="Arial Narrow" w:hAnsi="Arial Narrow"/>
                <w:sz w:val="24"/>
                <w:szCs w:val="24"/>
                <w:lang w:val="ro-RO"/>
              </w:rPr>
              <w:t>_______________</w:t>
            </w:r>
            <w:r w:rsidRPr="00196CCD">
              <w:rPr>
                <w:rFonts w:ascii="Arial Narrow" w:hAnsi="Arial Narrow"/>
                <w:sz w:val="24"/>
                <w:szCs w:val="24"/>
                <w:lang w:val="ro-RO"/>
              </w:rPr>
              <w:t xml:space="preserve"> </w:t>
            </w:r>
          </w:p>
        </w:tc>
        <w:tc>
          <w:tcPr>
            <w:tcW w:w="4894" w:type="dxa"/>
            <w:shd w:val="clear" w:color="auto" w:fill="auto"/>
          </w:tcPr>
          <w:p w:rsidR="00814ABA" w:rsidRPr="00196CCD" w:rsidRDefault="00814ABA" w:rsidP="001A084B">
            <w:pPr>
              <w:pStyle w:val="NoSpacing"/>
              <w:rPr>
                <w:rFonts w:ascii="Arial Narrow" w:hAnsi="Arial Narrow"/>
                <w:sz w:val="24"/>
                <w:szCs w:val="24"/>
                <w:lang w:val="ro-RO"/>
              </w:rPr>
            </w:pPr>
            <w:r w:rsidRPr="00196CCD">
              <w:rPr>
                <w:rFonts w:ascii="Arial Narrow" w:hAnsi="Arial Narrow"/>
                <w:sz w:val="24"/>
                <w:szCs w:val="24"/>
                <w:lang w:val="ro-RO"/>
              </w:rPr>
              <w:t>(nume, funcţia şi semnătura)</w:t>
            </w:r>
          </w:p>
        </w:tc>
      </w:tr>
    </w:tbl>
    <w:p w:rsidR="00814ABA" w:rsidRPr="00196CCD" w:rsidRDefault="00814ABA" w:rsidP="00814ABA">
      <w:pPr>
        <w:pStyle w:val="NoSpacing"/>
        <w:rPr>
          <w:rFonts w:ascii="Arial Narrow" w:hAnsi="Arial Narrow"/>
          <w:b/>
          <w:sz w:val="24"/>
          <w:szCs w:val="24"/>
          <w:lang w:val="ro-RO"/>
        </w:rPr>
      </w:pPr>
    </w:p>
    <w:p w:rsidR="00814ABA" w:rsidRPr="00196CCD" w:rsidRDefault="00814ABA" w:rsidP="00814ABA">
      <w:pPr>
        <w:jc w:val="center"/>
        <w:rPr>
          <w:rFonts w:ascii="Arial Narrow" w:hAnsi="Arial Narrow" w:cs="Times New Roman"/>
          <w:b/>
          <w:bCs/>
          <w:sz w:val="24"/>
          <w:szCs w:val="24"/>
        </w:rPr>
      </w:pPr>
      <w:r w:rsidRPr="00196CCD">
        <w:rPr>
          <w:rFonts w:ascii="Arial Narrow" w:hAnsi="Arial Narrow" w:cs="Times New Roman"/>
          <w:b/>
          <w:bCs/>
          <w:sz w:val="24"/>
          <w:szCs w:val="24"/>
        </w:rPr>
        <w:t>NOTĂ CONCEPTUALĂ</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sz w:val="24"/>
          <w:szCs w:val="24"/>
        </w:rPr>
        <w:br/>
      </w:r>
      <w:r w:rsidRPr="00196CCD">
        <w:rPr>
          <w:rFonts w:ascii="Arial Narrow" w:hAnsi="Arial Narrow" w:cs="Times New Roman"/>
          <w:b/>
          <w:bCs/>
          <w:sz w:val="24"/>
          <w:szCs w:val="24"/>
        </w:rPr>
        <w:t>1.</w:t>
      </w:r>
      <w:r w:rsidRPr="00196CCD">
        <w:rPr>
          <w:rFonts w:ascii="Arial Narrow" w:hAnsi="Arial Narrow" w:cs="Times New Roman"/>
          <w:sz w:val="24"/>
          <w:szCs w:val="24"/>
        </w:rPr>
        <w:t> </w:t>
      </w:r>
      <w:r w:rsidRPr="00196CCD">
        <w:rPr>
          <w:rFonts w:ascii="Arial Narrow" w:hAnsi="Arial Narrow" w:cs="Times New Roman"/>
          <w:b/>
          <w:bCs/>
          <w:sz w:val="24"/>
          <w:szCs w:val="24"/>
        </w:rPr>
        <w:t>Informații generale privind obiectivul de investiții propus</w:t>
      </w:r>
    </w:p>
    <w:p w:rsidR="00814ABA" w:rsidRPr="00196CCD" w:rsidRDefault="00814ABA" w:rsidP="00814ABA">
      <w:pPr>
        <w:pStyle w:val="ListParagraph"/>
        <w:numPr>
          <w:ilvl w:val="1"/>
          <w:numId w:val="1"/>
        </w:numPr>
        <w:jc w:val="both"/>
        <w:rPr>
          <w:rFonts w:ascii="Arial Narrow" w:hAnsi="Arial Narrow" w:cs="Times New Roman"/>
          <w:b/>
          <w:bCs/>
          <w:sz w:val="24"/>
          <w:szCs w:val="24"/>
        </w:rPr>
      </w:pPr>
      <w:r w:rsidRPr="00196CCD">
        <w:rPr>
          <w:rFonts w:ascii="Arial Narrow" w:hAnsi="Arial Narrow" w:cs="Times New Roman"/>
          <w:b/>
          <w:bCs/>
          <w:sz w:val="24"/>
          <w:szCs w:val="24"/>
        </w:rPr>
        <w:t>Denumirea obiectivului de investiții</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Capacitati de stocare a energiei electrice pentru sistem fotovoltaic On Grid având Pi - 279,9 kWp” pentru UAT Crucea, Jud. Constanța</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b/>
          <w:bCs/>
          <w:sz w:val="24"/>
          <w:szCs w:val="24"/>
        </w:rPr>
        <w:t>1.2.</w:t>
      </w:r>
      <w:r w:rsidRPr="00196CCD">
        <w:rPr>
          <w:rFonts w:ascii="Arial Narrow" w:hAnsi="Arial Narrow" w:cs="Times New Roman"/>
          <w:sz w:val="24"/>
          <w:szCs w:val="24"/>
        </w:rPr>
        <w:t> </w:t>
      </w:r>
      <w:r w:rsidRPr="00196CCD">
        <w:rPr>
          <w:rFonts w:ascii="Arial Narrow" w:hAnsi="Arial Narrow" w:cs="Times New Roman"/>
          <w:b/>
          <w:bCs/>
          <w:sz w:val="24"/>
          <w:szCs w:val="24"/>
        </w:rPr>
        <w:t xml:space="preserve">Ordonator principal de credite/investitor :   </w:t>
      </w:r>
      <w:r w:rsidRPr="00196CCD">
        <w:rPr>
          <w:rFonts w:ascii="Arial Narrow" w:hAnsi="Arial Narrow" w:cs="Times New Roman"/>
          <w:sz w:val="24"/>
          <w:szCs w:val="24"/>
        </w:rPr>
        <w:t>UAT Crucea , Jud. Constanta</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b/>
          <w:bCs/>
          <w:sz w:val="24"/>
          <w:szCs w:val="24"/>
        </w:rPr>
        <w:t xml:space="preserve">1.3. Ordonator de credite (secundar/terțiar) : </w:t>
      </w:r>
      <w:r w:rsidRPr="00196CCD">
        <w:rPr>
          <w:rFonts w:ascii="Arial Narrow" w:hAnsi="Arial Narrow" w:cs="Times New Roman"/>
          <w:sz w:val="24"/>
          <w:szCs w:val="24"/>
        </w:rPr>
        <w:t>Ministerul Energiei</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b/>
          <w:bCs/>
          <w:sz w:val="24"/>
          <w:szCs w:val="24"/>
        </w:rPr>
        <w:t>1.4.</w:t>
      </w:r>
      <w:r w:rsidRPr="00196CCD">
        <w:rPr>
          <w:rFonts w:ascii="Arial Narrow" w:hAnsi="Arial Narrow" w:cs="Times New Roman"/>
          <w:sz w:val="24"/>
          <w:szCs w:val="24"/>
        </w:rPr>
        <w:t> </w:t>
      </w:r>
      <w:r w:rsidRPr="00196CCD">
        <w:rPr>
          <w:rFonts w:ascii="Arial Narrow" w:hAnsi="Arial Narrow" w:cs="Times New Roman"/>
          <w:b/>
          <w:bCs/>
          <w:sz w:val="24"/>
          <w:szCs w:val="24"/>
        </w:rPr>
        <w:t xml:space="preserve">Beneficiarul investiției : </w:t>
      </w:r>
      <w:r w:rsidRPr="00196CCD">
        <w:rPr>
          <w:rFonts w:ascii="Arial Narrow" w:hAnsi="Arial Narrow" w:cs="Times New Roman"/>
          <w:sz w:val="24"/>
          <w:szCs w:val="24"/>
        </w:rPr>
        <w:t>UAT Crucea , Jud. Constanta</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b/>
          <w:bCs/>
          <w:sz w:val="24"/>
          <w:szCs w:val="24"/>
        </w:rPr>
        <w:t>2.</w:t>
      </w:r>
      <w:r w:rsidRPr="00196CCD">
        <w:rPr>
          <w:rFonts w:ascii="Arial Narrow" w:hAnsi="Arial Narrow" w:cs="Times New Roman"/>
          <w:sz w:val="24"/>
          <w:szCs w:val="24"/>
        </w:rPr>
        <w:t> </w:t>
      </w:r>
      <w:r w:rsidRPr="00196CCD">
        <w:rPr>
          <w:rFonts w:ascii="Arial Narrow" w:hAnsi="Arial Narrow" w:cs="Times New Roman"/>
          <w:b/>
          <w:bCs/>
          <w:sz w:val="24"/>
          <w:szCs w:val="24"/>
        </w:rPr>
        <w:t>Necesitatea și oportunitatea obiectivului de investiții propus</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b/>
          <w:bCs/>
          <w:sz w:val="24"/>
          <w:szCs w:val="24"/>
        </w:rPr>
        <w:t>2.1.</w:t>
      </w:r>
      <w:r w:rsidRPr="00196CCD">
        <w:rPr>
          <w:rFonts w:ascii="Arial Narrow" w:hAnsi="Arial Narrow" w:cs="Times New Roman"/>
          <w:sz w:val="24"/>
          <w:szCs w:val="24"/>
        </w:rPr>
        <w:t> </w:t>
      </w:r>
      <w:r w:rsidRPr="00196CCD">
        <w:rPr>
          <w:rFonts w:ascii="Arial Narrow" w:hAnsi="Arial Narrow" w:cs="Times New Roman"/>
          <w:b/>
          <w:bCs/>
          <w:sz w:val="24"/>
          <w:szCs w:val="24"/>
        </w:rPr>
        <w:t>Scurtă prezentare privind:</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a)</w:t>
      </w:r>
      <w:r w:rsidRPr="00196CCD">
        <w:rPr>
          <w:rFonts w:ascii="Arial Narrow" w:hAnsi="Arial Narrow" w:cs="Times New Roman"/>
          <w:sz w:val="24"/>
          <w:szCs w:val="24"/>
        </w:rPr>
        <w:t> </w:t>
      </w:r>
      <w:r w:rsidRPr="00196CCD">
        <w:rPr>
          <w:rFonts w:ascii="Arial Narrow" w:hAnsi="Arial Narrow" w:cs="Times New Roman"/>
          <w:b/>
          <w:bCs/>
          <w:sz w:val="24"/>
          <w:szCs w:val="24"/>
        </w:rPr>
        <w:t>deficiențe ale situației actuale;</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Variații diurne ale producției FV, injecții în rețea la prânz, consum de vârf seara, costuri cu puterea maximă și ineficiență energetică</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b)</w:t>
      </w:r>
      <w:r w:rsidRPr="00196CCD">
        <w:rPr>
          <w:rFonts w:ascii="Arial Narrow" w:hAnsi="Arial Narrow" w:cs="Times New Roman"/>
          <w:sz w:val="24"/>
          <w:szCs w:val="24"/>
        </w:rPr>
        <w:t> </w:t>
      </w:r>
      <w:r w:rsidRPr="00196CCD">
        <w:rPr>
          <w:rFonts w:ascii="Arial Narrow" w:hAnsi="Arial Narrow" w:cs="Times New Roman"/>
          <w:b/>
          <w:bCs/>
          <w:sz w:val="24"/>
          <w:szCs w:val="24"/>
        </w:rPr>
        <w:t>efectul pozitiv previzionat prin realizarea obiectivului de investiții;</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-asigurarea adecvanței și flexibilității SEN prin creșterea capacității de stocare a energiei electrice;</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-o economie mai eficientă din punctul de vedere al utilizării resurselor, mai ecologică şi mai competitivă, conducând la atingerea obiectivelor de dezvoltare durabilă;</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-atingerea obiectivelor stabilite la nivelul Uniunii Europene privind producţia de energie din surse regenerabile prevăzute în Directiva (UE) 2018/2001 a Parlamentului European și a Consiliului privind promovarea utilizării energiei din surse regenerabile, în corelare cu țintele stabilite la nivel național prin PNIESC actualizat;</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-creșterea ponderii energiei electrice produsă din surse regenerabile de energie în consumul final de energie, ca efect rezultant al investițiilor în capacități de stocare a energiei electrice din surse regenerabile de energie;</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-implementarea programelor cheie stabilite în Ordonanța de urgență a Guvernului nr. 60/2022 privind stabilirea cadrului instituțional și financiar de implementare și gestionare a fondurilor alocate României prin Fondul pentru modernizare, precum și pentru modificarea și completarea unor acte normative, aprobată prin Legea nr. 376/2023, cu modificările și completările ulterioare;</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-reducerea emisiilor de gaze cu efect de seră generate de sectorul energetic prin reducerea treptată a utilizării combustibililor fosili pentru producerea de energie electrică, atingerea obiectivului privind neutralitatea climatică, prevăzut în Regulamentul (UE) 2021/1119 al Parlamentului European și al Consiliului din 30 iunie 2021 de stabilire a cadrului pentru atingerea neutralității climatice și de modificare a Regulamentelor (CE) nr. 401/2009 și (UE) 2018/1999 ("Legea europeană a climei"), referitor la asigurarea, până cel târziu în 2050, a unui echilibru la nivelul Uniunii între emisiile și absorbțiile de gaze cu efect de seră care sunt reglementate în dreptul  Uniunii, astfel încât să se ajungă la zero emisii nete până la acea dată;</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 xml:space="preserve">-punerea în aplicare a inițiativei emblematice Accelerarea (Power-up) din Strategia anuală pentru 2021 </w:t>
      </w:r>
      <w:r w:rsidRPr="00196CCD">
        <w:rPr>
          <w:rFonts w:ascii="Arial Narrow" w:hAnsi="Arial Narrow" w:cs="Times New Roman"/>
          <w:sz w:val="24"/>
          <w:szCs w:val="24"/>
        </w:rPr>
        <w:lastRenderedPageBreak/>
        <w:t>privind creșterea durabilă, care are ca obiectiv dezvoltarea și utilizarea surselor regenerabile de energie EUR-Lex - 52020DC0575 - EN - EUR-Lex (europa.eu).</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-implementarea programelor cheie stabilite prin Ordonanța de Urgență a Guvernului nr. 60/2022 cu modificările și completările ulterioare;</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-creșterea adecvanței Sistemului Energetic Național prin utilizarea de noi capacități de stocare a energiei electrice produse din surse regenerabile de energie.</w:t>
      </w:r>
    </w:p>
    <w:p w:rsidR="00814ABA" w:rsidRPr="00196CCD" w:rsidRDefault="00814ABA" w:rsidP="00814ABA">
      <w:pPr>
        <w:jc w:val="both"/>
        <w:rPr>
          <w:rFonts w:ascii="Arial Narrow" w:hAnsi="Arial Narrow" w:cs="Times New Roman"/>
          <w:sz w:val="24"/>
          <w:szCs w:val="24"/>
        </w:rPr>
      </w:pP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c)</w:t>
      </w:r>
      <w:r w:rsidRPr="00196CCD">
        <w:rPr>
          <w:rFonts w:ascii="Arial Narrow" w:hAnsi="Arial Narrow" w:cs="Times New Roman"/>
          <w:sz w:val="24"/>
          <w:szCs w:val="24"/>
        </w:rPr>
        <w:t> </w:t>
      </w:r>
      <w:r w:rsidRPr="00196CCD">
        <w:rPr>
          <w:rFonts w:ascii="Arial Narrow" w:hAnsi="Arial Narrow" w:cs="Times New Roman"/>
          <w:b/>
          <w:bCs/>
          <w:sz w:val="24"/>
          <w:szCs w:val="24"/>
        </w:rPr>
        <w:t>impactul negativ previzionat în cazul nerealizării obiectivului de investiții.</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Menținerea cheltuielilor ridicate cu energia la vârf, injecții nevalorificate, sensibilitate la întreruperi scurte.</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2.2.</w:t>
      </w:r>
      <w:r w:rsidRPr="00196CCD">
        <w:rPr>
          <w:rFonts w:ascii="Arial Narrow" w:hAnsi="Arial Narrow" w:cs="Times New Roman"/>
          <w:sz w:val="24"/>
          <w:szCs w:val="24"/>
        </w:rPr>
        <w:t> </w:t>
      </w:r>
      <w:r w:rsidRPr="00196CCD">
        <w:rPr>
          <w:rFonts w:ascii="Arial Narrow" w:hAnsi="Arial Narrow" w:cs="Times New Roman"/>
          <w:b/>
          <w:bCs/>
          <w:sz w:val="24"/>
          <w:szCs w:val="24"/>
        </w:rPr>
        <w:t>Prezentarea, după caz, a obiectivelor de investiții cu aceleași funcțiuni sau funcțiuni similare cu obiectivul de investiții propus, existente în zonă, în vederea justificării necesității realizării obiectivului de investiții propus</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Proiecte similare de integrare ESS pe instalații industriale/comerciale pentru echilibrarea autoconsumului – investiția este justificată prin profilul tipic de consum seara.</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2.3.</w:t>
      </w:r>
      <w:r w:rsidRPr="00196CCD">
        <w:rPr>
          <w:rFonts w:ascii="Arial Narrow" w:hAnsi="Arial Narrow" w:cs="Times New Roman"/>
          <w:sz w:val="24"/>
          <w:szCs w:val="24"/>
        </w:rPr>
        <w:t> </w:t>
      </w:r>
      <w:r w:rsidRPr="00196CCD">
        <w:rPr>
          <w:rFonts w:ascii="Arial Narrow" w:hAnsi="Arial Narrow" w:cs="Times New Roman"/>
          <w:b/>
          <w:bCs/>
          <w:sz w:val="24"/>
          <w:szCs w:val="24"/>
        </w:rPr>
        <w:t>Existența, după caz, a unei strategii, a unui master plan ori a unor planuri similare, aprobate prin acte normative, în cadrul cărora se poate încadra obiectivul de investiții propus</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Aliniere la obiectivele naționale și europene de eficiență energetică, integrare RES și decarbonizare.</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2.4.</w:t>
      </w:r>
      <w:r w:rsidRPr="00196CCD">
        <w:rPr>
          <w:rFonts w:ascii="Arial Narrow" w:hAnsi="Arial Narrow" w:cs="Times New Roman"/>
          <w:sz w:val="24"/>
          <w:szCs w:val="24"/>
        </w:rPr>
        <w:t> </w:t>
      </w:r>
      <w:r w:rsidRPr="00196CCD">
        <w:rPr>
          <w:rFonts w:ascii="Arial Narrow" w:hAnsi="Arial Narrow" w:cs="Times New Roman"/>
          <w:b/>
          <w:bCs/>
          <w:sz w:val="24"/>
          <w:szCs w:val="24"/>
        </w:rPr>
        <w:t>Existența, după caz, a unor acorduri internaționale ale statului care obligă partea română la realizarea obiectivului de investiții</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Se aliniază angajamentelor privind clima și energia (PNIESC).</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2.5. Obiective generale, preconizate a fi atinse prin realizarea investiției</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Autoconsum sporit, reducerea puterii maxime, creșterea rezilienței energetice, reducerea emisiilor CO2.</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3. Estimarea suportabilității investiției publice</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3.1. Estimarea cheltuielilor pentru execuția obiectivului de investiții, luându-se în considerare, după caz:– costurile unor investiții similare realizate;– standarde de cost pentru investiții similare.</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 xml:space="preserve">Sistem de stocare propus cu o capacitate de 1 MWH – buget estimativ fara tva 400.000 euro </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3.2. Estimarea cheltuielilor pentru proiectarea, pe faze, a documentației tehnico-economice aferente obiectivului de investiție, precum și pentru elaborarea altor studii de specialitate în funcție de specificul obiectivului de investiții, inclusiv cheltuielile necesare pentru obținerea avizelor, autorizațiilor și acordurilor prevăzute de lege.</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Include SF/DALI (după caz),avize PT+DE, executie , punere in functiune , teste si verificari</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3.3. Surse identificate pentru finanțarea cheltuielilor estimate (în cazul finanțării nerambursabile se va menționa programul operațional/axa corespunzătoare, identificată)</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PROGRAMUL-CHEIE 1: SURSE REGENERABILE DE ENERGIE ȘI STOCAREA ENERGIEI Sprijinirea investițiilor în dezvoltarea de noi capacități de stocare a energiei electrice produsă din surse regenerabile de energie pentru entități publice si buget propriu (daca va fi cazul)</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4. Informații privind regimul juridic, economic și tehnic al terenului și/sau al construcției existente</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 xml:space="preserve">Se vor utiliza spații existente (cameră tehnică) sau platformă exterioară pentru container ESS (IP54). </w:t>
      </w:r>
      <w:r w:rsidRPr="00196CCD">
        <w:rPr>
          <w:rFonts w:ascii="Arial Narrow" w:hAnsi="Arial Narrow" w:cs="Times New Roman"/>
          <w:sz w:val="24"/>
          <w:szCs w:val="24"/>
        </w:rPr>
        <w:lastRenderedPageBreak/>
        <w:t>Regimul juridic al terenului și documentația cadastrală vor fi confirmate în faza de proiectare/autorizare.</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5. Particularități ale amplasamentului/amplasamentelor propus(e) pentru realizarea obiectivului de investiții:</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a) descrierea succintă a amplasamentului/amplasamentelor propus(e) (localizare, suprafața terenului, dimensiuni în plan);</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Investitia este amplasata in intravilanul UAT Crucea , jud. Constanta , nr.Cf./nr.topografic 102851 .</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b) relațiile cu zone învecinate, accesuri existente și/sau căi de acces posibile;</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Se vor utiliza drumurile de acces existe in cadrul Parcului fotovoltaic</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c) surse de poluare existente în zonă;</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sz w:val="24"/>
          <w:szCs w:val="24"/>
        </w:rPr>
        <w:t>Nu este cazul</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d) particularități de relief;</w:t>
      </w:r>
    </w:p>
    <w:p w:rsidR="00814ABA" w:rsidRPr="000A1102" w:rsidRDefault="00814ABA" w:rsidP="00814ABA">
      <w:pPr>
        <w:pStyle w:val="NoSpacing"/>
        <w:rPr>
          <w:rFonts w:asciiTheme="majorHAnsi" w:hAnsiTheme="majorHAnsi"/>
          <w:sz w:val="24"/>
          <w:szCs w:val="24"/>
        </w:rPr>
      </w:pPr>
      <w:proofErr w:type="spellStart"/>
      <w:r w:rsidRPr="00196CCD">
        <w:rPr>
          <w:rFonts w:ascii="Arial Narrow" w:hAnsi="Arial Narrow"/>
          <w:sz w:val="24"/>
          <w:szCs w:val="24"/>
        </w:rPr>
        <w:t>Terenul</w:t>
      </w:r>
      <w:proofErr w:type="spellEnd"/>
      <w:r w:rsidRPr="00196CCD">
        <w:rPr>
          <w:rFonts w:ascii="Arial Narrow" w:hAnsi="Arial Narrow"/>
          <w:sz w:val="24"/>
          <w:szCs w:val="24"/>
        </w:rPr>
        <w:t xml:space="preserve"> </w:t>
      </w:r>
      <w:proofErr w:type="spellStart"/>
      <w:proofErr w:type="gramStart"/>
      <w:r w:rsidRPr="00196CCD">
        <w:rPr>
          <w:rFonts w:ascii="Arial Narrow" w:hAnsi="Arial Narrow"/>
          <w:sz w:val="24"/>
          <w:szCs w:val="24"/>
        </w:rPr>
        <w:t>este</w:t>
      </w:r>
      <w:proofErr w:type="spellEnd"/>
      <w:proofErr w:type="gramEnd"/>
      <w:r w:rsidRPr="00196CCD">
        <w:rPr>
          <w:rFonts w:ascii="Arial Narrow" w:hAnsi="Arial Narrow"/>
          <w:sz w:val="24"/>
          <w:szCs w:val="24"/>
        </w:rPr>
        <w:t xml:space="preserve"> plan </w:t>
      </w:r>
      <w:proofErr w:type="spellStart"/>
      <w:r w:rsidRPr="00196CCD">
        <w:rPr>
          <w:rFonts w:ascii="Arial Narrow" w:hAnsi="Arial Narrow"/>
          <w:sz w:val="24"/>
          <w:szCs w:val="24"/>
        </w:rPr>
        <w:t>fără</w:t>
      </w:r>
      <w:proofErr w:type="spellEnd"/>
      <w:r w:rsidRPr="00196CCD">
        <w:rPr>
          <w:rFonts w:ascii="Arial Narrow" w:hAnsi="Arial Narrow"/>
          <w:sz w:val="24"/>
          <w:szCs w:val="24"/>
        </w:rPr>
        <w:t xml:space="preserve"> </w:t>
      </w:r>
      <w:proofErr w:type="spellStart"/>
      <w:r w:rsidRPr="00196CCD">
        <w:rPr>
          <w:rFonts w:ascii="Arial Narrow" w:hAnsi="Arial Narrow"/>
          <w:sz w:val="24"/>
          <w:szCs w:val="24"/>
        </w:rPr>
        <w:t>denivelări</w:t>
      </w:r>
      <w:proofErr w:type="spellEnd"/>
      <w:r>
        <w:rPr>
          <w:rFonts w:asciiTheme="majorHAnsi" w:hAnsiTheme="majorHAnsi"/>
          <w:sz w:val="24"/>
          <w:szCs w:val="24"/>
        </w:rPr>
        <w:t>.</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e) nivel de echipare tehnico-edilitară a zonei și posibilități de asigurare a utilităților;</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sz w:val="24"/>
          <w:szCs w:val="24"/>
        </w:rPr>
        <w:t>Conform ATR existent pentru parc fotovoltaic</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f) existența unor eventuale rețele edilitare în amplasament care ar necesita relocare/protejare, în măsura în care pot fi identificate;</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sz w:val="24"/>
          <w:szCs w:val="24"/>
        </w:rPr>
        <w:t>Nu este cazul</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g) posibile obligații de servitute;</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sz w:val="24"/>
          <w:szCs w:val="24"/>
        </w:rPr>
        <w:t>Nu este cazul</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h) condiționări constructive determinate de starea tehnică și de sistemul constructiv al unor construcții existente în amplasament, asupra cărora se vor face lucrări de intervenții, după caz;</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Se va asigura compatibilitate cu echipamentele parcului fotovoltaic existent.</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i) reglementări urbanistice aplicabile zonei conform documentațiilor de urbanism aprobate - plan urbanistic general/plan urbanistic zonal și regulamentul local de urbanism aferent;</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sz w:val="24"/>
          <w:szCs w:val="24"/>
        </w:rPr>
        <w:t>Nu este cazul</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j) existența de monumente istorice/de arhitectură sau situri arheologice pe amplasament sau în zona imediat învecinată; existența condiționărilor specifice în cazul existenței unor zone protejate.</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sz w:val="24"/>
          <w:szCs w:val="24"/>
        </w:rPr>
        <w:t>Nu este cazul</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6. Descrierea succintă a obiectivului de investiții propus, din punct de vedere tehnic și funcțional:</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a) destinație și funcțiuni;</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Stocare energie electrică pentru autoconsum, peak-shaving, limitare export, backup parțial.</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b) caracteristici, parametri și date tehnice specifice, preconizate;</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 xml:space="preserve">   - Sistem FV existent: 279,9 kWp (622 panouri × 450 W), invertoare 3 buc: 2×115 kW + 1×50 kW (AC total 280 kW).</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 xml:space="preserve">   - Sistem stocare propus : 1 MwH</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c) durata minimă de funcționare apreciată corespunzător destinației/funcțiunilor propuse;</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≥10 ani / ≥6.000 cicluri @ 80% DoD.</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lastRenderedPageBreak/>
        <w:t>d) nevoi/solicitări funcționale specifice.</w:t>
      </w: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Integrare SCADA, jurnalizare 1–15 min, Modbus TCP/IP, ATS pentru panou sarcini critice (opțional).</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7. Justificarea necesității elaborării, după caz, a:</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 studiului de prefezabilitate, în cazul obiectivelor/proiectelor majore de investiții;</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 expertizei tehnice și, după caz, a auditului energetic ori a altor studii de specialitate, audituri sau analize relevante, inclusiv analiza diagnostic, în cazul intervențiilor la construcții existente;</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b/>
          <w:bCs/>
          <w:sz w:val="24"/>
          <w:szCs w:val="24"/>
        </w:rPr>
        <w:t>– unui studiu de fundamentare a valorii resursei culturale referitoare la restricțiile și permisivitățile asociate cu obiectivul de investiții, în cazul intervențiilor pe monumente istorice sau în zone protejate.</w:t>
      </w:r>
    </w:p>
    <w:p w:rsidR="00814ABA" w:rsidRPr="00196CCD" w:rsidRDefault="00814ABA" w:rsidP="00814ABA">
      <w:pPr>
        <w:jc w:val="both"/>
        <w:rPr>
          <w:rFonts w:ascii="Arial Narrow" w:hAnsi="Arial Narrow" w:cs="Times New Roman"/>
          <w:b/>
          <w:bCs/>
          <w:sz w:val="24"/>
          <w:szCs w:val="24"/>
        </w:rPr>
      </w:pPr>
      <w:r w:rsidRPr="00196CCD">
        <w:rPr>
          <w:rFonts w:ascii="Arial Narrow" w:hAnsi="Arial Narrow" w:cs="Times New Roman"/>
          <w:sz w:val="24"/>
          <w:szCs w:val="24"/>
        </w:rPr>
        <w:t>Se impun: elaborare Studiu de fezabilitate pentru stabilirea exacta a valorii estimate a investitiei .</w:t>
      </w:r>
    </w:p>
    <w:p w:rsidR="00814ABA" w:rsidRPr="00196CCD" w:rsidRDefault="00814ABA" w:rsidP="00814ABA">
      <w:pPr>
        <w:jc w:val="both"/>
        <w:rPr>
          <w:rFonts w:ascii="Arial Narrow" w:hAnsi="Arial Narrow" w:cs="Times New Roman"/>
          <w:sz w:val="24"/>
          <w:szCs w:val="24"/>
        </w:rPr>
      </w:pPr>
    </w:p>
    <w:p w:rsidR="00814ABA" w:rsidRPr="00196CCD" w:rsidRDefault="00814ABA" w:rsidP="00814ABA">
      <w:pPr>
        <w:jc w:val="both"/>
        <w:rPr>
          <w:rFonts w:ascii="Arial Narrow" w:hAnsi="Arial Narrow" w:cs="Times New Roman"/>
          <w:sz w:val="24"/>
          <w:szCs w:val="24"/>
        </w:rPr>
      </w:pPr>
      <w:r w:rsidRPr="00196CCD">
        <w:rPr>
          <w:rFonts w:ascii="Arial Narrow" w:hAnsi="Arial Narrow" w:cs="Times New Roman"/>
          <w:sz w:val="24"/>
          <w:szCs w:val="24"/>
        </w:rPr>
        <w:t>Data</w:t>
      </w:r>
      <w:r>
        <w:rPr>
          <w:rFonts w:ascii="Arial Narrow" w:hAnsi="Arial Narrow" w:cs="Times New Roman"/>
          <w:sz w:val="24"/>
          <w:szCs w:val="24"/>
        </w:rPr>
        <w:t xml:space="preserve"> __________________</w:t>
      </w:r>
    </w:p>
    <w:p w:rsidR="00814ABA" w:rsidRDefault="00814ABA" w:rsidP="00814ABA">
      <w:pPr>
        <w:spacing w:before="0"/>
        <w:jc w:val="center"/>
        <w:rPr>
          <w:rFonts w:ascii="Arial Narrow" w:hAnsi="Arial Narrow" w:cs="Times New Roman"/>
          <w:sz w:val="24"/>
          <w:szCs w:val="24"/>
        </w:rPr>
      </w:pPr>
    </w:p>
    <w:p w:rsidR="00814ABA" w:rsidRDefault="00814ABA" w:rsidP="00814ABA">
      <w:pPr>
        <w:spacing w:before="0"/>
        <w:jc w:val="center"/>
        <w:rPr>
          <w:rFonts w:ascii="Arial Narrow" w:hAnsi="Arial Narrow" w:cs="Times New Roman"/>
          <w:sz w:val="24"/>
          <w:szCs w:val="24"/>
        </w:rPr>
      </w:pPr>
      <w:r w:rsidRPr="00196CCD">
        <w:rPr>
          <w:rFonts w:ascii="Arial Narrow" w:hAnsi="Arial Narrow" w:cs="Times New Roman"/>
          <w:sz w:val="24"/>
          <w:szCs w:val="24"/>
        </w:rPr>
        <w:t>Întocmit</w:t>
      </w:r>
      <w:r>
        <w:rPr>
          <w:rFonts w:ascii="Arial Narrow" w:hAnsi="Arial Narrow" w:cs="Times New Roman"/>
          <w:sz w:val="24"/>
          <w:szCs w:val="24"/>
        </w:rPr>
        <w:t>,</w:t>
      </w:r>
    </w:p>
    <w:p w:rsidR="00814ABA" w:rsidRDefault="00814ABA" w:rsidP="00814ABA">
      <w:pPr>
        <w:spacing w:before="0"/>
        <w:jc w:val="center"/>
        <w:rPr>
          <w:rFonts w:ascii="Arial Narrow" w:hAnsi="Arial Narrow" w:cs="Times New Roman"/>
          <w:sz w:val="24"/>
          <w:szCs w:val="24"/>
        </w:rPr>
      </w:pPr>
      <w:r>
        <w:rPr>
          <w:rFonts w:ascii="Arial Narrow" w:hAnsi="Arial Narrow" w:cs="Times New Roman"/>
          <w:sz w:val="24"/>
          <w:szCs w:val="24"/>
        </w:rPr>
        <w:t xml:space="preserve">Inspector </w:t>
      </w:r>
    </w:p>
    <w:p w:rsidR="00814ABA" w:rsidRPr="00196CCD" w:rsidRDefault="00814ABA" w:rsidP="00814ABA">
      <w:pPr>
        <w:spacing w:before="0"/>
        <w:jc w:val="center"/>
        <w:rPr>
          <w:rFonts w:ascii="Arial Narrow" w:hAnsi="Arial Narrow" w:cs="Times New Roman"/>
          <w:sz w:val="24"/>
          <w:szCs w:val="24"/>
        </w:rPr>
      </w:pPr>
      <w:r>
        <w:rPr>
          <w:rFonts w:ascii="Arial Narrow" w:hAnsi="Arial Narrow" w:cs="Times New Roman"/>
          <w:sz w:val="24"/>
          <w:szCs w:val="24"/>
        </w:rPr>
        <w:t>Lacramioara Balan</w:t>
      </w:r>
    </w:p>
    <w:p w:rsidR="00814ABA" w:rsidRPr="00196CCD" w:rsidRDefault="00814ABA" w:rsidP="00814ABA">
      <w:pPr>
        <w:jc w:val="both"/>
        <w:rPr>
          <w:rFonts w:ascii="Arial Narrow" w:hAnsi="Arial Narrow" w:cs="Times New Roman"/>
          <w:b/>
          <w:bCs/>
          <w:sz w:val="24"/>
          <w:szCs w:val="24"/>
        </w:rPr>
      </w:pPr>
    </w:p>
    <w:p w:rsidR="00F03024" w:rsidRDefault="00F03024">
      <w:bookmarkStart w:id="0" w:name="_GoBack"/>
      <w:bookmarkEnd w:id="0"/>
    </w:p>
    <w:sectPr w:rsidR="00F030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B2AD0"/>
    <w:multiLevelType w:val="multilevel"/>
    <w:tmpl w:val="545473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3FF"/>
    <w:rsid w:val="00814ABA"/>
    <w:rsid w:val="00F03024"/>
    <w:rsid w:val="00FF43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ABA"/>
    <w:pPr>
      <w:widowControl w:val="0"/>
      <w:autoSpaceDE w:val="0"/>
      <w:autoSpaceDN w:val="0"/>
      <w:spacing w:before="116" w:after="0" w:line="240"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4ABA"/>
    <w:pPr>
      <w:ind w:left="720"/>
      <w:contextualSpacing/>
    </w:pPr>
  </w:style>
  <w:style w:type="paragraph" w:styleId="NoSpacing">
    <w:name w:val="No Spacing"/>
    <w:link w:val="NoSpacingChar"/>
    <w:uiPriority w:val="1"/>
    <w:qFormat/>
    <w:rsid w:val="00814ABA"/>
    <w:pPr>
      <w:spacing w:after="0" w:line="240" w:lineRule="auto"/>
    </w:pPr>
    <w:rPr>
      <w:lang w:val="en-US"/>
    </w:rPr>
  </w:style>
  <w:style w:type="character" w:customStyle="1" w:styleId="NoSpacingChar">
    <w:name w:val="No Spacing Char"/>
    <w:link w:val="NoSpacing"/>
    <w:uiPriority w:val="1"/>
    <w:rsid w:val="00814ABA"/>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ABA"/>
    <w:pPr>
      <w:widowControl w:val="0"/>
      <w:autoSpaceDE w:val="0"/>
      <w:autoSpaceDN w:val="0"/>
      <w:spacing w:before="116" w:after="0" w:line="240"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4ABA"/>
    <w:pPr>
      <w:ind w:left="720"/>
      <w:contextualSpacing/>
    </w:pPr>
  </w:style>
  <w:style w:type="paragraph" w:styleId="NoSpacing">
    <w:name w:val="No Spacing"/>
    <w:link w:val="NoSpacingChar"/>
    <w:uiPriority w:val="1"/>
    <w:qFormat/>
    <w:rsid w:val="00814ABA"/>
    <w:pPr>
      <w:spacing w:after="0" w:line="240" w:lineRule="auto"/>
    </w:pPr>
    <w:rPr>
      <w:lang w:val="en-US"/>
    </w:rPr>
  </w:style>
  <w:style w:type="character" w:customStyle="1" w:styleId="NoSpacingChar">
    <w:name w:val="No Spacing Char"/>
    <w:link w:val="NoSpacing"/>
    <w:uiPriority w:val="1"/>
    <w:rsid w:val="00814AB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1371</Words>
  <Characters>7955</Characters>
  <Application>Microsoft Office Word</Application>
  <DocSecurity>0</DocSecurity>
  <Lines>66</Lines>
  <Paragraphs>18</Paragraphs>
  <ScaleCrop>false</ScaleCrop>
  <Company/>
  <LinksUpToDate>false</LinksUpToDate>
  <CharactersWithSpaces>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Crucea</dc:creator>
  <cp:keywords/>
  <dc:description/>
  <cp:lastModifiedBy>Crucea</cp:lastModifiedBy>
  <cp:revision>2</cp:revision>
  <dcterms:created xsi:type="dcterms:W3CDTF">2025-09-19T09:56:00Z</dcterms:created>
  <dcterms:modified xsi:type="dcterms:W3CDTF">2025-09-19T09:56:00Z</dcterms:modified>
</cp:coreProperties>
</file>