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CF0" w:rsidRDefault="00327CF0" w:rsidP="00327CF0">
      <w:pPr>
        <w:spacing w:after="0" w:line="240" w:lineRule="auto"/>
        <w:jc w:val="center"/>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 xml:space="preserve">                                                            Anexa nr.1</w:t>
      </w:r>
    </w:p>
    <w:p w:rsidR="00327CF0" w:rsidRDefault="00327CF0" w:rsidP="00327CF0">
      <w:pPr>
        <w:spacing w:after="0" w:line="240" w:lineRule="auto"/>
        <w:jc w:val="right"/>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 xml:space="preserve">la Hotărârea nr.    din </w:t>
      </w:r>
      <w:r w:rsidR="009B0602">
        <w:rPr>
          <w:rFonts w:ascii="Arial" w:eastAsia="Times New Roman" w:hAnsi="Arial" w:cs="Arial"/>
          <w:color w:val="000000"/>
          <w:sz w:val="26"/>
          <w:szCs w:val="26"/>
          <w:lang w:eastAsia="ro-RO"/>
        </w:rPr>
        <w:t xml:space="preserve">... noiembrie </w:t>
      </w:r>
      <w:bookmarkStart w:id="0" w:name="_GoBack"/>
      <w:bookmarkEnd w:id="0"/>
      <w:r>
        <w:rPr>
          <w:rFonts w:ascii="Arial" w:eastAsia="Times New Roman" w:hAnsi="Arial" w:cs="Arial"/>
          <w:color w:val="000000"/>
          <w:sz w:val="26"/>
          <w:szCs w:val="26"/>
          <w:lang w:eastAsia="ro-RO"/>
        </w:rPr>
        <w:t xml:space="preserve"> 2021</w:t>
      </w:r>
    </w:p>
    <w:p w:rsidR="00327CF0" w:rsidRDefault="00327CF0" w:rsidP="00327CF0">
      <w:pPr>
        <w:spacing w:after="0" w:line="240" w:lineRule="auto"/>
        <w:jc w:val="right"/>
        <w:rPr>
          <w:rFonts w:ascii="Arial" w:eastAsia="Times New Roman" w:hAnsi="Arial" w:cs="Arial"/>
          <w:color w:val="000000"/>
          <w:sz w:val="26"/>
          <w:szCs w:val="26"/>
          <w:lang w:eastAsia="ro-RO"/>
        </w:rPr>
      </w:pPr>
    </w:p>
    <w:p w:rsidR="00327CF0" w:rsidRDefault="00327CF0" w:rsidP="00327CF0">
      <w:pPr>
        <w:spacing w:after="0" w:line="240" w:lineRule="auto"/>
        <w:jc w:val="right"/>
        <w:rPr>
          <w:rFonts w:ascii="Arial" w:eastAsia="Times New Roman" w:hAnsi="Arial" w:cs="Arial"/>
          <w:color w:val="000000"/>
          <w:sz w:val="26"/>
          <w:szCs w:val="26"/>
          <w:lang w:eastAsia="ro-RO"/>
        </w:rPr>
      </w:pPr>
    </w:p>
    <w:p w:rsidR="00327CF0" w:rsidRPr="00327CF0" w:rsidRDefault="00327CF0" w:rsidP="00327CF0">
      <w:pPr>
        <w:spacing w:after="0" w:line="240" w:lineRule="auto"/>
        <w:jc w:val="center"/>
        <w:rPr>
          <w:rFonts w:ascii="Arial" w:eastAsia="Times New Roman" w:hAnsi="Arial" w:cs="Arial"/>
          <w:color w:val="000000"/>
          <w:sz w:val="26"/>
          <w:szCs w:val="26"/>
          <w:lang w:eastAsia="ro-RO"/>
        </w:rPr>
      </w:pPr>
      <w:r w:rsidRPr="00327CF0">
        <w:rPr>
          <w:rFonts w:ascii="Arial" w:eastAsia="Times New Roman" w:hAnsi="Arial" w:cs="Arial"/>
          <w:color w:val="000000"/>
          <w:sz w:val="26"/>
          <w:szCs w:val="26"/>
          <w:lang w:eastAsia="ro-RO"/>
        </w:rPr>
        <w:t>LISTA BUNURILOR</w:t>
      </w:r>
      <w:r w:rsidRPr="00327CF0">
        <w:rPr>
          <w:rFonts w:ascii="Arial" w:eastAsia="Times New Roman" w:hAnsi="Arial" w:cs="Arial"/>
          <w:color w:val="000000"/>
          <w:sz w:val="26"/>
          <w:szCs w:val="26"/>
          <w:lang w:eastAsia="ro-RO"/>
        </w:rPr>
        <w:br/>
        <w:t>ce conduc la excluderea acordării ajutorului social</w:t>
      </w:r>
      <w:r w:rsidRPr="00327CF0">
        <w:rPr>
          <w:rFonts w:ascii="Arial" w:eastAsia="Times New Roman" w:hAnsi="Arial" w:cs="Arial"/>
          <w:color w:val="000000"/>
          <w:sz w:val="26"/>
          <w:szCs w:val="26"/>
          <w:lang w:eastAsia="ro-RO"/>
        </w:rPr>
        <w:br/>
      </w:r>
      <w:r w:rsidRPr="00327CF0">
        <w:rPr>
          <w:rFonts w:ascii="Arial" w:eastAsia="Times New Roman" w:hAnsi="Arial" w:cs="Arial"/>
          <w:color w:val="000000"/>
          <w:sz w:val="26"/>
          <w:szCs w:val="26"/>
          <w:lang w:eastAsia="ro-RO"/>
        </w:rPr>
        <w:br/>
        <w:t xml:space="preserve">  </w:t>
      </w:r>
    </w:p>
    <w:p w:rsidR="00327CF0" w:rsidRPr="00327CF0" w:rsidRDefault="00327CF0" w:rsidP="00327CF0">
      <w:pPr>
        <w:spacing w:after="0" w:line="240" w:lineRule="auto"/>
        <w:jc w:val="both"/>
        <w:rPr>
          <w:rFonts w:ascii="Arial" w:eastAsia="Times New Roman" w:hAnsi="Arial" w:cs="Arial"/>
          <w:color w:val="000000"/>
          <w:sz w:val="26"/>
          <w:szCs w:val="26"/>
          <w:lang w:eastAsia="ro-RO"/>
        </w:rPr>
      </w:pPr>
    </w:p>
    <w:tbl>
      <w:tblPr>
        <w:tblW w:w="6744" w:type="dxa"/>
        <w:jc w:val="center"/>
        <w:tblCellMar>
          <w:top w:w="15" w:type="dxa"/>
          <w:left w:w="15" w:type="dxa"/>
          <w:bottom w:w="15" w:type="dxa"/>
          <w:right w:w="15" w:type="dxa"/>
        </w:tblCellMar>
        <w:tblLook w:val="04A0" w:firstRow="1" w:lastRow="0" w:firstColumn="1" w:lastColumn="0" w:noHBand="0" w:noVBand="1"/>
      </w:tblPr>
      <w:tblGrid>
        <w:gridCol w:w="14"/>
        <w:gridCol w:w="185"/>
        <w:gridCol w:w="6545"/>
      </w:tblGrid>
      <w:tr w:rsidR="00327CF0" w:rsidRPr="00327CF0" w:rsidTr="00327CF0">
        <w:trPr>
          <w:trHeight w:val="12"/>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r>
      <w:tr w:rsidR="00327CF0" w:rsidRPr="00327CF0" w:rsidTr="00327CF0">
        <w:trPr>
          <w:trHeight w:val="27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Bunuri imobile</w:t>
            </w:r>
          </w:p>
        </w:tc>
      </w:tr>
      <w:tr w:rsidR="00327CF0" w:rsidRPr="00327CF0" w:rsidTr="00327CF0">
        <w:trPr>
          <w:trHeight w:val="27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Clădiri sau alte spaţii locative în afara locuinţei de domiciliu şi a anexelor gospodăreşti</w:t>
            </w:r>
          </w:p>
        </w:tc>
      </w:tr>
      <w:tr w:rsidR="00327CF0" w:rsidRPr="00327CF0" w:rsidTr="00327CF0">
        <w:trPr>
          <w:trHeight w:val="624"/>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Terenuri de împrejmuire a locuinţei şi curtea aferentă şi alte terenuri intravilane care depăşesc 1.000 mp în zona urbană şi 2.000 mp în zona rurală. Fac excepţie terenurile din zonele colinare sau de munte care nu au potenţial de valorificare prin vânzare/construcţie/producţie agricolă</w:t>
            </w:r>
          </w:p>
        </w:tc>
      </w:tr>
    </w:tbl>
    <w:p w:rsidR="00327CF0" w:rsidRPr="00327CF0" w:rsidRDefault="00327CF0" w:rsidP="00327CF0">
      <w:pPr>
        <w:spacing w:after="0" w:line="240" w:lineRule="auto"/>
        <w:jc w:val="center"/>
        <w:rPr>
          <w:rFonts w:ascii="Arial" w:eastAsia="Times New Roman" w:hAnsi="Arial" w:cs="Arial"/>
          <w:vanish/>
          <w:color w:val="000000"/>
          <w:sz w:val="26"/>
          <w:szCs w:val="26"/>
          <w:lang w:eastAsia="ro-RO"/>
        </w:rPr>
      </w:pPr>
    </w:p>
    <w:tbl>
      <w:tblPr>
        <w:tblW w:w="6744" w:type="dxa"/>
        <w:jc w:val="center"/>
        <w:tblCellMar>
          <w:top w:w="15" w:type="dxa"/>
          <w:left w:w="15" w:type="dxa"/>
          <w:bottom w:w="15" w:type="dxa"/>
          <w:right w:w="15" w:type="dxa"/>
        </w:tblCellMar>
        <w:tblLook w:val="04A0" w:firstRow="1" w:lastRow="0" w:firstColumn="1" w:lastColumn="0" w:noHBand="0" w:noVBand="1"/>
      </w:tblPr>
      <w:tblGrid>
        <w:gridCol w:w="14"/>
        <w:gridCol w:w="185"/>
        <w:gridCol w:w="6545"/>
      </w:tblGrid>
      <w:tr w:rsidR="00327CF0" w:rsidRPr="00327CF0" w:rsidTr="00327CF0">
        <w:trPr>
          <w:trHeight w:val="12"/>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r>
      <w:tr w:rsidR="00327CF0" w:rsidRPr="00327CF0" w:rsidTr="00327CF0">
        <w:trPr>
          <w:trHeight w:val="27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Bunuri mobile(*)</w:t>
            </w:r>
          </w:p>
        </w:tc>
      </w:tr>
      <w:tr w:rsidR="00327CF0" w:rsidRPr="00327CF0" w:rsidTr="00327CF0">
        <w:trPr>
          <w:trHeight w:val="612"/>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Autoturism/autoturisme şi/sau motocicletă/motociclete cu o vechime mai mică de 10 ani cu excepţia celor adaptate pentru persoanele cu handicap sau destinate transportului acestora sau persoanelor dependente, precum şi pentru uzul persoanelor aflate în zone greu accesibile</w:t>
            </w:r>
          </w:p>
        </w:tc>
      </w:tr>
      <w:tr w:rsidR="00327CF0" w:rsidRPr="00327CF0" w:rsidTr="00327CF0">
        <w:trPr>
          <w:trHeight w:val="27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Mai mult de un autoturism/motocicletă cu o vechime mai mare de 10 ani</w:t>
            </w:r>
          </w:p>
        </w:tc>
      </w:tr>
      <w:tr w:rsidR="00327CF0" w:rsidRPr="00327CF0" w:rsidTr="00327CF0">
        <w:trPr>
          <w:trHeight w:val="27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Autovehicule: autoutilitare, autocamioane de orice fel cu sau fără remorci, rulote, autobuze, microbuze</w:t>
            </w:r>
          </w:p>
        </w:tc>
      </w:tr>
      <w:tr w:rsidR="00327CF0" w:rsidRPr="00327CF0" w:rsidTr="00327CF0">
        <w:trPr>
          <w:trHeight w:val="444"/>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4</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Şalupe, bărci cu motor, scutere de apă, iahturi, cu excepţia bărcilor necesare pentru uzul persoanelor care locuiesc în Rezervaţia Biosferei "Delta Dunării"</w:t>
            </w:r>
          </w:p>
        </w:tc>
      </w:tr>
      <w:tr w:rsidR="00327CF0" w:rsidRPr="00327CF0" w:rsidTr="00327CF0">
        <w:trPr>
          <w:trHeight w:val="27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5</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Utilaje agricole: tractor, combină autopropulsată</w:t>
            </w:r>
          </w:p>
        </w:tc>
      </w:tr>
      <w:tr w:rsidR="00327CF0" w:rsidRPr="00327CF0" w:rsidTr="00327CF0">
        <w:trPr>
          <w:trHeight w:val="27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6</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Utilaje de prelucrare agricolă: presă de ulei, moară de cereale</w:t>
            </w:r>
          </w:p>
        </w:tc>
      </w:tr>
      <w:tr w:rsidR="00327CF0" w:rsidRPr="00327CF0" w:rsidTr="00327CF0">
        <w:trPr>
          <w:trHeight w:val="27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7</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Utilaje de prelucrat lemnul: gater sau alte utilaje de prelucrat lemnul acţionate hidraulic, mecanic sau electric</w:t>
            </w:r>
          </w:p>
        </w:tc>
      </w:tr>
      <w:tr w:rsidR="00327CF0" w:rsidRPr="00327CF0" w:rsidTr="00327CF0">
        <w:trPr>
          <w:trHeight w:val="288"/>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 Aflate în stare de funcţionare.</w:t>
            </w:r>
          </w:p>
        </w:tc>
      </w:tr>
    </w:tbl>
    <w:p w:rsidR="00327CF0" w:rsidRPr="00327CF0" w:rsidRDefault="00327CF0" w:rsidP="00327CF0">
      <w:pPr>
        <w:spacing w:after="0" w:line="240" w:lineRule="auto"/>
        <w:jc w:val="center"/>
        <w:rPr>
          <w:rFonts w:ascii="Arial" w:eastAsia="Times New Roman" w:hAnsi="Arial" w:cs="Arial"/>
          <w:vanish/>
          <w:color w:val="000000"/>
          <w:sz w:val="26"/>
          <w:szCs w:val="26"/>
          <w:lang w:eastAsia="ro-RO"/>
        </w:rPr>
      </w:pPr>
    </w:p>
    <w:tbl>
      <w:tblPr>
        <w:tblW w:w="6744" w:type="dxa"/>
        <w:jc w:val="center"/>
        <w:tblCellMar>
          <w:top w:w="15" w:type="dxa"/>
          <w:left w:w="15" w:type="dxa"/>
          <w:bottom w:w="15" w:type="dxa"/>
          <w:right w:w="15" w:type="dxa"/>
        </w:tblCellMar>
        <w:tblLook w:val="04A0" w:firstRow="1" w:lastRow="0" w:firstColumn="1" w:lastColumn="0" w:noHBand="0" w:noVBand="1"/>
      </w:tblPr>
      <w:tblGrid>
        <w:gridCol w:w="17"/>
        <w:gridCol w:w="228"/>
        <w:gridCol w:w="6499"/>
      </w:tblGrid>
      <w:tr w:rsidR="00327CF0" w:rsidRPr="00327CF0" w:rsidTr="00327CF0">
        <w:trPr>
          <w:trHeight w:val="12"/>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r>
      <w:tr w:rsidR="00327CF0" w:rsidRPr="00327CF0" w:rsidTr="00327CF0">
        <w:trPr>
          <w:trHeight w:val="27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Depozite bancare</w:t>
            </w:r>
          </w:p>
        </w:tc>
      </w:tr>
      <w:tr w:rsidR="00327CF0" w:rsidRPr="00327CF0" w:rsidTr="00327CF0">
        <w:trPr>
          <w:trHeight w:val="288"/>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Depozite bancare cu valoare de peste 3.000 lei, cu excepţia dobânzii</w:t>
            </w:r>
          </w:p>
        </w:tc>
      </w:tr>
    </w:tbl>
    <w:p w:rsidR="00327CF0" w:rsidRPr="00327CF0" w:rsidRDefault="00327CF0" w:rsidP="00327CF0">
      <w:pPr>
        <w:spacing w:after="0" w:line="240" w:lineRule="auto"/>
        <w:jc w:val="center"/>
        <w:rPr>
          <w:rFonts w:ascii="Arial" w:eastAsia="Times New Roman" w:hAnsi="Arial" w:cs="Arial"/>
          <w:vanish/>
          <w:color w:val="000000"/>
          <w:sz w:val="26"/>
          <w:szCs w:val="26"/>
          <w:lang w:eastAsia="ro-RO"/>
        </w:rPr>
      </w:pPr>
    </w:p>
    <w:tbl>
      <w:tblPr>
        <w:tblW w:w="6744" w:type="dxa"/>
        <w:jc w:val="center"/>
        <w:tblCellMar>
          <w:top w:w="15" w:type="dxa"/>
          <w:left w:w="15" w:type="dxa"/>
          <w:bottom w:w="15" w:type="dxa"/>
          <w:right w:w="15" w:type="dxa"/>
        </w:tblCellMar>
        <w:tblLook w:val="04A0" w:firstRow="1" w:lastRow="0" w:firstColumn="1" w:lastColumn="0" w:noHBand="0" w:noVBand="1"/>
      </w:tblPr>
      <w:tblGrid>
        <w:gridCol w:w="14"/>
        <w:gridCol w:w="185"/>
        <w:gridCol w:w="6545"/>
      </w:tblGrid>
      <w:tr w:rsidR="00327CF0" w:rsidRPr="00327CF0" w:rsidTr="00327CF0">
        <w:trPr>
          <w:trHeight w:val="12"/>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2"/>
                <w:szCs w:val="17"/>
                <w:lang w:eastAsia="ro-RO"/>
              </w:rPr>
            </w:pPr>
          </w:p>
        </w:tc>
      </w:tr>
      <w:tr w:rsidR="00327CF0" w:rsidRPr="00327CF0" w:rsidTr="00327CF0">
        <w:trPr>
          <w:trHeight w:val="27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Terenuri/animale şi/sau păsări</w:t>
            </w:r>
          </w:p>
        </w:tc>
      </w:tr>
      <w:tr w:rsidR="00327CF0" w:rsidRPr="00327CF0" w:rsidTr="00327CF0">
        <w:trPr>
          <w:trHeight w:val="456"/>
          <w:jc w:val="center"/>
        </w:trPr>
        <w:tc>
          <w:tcPr>
            <w:tcW w:w="0" w:type="auto"/>
            <w:tcBorders>
              <w:top w:val="nil"/>
              <w:left w:val="nil"/>
              <w:bottom w:val="nil"/>
              <w:right w:val="nil"/>
            </w:tcBorders>
            <w:tcMar>
              <w:top w:w="0" w:type="dxa"/>
              <w:left w:w="0" w:type="dxa"/>
              <w:bottom w:w="0" w:type="dxa"/>
              <w:right w:w="0"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center"/>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327CF0" w:rsidRPr="00327CF0" w:rsidRDefault="00327CF0" w:rsidP="00327CF0">
            <w:pPr>
              <w:spacing w:after="0" w:line="240" w:lineRule="auto"/>
              <w:jc w:val="both"/>
              <w:rPr>
                <w:rFonts w:ascii="Arial" w:eastAsia="Times New Roman" w:hAnsi="Arial" w:cs="Arial"/>
                <w:color w:val="000000"/>
                <w:sz w:val="17"/>
                <w:szCs w:val="17"/>
                <w:lang w:eastAsia="ro-RO"/>
              </w:rPr>
            </w:pPr>
            <w:r w:rsidRPr="00327CF0">
              <w:rPr>
                <w:rFonts w:ascii="Arial" w:eastAsia="Times New Roman" w:hAnsi="Arial" w:cs="Arial"/>
                <w:color w:val="000000"/>
                <w:sz w:val="17"/>
                <w:szCs w:val="17"/>
                <w:lang w:eastAsia="ro-RO"/>
              </w:rPr>
              <w:t>Suprafeţe de teren, animale şi păsări a căror valoare netă de producţie anuală depăşeşte suma de 1.000 euro pentru persoana singură, respectiv suma de 2.500 euro pentru familie</w:t>
            </w:r>
          </w:p>
        </w:tc>
      </w:tr>
    </w:tbl>
    <w:p w:rsidR="00327CF0" w:rsidRPr="00327CF0" w:rsidRDefault="00327CF0" w:rsidP="00327CF0">
      <w:pPr>
        <w:spacing w:after="0" w:line="240" w:lineRule="auto"/>
        <w:jc w:val="both"/>
        <w:rPr>
          <w:rFonts w:ascii="Arial" w:eastAsia="Times New Roman" w:hAnsi="Arial" w:cs="Arial"/>
          <w:color w:val="000000"/>
          <w:sz w:val="26"/>
          <w:szCs w:val="26"/>
          <w:lang w:eastAsia="ro-RO"/>
        </w:rPr>
      </w:pPr>
    </w:p>
    <w:p w:rsidR="00327CF0" w:rsidRPr="00327CF0" w:rsidRDefault="00327CF0" w:rsidP="00327CF0">
      <w:pPr>
        <w:shd w:val="clear" w:color="auto" w:fill="E0E0F0"/>
        <w:spacing w:after="0" w:line="240" w:lineRule="auto"/>
        <w:jc w:val="both"/>
        <w:rPr>
          <w:rFonts w:ascii="Arial" w:eastAsia="Times New Roman" w:hAnsi="Arial" w:cs="Arial"/>
          <w:color w:val="000000"/>
          <w:sz w:val="26"/>
          <w:szCs w:val="26"/>
          <w:lang w:eastAsia="ro-RO"/>
        </w:rPr>
      </w:pPr>
      <w:r w:rsidRPr="00327CF0">
        <w:rPr>
          <w:rFonts w:ascii="Arial" w:eastAsia="Times New Roman" w:hAnsi="Arial" w:cs="Arial"/>
          <w:color w:val="000000"/>
          <w:sz w:val="26"/>
          <w:szCs w:val="26"/>
          <w:lang w:eastAsia="ro-RO"/>
        </w:rPr>
        <w:t>   </w:t>
      </w:r>
      <w:r w:rsidRPr="00327CF0">
        <w:rPr>
          <w:rFonts w:ascii="Arial" w:eastAsia="Times New Roman" w:hAnsi="Arial" w:cs="Arial"/>
          <w:b/>
          <w:bCs/>
          <w:color w:val="2E8B57"/>
          <w:sz w:val="26"/>
          <w:szCs w:val="26"/>
          <w:lang w:eastAsia="ro-RO"/>
        </w:rPr>
        <w:t>NOTĂ:</w:t>
      </w:r>
      <w:r w:rsidRPr="00327CF0">
        <w:rPr>
          <w:rFonts w:ascii="Arial" w:eastAsia="Times New Roman" w:hAnsi="Arial" w:cs="Arial"/>
          <w:color w:val="000000"/>
          <w:sz w:val="26"/>
          <w:szCs w:val="26"/>
          <w:lang w:eastAsia="ro-RO"/>
        </w:rPr>
        <w:t xml:space="preserve">   </w:t>
      </w:r>
    </w:p>
    <w:p w:rsidR="00FB7024" w:rsidRDefault="00327CF0" w:rsidP="00327CF0">
      <w:r w:rsidRPr="00327CF0">
        <w:rPr>
          <w:rFonts w:ascii="Arial" w:eastAsia="Times New Roman" w:hAnsi="Arial" w:cs="Arial"/>
          <w:color w:val="000000"/>
          <w:sz w:val="26"/>
          <w:szCs w:val="26"/>
          <w:lang w:eastAsia="ro-RO"/>
        </w:rPr>
        <w:t>Deţinerea unuia dintre bunurile menţionate conduce la excluderea acordării ajutorului social.</w:t>
      </w:r>
      <w:r w:rsidRPr="00327CF0">
        <w:rPr>
          <w:rFonts w:ascii="Arial" w:eastAsia="Times New Roman" w:hAnsi="Arial" w:cs="Arial"/>
          <w:color w:val="000000"/>
          <w:sz w:val="26"/>
          <w:szCs w:val="26"/>
          <w:lang w:eastAsia="ro-RO"/>
        </w:rPr>
        <w:br/>
      </w:r>
      <w:r w:rsidRPr="00327CF0">
        <w:rPr>
          <w:rFonts w:ascii="Arial" w:eastAsia="Times New Roman" w:hAnsi="Arial" w:cs="Arial"/>
          <w:color w:val="000000"/>
          <w:sz w:val="26"/>
          <w:szCs w:val="26"/>
          <w:lang w:eastAsia="ro-RO"/>
        </w:rPr>
        <w:br/>
        <w:t> </w:t>
      </w:r>
    </w:p>
    <w:sectPr w:rsidR="00FB7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19"/>
    <w:rsid w:val="002F6419"/>
    <w:rsid w:val="00327CF0"/>
    <w:rsid w:val="00784B37"/>
    <w:rsid w:val="009B0602"/>
    <w:rsid w:val="00FB70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CBEE5-9807-478E-A7BE-EE107A1E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327CF0"/>
    <w:rPr>
      <w:rFonts w:ascii="Arial" w:hAnsi="Arial" w:cs="Arial" w:hint="default"/>
      <w:color w:val="000000"/>
      <w:sz w:val="26"/>
      <w:szCs w:val="26"/>
    </w:rPr>
  </w:style>
  <w:style w:type="character" w:customStyle="1" w:styleId="l5def2">
    <w:name w:val="l5def2"/>
    <w:basedOn w:val="DefaultParagraphFont"/>
    <w:rsid w:val="00327CF0"/>
    <w:rPr>
      <w:rFonts w:ascii="Arial" w:hAnsi="Arial" w:cs="Arial" w:hint="default"/>
      <w:color w:val="000000"/>
      <w:sz w:val="26"/>
      <w:szCs w:val="26"/>
    </w:rPr>
  </w:style>
  <w:style w:type="character" w:customStyle="1" w:styleId="l5def3">
    <w:name w:val="l5def3"/>
    <w:basedOn w:val="DefaultParagraphFont"/>
    <w:rsid w:val="00327CF0"/>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98887">
      <w:bodyDiv w:val="1"/>
      <w:marLeft w:val="0"/>
      <w:marRight w:val="0"/>
      <w:marTop w:val="0"/>
      <w:marBottom w:val="0"/>
      <w:divBdr>
        <w:top w:val="none" w:sz="0" w:space="0" w:color="auto"/>
        <w:left w:val="none" w:sz="0" w:space="0" w:color="auto"/>
        <w:bottom w:val="none" w:sz="0" w:space="0" w:color="auto"/>
        <w:right w:val="none" w:sz="0" w:space="0" w:color="auto"/>
      </w:divBdr>
      <w:divsChild>
        <w:div w:id="662126735">
          <w:marLeft w:val="0"/>
          <w:marRight w:val="0"/>
          <w:marTop w:val="0"/>
          <w:marBottom w:val="0"/>
          <w:divBdr>
            <w:top w:val="none" w:sz="0" w:space="0" w:color="auto"/>
            <w:left w:val="none" w:sz="0" w:space="0" w:color="auto"/>
            <w:bottom w:val="none" w:sz="0" w:space="0" w:color="auto"/>
            <w:right w:val="none" w:sz="0" w:space="0" w:color="auto"/>
          </w:divBdr>
        </w:div>
        <w:div w:id="1465808062">
          <w:marLeft w:val="0"/>
          <w:marRight w:val="0"/>
          <w:marTop w:val="0"/>
          <w:marBottom w:val="0"/>
          <w:divBdr>
            <w:top w:val="none" w:sz="0" w:space="0" w:color="auto"/>
            <w:left w:val="none" w:sz="0" w:space="0" w:color="auto"/>
            <w:bottom w:val="none" w:sz="0" w:space="0" w:color="auto"/>
            <w:right w:val="none" w:sz="0" w:space="0" w:color="auto"/>
          </w:divBdr>
          <w:divsChild>
            <w:div w:id="1165173151">
              <w:marLeft w:val="0"/>
              <w:marRight w:val="0"/>
              <w:marTop w:val="0"/>
              <w:marBottom w:val="0"/>
              <w:divBdr>
                <w:top w:val="none" w:sz="0" w:space="0" w:color="auto"/>
                <w:left w:val="none" w:sz="0" w:space="0" w:color="auto"/>
                <w:bottom w:val="none" w:sz="0" w:space="0" w:color="auto"/>
                <w:right w:val="none" w:sz="0" w:space="0" w:color="auto"/>
              </w:divBdr>
            </w:div>
          </w:divsChild>
        </w:div>
        <w:div w:id="69817981">
          <w:marLeft w:val="0"/>
          <w:marRight w:val="0"/>
          <w:marTop w:val="0"/>
          <w:marBottom w:val="0"/>
          <w:divBdr>
            <w:top w:val="none" w:sz="0" w:space="0" w:color="auto"/>
            <w:left w:val="none" w:sz="0" w:space="0" w:color="auto"/>
            <w:bottom w:val="none" w:sz="0" w:space="0" w:color="auto"/>
            <w:right w:val="none" w:sz="0" w:space="0" w:color="auto"/>
          </w:divBdr>
          <w:divsChild>
            <w:div w:id="11970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290</Words>
  <Characters>1657</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general</dc:creator>
  <cp:keywords/>
  <dc:description/>
  <cp:lastModifiedBy>Windows User</cp:lastModifiedBy>
  <cp:revision>3</cp:revision>
  <dcterms:created xsi:type="dcterms:W3CDTF">2021-10-26T10:40:00Z</dcterms:created>
  <dcterms:modified xsi:type="dcterms:W3CDTF">2021-11-21T21:06:00Z</dcterms:modified>
</cp:coreProperties>
</file>