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Layout w:type="fixed"/>
        <w:tblLook w:val="04A0"/>
      </w:tblPr>
      <w:tblGrid>
        <w:gridCol w:w="1669"/>
        <w:gridCol w:w="5384"/>
        <w:gridCol w:w="3154"/>
      </w:tblGrid>
      <w:tr w:rsidR="00A36F9A" w:rsidTr="00251775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820BF8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</wp:posOffset>
                  </wp:positionV>
                  <wp:extent cx="892175" cy="1192530"/>
                  <wp:effectExtent l="19050" t="0" r="317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0948D3">
            <w:pPr>
              <w:ind w:left="1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48.2pt" o:ole="">
                  <v:imagedata r:id="rId7" o:title=""/>
                </v:shape>
                <o:OLEObject Type="Embed" ProgID="PBrush" ShapeID="_x0000_i1025" DrawAspect="Content" ObjectID="_1824451934" r:id="rId8"/>
              </w:object>
            </w:r>
          </w:p>
          <w:p w:rsidR="00251775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</w:p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>
                <v:shape id="_x0000_i1026" type="#_x0000_t75" style="width:128.35pt;height:39.45pt" o:ole="">
                  <v:imagedata r:id="rId9" o:title=""/>
                </v:shape>
                <o:OLEObject Type="Embed" ProgID="PBrush" ShapeID="_x0000_i1026" DrawAspect="Content" ObjectID="_1824451935" r:id="rId10"/>
              </w:object>
            </w:r>
          </w:p>
        </w:tc>
      </w:tr>
    </w:tbl>
    <w:p w:rsidR="00A36F9A" w:rsidRDefault="00A36F9A" w:rsidP="00A36F9A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A36F9A" w:rsidRDefault="00A36F9A" w:rsidP="00A36F9A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0948D3" w:rsidRPr="000949F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B03815">
        <w:rPr>
          <w:rFonts w:ascii="Times New Roman" w:hAnsi="Times New Roman"/>
          <w:i/>
          <w:color w:val="000000" w:themeColor="text1"/>
          <w:sz w:val="28"/>
          <w:szCs w:val="28"/>
        </w:rPr>
        <w:t>unei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ANL,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rămas</w:t>
      </w:r>
      <w:r w:rsidR="00B03815">
        <w:rPr>
          <w:rFonts w:ascii="Times New Roman" w:hAnsi="Times New Roman"/>
          <w:i/>
          <w:color w:val="000000" w:themeColor="text1"/>
          <w:sz w:val="28"/>
          <w:szCs w:val="28"/>
        </w:rPr>
        <w:t>ă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liber</w:t>
      </w:r>
      <w:r w:rsidR="00B03815">
        <w:rPr>
          <w:rFonts w:ascii="Times New Roman" w:hAnsi="Times New Roman"/>
          <w:i/>
          <w:color w:val="000000" w:themeColor="text1"/>
          <w:sz w:val="28"/>
          <w:szCs w:val="28"/>
        </w:rPr>
        <w:t>ă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din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punct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vedere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juridic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situat</w:t>
      </w:r>
      <w:r w:rsidR="00B03815">
        <w:rPr>
          <w:rFonts w:ascii="Times New Roman" w:hAnsi="Times New Roman"/>
          <w:i/>
          <w:color w:val="000000" w:themeColor="text1"/>
          <w:sz w:val="28"/>
          <w:szCs w:val="28"/>
        </w:rPr>
        <w:t>ă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Municipiul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Drobeta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Turnu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Severin</w:t>
      </w:r>
      <w:proofErr w:type="spellEnd"/>
    </w:p>
    <w:p w:rsidR="000948D3" w:rsidRPr="005F79E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proofErr w:type="gram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proofErr w:type="gram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ordinea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stabilită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lista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anuala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priorități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aprobată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HCL nr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.73/27.03.2025</w:t>
      </w:r>
    </w:p>
    <w:p w:rsidR="00A36F9A" w:rsidRDefault="00A36F9A" w:rsidP="00A36F9A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3815" w:rsidRPr="00B03815" w:rsidRDefault="00A36F9A" w:rsidP="00B03815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rămânerea</w:t>
      </w:r>
      <w:proofErr w:type="spellEnd"/>
      <w:proofErr w:type="gram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vacantă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815"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B03815"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unități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tip ANL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situat</w:t>
      </w:r>
      <w:r w:rsidR="00B03815"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B03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815" w:rsidRPr="00B03815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="00B03815" w:rsidRPr="00B0381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03815" w:rsidRPr="00B03815">
        <w:rPr>
          <w:rFonts w:ascii="Times New Roman" w:hAnsi="Times New Roman" w:cs="Times New Roman"/>
          <w:color w:val="000000" w:themeColor="text1"/>
          <w:sz w:val="26"/>
          <w:szCs w:val="26"/>
        </w:rPr>
        <w:t>B-</w:t>
      </w:r>
      <w:proofErr w:type="spellStart"/>
      <w:r w:rsidR="00B03815" w:rsidRPr="00B03815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="00B03815" w:rsidRPr="00B038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3815" w:rsidRPr="00B03815">
        <w:rPr>
          <w:rFonts w:ascii="Times New Roman" w:hAnsi="Times New Roman" w:cs="Times New Roman"/>
          <w:color w:val="000000" w:themeColor="text1"/>
          <w:sz w:val="26"/>
          <w:szCs w:val="26"/>
        </w:rPr>
        <w:t>Aluniș</w:t>
      </w:r>
      <w:proofErr w:type="spellEnd"/>
      <w:r w:rsidR="00B03815" w:rsidRPr="00B03815">
        <w:rPr>
          <w:rFonts w:ascii="Times New Roman" w:hAnsi="Times New Roman" w:cs="Times New Roman"/>
          <w:color w:val="000000" w:themeColor="text1"/>
          <w:sz w:val="26"/>
          <w:szCs w:val="26"/>
        </w:rPr>
        <w:t>, nr. 1A, bl. VD4, sc.1, et.1, ap.12</w:t>
      </w:r>
      <w:r w:rsidR="00B0381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948D3" w:rsidRDefault="000948D3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declarația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renunțare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d-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Vasilache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Mihaela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sub nr. 13506/07.04.2025;</w:t>
      </w:r>
    </w:p>
    <w:p w:rsidR="00B03815" w:rsidRPr="009320FA" w:rsidRDefault="00B03815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HCL nr. 114/30.04.2025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unități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situate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6F9A" w:rsidRPr="002E1ABB" w:rsidRDefault="00A36F9A" w:rsidP="00A36F9A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pu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blice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elor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:rsidR="009772F0" w:rsidRPr="009772F0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772F0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9772F0" w:rsidRPr="009772F0">
        <w:rPr>
          <w:rFonts w:ascii="Times New Roman" w:hAnsi="Times New Roman"/>
          <w:color w:val="000000" w:themeColor="text1"/>
          <w:sz w:val="28"/>
          <w:szCs w:val="28"/>
        </w:rPr>
        <w:t>spozițiile</w:t>
      </w:r>
      <w:proofErr w:type="spellEnd"/>
      <w:r w:rsidR="009772F0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art.15 alin.9</w:t>
      </w:r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din HG nr. 962/2001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36F9A" w:rsidRPr="009772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“ 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proofErr w:type="gram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aplicarea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prevederilor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11" w:history="1"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art. 8 </w:t>
        </w:r>
        <w:proofErr w:type="spellStart"/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. (2) </w:t>
        </w:r>
        <w:proofErr w:type="spellStart"/>
        <w:proofErr w:type="gramStart"/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teza</w:t>
        </w:r>
        <w:proofErr w:type="spellEnd"/>
        <w:proofErr w:type="gramEnd"/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 w:rsidR="009772F0" w:rsidRPr="009772F0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doua</w:t>
        </w:r>
        <w:proofErr w:type="spellEnd"/>
      </w:hyperlink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fldChar w:fldCharType="begin"/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HYPERLINK "https://legislatie.just.ro/Public/DetaliiDocumentAfis/195966" </w:instrTex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fldChar w:fldCharType="separate"/>
      </w:r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alin</w:t>
      </w:r>
      <w:proofErr w:type="spellEnd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. (6) </w:t>
      </w:r>
      <w:proofErr w:type="gramStart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din</w:t>
      </w:r>
      <w:proofErr w:type="gramEnd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Legea</w:t>
      </w:r>
      <w:proofErr w:type="spellEnd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nr. 152/1998, </w:t>
      </w:r>
      <w:proofErr w:type="spellStart"/>
      <w:r w:rsidR="009772F0" w:rsidRPr="009772F0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republicată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fldChar w:fldCharType="end"/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cu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modificările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completările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ulterioare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locuințele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rămase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perioada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exploatării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acestora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regim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închiriere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pot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fi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supuse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schimbului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condițiile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prevăzute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la </w:t>
      </w:r>
      <w:proofErr w:type="spellStart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(17)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(19)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dacă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există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astfel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solicitări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Locuințele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devenite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după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efectuarea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schimbului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locuințele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devenite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care nu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există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solicitări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schimb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se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repartizează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solicitanților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care au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înregistrate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cereri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condițiile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prevederilor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art. 14 </w:t>
      </w:r>
      <w:proofErr w:type="spellStart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(1)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(2)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care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îndeplinesc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criteriile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acces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adoptate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condițiile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prevederilor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art. 14 </w:t>
      </w:r>
      <w:proofErr w:type="spellStart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(7)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Repartizarea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acestor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locuințe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se face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ordinea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stabilită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prin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lista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priorități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întocmită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refăcută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condițiile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prevederilor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(1)</w:t>
      </w:r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9772F0" w:rsidRPr="009772F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9772F0" w:rsidRPr="009772F0">
        <w:rPr>
          <w:rStyle w:val="slgi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(2)</w:t>
      </w:r>
      <w:r w:rsidR="009772F0">
        <w:rPr>
          <w:rFonts w:ascii="Verdana" w:hAnsi="Verdana"/>
          <w:color w:val="0000FF"/>
          <w:sz w:val="19"/>
          <w:szCs w:val="19"/>
          <w:shd w:val="clear" w:color="auto" w:fill="FFFFFF"/>
        </w:rPr>
        <w:t>.</w:t>
      </w:r>
      <w:r w:rsidR="009772F0" w:rsidRPr="00C112D0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”</w:t>
      </w:r>
    </w:p>
    <w:p w:rsidR="00A36F9A" w:rsidRPr="009772F0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9772F0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proofErr w:type="gram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 w:rsidRPr="009772F0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="00A36F9A" w:rsidRPr="009772F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ședința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hotărâr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unități</w:t>
      </w:r>
      <w:r w:rsidR="00B03815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</w:t>
      </w:r>
      <w:r w:rsidR="00B03815">
        <w:rPr>
          <w:rFonts w:ascii="Times New Roman" w:hAnsi="Times New Roman"/>
          <w:color w:val="000000" w:themeColor="text1"/>
          <w:sz w:val="28"/>
          <w:szCs w:val="28"/>
        </w:rPr>
        <w:t>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</w:t>
      </w:r>
      <w:r w:rsidR="00B03815">
        <w:rPr>
          <w:rFonts w:ascii="Times New Roman" w:hAnsi="Times New Roman"/>
          <w:color w:val="000000" w:themeColor="text1"/>
          <w:sz w:val="28"/>
          <w:szCs w:val="28"/>
        </w:rPr>
        <w:t>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 w:rsidR="00B0381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Heading1"/>
        <w:shd w:val="clear" w:color="auto" w:fill="FFFFFF"/>
        <w:spacing w:before="0" w:after="135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561BD3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INIȚIATOR,</w:t>
      </w:r>
    </w:p>
    <w:p w:rsidR="00A36F9A" w:rsidRDefault="00A36F9A" w:rsidP="00A36F9A">
      <w:pPr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561B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VICEPRIMAR</w:t>
      </w:r>
    </w:p>
    <w:p w:rsidR="00A36F9A" w:rsidRDefault="00A36F9A" w:rsidP="00A36F9A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25177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DANIEL CÎRJAN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</w:rPr>
        <w:tab/>
      </w:r>
    </w:p>
    <w:p w:rsidR="008D6C0C" w:rsidRDefault="00C112D0"/>
    <w:sectPr w:rsidR="008D6C0C" w:rsidSect="0025177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6F9A"/>
    <w:rsid w:val="0005430B"/>
    <w:rsid w:val="000948D3"/>
    <w:rsid w:val="000A3755"/>
    <w:rsid w:val="001037A9"/>
    <w:rsid w:val="00131E7D"/>
    <w:rsid w:val="00184ED5"/>
    <w:rsid w:val="001902B7"/>
    <w:rsid w:val="00205838"/>
    <w:rsid w:val="00251775"/>
    <w:rsid w:val="00306FCF"/>
    <w:rsid w:val="003D5FD1"/>
    <w:rsid w:val="004043AC"/>
    <w:rsid w:val="00516121"/>
    <w:rsid w:val="00561BD3"/>
    <w:rsid w:val="00723964"/>
    <w:rsid w:val="007721C5"/>
    <w:rsid w:val="00903E0D"/>
    <w:rsid w:val="009320FA"/>
    <w:rsid w:val="009772F0"/>
    <w:rsid w:val="00A36F9A"/>
    <w:rsid w:val="00B03815"/>
    <w:rsid w:val="00B133E8"/>
    <w:rsid w:val="00C112D0"/>
    <w:rsid w:val="00C56F48"/>
    <w:rsid w:val="00DB5C8E"/>
    <w:rsid w:val="00DD3BDA"/>
    <w:rsid w:val="00EA76C6"/>
    <w:rsid w:val="00F7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9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36F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A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36F9A"/>
    <w:pPr>
      <w:ind w:left="720"/>
      <w:contextualSpacing/>
    </w:pPr>
  </w:style>
  <w:style w:type="table" w:styleId="TableGrid">
    <w:name w:val="Table Grid"/>
    <w:basedOn w:val="TableNormal"/>
    <w:uiPriority w:val="39"/>
    <w:rsid w:val="00A36F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gi">
    <w:name w:val="s_lgi"/>
    <w:basedOn w:val="DefaultParagraphFont"/>
    <w:rsid w:val="0097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hyperlink" Target="https://legislatie.just.ro/Public/DetaliiDocumentAfis/195966" TargetMode="Externa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2025-11-12T08:54:00Z</cp:lastPrinted>
  <dcterms:created xsi:type="dcterms:W3CDTF">2023-04-04T10:06:00Z</dcterms:created>
  <dcterms:modified xsi:type="dcterms:W3CDTF">2025-11-12T09:26:00Z</dcterms:modified>
</cp:coreProperties>
</file>