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0044D" w14:textId="77777777" w:rsidR="00B72EF8" w:rsidRPr="005A2724" w:rsidRDefault="00B72EF8" w:rsidP="00B72EF8">
      <w:pPr>
        <w:rPr>
          <w:rFonts w:ascii="Times New Roman" w:hAnsi="Times New Roman" w:cs="Times New Roman"/>
          <w:sz w:val="24"/>
          <w:szCs w:val="24"/>
        </w:rPr>
      </w:pPr>
    </w:p>
    <w:tbl>
      <w:tblPr>
        <w:tblpPr w:leftFromText="180" w:rightFromText="180" w:vertAnchor="page" w:horzAnchor="margin" w:tblpY="841"/>
        <w:tblW w:w="9720" w:type="dxa"/>
        <w:tblLayout w:type="fixed"/>
        <w:tblCellMar>
          <w:left w:w="10" w:type="dxa"/>
          <w:right w:w="10" w:type="dxa"/>
        </w:tblCellMar>
        <w:tblLook w:val="0000" w:firstRow="0" w:lastRow="0" w:firstColumn="0" w:lastColumn="0" w:noHBand="0" w:noVBand="0"/>
      </w:tblPr>
      <w:tblGrid>
        <w:gridCol w:w="1666"/>
        <w:gridCol w:w="5647"/>
        <w:gridCol w:w="2407"/>
      </w:tblGrid>
      <w:tr w:rsidR="00B72EF8" w:rsidRPr="005A2724" w14:paraId="2A9A8A61" w14:textId="77777777" w:rsidTr="005571D0">
        <w:trPr>
          <w:trHeight w:val="637"/>
        </w:trPr>
        <w:tc>
          <w:tcPr>
            <w:tcW w:w="16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C59A" w14:textId="77777777" w:rsidR="00B72EF8" w:rsidRPr="005A2724" w:rsidRDefault="00B72EF8" w:rsidP="005571D0">
            <w:pPr>
              <w:pStyle w:val="Header"/>
              <w:spacing w:line="276" w:lineRule="auto"/>
              <w:jc w:val="center"/>
              <w:rPr>
                <w:rFonts w:ascii="Times New Roman" w:hAnsi="Times New Roman"/>
                <w:sz w:val="24"/>
                <w:szCs w:val="24"/>
              </w:rPr>
            </w:pPr>
            <w:r w:rsidRPr="005A2724">
              <w:rPr>
                <w:rFonts w:ascii="Times New Roman" w:hAnsi="Times New Roman"/>
                <w:noProof/>
                <w:sz w:val="24"/>
                <w:szCs w:val="24"/>
                <w:lang w:val="en-US"/>
              </w:rPr>
              <w:drawing>
                <wp:anchor distT="0" distB="0" distL="114300" distR="114300" simplePos="0" relativeHeight="251659264" behindDoc="0" locked="0" layoutInCell="1" allowOverlap="1" wp14:anchorId="1F535C85" wp14:editId="5C110A7E">
                  <wp:simplePos x="0" y="0"/>
                  <wp:positionH relativeFrom="column">
                    <wp:posOffset>-1901</wp:posOffset>
                  </wp:positionH>
                  <wp:positionV relativeFrom="paragraph">
                    <wp:posOffset>-1097280</wp:posOffset>
                  </wp:positionV>
                  <wp:extent cx="895353" cy="1356356"/>
                  <wp:effectExtent l="19050" t="0" r="0" b="0"/>
                  <wp:wrapSquare wrapText="right"/>
                  <wp:docPr id="1" name="Picture 2" descr="stema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895353" cy="1356356"/>
                          </a:xfrm>
                          <a:prstGeom prst="rect">
                            <a:avLst/>
                          </a:prstGeom>
                          <a:noFill/>
                          <a:ln>
                            <a:noFill/>
                            <a:prstDash/>
                          </a:ln>
                        </pic:spPr>
                      </pic:pic>
                    </a:graphicData>
                  </a:graphic>
                </wp:anchor>
              </w:drawing>
            </w:r>
          </w:p>
        </w:tc>
        <w:tc>
          <w:tcPr>
            <w:tcW w:w="56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697A9"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UNITATEA ADMINISTRATIV TERITORIALA</w:t>
            </w:r>
          </w:p>
          <w:p w14:paraId="0EC50BD5"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MUNICIPIUL DROBETA TURNU SEVERIN</w:t>
            </w:r>
          </w:p>
          <w:p w14:paraId="3863B143"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Strada Maresal Averescu nr. 2</w:t>
            </w:r>
          </w:p>
          <w:p w14:paraId="63942ABC"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Drobeta Turnu Severin</w:t>
            </w:r>
          </w:p>
          <w:p w14:paraId="46384E81"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Telefon: 0252.31.43.79   Fax: 0252.31.63.17</w:t>
            </w:r>
          </w:p>
          <w:p w14:paraId="79288D64" w14:textId="77777777" w:rsidR="00B72EF8" w:rsidRPr="005A2724" w:rsidRDefault="00B72EF8" w:rsidP="005571D0">
            <w:pPr>
              <w:pStyle w:val="NoSpacing1"/>
              <w:spacing w:line="276" w:lineRule="auto"/>
              <w:jc w:val="center"/>
              <w:rPr>
                <w:rFonts w:ascii="Times New Roman" w:hAnsi="Times New Roman"/>
                <w:sz w:val="24"/>
                <w:szCs w:val="24"/>
              </w:rPr>
            </w:pPr>
            <w:r w:rsidRPr="005A2724">
              <w:rPr>
                <w:rFonts w:ascii="Times New Roman" w:hAnsi="Times New Roman"/>
                <w:sz w:val="24"/>
                <w:szCs w:val="24"/>
              </w:rPr>
              <w:t xml:space="preserve">E-mail: </w:t>
            </w:r>
            <w:hyperlink r:id="rId10" w:history="1">
              <w:r w:rsidRPr="005A2724">
                <w:rPr>
                  <w:rStyle w:val="Hyperlink"/>
                  <w:rFonts w:ascii="Times New Roman" w:hAnsi="Times New Roman"/>
                  <w:sz w:val="24"/>
                  <w:szCs w:val="24"/>
                </w:rPr>
                <w:t>primaria@primariadrobeta.ro</w:t>
              </w:r>
            </w:hyperlink>
          </w:p>
          <w:p w14:paraId="23C53010" w14:textId="77777777" w:rsidR="00B72EF8" w:rsidRPr="005A2724" w:rsidRDefault="00B72EF8" w:rsidP="005571D0">
            <w:pPr>
              <w:jc w:val="center"/>
              <w:rPr>
                <w:rFonts w:ascii="Times New Roman" w:hAnsi="Times New Roman" w:cs="Times New Roman"/>
                <w:sz w:val="24"/>
                <w:szCs w:val="24"/>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9DAB" w14:textId="77777777" w:rsidR="00B72EF8" w:rsidRPr="005A2724" w:rsidRDefault="00B72EF8" w:rsidP="005571D0">
            <w:pPr>
              <w:pStyle w:val="Header"/>
              <w:spacing w:line="276" w:lineRule="auto"/>
              <w:rPr>
                <w:rFonts w:ascii="Times New Roman" w:hAnsi="Times New Roman"/>
                <w:sz w:val="24"/>
                <w:szCs w:val="24"/>
              </w:rPr>
            </w:pPr>
            <w:r w:rsidRPr="005A2724">
              <w:rPr>
                <w:rFonts w:ascii="Times New Roman" w:hAnsi="Times New Roman"/>
                <w:color w:val="0563C1"/>
                <w:sz w:val="24"/>
                <w:szCs w:val="24"/>
                <w:u w:val="single"/>
              </w:rPr>
              <w:object w:dxaOrig="3586" w:dyaOrig="2070" w14:anchorId="14CC7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3.5pt;height:60pt;visibility:visible;mso-wrap-style:square" o:ole="">
                  <v:imagedata r:id="rId11" o:title=""/>
                </v:shape>
                <o:OLEObject Type="Embed" ProgID="PBrush" ShapeID="Object 1" DrawAspect="Content" ObjectID="_1825741815" r:id="rId12"/>
              </w:object>
            </w:r>
          </w:p>
        </w:tc>
      </w:tr>
      <w:tr w:rsidR="00B72EF8" w:rsidRPr="005A2724" w14:paraId="0D1D7D11" w14:textId="77777777" w:rsidTr="005571D0">
        <w:trPr>
          <w:trHeight w:val="958"/>
        </w:trPr>
        <w:tc>
          <w:tcPr>
            <w:tcW w:w="16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B7C3D" w14:textId="77777777" w:rsidR="00B72EF8" w:rsidRPr="005A2724" w:rsidRDefault="00B72EF8" w:rsidP="005571D0">
            <w:pPr>
              <w:rPr>
                <w:rFonts w:ascii="Times New Roman" w:hAnsi="Times New Roman" w:cs="Times New Roman"/>
                <w:sz w:val="24"/>
                <w:szCs w:val="24"/>
              </w:rPr>
            </w:pPr>
          </w:p>
        </w:tc>
        <w:tc>
          <w:tcPr>
            <w:tcW w:w="56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F134" w14:textId="77777777" w:rsidR="00B72EF8" w:rsidRPr="005A2724" w:rsidRDefault="00B72EF8" w:rsidP="005571D0">
            <w:pPr>
              <w:rPr>
                <w:rFonts w:ascii="Times New Roman" w:hAnsi="Times New Roman" w:cs="Times New Roman"/>
                <w:sz w:val="24"/>
                <w:szCs w:val="24"/>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6FE7B" w14:textId="77777777" w:rsidR="00B72EF8" w:rsidRPr="005A2724" w:rsidRDefault="00B72EF8" w:rsidP="005571D0">
            <w:pPr>
              <w:pStyle w:val="Header"/>
              <w:spacing w:line="276" w:lineRule="auto"/>
              <w:rPr>
                <w:rFonts w:ascii="Times New Roman" w:hAnsi="Times New Roman"/>
                <w:sz w:val="24"/>
                <w:szCs w:val="24"/>
              </w:rPr>
            </w:pPr>
            <w:r w:rsidRPr="005A2724">
              <w:rPr>
                <w:rFonts w:ascii="Times New Roman" w:hAnsi="Times New Roman"/>
                <w:color w:val="0563C1"/>
                <w:sz w:val="24"/>
                <w:szCs w:val="24"/>
                <w:u w:val="single"/>
              </w:rPr>
              <w:object w:dxaOrig="3615" w:dyaOrig="1965" w14:anchorId="03C20D13">
                <v:shape id="Object 2" o:spid="_x0000_i1026" type="#_x0000_t75" style="width:105.5pt;height:57pt;visibility:visible;mso-wrap-style:square" o:ole="">
                  <v:imagedata r:id="rId13" o:title=""/>
                </v:shape>
                <o:OLEObject Type="Embed" ProgID="PBrush" ShapeID="Object 2" DrawAspect="Content" ObjectID="_1825741816" r:id="rId14"/>
              </w:object>
            </w:r>
          </w:p>
        </w:tc>
      </w:tr>
    </w:tbl>
    <w:p w14:paraId="30A43A75" w14:textId="5925D947" w:rsidR="009A3997" w:rsidRPr="00D379FD" w:rsidRDefault="00B72EF8" w:rsidP="007061A7">
      <w:pPr>
        <w:pStyle w:val="NoSpacing"/>
        <w:jc w:val="both"/>
        <w:rPr>
          <w:rFonts w:ascii="Times New Roman" w:hAnsi="Times New Roman"/>
          <w:sz w:val="24"/>
          <w:szCs w:val="24"/>
        </w:rPr>
      </w:pPr>
      <w:r w:rsidRPr="00B57CF5">
        <w:rPr>
          <w:rFonts w:ascii="Times New Roman" w:hAnsi="Times New Roman" w:cs="Times New Roman"/>
          <w:sz w:val="24"/>
          <w:szCs w:val="24"/>
        </w:rPr>
        <w:t xml:space="preserve">                                                                                           </w:t>
      </w:r>
    </w:p>
    <w:p w14:paraId="27635BB1" w14:textId="77777777" w:rsidR="009A3997" w:rsidRPr="00D379FD" w:rsidRDefault="009A3997" w:rsidP="009A3997">
      <w:pPr>
        <w:pStyle w:val="NoSpacing"/>
        <w:jc w:val="right"/>
        <w:rPr>
          <w:rFonts w:ascii="Times New Roman" w:hAnsi="Times New Roman"/>
          <w:sz w:val="24"/>
          <w:szCs w:val="24"/>
        </w:rPr>
      </w:pPr>
    </w:p>
    <w:p w14:paraId="29C17031" w14:textId="77777777" w:rsidR="009A3997" w:rsidRPr="00D379FD" w:rsidRDefault="009A3997" w:rsidP="009A3997">
      <w:pPr>
        <w:pStyle w:val="NoSpacing"/>
        <w:rPr>
          <w:rFonts w:ascii="Times New Roman" w:hAnsi="Times New Roman"/>
          <w:sz w:val="24"/>
          <w:szCs w:val="24"/>
        </w:rPr>
      </w:pPr>
    </w:p>
    <w:p w14:paraId="7CF9C7F0" w14:textId="77777777" w:rsidR="009A3997" w:rsidRPr="00D379FD" w:rsidRDefault="009A3997" w:rsidP="009A3997">
      <w:pPr>
        <w:tabs>
          <w:tab w:val="left" w:pos="3860"/>
        </w:tabs>
        <w:jc w:val="center"/>
        <w:rPr>
          <w:rFonts w:ascii="Times New Roman" w:hAnsi="Times New Roman" w:cs="Times New Roman"/>
          <w:b/>
          <w:sz w:val="24"/>
          <w:szCs w:val="24"/>
        </w:rPr>
      </w:pPr>
    </w:p>
    <w:p w14:paraId="15782E9D" w14:textId="48F8A5B5" w:rsidR="009A3997" w:rsidRDefault="00A434DE" w:rsidP="009A3997">
      <w:pPr>
        <w:tabs>
          <w:tab w:val="left" w:pos="3860"/>
        </w:tabs>
        <w:jc w:val="center"/>
        <w:rPr>
          <w:rFonts w:ascii="Times New Roman" w:hAnsi="Times New Roman" w:cs="Times New Roman"/>
          <w:b/>
          <w:sz w:val="24"/>
          <w:szCs w:val="24"/>
        </w:rPr>
      </w:pPr>
      <w:r>
        <w:rPr>
          <w:rFonts w:ascii="Times New Roman" w:hAnsi="Times New Roman" w:cs="Times New Roman"/>
          <w:b/>
          <w:sz w:val="24"/>
          <w:szCs w:val="24"/>
        </w:rPr>
        <w:t>REFERAT DE APROBARE</w:t>
      </w:r>
    </w:p>
    <w:p w14:paraId="5BCDE100" w14:textId="77777777" w:rsidR="007C7C77" w:rsidRDefault="007C7C77" w:rsidP="007C7C77">
      <w:pPr>
        <w:tabs>
          <w:tab w:val="left" w:pos="3860"/>
        </w:tabs>
        <w:jc w:val="center"/>
        <w:rPr>
          <w:rFonts w:ascii="Times New Roman" w:hAnsi="Times New Roman" w:cs="Times New Roman"/>
          <w:b/>
        </w:rPr>
      </w:pPr>
      <w:r>
        <w:rPr>
          <w:rFonts w:ascii="Times New Roman" w:eastAsia="Times New Roman" w:hAnsi="Times New Roman" w:cs="Times New Roman"/>
          <w:b/>
          <w:bCs/>
          <w:sz w:val="24"/>
          <w:szCs w:val="24"/>
        </w:rPr>
        <w:t xml:space="preserve">Privind respingerea propunerii de ajustare a tarifelor aferente contractului de delegare prin concesiune a serviciului public de salubrizare-Lot 5-zona DrobetaTurnu Severin, nr. 706/3710/23.10.2019 </w:t>
      </w:r>
    </w:p>
    <w:p w14:paraId="3E462E20" w14:textId="77777777" w:rsidR="009A3997" w:rsidRPr="00007237" w:rsidRDefault="009A3997" w:rsidP="009A3997">
      <w:pPr>
        <w:tabs>
          <w:tab w:val="left" w:pos="3860"/>
        </w:tabs>
        <w:jc w:val="center"/>
        <w:rPr>
          <w:rFonts w:ascii="Times New Roman" w:hAnsi="Times New Roman" w:cs="Times New Roman"/>
          <w:b/>
          <w:sz w:val="24"/>
          <w:szCs w:val="24"/>
        </w:rPr>
      </w:pPr>
    </w:p>
    <w:p w14:paraId="25645BEA" w14:textId="215EE5C4" w:rsidR="009A3997" w:rsidRDefault="009A3997" w:rsidP="00806F07">
      <w:pPr>
        <w:rPr>
          <w:rFonts w:ascii="Times New Roman" w:hAnsi="Times New Roman" w:cs="Times New Roman"/>
          <w:sz w:val="24"/>
          <w:szCs w:val="24"/>
        </w:rPr>
      </w:pPr>
      <w:bookmarkStart w:id="0" w:name="_Hlk135641298"/>
      <w:r w:rsidRPr="00813C48">
        <w:rPr>
          <w:rFonts w:ascii="Times New Roman" w:hAnsi="Times New Roman" w:cs="Times New Roman"/>
          <w:sz w:val="24"/>
          <w:szCs w:val="24"/>
        </w:rPr>
        <w:t xml:space="preserve">      </w:t>
      </w:r>
      <w:r w:rsidR="00940ECE">
        <w:rPr>
          <w:rFonts w:ascii="Times New Roman" w:hAnsi="Times New Roman" w:cs="Times New Roman"/>
          <w:sz w:val="24"/>
          <w:szCs w:val="24"/>
        </w:rPr>
        <w:t xml:space="preserve">   </w:t>
      </w:r>
      <w:r>
        <w:rPr>
          <w:rFonts w:ascii="Times New Roman" w:hAnsi="Times New Roman" w:cs="Times New Roman"/>
          <w:sz w:val="24"/>
          <w:szCs w:val="24"/>
        </w:rPr>
        <w:t>Prin adresa</w:t>
      </w:r>
      <w:r w:rsidRPr="00813C48">
        <w:rPr>
          <w:rFonts w:ascii="Times New Roman" w:hAnsi="Times New Roman" w:cs="Times New Roman"/>
          <w:sz w:val="24"/>
          <w:szCs w:val="24"/>
        </w:rPr>
        <w:t xml:space="preserve"> </w:t>
      </w:r>
      <w:r>
        <w:rPr>
          <w:rFonts w:ascii="Times New Roman" w:hAnsi="Times New Roman" w:cs="Times New Roman"/>
          <w:sz w:val="24"/>
          <w:szCs w:val="24"/>
        </w:rPr>
        <w:t xml:space="preserve">Asociației de Dezvoltare Intercomunitară pentru Salubritate Mehedinți                     nr. </w:t>
      </w:r>
      <w:r w:rsidR="007C7C77">
        <w:rPr>
          <w:rFonts w:ascii="Times New Roman" w:hAnsi="Times New Roman" w:cs="Times New Roman"/>
          <w:sz w:val="24"/>
          <w:szCs w:val="24"/>
        </w:rPr>
        <w:t>690/24.10.2025</w:t>
      </w:r>
      <w:r w:rsidRPr="00813C48">
        <w:rPr>
          <w:rFonts w:ascii="Times New Roman" w:hAnsi="Times New Roman" w:cs="Times New Roman"/>
          <w:sz w:val="24"/>
          <w:szCs w:val="24"/>
        </w:rPr>
        <w:t xml:space="preserve"> înregistrată la Primăria municipiului Dr</w:t>
      </w:r>
      <w:r>
        <w:rPr>
          <w:rFonts w:ascii="Times New Roman" w:hAnsi="Times New Roman" w:cs="Times New Roman"/>
          <w:sz w:val="24"/>
          <w:szCs w:val="24"/>
        </w:rPr>
        <w:t xml:space="preserve">obeta Turnu Severin sub nr. </w:t>
      </w:r>
      <w:r w:rsidR="007C7C77">
        <w:rPr>
          <w:rFonts w:ascii="Times New Roman" w:hAnsi="Times New Roman" w:cs="Times New Roman"/>
          <w:sz w:val="24"/>
          <w:szCs w:val="24"/>
        </w:rPr>
        <w:t>39111/27.10.2025</w:t>
      </w:r>
      <w:r w:rsidRPr="00813C48">
        <w:rPr>
          <w:rFonts w:ascii="Times New Roman" w:hAnsi="Times New Roman" w:cs="Times New Roman"/>
          <w:sz w:val="24"/>
          <w:szCs w:val="24"/>
        </w:rPr>
        <w:t xml:space="preserve"> se </w:t>
      </w:r>
      <w:r w:rsidR="009B7D21">
        <w:rPr>
          <w:rFonts w:ascii="Times New Roman" w:hAnsi="Times New Roman" w:cs="Times New Roman"/>
          <w:sz w:val="24"/>
          <w:szCs w:val="24"/>
        </w:rPr>
        <w:t xml:space="preserve">solicită </w:t>
      </w:r>
      <w:r>
        <w:rPr>
          <w:rFonts w:ascii="Times New Roman" w:hAnsi="Times New Roman" w:cs="Times New Roman"/>
          <w:sz w:val="24"/>
          <w:szCs w:val="24"/>
        </w:rPr>
        <w:t>:</w:t>
      </w:r>
    </w:p>
    <w:p w14:paraId="1626F521" w14:textId="4291F599" w:rsidR="009A3997" w:rsidRDefault="007C7C77" w:rsidP="00806F07">
      <w:pPr>
        <w:rPr>
          <w:rFonts w:ascii="Times New Roman" w:hAnsi="Times New Roman" w:cs="Times New Roman"/>
          <w:sz w:val="24"/>
          <w:szCs w:val="24"/>
        </w:rPr>
      </w:pPr>
      <w:r>
        <w:rPr>
          <w:rFonts w:ascii="Times New Roman" w:hAnsi="Times New Roman" w:cs="Times New Roman"/>
          <w:sz w:val="24"/>
          <w:szCs w:val="24"/>
        </w:rPr>
        <w:t>1.</w:t>
      </w:r>
      <w:r w:rsidR="00806F07">
        <w:rPr>
          <w:rFonts w:ascii="Times New Roman" w:hAnsi="Times New Roman" w:cs="Times New Roman"/>
          <w:sz w:val="24"/>
          <w:szCs w:val="24"/>
        </w:rPr>
        <w:t xml:space="preserve"> </w:t>
      </w:r>
      <w:r w:rsidR="009B7D21">
        <w:rPr>
          <w:rFonts w:ascii="Times New Roman" w:hAnsi="Times New Roman" w:cs="Times New Roman"/>
          <w:sz w:val="24"/>
          <w:szCs w:val="24"/>
        </w:rPr>
        <w:t xml:space="preserve">privind solicitarea de </w:t>
      </w:r>
      <w:r>
        <w:rPr>
          <w:rFonts w:ascii="Times New Roman" w:hAnsi="Times New Roman" w:cs="Times New Roman"/>
          <w:sz w:val="24"/>
          <w:szCs w:val="24"/>
        </w:rPr>
        <w:t>ajustare</w:t>
      </w:r>
      <w:r w:rsidR="009B7D21">
        <w:rPr>
          <w:rFonts w:ascii="Times New Roman" w:hAnsi="Times New Roman" w:cs="Times New Roman"/>
          <w:sz w:val="24"/>
          <w:szCs w:val="24"/>
        </w:rPr>
        <w:t xml:space="preserve"> </w:t>
      </w:r>
      <w:r>
        <w:rPr>
          <w:rFonts w:ascii="Times New Roman" w:hAnsi="Times New Roman" w:cs="Times New Roman"/>
          <w:sz w:val="24"/>
          <w:szCs w:val="24"/>
        </w:rPr>
        <w:t>a tarifelor pentru activitatea ‚ colectare si transport”</w:t>
      </w:r>
      <w:r w:rsidR="009A3997" w:rsidRPr="00DA783F">
        <w:rPr>
          <w:rFonts w:ascii="Times New Roman" w:hAnsi="Times New Roman" w:cs="Times New Roman"/>
          <w:sz w:val="24"/>
          <w:szCs w:val="24"/>
        </w:rPr>
        <w:t xml:space="preserve">prestată de operatorul </w:t>
      </w:r>
      <w:r>
        <w:rPr>
          <w:rFonts w:ascii="Times New Roman" w:hAnsi="Times New Roman" w:cs="Times New Roman"/>
          <w:sz w:val="24"/>
          <w:szCs w:val="24"/>
        </w:rPr>
        <w:t>de salubritate in cadrul contractului de delegare nr. 706/3710/23.10.2019,</w:t>
      </w:r>
      <w:r w:rsidR="009A3997" w:rsidRPr="00DA783F">
        <w:rPr>
          <w:rFonts w:ascii="Times New Roman" w:hAnsi="Times New Roman" w:cs="Times New Roman"/>
          <w:sz w:val="24"/>
          <w:szCs w:val="24"/>
        </w:rPr>
        <w:t xml:space="preserve"> ,Societatea Brantner Servicii Ecologice S.R.L</w:t>
      </w:r>
      <w:r>
        <w:rPr>
          <w:rFonts w:ascii="Times New Roman" w:hAnsi="Times New Roman" w:cs="Times New Roman"/>
          <w:sz w:val="24"/>
          <w:szCs w:val="24"/>
        </w:rPr>
        <w:t>.</w:t>
      </w:r>
    </w:p>
    <w:p w14:paraId="0376DE25" w14:textId="7487BEAD" w:rsidR="009A3997" w:rsidRDefault="009A3997" w:rsidP="00806F07">
      <w:pPr>
        <w:spacing w:after="0"/>
        <w:ind w:left="284" w:hanging="284"/>
        <w:rPr>
          <w:rFonts w:ascii="Times New Roman" w:hAnsi="Times New Roman" w:cs="Times New Roman"/>
          <w:sz w:val="24"/>
          <w:szCs w:val="24"/>
        </w:rPr>
      </w:pPr>
      <w:r>
        <w:rPr>
          <w:rFonts w:ascii="Times New Roman" w:hAnsi="Times New Roman" w:cs="Times New Roman"/>
          <w:sz w:val="24"/>
          <w:szCs w:val="24"/>
        </w:rPr>
        <w:t>2.</w:t>
      </w:r>
      <w:r w:rsidR="00806F07">
        <w:rPr>
          <w:rFonts w:ascii="Times New Roman" w:hAnsi="Times New Roman" w:cs="Times New Roman"/>
          <w:sz w:val="24"/>
          <w:szCs w:val="24"/>
        </w:rPr>
        <w:t xml:space="preserve"> </w:t>
      </w:r>
      <w:r w:rsidRPr="00E00DC7">
        <w:rPr>
          <w:rFonts w:ascii="Times New Roman" w:hAnsi="Times New Roman" w:cs="Times New Roman"/>
          <w:sz w:val="24"/>
          <w:szCs w:val="24"/>
        </w:rPr>
        <w:t>mandatarea reprezentantul</w:t>
      </w:r>
      <w:r>
        <w:rPr>
          <w:rFonts w:ascii="Times New Roman" w:hAnsi="Times New Roman" w:cs="Times New Roman"/>
          <w:sz w:val="24"/>
          <w:szCs w:val="24"/>
        </w:rPr>
        <w:t>ui</w:t>
      </w:r>
      <w:r w:rsidRPr="00E00DC7">
        <w:rPr>
          <w:rFonts w:ascii="Times New Roman" w:hAnsi="Times New Roman" w:cs="Times New Roman"/>
          <w:sz w:val="24"/>
          <w:szCs w:val="24"/>
        </w:rPr>
        <w:t xml:space="preserve"> </w:t>
      </w:r>
      <w:r w:rsidR="009B7D21">
        <w:rPr>
          <w:rFonts w:ascii="Times New Roman" w:hAnsi="Times New Roman" w:cs="Times New Roman"/>
          <w:sz w:val="24"/>
          <w:szCs w:val="24"/>
        </w:rPr>
        <w:t>UAT M</w:t>
      </w:r>
      <w:r w:rsidRPr="00E00DC7">
        <w:rPr>
          <w:rFonts w:ascii="Times New Roman" w:hAnsi="Times New Roman" w:cs="Times New Roman"/>
          <w:sz w:val="24"/>
          <w:szCs w:val="24"/>
        </w:rPr>
        <w:t>unicipiului Drobeta Turnu Severin în</w:t>
      </w:r>
      <w:r w:rsidR="009B7D21">
        <w:rPr>
          <w:rFonts w:ascii="Times New Roman" w:hAnsi="Times New Roman" w:cs="Times New Roman"/>
          <w:sz w:val="24"/>
          <w:szCs w:val="24"/>
        </w:rPr>
        <w:t xml:space="preserve"> Adunarea </w:t>
      </w:r>
      <w:r w:rsidRPr="00E00DC7">
        <w:rPr>
          <w:rFonts w:ascii="Times New Roman" w:hAnsi="Times New Roman" w:cs="Times New Roman"/>
          <w:sz w:val="24"/>
          <w:szCs w:val="24"/>
        </w:rPr>
        <w:t xml:space="preserve">Generală a Asociaţiei </w:t>
      </w:r>
      <w:r>
        <w:rPr>
          <w:rFonts w:ascii="Times New Roman" w:hAnsi="Times New Roman" w:cs="Times New Roman"/>
          <w:sz w:val="24"/>
          <w:szCs w:val="24"/>
        </w:rPr>
        <w:t>de Dezvoltare Intercomunitară pentru Salubritate Mehedinți</w:t>
      </w:r>
      <w:r w:rsidRPr="00E00DC7">
        <w:rPr>
          <w:rFonts w:ascii="Times New Roman" w:hAnsi="Times New Roman" w:cs="Times New Roman"/>
          <w:sz w:val="24"/>
          <w:szCs w:val="24"/>
        </w:rPr>
        <w:t xml:space="preserve"> ,</w:t>
      </w:r>
    </w:p>
    <w:p w14:paraId="42BD575A" w14:textId="06312043" w:rsidR="009A3997" w:rsidRDefault="009A3997" w:rsidP="00806F07">
      <w:pPr>
        <w:spacing w:after="0"/>
        <w:ind w:left="284" w:hanging="284"/>
        <w:rPr>
          <w:rFonts w:ascii="Times New Roman" w:hAnsi="Times New Roman" w:cs="Times New Roman"/>
          <w:sz w:val="24"/>
          <w:szCs w:val="24"/>
        </w:rPr>
      </w:pPr>
      <w:r w:rsidRPr="00E00DC7">
        <w:rPr>
          <w:rFonts w:ascii="Times New Roman" w:hAnsi="Times New Roman" w:cs="Times New Roman"/>
          <w:sz w:val="24"/>
          <w:szCs w:val="24"/>
        </w:rPr>
        <w:t>pentru a vota</w:t>
      </w:r>
      <w:r w:rsidR="009B7D21">
        <w:rPr>
          <w:rFonts w:ascii="Times New Roman" w:hAnsi="Times New Roman" w:cs="Times New Roman"/>
          <w:sz w:val="24"/>
          <w:szCs w:val="24"/>
        </w:rPr>
        <w:t xml:space="preserve"> cu privire la solicitarea de </w:t>
      </w:r>
      <w:r w:rsidR="007C7C77">
        <w:rPr>
          <w:rFonts w:ascii="Times New Roman" w:hAnsi="Times New Roman" w:cs="Times New Roman"/>
          <w:sz w:val="24"/>
          <w:szCs w:val="24"/>
        </w:rPr>
        <w:t>ajustare a tarifelor</w:t>
      </w:r>
      <w:r w:rsidR="007C7C77" w:rsidRPr="007C7C77">
        <w:rPr>
          <w:rFonts w:ascii="Times New Roman" w:hAnsi="Times New Roman" w:cs="Times New Roman"/>
          <w:sz w:val="24"/>
          <w:szCs w:val="24"/>
        </w:rPr>
        <w:t xml:space="preserve"> </w:t>
      </w:r>
      <w:r w:rsidR="007C7C77">
        <w:rPr>
          <w:rFonts w:ascii="Times New Roman" w:hAnsi="Times New Roman" w:cs="Times New Roman"/>
          <w:sz w:val="24"/>
          <w:szCs w:val="24"/>
        </w:rPr>
        <w:t xml:space="preserve">colectare si transport </w:t>
      </w:r>
      <w:r w:rsidR="009B7D21">
        <w:rPr>
          <w:rFonts w:ascii="Times New Roman" w:hAnsi="Times New Roman" w:cs="Times New Roman"/>
          <w:sz w:val="24"/>
          <w:szCs w:val="24"/>
        </w:rPr>
        <w:t xml:space="preserve"> transmisă de către operatorul Societatea Bra</w:t>
      </w:r>
      <w:r w:rsidR="005571D0">
        <w:rPr>
          <w:rFonts w:ascii="Times New Roman" w:hAnsi="Times New Roman" w:cs="Times New Roman"/>
          <w:sz w:val="24"/>
          <w:szCs w:val="24"/>
        </w:rPr>
        <w:t>n</w:t>
      </w:r>
      <w:r w:rsidR="009B7D21">
        <w:rPr>
          <w:rFonts w:ascii="Times New Roman" w:hAnsi="Times New Roman" w:cs="Times New Roman"/>
          <w:sz w:val="24"/>
          <w:szCs w:val="24"/>
        </w:rPr>
        <w:t>tner</w:t>
      </w:r>
      <w:r w:rsidR="005571D0">
        <w:rPr>
          <w:rFonts w:ascii="Times New Roman" w:hAnsi="Times New Roman" w:cs="Times New Roman"/>
          <w:sz w:val="24"/>
          <w:szCs w:val="24"/>
        </w:rPr>
        <w:t xml:space="preserve"> Servicii Ecologice SRL</w:t>
      </w:r>
      <w:r w:rsidRPr="00E00DC7">
        <w:rPr>
          <w:rFonts w:ascii="Times New Roman" w:hAnsi="Times New Roman" w:cs="Times New Roman"/>
          <w:sz w:val="24"/>
          <w:szCs w:val="24"/>
        </w:rPr>
        <w:t>.</w:t>
      </w:r>
    </w:p>
    <w:p w14:paraId="74CCFB93" w14:textId="77777777" w:rsidR="009A3997" w:rsidRDefault="009A3997" w:rsidP="00806F07">
      <w:pPr>
        <w:rPr>
          <w:rFonts w:ascii="Times New Roman" w:hAnsi="Times New Roman" w:cs="Times New Roman"/>
          <w:sz w:val="24"/>
          <w:szCs w:val="24"/>
        </w:rPr>
      </w:pPr>
    </w:p>
    <w:p w14:paraId="76DC2C1D" w14:textId="18DD88A3" w:rsidR="009A3997" w:rsidRPr="00D379FD" w:rsidRDefault="009A3997" w:rsidP="00806F07">
      <w:pPr>
        <w:rPr>
          <w:rFonts w:ascii="Times New Roman" w:hAnsi="Times New Roman" w:cs="Times New Roman"/>
          <w:sz w:val="24"/>
          <w:szCs w:val="24"/>
        </w:rPr>
      </w:pPr>
      <w:r>
        <w:rPr>
          <w:rFonts w:ascii="Times New Roman" w:hAnsi="Times New Roman" w:cs="Times New Roman"/>
          <w:sz w:val="24"/>
          <w:szCs w:val="24"/>
        </w:rPr>
        <w:t xml:space="preserve"> </w:t>
      </w:r>
      <w:r w:rsidR="00940ECE">
        <w:rPr>
          <w:rFonts w:ascii="Times New Roman" w:hAnsi="Times New Roman" w:cs="Times New Roman"/>
          <w:sz w:val="24"/>
          <w:szCs w:val="24"/>
        </w:rPr>
        <w:t xml:space="preserve">       </w:t>
      </w:r>
      <w:r>
        <w:rPr>
          <w:rFonts w:ascii="Times New Roman" w:hAnsi="Times New Roman" w:cs="Times New Roman"/>
          <w:sz w:val="24"/>
          <w:szCs w:val="24"/>
        </w:rPr>
        <w:t>Având în vedere solicitarea Asociației de Dezvoltare Intercomunitară pentru Salubritate Mehedinți , prezentăm în ceea ce urmează situația prestării acestei activități și baza legală pentru promovarea acestui proiect de hotărâre</w:t>
      </w:r>
    </w:p>
    <w:p w14:paraId="77953C28" w14:textId="00103EA9" w:rsidR="009A3997" w:rsidRPr="00D379FD" w:rsidRDefault="009A3997" w:rsidP="00806F07">
      <w:pPr>
        <w:pStyle w:val="NoSpacing"/>
        <w:rPr>
          <w:rFonts w:ascii="Times New Roman" w:hAnsi="Times New Roman"/>
          <w:sz w:val="24"/>
          <w:szCs w:val="24"/>
        </w:rPr>
      </w:pPr>
      <w:r w:rsidRPr="00D379FD">
        <w:rPr>
          <w:rFonts w:ascii="Times New Roman" w:hAnsi="Times New Roman"/>
          <w:sz w:val="24"/>
          <w:szCs w:val="24"/>
        </w:rPr>
        <w:t xml:space="preserve">   </w:t>
      </w:r>
      <w:r w:rsidR="00940ECE">
        <w:rPr>
          <w:rFonts w:ascii="Times New Roman" w:hAnsi="Times New Roman"/>
          <w:sz w:val="24"/>
          <w:szCs w:val="24"/>
        </w:rPr>
        <w:t xml:space="preserve">     </w:t>
      </w:r>
      <w:r w:rsidRPr="00D379FD">
        <w:rPr>
          <w:rFonts w:ascii="Times New Roman" w:hAnsi="Times New Roman"/>
          <w:sz w:val="24"/>
          <w:szCs w:val="24"/>
        </w:rPr>
        <w:t>Salubrizarea municipiului Drobeta Turnu Severin este un serviciu comunitar de utilitate publică, înființat și organizat la nivelul municipiului având ca obiect serviciile de salubrizare.</w:t>
      </w:r>
    </w:p>
    <w:p w14:paraId="7B97BF6A" w14:textId="77777777" w:rsidR="007C7C77" w:rsidRDefault="009A3997" w:rsidP="00806F07">
      <w:pPr>
        <w:rPr>
          <w:rFonts w:ascii="Times New Roman" w:hAnsi="Times New Roman"/>
          <w:sz w:val="24"/>
          <w:szCs w:val="24"/>
        </w:rPr>
      </w:pPr>
      <w:r w:rsidRPr="00D379FD">
        <w:rPr>
          <w:rFonts w:ascii="Times New Roman" w:hAnsi="Times New Roman"/>
          <w:sz w:val="24"/>
          <w:szCs w:val="24"/>
        </w:rPr>
        <w:t xml:space="preserve">        </w:t>
      </w:r>
      <w:bookmarkEnd w:id="0"/>
    </w:p>
    <w:p w14:paraId="6CC2C3DA" w14:textId="0797365B" w:rsidR="007C7C77" w:rsidRPr="00755AD8" w:rsidRDefault="007C7C77" w:rsidP="00806F07">
      <w:pPr>
        <w:rPr>
          <w:rFonts w:ascii="Times New Roman" w:hAnsi="Times New Roman" w:cs="Times New Roman"/>
          <w:sz w:val="24"/>
          <w:szCs w:val="24"/>
        </w:rPr>
      </w:pPr>
      <w:r w:rsidRPr="00755AD8">
        <w:rPr>
          <w:rFonts w:ascii="Times New Roman" w:hAnsi="Times New Roman" w:cs="Times New Roman"/>
          <w:b/>
          <w:sz w:val="24"/>
          <w:szCs w:val="24"/>
        </w:rPr>
        <w:t>I</w:t>
      </w:r>
      <w:r w:rsidRPr="00755AD8">
        <w:rPr>
          <w:rFonts w:ascii="Times New Roman" w:hAnsi="Times New Roman" w:cs="Times New Roman"/>
          <w:sz w:val="24"/>
          <w:szCs w:val="24"/>
        </w:rPr>
        <w:t>. Prezentare SMIDS</w:t>
      </w:r>
    </w:p>
    <w:p w14:paraId="06E085C6" w14:textId="66565E16" w:rsidR="007C7C77" w:rsidRPr="00755AD8" w:rsidRDefault="007C7C77" w:rsidP="00806F07">
      <w:pPr>
        <w:rPr>
          <w:rFonts w:ascii="Times New Roman" w:hAnsi="Times New Roman" w:cs="Times New Roman"/>
          <w:sz w:val="24"/>
          <w:szCs w:val="24"/>
        </w:rPr>
      </w:pPr>
      <w:r>
        <w:rPr>
          <w:rFonts w:ascii="Times New Roman" w:hAnsi="Times New Roman" w:cs="Times New Roman"/>
          <w:sz w:val="24"/>
          <w:szCs w:val="24"/>
        </w:rPr>
        <w:t xml:space="preserve">      </w:t>
      </w:r>
      <w:r w:rsidR="00806F07">
        <w:rPr>
          <w:rFonts w:ascii="Times New Roman" w:hAnsi="Times New Roman" w:cs="Times New Roman"/>
          <w:sz w:val="24"/>
          <w:szCs w:val="24"/>
        </w:rPr>
        <w:t xml:space="preserve">  </w:t>
      </w:r>
      <w:r w:rsidRPr="00755AD8">
        <w:rPr>
          <w:rFonts w:ascii="Times New Roman" w:hAnsi="Times New Roman" w:cs="Times New Roman"/>
          <w:sz w:val="24"/>
          <w:szCs w:val="24"/>
        </w:rPr>
        <w:t xml:space="preserve">În prezent </w:t>
      </w:r>
      <w:r>
        <w:rPr>
          <w:rFonts w:ascii="Times New Roman" w:hAnsi="Times New Roman" w:cs="Times New Roman"/>
          <w:sz w:val="24"/>
          <w:szCs w:val="24"/>
        </w:rPr>
        <w:t xml:space="preserve">în </w:t>
      </w:r>
      <w:r w:rsidRPr="00755AD8">
        <w:rPr>
          <w:rFonts w:ascii="Times New Roman" w:hAnsi="Times New Roman" w:cs="Times New Roman"/>
          <w:sz w:val="24"/>
          <w:szCs w:val="24"/>
        </w:rPr>
        <w:t xml:space="preserve">județul Mehedinți este în operare </w:t>
      </w:r>
      <w:bookmarkStart w:id="1" w:name="_Hlk124336914"/>
      <w:r w:rsidRPr="00755AD8">
        <w:rPr>
          <w:rFonts w:ascii="Times New Roman" w:hAnsi="Times New Roman" w:cs="Times New Roman"/>
          <w:i/>
          <w:sz w:val="24"/>
          <w:szCs w:val="24"/>
        </w:rPr>
        <w:t>Sistemul de Management Integrat al Deșeurilor</w:t>
      </w:r>
      <w:r w:rsidRPr="00755AD8">
        <w:rPr>
          <w:rFonts w:ascii="Times New Roman" w:hAnsi="Times New Roman" w:cs="Times New Roman"/>
          <w:sz w:val="24"/>
          <w:szCs w:val="24"/>
        </w:rPr>
        <w:t xml:space="preserve"> </w:t>
      </w:r>
      <w:r w:rsidRPr="00755AD8">
        <w:rPr>
          <w:rFonts w:ascii="Times New Roman" w:hAnsi="Times New Roman" w:cs="Times New Roman"/>
          <w:i/>
          <w:sz w:val="24"/>
          <w:szCs w:val="24"/>
        </w:rPr>
        <w:t>Solide</w:t>
      </w:r>
      <w:bookmarkEnd w:id="1"/>
      <w:r w:rsidRPr="00755AD8">
        <w:rPr>
          <w:rFonts w:ascii="Times New Roman" w:hAnsi="Times New Roman" w:cs="Times New Roman"/>
          <w:i/>
          <w:sz w:val="24"/>
          <w:szCs w:val="24"/>
        </w:rPr>
        <w:t xml:space="preserve"> (</w:t>
      </w:r>
      <w:r w:rsidRPr="00755AD8">
        <w:rPr>
          <w:rFonts w:ascii="Times New Roman" w:hAnsi="Times New Roman" w:cs="Times New Roman"/>
          <w:b/>
          <w:bCs/>
          <w:iCs/>
          <w:sz w:val="24"/>
          <w:szCs w:val="24"/>
        </w:rPr>
        <w:t>S.M.I.D.S. MH</w:t>
      </w:r>
      <w:r w:rsidRPr="00755AD8">
        <w:rPr>
          <w:rFonts w:ascii="Times New Roman" w:hAnsi="Times New Roman" w:cs="Times New Roman"/>
          <w:i/>
          <w:sz w:val="24"/>
          <w:szCs w:val="24"/>
        </w:rPr>
        <w:t>).</w:t>
      </w:r>
      <w:r w:rsidRPr="00755AD8">
        <w:rPr>
          <w:rFonts w:ascii="Times New Roman" w:hAnsi="Times New Roman" w:cs="Times New Roman"/>
          <w:sz w:val="24"/>
          <w:szCs w:val="24"/>
        </w:rPr>
        <w:t xml:space="preserve"> Facilitățile construite ce funcționează ca infrastructură tehnico-edilitară în cadrul </w:t>
      </w:r>
      <w:r w:rsidRPr="00755AD8">
        <w:rPr>
          <w:rFonts w:ascii="Times New Roman" w:hAnsi="Times New Roman" w:cs="Times New Roman"/>
          <w:b/>
          <w:sz w:val="24"/>
          <w:szCs w:val="24"/>
        </w:rPr>
        <w:t>SMIDS MH</w:t>
      </w:r>
      <w:r w:rsidRPr="00755AD8">
        <w:rPr>
          <w:rFonts w:ascii="Times New Roman" w:hAnsi="Times New Roman" w:cs="Times New Roman"/>
          <w:sz w:val="24"/>
          <w:szCs w:val="24"/>
        </w:rPr>
        <w:t xml:space="preserve"> asigură desfășurarea activităților de colectare și </w:t>
      </w:r>
      <w:r w:rsidRPr="00755AD8">
        <w:rPr>
          <w:rFonts w:ascii="Times New Roman" w:hAnsi="Times New Roman" w:cs="Times New Roman"/>
          <w:sz w:val="24"/>
          <w:szCs w:val="24"/>
        </w:rPr>
        <w:lastRenderedPageBreak/>
        <w:t>transport, tratare mecano biologică și sortarea deșeurilor menajere și asimilabile  iar depozitul ecologic de la Izvorul Bârzii introdus în SMIDS MH conform angajamentelor instituționale aprobate la depunerea aplicației de finanțare ” Sistemul de Management Integrat al Deșeurilor Solide în județul Mehedinți” asigură depozitarea deşeurilor reziduale și a reziduurilor rezultate de la instalaţiile de tratare Malovăț.</w:t>
      </w:r>
    </w:p>
    <w:p w14:paraId="6E78AEE8" w14:textId="1A64550D" w:rsidR="007C7C77" w:rsidRPr="00755AD8" w:rsidRDefault="007C7C77" w:rsidP="00806F07">
      <w:pPr>
        <w:rPr>
          <w:rFonts w:ascii="Times New Roman" w:hAnsi="Times New Roman" w:cs="Times New Roman"/>
          <w:sz w:val="24"/>
          <w:szCs w:val="24"/>
          <w:lang w:val="it-IT"/>
        </w:rPr>
      </w:pPr>
      <w:r w:rsidRPr="00755AD8">
        <w:rPr>
          <w:rFonts w:ascii="Times New Roman" w:hAnsi="Times New Roman" w:cs="Times New Roman"/>
          <w:sz w:val="24"/>
          <w:szCs w:val="24"/>
        </w:rPr>
        <w:t xml:space="preserve"> </w:t>
      </w:r>
      <w:r>
        <w:rPr>
          <w:rFonts w:ascii="Times New Roman" w:hAnsi="Times New Roman" w:cs="Times New Roman"/>
          <w:sz w:val="24"/>
          <w:szCs w:val="24"/>
        </w:rPr>
        <w:t xml:space="preserve">     </w:t>
      </w:r>
      <w:r w:rsidR="00806F07">
        <w:rPr>
          <w:rFonts w:ascii="Times New Roman" w:hAnsi="Times New Roman" w:cs="Times New Roman"/>
          <w:sz w:val="24"/>
          <w:szCs w:val="24"/>
        </w:rPr>
        <w:t xml:space="preserve">  </w:t>
      </w:r>
      <w:r w:rsidRPr="00755AD8">
        <w:rPr>
          <w:rFonts w:ascii="Times New Roman" w:hAnsi="Times New Roman" w:cs="Times New Roman"/>
          <w:sz w:val="24"/>
          <w:szCs w:val="24"/>
          <w:lang w:val="it-IT"/>
        </w:rPr>
        <w:t xml:space="preserve">Serviciul de colectare deșeuri (populație/instituții/ operatori economici, PFA-urii, Î.I.-urii, profesii liberale) este prestat începând cu 01.07.2021 </w:t>
      </w:r>
      <w:r w:rsidRPr="00755AD8">
        <w:rPr>
          <w:rFonts w:ascii="Times New Roman" w:hAnsi="Times New Roman" w:cs="Times New Roman"/>
          <w:bCs/>
          <w:sz w:val="24"/>
          <w:szCs w:val="24"/>
          <w:lang w:val="it-IT"/>
        </w:rPr>
        <w:t xml:space="preserve">în baza </w:t>
      </w:r>
      <w:r w:rsidRPr="00755AD8">
        <w:rPr>
          <w:rFonts w:ascii="Times New Roman" w:hAnsi="Times New Roman" w:cs="Times New Roman"/>
          <w:sz w:val="24"/>
          <w:szCs w:val="24"/>
          <w:lang w:val="it-IT"/>
        </w:rPr>
        <w:t xml:space="preserve">Contractului de delegare prin concesiune a serviciului, încheiat între ADIS (Asociația de Dezvoltare Intercomunitară pentru Salubritate Mehedinți) și operatorul Brantner Servicii Ecologice SRL. </w:t>
      </w:r>
    </w:p>
    <w:p w14:paraId="26DADA0B" w14:textId="28848A70" w:rsidR="007C7C77" w:rsidRDefault="007C7C77" w:rsidP="00806F07">
      <w:pPr>
        <w:rPr>
          <w:rFonts w:ascii="Times New Roman" w:hAnsi="Times New Roman"/>
          <w:sz w:val="24"/>
          <w:szCs w:val="24"/>
        </w:rPr>
      </w:pPr>
      <w:r w:rsidRPr="00755AD8">
        <w:rPr>
          <w:rFonts w:ascii="Times New Roman" w:hAnsi="Times New Roman"/>
          <w:sz w:val="24"/>
          <w:szCs w:val="24"/>
          <w:lang w:val="it-IT"/>
        </w:rPr>
        <w:t xml:space="preserve"> </w:t>
      </w:r>
      <w:r>
        <w:rPr>
          <w:rFonts w:ascii="Times New Roman" w:hAnsi="Times New Roman"/>
          <w:sz w:val="24"/>
          <w:szCs w:val="24"/>
          <w:lang w:val="it-IT"/>
        </w:rPr>
        <w:t xml:space="preserve">    </w:t>
      </w:r>
      <w:r w:rsidR="00806F07">
        <w:rPr>
          <w:rFonts w:ascii="Times New Roman" w:hAnsi="Times New Roman"/>
          <w:sz w:val="24"/>
          <w:szCs w:val="24"/>
          <w:lang w:val="it-IT"/>
        </w:rPr>
        <w:t xml:space="preserve">   </w:t>
      </w:r>
      <w:r>
        <w:rPr>
          <w:rFonts w:ascii="Times New Roman" w:hAnsi="Times New Roman"/>
          <w:sz w:val="24"/>
          <w:szCs w:val="24"/>
        </w:rPr>
        <w:t xml:space="preserve">Prin Statutul ADIS art.5 alin. (2) s-a convenit că  ,, </w:t>
      </w:r>
      <w:r w:rsidRPr="00F13856">
        <w:rPr>
          <w:rFonts w:ascii="Times New Roman" w:hAnsi="Times New Roman"/>
          <w:color w:val="000000" w:themeColor="text1"/>
          <w:sz w:val="24"/>
          <w:szCs w:val="24"/>
        </w:rPr>
        <w:t>Asocia</w:t>
      </w:r>
      <w:r>
        <w:rPr>
          <w:rFonts w:ascii="Times New Roman" w:hAnsi="Times New Roman"/>
          <w:color w:val="000000" w:themeColor="text1"/>
          <w:sz w:val="24"/>
          <w:szCs w:val="24"/>
        </w:rPr>
        <w:t>ț</w:t>
      </w:r>
      <w:r w:rsidRPr="00F13856">
        <w:rPr>
          <w:rFonts w:ascii="Times New Roman" w:hAnsi="Times New Roman"/>
          <w:color w:val="000000" w:themeColor="text1"/>
          <w:sz w:val="24"/>
          <w:szCs w:val="24"/>
        </w:rPr>
        <w:t>ii</w:t>
      </w:r>
      <w:r>
        <w:rPr>
          <w:rFonts w:ascii="Times New Roman" w:hAnsi="Times New Roman"/>
          <w:sz w:val="24"/>
          <w:szCs w:val="24"/>
        </w:rPr>
        <w:t xml:space="preserve"> mandatează Asociația, conform Art. 10, alin. 5 din Legea nr.51/2006, cu modificările și completările ulterioare, să exercite în numele și pe seama lor drepturile și obligațiile legate de serviciu…’’, urmare a acestui mandat Municipiul Drobeta Turnu Severin și-a declinat competența în ceea ce privește a</w:t>
      </w:r>
      <w:r w:rsidR="00E2575A">
        <w:rPr>
          <w:rFonts w:ascii="Times New Roman" w:hAnsi="Times New Roman"/>
          <w:sz w:val="24"/>
          <w:szCs w:val="24"/>
        </w:rPr>
        <w:t>ctivitatea de colectare deșeuri.</w:t>
      </w:r>
    </w:p>
    <w:p w14:paraId="7FBFAE58" w14:textId="30790A24" w:rsidR="00E2575A" w:rsidRDefault="00E2575A" w:rsidP="00806F07">
      <w:pPr>
        <w:rPr>
          <w:rFonts w:ascii="Times New Roman" w:hAnsi="Times New Roman" w:cs="Times New Roman"/>
          <w:b/>
          <w:sz w:val="24"/>
          <w:szCs w:val="24"/>
          <w:u w:val="single"/>
        </w:rPr>
      </w:pPr>
      <w:r>
        <w:rPr>
          <w:rFonts w:ascii="Times New Roman" w:hAnsi="Times New Roman"/>
          <w:sz w:val="24"/>
          <w:szCs w:val="24"/>
        </w:rPr>
        <w:t xml:space="preserve">       Solicitarea ADIS nu a vizat aspectele menționate de operator, ci corelarea documentației cu prevederile legale in vigoare, avand în vedere că în urma neîndeplinirii cerințelor fiind gradul de reciclare de 50%, din documentația transmisa nu se observa masuri concrete pentru atingerea acestor obiective legale.</w:t>
      </w:r>
    </w:p>
    <w:p w14:paraId="34EB90DE" w14:textId="74CB8DDF" w:rsidR="007C7C77" w:rsidRDefault="007C7C77" w:rsidP="00806F07">
      <w:pPr>
        <w:rPr>
          <w:rFonts w:ascii="Times New Roman" w:hAnsi="Times New Roman" w:cs="Times New Roman"/>
          <w:b/>
          <w:sz w:val="24"/>
          <w:szCs w:val="24"/>
          <w:u w:val="single"/>
        </w:rPr>
      </w:pPr>
      <w:r>
        <w:rPr>
          <w:rFonts w:ascii="Times New Roman" w:hAnsi="Times New Roman" w:cs="Times New Roman"/>
          <w:b/>
          <w:sz w:val="24"/>
          <w:szCs w:val="24"/>
          <w:u w:val="single"/>
        </w:rPr>
        <w:t>Proiectul “Si</w:t>
      </w:r>
      <w:r w:rsidR="00E2575A">
        <w:rPr>
          <w:rFonts w:ascii="Times New Roman" w:hAnsi="Times New Roman" w:cs="Times New Roman"/>
          <w:b/>
          <w:sz w:val="24"/>
          <w:szCs w:val="24"/>
          <w:u w:val="single"/>
        </w:rPr>
        <w:t>s</w:t>
      </w:r>
      <w:r>
        <w:rPr>
          <w:rFonts w:ascii="Times New Roman" w:hAnsi="Times New Roman" w:cs="Times New Roman"/>
          <w:b/>
          <w:sz w:val="24"/>
          <w:szCs w:val="24"/>
          <w:u w:val="single"/>
        </w:rPr>
        <w:t>tem de Management Integrat al Deșeurilor Solide în județul Mehedinți” a fost implementat de Consiliul Județean Mehedinți având ca obiect implementarea unui sistem modern și eficient de gestionare a deșeurilor la nivel județean, care să asigure implementarea unui sistem modern și eficient de gestionare a deșeurilor la nivel județean, care să asigure pro</w:t>
      </w:r>
      <w:r w:rsidR="00E2575A">
        <w:rPr>
          <w:rFonts w:ascii="Times New Roman" w:hAnsi="Times New Roman" w:cs="Times New Roman"/>
          <w:b/>
          <w:sz w:val="24"/>
          <w:szCs w:val="24"/>
          <w:u w:val="single"/>
        </w:rPr>
        <w:t>tecția mediului, respe</w:t>
      </w:r>
      <w:r>
        <w:rPr>
          <w:rFonts w:ascii="Times New Roman" w:hAnsi="Times New Roman" w:cs="Times New Roman"/>
          <w:b/>
          <w:sz w:val="24"/>
          <w:szCs w:val="24"/>
          <w:u w:val="single"/>
        </w:rPr>
        <w:t>ctarea legislației europene și creșterea nivelului serviciilor publice de salubrizare pe fluxul deșeurilor.</w:t>
      </w:r>
    </w:p>
    <w:p w14:paraId="4C216951" w14:textId="77777777" w:rsidR="007C7C77" w:rsidRPr="00781349" w:rsidRDefault="007C7C77" w:rsidP="00806F07">
      <w:pPr>
        <w:rPr>
          <w:rFonts w:ascii="Times New Roman" w:hAnsi="Times New Roman" w:cs="Times New Roman"/>
          <w:sz w:val="24"/>
          <w:szCs w:val="24"/>
          <w:u w:val="single"/>
        </w:rPr>
      </w:pPr>
      <w:r w:rsidRPr="00755AD8">
        <w:rPr>
          <w:rFonts w:ascii="Times New Roman" w:hAnsi="Times New Roman" w:cs="Times New Roman"/>
          <w:b/>
          <w:sz w:val="24"/>
          <w:szCs w:val="24"/>
          <w:u w:val="single"/>
          <w:lang w:val="it-IT"/>
        </w:rPr>
        <w:t xml:space="preserve">Dezvoltarea sistemului de colectare separate în județul Mehedinți este unul din obiectivele cadru și principalul mijloc de îndeplinire a </w:t>
      </w:r>
      <w:r>
        <w:rPr>
          <w:rFonts w:ascii="Times New Roman" w:hAnsi="Times New Roman" w:cs="Times New Roman"/>
          <w:b/>
          <w:sz w:val="24"/>
          <w:szCs w:val="24"/>
          <w:u w:val="single"/>
        </w:rPr>
        <w:t xml:space="preserve">țintelor de reciclare impuse de legislația în vigoare referitoare la colectarea separată a deșeurilor municipale de aplicare a instrumentului </w:t>
      </w:r>
      <w:r w:rsidRPr="00755AD8">
        <w:rPr>
          <w:rFonts w:ascii="Times New Roman" w:hAnsi="Times New Roman" w:cs="Times New Roman"/>
          <w:b/>
          <w:sz w:val="24"/>
          <w:szCs w:val="24"/>
          <w:u w:val="single"/>
          <w:lang w:val="it-IT"/>
        </w:rPr>
        <w:t>“plătește pentru cât arunci”.</w:t>
      </w:r>
    </w:p>
    <w:p w14:paraId="38D22C02" w14:textId="535038AA" w:rsidR="007C7C77" w:rsidRPr="00755AD8" w:rsidRDefault="00806F07" w:rsidP="00806F07">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7C7C77" w:rsidRPr="00755AD8">
        <w:rPr>
          <w:rFonts w:ascii="Times New Roman" w:hAnsi="Times New Roman" w:cs="Times New Roman"/>
          <w:sz w:val="24"/>
          <w:szCs w:val="24"/>
          <w:lang w:val="it-IT"/>
        </w:rPr>
        <w:t xml:space="preserve">Deșeurile municipale, după colectare, se depun de către operatorii de salubrizare ( desemnați pentru activitatea de colectare și transport pentru fiecare zonă de colectare pentru deșeurile depozitate direct sau de către operatorul stațiilor de sortare și tratare mecano biologică Malovăț pentru deșeurile reziduale rezultate în urma tratării mecano biologice sau sortării aduse în cele două stații) numai la depozitul județean de la Izvorul Bârzii al cărui operator este Societatea BRANTNER SERVICII ECOLOGICE S.R.L. În cadrul </w:t>
      </w:r>
      <w:r w:rsidR="007C7C77" w:rsidRPr="00755AD8">
        <w:rPr>
          <w:rFonts w:ascii="Times New Roman" w:hAnsi="Times New Roman" w:cs="Times New Roman"/>
          <w:b/>
          <w:sz w:val="24"/>
          <w:szCs w:val="24"/>
          <w:lang w:val="it-IT"/>
        </w:rPr>
        <w:t xml:space="preserve">SMIDS MH , există 5 zone de colectare separată a deșeurilor( deșeuri generate de utilizatori casnici și non casnici) , pentru fiecare zonă A.D.I.S. Mh a încheiat contracte de concesiune cu operatori de salubrizare autorizați.  </w:t>
      </w:r>
    </w:p>
    <w:p w14:paraId="71EF0B8F" w14:textId="3E262867" w:rsidR="007C7C77" w:rsidRPr="00D379FD" w:rsidRDefault="00806F07" w:rsidP="00806F07">
      <w:pPr>
        <w:pStyle w:val="NoSpacing"/>
        <w:rPr>
          <w:rFonts w:ascii="Times New Roman" w:hAnsi="Times New Roman"/>
          <w:bCs/>
          <w:i/>
          <w:iCs/>
          <w:sz w:val="24"/>
          <w:szCs w:val="24"/>
        </w:rPr>
      </w:pPr>
      <w:r>
        <w:rPr>
          <w:rFonts w:ascii="Times New Roman" w:hAnsi="Times New Roman"/>
          <w:sz w:val="24"/>
          <w:szCs w:val="24"/>
          <w:lang w:val="it-IT"/>
        </w:rPr>
        <w:t xml:space="preserve">          </w:t>
      </w:r>
      <w:r w:rsidR="007C7C77" w:rsidRPr="00755AD8">
        <w:rPr>
          <w:rFonts w:ascii="Times New Roman" w:hAnsi="Times New Roman"/>
          <w:sz w:val="24"/>
          <w:szCs w:val="24"/>
          <w:lang w:val="it-IT"/>
        </w:rPr>
        <w:t>Angajamentele asumate prin ADIS în ceea ce privește implementarea proiectului cu respectarea prevederilor Deciziei de finanțare din Acordul de Împrumut pentru creditul</w:t>
      </w:r>
      <w:r>
        <w:rPr>
          <w:rFonts w:ascii="Times New Roman" w:hAnsi="Times New Roman"/>
          <w:sz w:val="24"/>
          <w:szCs w:val="24"/>
          <w:lang w:val="it-IT"/>
        </w:rPr>
        <w:t xml:space="preserve"> de co-finanțare  </w:t>
      </w:r>
      <w:r w:rsidR="007C7C77" w:rsidRPr="00755AD8">
        <w:rPr>
          <w:rFonts w:ascii="Times New Roman" w:hAnsi="Times New Roman"/>
          <w:sz w:val="24"/>
          <w:szCs w:val="24"/>
          <w:lang w:val="it-IT"/>
        </w:rPr>
        <w:t xml:space="preserve"> “</w:t>
      </w:r>
      <w:r w:rsidR="007C7C77" w:rsidRPr="00755AD8">
        <w:rPr>
          <w:rFonts w:ascii="Times New Roman" w:hAnsi="Times New Roman"/>
          <w:b/>
          <w:sz w:val="24"/>
          <w:szCs w:val="24"/>
          <w:lang w:val="it-IT"/>
        </w:rPr>
        <w:t xml:space="preserve">Sistem de Mangement Integrat al Deșeurilor Solide în județul Mehedinți” , </w:t>
      </w:r>
      <w:r w:rsidR="007C7C77" w:rsidRPr="00755AD8">
        <w:rPr>
          <w:rFonts w:ascii="Times New Roman" w:hAnsi="Times New Roman"/>
          <w:b/>
          <w:sz w:val="24"/>
          <w:szCs w:val="24"/>
          <w:lang w:val="it-IT"/>
        </w:rPr>
        <w:lastRenderedPageBreak/>
        <w:t xml:space="preserve">IMPUNE  achitarea, de către beneficiarii serviciilor prestate de către operator, </w:t>
      </w:r>
      <w:r w:rsidR="007C7C77" w:rsidRPr="00755AD8">
        <w:rPr>
          <w:rFonts w:ascii="Times New Roman" w:hAnsi="Times New Roman"/>
          <w:sz w:val="24"/>
          <w:szCs w:val="24"/>
          <w:lang w:val="it-IT"/>
        </w:rPr>
        <w:t xml:space="preserve">a contravalorii acestora sub forma de </w:t>
      </w:r>
      <w:r w:rsidR="007C7C77" w:rsidRPr="00755AD8">
        <w:rPr>
          <w:rFonts w:ascii="Times New Roman" w:hAnsi="Times New Roman"/>
          <w:b/>
          <w:sz w:val="24"/>
          <w:szCs w:val="24"/>
          <w:lang w:val="it-IT"/>
        </w:rPr>
        <w:t>Taxe de salubrizare</w:t>
      </w:r>
      <w:r w:rsidR="007C7C77" w:rsidRPr="00D379FD">
        <w:rPr>
          <w:rFonts w:ascii="Times New Roman" w:hAnsi="Times New Roman"/>
          <w:bCs/>
          <w:i/>
          <w:iCs/>
          <w:sz w:val="24"/>
          <w:szCs w:val="24"/>
        </w:rPr>
        <w:t>.</w:t>
      </w:r>
    </w:p>
    <w:p w14:paraId="7A9B6E0C" w14:textId="77777777" w:rsidR="007C7C77" w:rsidRDefault="007C7C77" w:rsidP="00806F07">
      <w:pPr>
        <w:pStyle w:val="NoSpacing"/>
        <w:rPr>
          <w:rFonts w:ascii="Times New Roman" w:hAnsi="Times New Roman"/>
          <w:sz w:val="24"/>
          <w:szCs w:val="24"/>
          <w:lang w:val="it-IT"/>
        </w:rPr>
      </w:pPr>
      <w:r w:rsidRPr="00755AD8">
        <w:rPr>
          <w:rFonts w:ascii="Times New Roman" w:hAnsi="Times New Roman"/>
          <w:sz w:val="24"/>
          <w:szCs w:val="24"/>
          <w:lang w:val="it-IT"/>
        </w:rPr>
        <w:t xml:space="preserve">   </w:t>
      </w:r>
      <w:bookmarkStart w:id="2" w:name="_Hlk136242948"/>
    </w:p>
    <w:p w14:paraId="37D9C15D" w14:textId="042A1592" w:rsidR="007C7C77" w:rsidRPr="00141E53" w:rsidRDefault="007C7C77" w:rsidP="00806F07">
      <w:pPr>
        <w:pStyle w:val="NoSpacing"/>
        <w:rPr>
          <w:rFonts w:ascii="Times New Roman" w:hAnsi="Times New Roman"/>
          <w:sz w:val="24"/>
          <w:szCs w:val="24"/>
          <w:lang w:val="it-IT"/>
        </w:rPr>
      </w:pPr>
      <w:r>
        <w:rPr>
          <w:rFonts w:ascii="Times New Roman" w:hAnsi="Times New Roman"/>
          <w:b/>
          <w:sz w:val="24"/>
          <w:szCs w:val="24"/>
          <w:lang w:val="it-IT"/>
        </w:rPr>
        <w:t>II</w:t>
      </w:r>
      <w:r w:rsidRPr="00755AD8">
        <w:rPr>
          <w:rFonts w:ascii="Times New Roman" w:hAnsi="Times New Roman"/>
          <w:b/>
          <w:sz w:val="24"/>
          <w:szCs w:val="24"/>
          <w:lang w:val="it-IT"/>
        </w:rPr>
        <w:t>.</w:t>
      </w:r>
      <w:r w:rsidRPr="00755AD8">
        <w:rPr>
          <w:rFonts w:ascii="Times New Roman" w:hAnsi="Times New Roman"/>
          <w:sz w:val="24"/>
          <w:szCs w:val="24"/>
          <w:lang w:val="it-IT"/>
        </w:rPr>
        <w:t xml:space="preserve"> </w:t>
      </w:r>
      <w:r w:rsidRPr="00755AD8">
        <w:rPr>
          <w:rFonts w:ascii="Times New Roman" w:hAnsi="Times New Roman"/>
          <w:bCs/>
          <w:sz w:val="24"/>
          <w:szCs w:val="24"/>
          <w:lang w:val="it-IT"/>
        </w:rPr>
        <w:t xml:space="preserve"> Prin adresa nr. </w:t>
      </w:r>
      <w:r w:rsidR="00E95439">
        <w:rPr>
          <w:rFonts w:ascii="Times New Roman" w:hAnsi="Times New Roman"/>
          <w:sz w:val="24"/>
          <w:szCs w:val="24"/>
          <w:lang w:val="it-IT"/>
        </w:rPr>
        <w:t>6028</w:t>
      </w:r>
      <w:r>
        <w:rPr>
          <w:rFonts w:ascii="Times New Roman" w:hAnsi="Times New Roman"/>
          <w:sz w:val="24"/>
          <w:szCs w:val="24"/>
          <w:lang w:val="it-IT"/>
        </w:rPr>
        <w:t>/</w:t>
      </w:r>
      <w:r w:rsidR="00E95439">
        <w:rPr>
          <w:rFonts w:ascii="Times New Roman" w:hAnsi="Times New Roman"/>
          <w:sz w:val="24"/>
          <w:szCs w:val="24"/>
          <w:lang w:val="it-IT"/>
        </w:rPr>
        <w:t>573/</w:t>
      </w:r>
      <w:r>
        <w:rPr>
          <w:rFonts w:ascii="Times New Roman" w:hAnsi="Times New Roman"/>
          <w:sz w:val="24"/>
          <w:szCs w:val="24"/>
          <w:lang w:val="it-IT"/>
        </w:rPr>
        <w:t>18.09.2025</w:t>
      </w:r>
      <w:r w:rsidRPr="00755AD8">
        <w:rPr>
          <w:rFonts w:ascii="Times New Roman" w:hAnsi="Times New Roman"/>
          <w:sz w:val="24"/>
          <w:szCs w:val="24"/>
          <w:lang w:val="it-IT"/>
        </w:rPr>
        <w:t xml:space="preserve"> </w:t>
      </w:r>
      <w:r w:rsidRPr="00755AD8">
        <w:rPr>
          <w:rFonts w:ascii="Times New Roman" w:hAnsi="Times New Roman"/>
          <w:bCs/>
          <w:sz w:val="24"/>
          <w:szCs w:val="24"/>
          <w:lang w:val="it-IT"/>
        </w:rPr>
        <w:t xml:space="preserve">operatorul de salubrizare în contractul de concesiune nr. </w:t>
      </w:r>
      <w:r w:rsidRPr="00763CD3">
        <w:rPr>
          <w:rFonts w:ascii="Times New Roman" w:hAnsi="Times New Roman"/>
          <w:bCs/>
          <w:sz w:val="24"/>
          <w:szCs w:val="24"/>
          <w:lang w:val="it-IT"/>
        </w:rPr>
        <w:t>706/3710 din 23.10.2019 Lot 5</w:t>
      </w:r>
      <w:r w:rsidRPr="00755AD8">
        <w:rPr>
          <w:rFonts w:ascii="Times New Roman" w:hAnsi="Times New Roman"/>
          <w:bCs/>
          <w:sz w:val="24"/>
          <w:szCs w:val="24"/>
          <w:lang w:val="it-IT"/>
        </w:rPr>
        <w:t xml:space="preserve"> - zona Drobeta Turnu Severin, Societatea BRANTNER SERVICII ECOLOGICE S.R.L a solicitat </w:t>
      </w:r>
      <w:r w:rsidR="00E95439">
        <w:rPr>
          <w:rFonts w:ascii="Times New Roman" w:hAnsi="Times New Roman"/>
          <w:bCs/>
          <w:sz w:val="24"/>
          <w:szCs w:val="24"/>
          <w:lang w:val="it-IT"/>
        </w:rPr>
        <w:t>ajustarea</w:t>
      </w:r>
      <w:r w:rsidRPr="00755AD8">
        <w:rPr>
          <w:rFonts w:ascii="Times New Roman" w:hAnsi="Times New Roman"/>
          <w:bCs/>
          <w:sz w:val="24"/>
          <w:szCs w:val="24"/>
          <w:lang w:val="it-IT"/>
        </w:rPr>
        <w:t xml:space="preserve"> tarifelor de colectare  separată și transport separat al deșeurilor reziduale respectiv a deșeurilor reciclabile din deșeurile municipale.</w:t>
      </w:r>
    </w:p>
    <w:p w14:paraId="37DBE221" w14:textId="19E91DFD" w:rsidR="007C7C77" w:rsidRPr="00755AD8" w:rsidRDefault="007C7C77" w:rsidP="00806F07">
      <w:pPr>
        <w:ind w:firstLine="720"/>
        <w:rPr>
          <w:rFonts w:ascii="Times New Roman" w:hAnsi="Times New Roman" w:cs="Times New Roman"/>
          <w:bCs/>
          <w:sz w:val="24"/>
          <w:szCs w:val="24"/>
          <w:lang w:val="it-IT"/>
        </w:rPr>
      </w:pPr>
      <w:r w:rsidRPr="00755AD8">
        <w:rPr>
          <w:rFonts w:ascii="Times New Roman" w:hAnsi="Times New Roman" w:cs="Times New Roman"/>
          <w:bCs/>
          <w:sz w:val="24"/>
          <w:szCs w:val="24"/>
          <w:lang w:val="it-IT"/>
        </w:rPr>
        <w:t>ADIS Mehedinți prin adresa nr</w:t>
      </w:r>
      <w:r>
        <w:rPr>
          <w:rFonts w:ascii="Times New Roman" w:hAnsi="Times New Roman" w:cs="Times New Roman"/>
          <w:bCs/>
          <w:color w:val="FF0000"/>
          <w:sz w:val="24"/>
          <w:szCs w:val="24"/>
          <w:lang w:val="it-IT"/>
        </w:rPr>
        <w:t>.</w:t>
      </w:r>
      <w:r w:rsidR="00E95439">
        <w:rPr>
          <w:rFonts w:ascii="Times New Roman" w:hAnsi="Times New Roman" w:cs="Times New Roman"/>
          <w:bCs/>
          <w:sz w:val="24"/>
          <w:szCs w:val="24"/>
          <w:lang w:val="it-IT"/>
        </w:rPr>
        <w:t>690/24.10.2025</w:t>
      </w:r>
      <w:r w:rsidRPr="00605B61">
        <w:rPr>
          <w:rFonts w:ascii="Times New Roman" w:hAnsi="Times New Roman" w:cs="Times New Roman"/>
          <w:bCs/>
          <w:sz w:val="24"/>
          <w:szCs w:val="24"/>
          <w:lang w:val="it-IT"/>
        </w:rPr>
        <w:t xml:space="preserve"> </w:t>
      </w:r>
      <w:r w:rsidRPr="00755AD8">
        <w:rPr>
          <w:rFonts w:ascii="Times New Roman" w:hAnsi="Times New Roman" w:cs="Times New Roman"/>
          <w:bCs/>
          <w:sz w:val="24"/>
          <w:szCs w:val="24"/>
          <w:lang w:val="it-IT"/>
        </w:rPr>
        <w:t>a solicitat completarea documentației depuse și detalierea anumitor aspecte conținute în fundamentarea tarifelor solicitate.</w:t>
      </w:r>
    </w:p>
    <w:p w14:paraId="7A1648BD" w14:textId="3188D84C" w:rsidR="007C7C77" w:rsidRPr="00755AD8" w:rsidRDefault="00E95439" w:rsidP="00806F07">
      <w:pPr>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7C7C77">
        <w:rPr>
          <w:rFonts w:ascii="Times New Roman" w:hAnsi="Times New Roman" w:cs="Times New Roman"/>
          <w:bCs/>
          <w:sz w:val="24"/>
          <w:szCs w:val="24"/>
          <w:lang w:val="it-IT"/>
        </w:rPr>
        <w:t xml:space="preserve">Se reține precizarea din Ordinul ANRSC nr.640/2022 FISA DE FUNDAMENTARE pentru </w:t>
      </w:r>
      <w:r>
        <w:rPr>
          <w:rFonts w:ascii="Times New Roman" w:hAnsi="Times New Roman" w:cs="Times New Roman"/>
          <w:bCs/>
          <w:sz w:val="24"/>
          <w:szCs w:val="24"/>
          <w:lang w:val="it-IT"/>
        </w:rPr>
        <w:t>ajustarea tarifelor</w:t>
      </w:r>
      <w:r w:rsidR="007C7C77">
        <w:rPr>
          <w:rFonts w:ascii="Times New Roman" w:hAnsi="Times New Roman" w:cs="Times New Roman"/>
          <w:bCs/>
          <w:sz w:val="24"/>
          <w:szCs w:val="24"/>
          <w:lang w:val="it-IT"/>
        </w:rPr>
        <w:t xml:space="preserve"> de colectare separată și transport separat al deșeurilor reziduale, respectiv reciclabile din deșeurile municipale-</w:t>
      </w:r>
      <w:r>
        <w:rPr>
          <w:rFonts w:ascii="Times New Roman" w:hAnsi="Times New Roman" w:cs="Times New Roman"/>
          <w:bCs/>
          <w:sz w:val="24"/>
          <w:szCs w:val="24"/>
          <w:lang w:val="it-IT"/>
        </w:rPr>
        <w:t xml:space="preserve"> intocmite in conformitate cu normele metodologice ae Ordinului 640/2022 ANRSC cum a fost modificat de ANEXA nr. 19 din Ordinul nr. 324/17.06.2025 publicat in Monitorul Oficial nr. 596/26.06.2025.</w:t>
      </w:r>
      <w:r w:rsidR="007C7C77">
        <w:rPr>
          <w:rFonts w:ascii="Times New Roman" w:hAnsi="Times New Roman" w:cs="Times New Roman"/>
          <w:bCs/>
          <w:sz w:val="24"/>
          <w:szCs w:val="24"/>
          <w:lang w:val="it-IT"/>
        </w:rPr>
        <w:t xml:space="preserve"> </w:t>
      </w:r>
    </w:p>
    <w:p w14:paraId="43F1849A" w14:textId="709B1C15" w:rsidR="007C7C77" w:rsidRPr="00755AD8" w:rsidRDefault="007C7C77" w:rsidP="00806F07">
      <w:pPr>
        <w:rPr>
          <w:rFonts w:ascii="Times New Roman" w:hAnsi="Times New Roman" w:cs="Times New Roman"/>
          <w:bCs/>
          <w:sz w:val="24"/>
          <w:szCs w:val="24"/>
          <w:lang w:val="it-IT"/>
        </w:rPr>
      </w:pPr>
      <w:r w:rsidRPr="00755AD8">
        <w:rPr>
          <w:rFonts w:ascii="Times New Roman" w:hAnsi="Times New Roman" w:cs="Times New Roman"/>
          <w:b/>
          <w:bCs/>
          <w:sz w:val="24"/>
          <w:szCs w:val="24"/>
          <w:lang w:val="it-IT"/>
        </w:rPr>
        <w:t>III.</w:t>
      </w:r>
      <w:r w:rsidRPr="00755AD8">
        <w:rPr>
          <w:rFonts w:ascii="Times New Roman" w:hAnsi="Times New Roman" w:cs="Times New Roman"/>
          <w:bCs/>
          <w:sz w:val="24"/>
          <w:szCs w:val="24"/>
          <w:lang w:val="it-IT"/>
        </w:rPr>
        <w:t xml:space="preserve"> </w:t>
      </w:r>
      <w:r w:rsidR="00E95439">
        <w:rPr>
          <w:rFonts w:ascii="Times New Roman" w:hAnsi="Times New Roman" w:cs="Times New Roman"/>
          <w:bCs/>
          <w:sz w:val="24"/>
          <w:szCs w:val="24"/>
          <w:lang w:val="it-IT"/>
        </w:rPr>
        <w:t xml:space="preserve">Dupa o analiza a documentatiei </w:t>
      </w:r>
      <w:r w:rsidRPr="00755AD8">
        <w:rPr>
          <w:rFonts w:ascii="Times New Roman" w:hAnsi="Times New Roman" w:cs="Times New Roman"/>
          <w:bCs/>
          <w:sz w:val="24"/>
          <w:szCs w:val="24"/>
          <w:lang w:val="it-IT"/>
        </w:rPr>
        <w:t xml:space="preserve">pentru </w:t>
      </w:r>
      <w:r w:rsidR="00E95439">
        <w:rPr>
          <w:rFonts w:ascii="Times New Roman" w:hAnsi="Times New Roman" w:cs="Times New Roman"/>
          <w:bCs/>
          <w:sz w:val="24"/>
          <w:szCs w:val="24"/>
          <w:lang w:val="it-IT"/>
        </w:rPr>
        <w:t>ajustarea tarifelor</w:t>
      </w:r>
      <w:r w:rsidRPr="00755AD8">
        <w:rPr>
          <w:rFonts w:ascii="Times New Roman" w:hAnsi="Times New Roman" w:cs="Times New Roman"/>
          <w:bCs/>
          <w:sz w:val="24"/>
          <w:szCs w:val="24"/>
          <w:lang w:val="it-IT"/>
        </w:rPr>
        <w:t xml:space="preserve"> de colectare separată și transport separat al deșeurilor reziduale din deșeurile municipale respectiv a tarifului colectare separate și transport al deșeurilor reciclabile din deșeurile municipale și a documentelor justificative, ADIS Mehedinți a constatat următoarele:</w:t>
      </w:r>
    </w:p>
    <w:p w14:paraId="0D0F6E2C" w14:textId="77777777" w:rsidR="007C7C77" w:rsidRPr="00755AD8" w:rsidRDefault="007C7C77" w:rsidP="00806F07">
      <w:pPr>
        <w:ind w:firstLine="720"/>
        <w:rPr>
          <w:rFonts w:ascii="Times New Roman" w:hAnsi="Times New Roman" w:cs="Times New Roman"/>
          <w:bCs/>
          <w:sz w:val="24"/>
          <w:szCs w:val="24"/>
          <w:lang w:val="it-IT"/>
        </w:rPr>
      </w:pPr>
    </w:p>
    <w:p w14:paraId="2402365F" w14:textId="77777777" w:rsidR="007C7C77" w:rsidRPr="00755AD8" w:rsidRDefault="007C7C77" w:rsidP="00806F07">
      <w:pPr>
        <w:ind w:firstLine="720"/>
        <w:rPr>
          <w:rFonts w:ascii="Times New Roman" w:hAnsi="Times New Roman" w:cs="Times New Roman"/>
          <w:bCs/>
          <w:sz w:val="24"/>
          <w:szCs w:val="24"/>
          <w:lang w:val="it-IT"/>
        </w:rPr>
      </w:pPr>
    </w:p>
    <w:tbl>
      <w:tblPr>
        <w:tblStyle w:val="TableGrid"/>
        <w:tblW w:w="0" w:type="auto"/>
        <w:tblLook w:val="04A0" w:firstRow="1" w:lastRow="0" w:firstColumn="1" w:lastColumn="0" w:noHBand="0" w:noVBand="1"/>
      </w:tblPr>
      <w:tblGrid>
        <w:gridCol w:w="2305"/>
        <w:gridCol w:w="1106"/>
        <w:gridCol w:w="1240"/>
        <w:gridCol w:w="1176"/>
        <w:gridCol w:w="1170"/>
        <w:gridCol w:w="2291"/>
      </w:tblGrid>
      <w:tr w:rsidR="007C7C77" w14:paraId="678A35E8" w14:textId="77777777" w:rsidTr="00AB1282">
        <w:trPr>
          <w:trHeight w:val="285"/>
        </w:trPr>
        <w:tc>
          <w:tcPr>
            <w:tcW w:w="2394" w:type="dxa"/>
            <w:vMerge w:val="restart"/>
            <w:vAlign w:val="center"/>
          </w:tcPr>
          <w:p w14:paraId="03ECB0AF" w14:textId="77777777" w:rsidR="007C7C77" w:rsidRPr="000A72A2" w:rsidRDefault="007C7C77" w:rsidP="00806F07">
            <w:pPr>
              <w:rPr>
                <w:rFonts w:ascii="Times New Roman" w:hAnsi="Times New Roman" w:cs="Times New Roman"/>
                <w:b/>
                <w:sz w:val="24"/>
                <w:szCs w:val="24"/>
              </w:rPr>
            </w:pPr>
            <w:r w:rsidRPr="000A72A2">
              <w:rPr>
                <w:rFonts w:ascii="Times New Roman" w:hAnsi="Times New Roman" w:cs="Times New Roman"/>
                <w:b/>
                <w:sz w:val="24"/>
                <w:szCs w:val="24"/>
              </w:rPr>
              <w:t>Tarif</w:t>
            </w:r>
          </w:p>
        </w:tc>
        <w:tc>
          <w:tcPr>
            <w:tcW w:w="2394" w:type="dxa"/>
            <w:gridSpan w:val="2"/>
          </w:tcPr>
          <w:p w14:paraId="2A42D8B5"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Tarif actual [lei/tonă]</w:t>
            </w:r>
          </w:p>
        </w:tc>
        <w:tc>
          <w:tcPr>
            <w:tcW w:w="2394" w:type="dxa"/>
            <w:gridSpan w:val="2"/>
          </w:tcPr>
          <w:p w14:paraId="618054E5"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Tarif propus[lei/tonă]</w:t>
            </w:r>
          </w:p>
        </w:tc>
        <w:tc>
          <w:tcPr>
            <w:tcW w:w="2394" w:type="dxa"/>
            <w:vMerge w:val="restart"/>
          </w:tcPr>
          <w:p w14:paraId="1345B76D"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Creștere</w:t>
            </w:r>
          </w:p>
          <w:p w14:paraId="749A8917"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w:t>
            </w:r>
          </w:p>
        </w:tc>
      </w:tr>
      <w:tr w:rsidR="007C7C77" w14:paraId="273A7B14" w14:textId="77777777" w:rsidTr="00AB1282">
        <w:trPr>
          <w:trHeight w:val="225"/>
        </w:trPr>
        <w:tc>
          <w:tcPr>
            <w:tcW w:w="2394" w:type="dxa"/>
            <w:vMerge/>
          </w:tcPr>
          <w:p w14:paraId="3C42FD8B" w14:textId="77777777" w:rsidR="007C7C77" w:rsidRDefault="007C7C77" w:rsidP="00806F07">
            <w:pPr>
              <w:rPr>
                <w:rFonts w:ascii="Times New Roman" w:hAnsi="Times New Roman" w:cs="Times New Roman"/>
                <w:bCs/>
                <w:sz w:val="24"/>
                <w:szCs w:val="24"/>
              </w:rPr>
            </w:pPr>
          </w:p>
        </w:tc>
        <w:tc>
          <w:tcPr>
            <w:tcW w:w="1125" w:type="dxa"/>
          </w:tcPr>
          <w:p w14:paraId="7105856D"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fără TVA</w:t>
            </w:r>
          </w:p>
        </w:tc>
        <w:tc>
          <w:tcPr>
            <w:tcW w:w="1269" w:type="dxa"/>
          </w:tcPr>
          <w:p w14:paraId="7BDC8ED2"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cu TVA</w:t>
            </w:r>
          </w:p>
        </w:tc>
        <w:tc>
          <w:tcPr>
            <w:tcW w:w="1200" w:type="dxa"/>
          </w:tcPr>
          <w:p w14:paraId="5760019A"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fără TVA</w:t>
            </w:r>
          </w:p>
        </w:tc>
        <w:tc>
          <w:tcPr>
            <w:tcW w:w="1194" w:type="dxa"/>
          </w:tcPr>
          <w:p w14:paraId="192A5FC4"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cu TVA</w:t>
            </w:r>
          </w:p>
        </w:tc>
        <w:tc>
          <w:tcPr>
            <w:tcW w:w="2394" w:type="dxa"/>
            <w:vMerge/>
          </w:tcPr>
          <w:p w14:paraId="09A8AE7C" w14:textId="77777777" w:rsidR="007C7C77" w:rsidRDefault="007C7C77" w:rsidP="00806F07">
            <w:pPr>
              <w:rPr>
                <w:rFonts w:ascii="Times New Roman" w:hAnsi="Times New Roman" w:cs="Times New Roman"/>
                <w:bCs/>
                <w:sz w:val="24"/>
                <w:szCs w:val="24"/>
              </w:rPr>
            </w:pPr>
          </w:p>
        </w:tc>
      </w:tr>
      <w:tr w:rsidR="007C7C77" w:rsidRPr="00B936A2" w14:paraId="5AF6D5EF" w14:textId="77777777" w:rsidTr="00AB1282">
        <w:tc>
          <w:tcPr>
            <w:tcW w:w="2394" w:type="dxa"/>
          </w:tcPr>
          <w:p w14:paraId="0990724E"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Colectare și transport deșeuri reziduale</w:t>
            </w:r>
          </w:p>
        </w:tc>
        <w:tc>
          <w:tcPr>
            <w:tcW w:w="1125" w:type="dxa"/>
          </w:tcPr>
          <w:p w14:paraId="057DCB1E"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334.22</w:t>
            </w:r>
          </w:p>
        </w:tc>
        <w:tc>
          <w:tcPr>
            <w:tcW w:w="1269" w:type="dxa"/>
          </w:tcPr>
          <w:p w14:paraId="45E5FAE4"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404.41</w:t>
            </w:r>
          </w:p>
        </w:tc>
        <w:tc>
          <w:tcPr>
            <w:tcW w:w="1200" w:type="dxa"/>
          </w:tcPr>
          <w:p w14:paraId="22D6D120"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363.59</w:t>
            </w:r>
          </w:p>
        </w:tc>
        <w:tc>
          <w:tcPr>
            <w:tcW w:w="1194" w:type="dxa"/>
          </w:tcPr>
          <w:p w14:paraId="2621795D"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439.94</w:t>
            </w:r>
          </w:p>
        </w:tc>
        <w:tc>
          <w:tcPr>
            <w:tcW w:w="2394" w:type="dxa"/>
          </w:tcPr>
          <w:p w14:paraId="6D39BC39" w14:textId="6DB8E87A" w:rsidR="007C7C77" w:rsidRPr="00B936A2" w:rsidRDefault="00DE7266" w:rsidP="00806F07">
            <w:pPr>
              <w:rPr>
                <w:rFonts w:ascii="Times New Roman" w:hAnsi="Times New Roman" w:cs="Times New Roman"/>
                <w:b/>
                <w:sz w:val="24"/>
                <w:szCs w:val="24"/>
              </w:rPr>
            </w:pPr>
            <w:r>
              <w:rPr>
                <w:rFonts w:ascii="Times New Roman" w:hAnsi="Times New Roman" w:cs="Times New Roman"/>
                <w:b/>
                <w:sz w:val="24"/>
                <w:szCs w:val="24"/>
              </w:rPr>
              <w:t>8.82%</w:t>
            </w:r>
          </w:p>
        </w:tc>
      </w:tr>
      <w:tr w:rsidR="007C7C77" w:rsidRPr="00B936A2" w14:paraId="685F6DFA" w14:textId="77777777" w:rsidTr="00AB1282">
        <w:tc>
          <w:tcPr>
            <w:tcW w:w="2394" w:type="dxa"/>
          </w:tcPr>
          <w:p w14:paraId="4A7A1C26"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Colectare și transport deșeuri reciclabile</w:t>
            </w:r>
          </w:p>
        </w:tc>
        <w:tc>
          <w:tcPr>
            <w:tcW w:w="1125" w:type="dxa"/>
          </w:tcPr>
          <w:p w14:paraId="4996ADFA"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351.48</w:t>
            </w:r>
          </w:p>
        </w:tc>
        <w:tc>
          <w:tcPr>
            <w:tcW w:w="1269" w:type="dxa"/>
          </w:tcPr>
          <w:p w14:paraId="349D374C"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425.29</w:t>
            </w:r>
          </w:p>
        </w:tc>
        <w:tc>
          <w:tcPr>
            <w:tcW w:w="1200" w:type="dxa"/>
          </w:tcPr>
          <w:p w14:paraId="0E5F3288"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382.48</w:t>
            </w:r>
          </w:p>
        </w:tc>
        <w:tc>
          <w:tcPr>
            <w:tcW w:w="1194" w:type="dxa"/>
          </w:tcPr>
          <w:p w14:paraId="75224FAA" w14:textId="77777777" w:rsidR="007C7C77" w:rsidRDefault="007C7C77" w:rsidP="00806F07">
            <w:pPr>
              <w:rPr>
                <w:rFonts w:ascii="Times New Roman" w:hAnsi="Times New Roman" w:cs="Times New Roman"/>
                <w:bCs/>
                <w:sz w:val="24"/>
                <w:szCs w:val="24"/>
              </w:rPr>
            </w:pPr>
            <w:r>
              <w:rPr>
                <w:rFonts w:ascii="Times New Roman" w:hAnsi="Times New Roman" w:cs="Times New Roman"/>
                <w:bCs/>
                <w:sz w:val="24"/>
                <w:szCs w:val="24"/>
              </w:rPr>
              <w:t xml:space="preserve">  462.80</w:t>
            </w:r>
          </w:p>
        </w:tc>
        <w:tc>
          <w:tcPr>
            <w:tcW w:w="2394" w:type="dxa"/>
          </w:tcPr>
          <w:p w14:paraId="405718CE" w14:textId="5C145175" w:rsidR="007C7C77" w:rsidRPr="00B936A2" w:rsidRDefault="00DE7266" w:rsidP="00806F07">
            <w:pPr>
              <w:rPr>
                <w:rFonts w:ascii="Times New Roman" w:hAnsi="Times New Roman" w:cs="Times New Roman"/>
                <w:b/>
                <w:sz w:val="24"/>
                <w:szCs w:val="24"/>
              </w:rPr>
            </w:pPr>
            <w:r>
              <w:rPr>
                <w:rFonts w:ascii="Times New Roman" w:hAnsi="Times New Roman" w:cs="Times New Roman"/>
                <w:b/>
                <w:sz w:val="24"/>
                <w:szCs w:val="24"/>
              </w:rPr>
              <w:t>8.82%</w:t>
            </w:r>
          </w:p>
        </w:tc>
      </w:tr>
    </w:tbl>
    <w:p w14:paraId="300AF32D" w14:textId="77777777" w:rsidR="007C7C77" w:rsidRDefault="007C7C77" w:rsidP="00806F07">
      <w:pPr>
        <w:ind w:firstLine="720"/>
        <w:rPr>
          <w:rFonts w:ascii="Times New Roman" w:hAnsi="Times New Roman" w:cs="Times New Roman"/>
          <w:bCs/>
          <w:sz w:val="24"/>
          <w:szCs w:val="24"/>
        </w:rPr>
      </w:pPr>
    </w:p>
    <w:p w14:paraId="42AF1483" w14:textId="79AF9085" w:rsidR="007C7C77" w:rsidRPr="00DE7266" w:rsidRDefault="007C7C77" w:rsidP="00806F07">
      <w:pPr>
        <w:rPr>
          <w:sz w:val="24"/>
          <w:szCs w:val="24"/>
          <w:lang w:val="it-IT"/>
        </w:rPr>
      </w:pPr>
      <w:r w:rsidRPr="00E91771">
        <w:rPr>
          <w:rFonts w:ascii="Times New Roman" w:hAnsi="Times New Roman"/>
          <w:sz w:val="24"/>
          <w:szCs w:val="24"/>
        </w:rPr>
        <w:t xml:space="preserve">Impactul bugetar în condițiile </w:t>
      </w:r>
      <w:r w:rsidR="00DE7266">
        <w:rPr>
          <w:rFonts w:ascii="Times New Roman" w:hAnsi="Times New Roman"/>
          <w:sz w:val="24"/>
          <w:szCs w:val="24"/>
        </w:rPr>
        <w:t>ajustarii tarifelor</w:t>
      </w:r>
      <w:r w:rsidRPr="00E91771">
        <w:rPr>
          <w:rFonts w:ascii="Times New Roman" w:hAnsi="Times New Roman"/>
          <w:sz w:val="24"/>
          <w:szCs w:val="24"/>
        </w:rPr>
        <w:t xml:space="preserve"> </w:t>
      </w:r>
      <w:r>
        <w:rPr>
          <w:rFonts w:ascii="Times New Roman" w:hAnsi="Times New Roman"/>
          <w:sz w:val="24"/>
          <w:szCs w:val="24"/>
        </w:rPr>
        <w:t xml:space="preserve">pentru colectare și transport </w:t>
      </w:r>
      <w:r w:rsidRPr="00E91771">
        <w:rPr>
          <w:rFonts w:ascii="Times New Roman" w:hAnsi="Times New Roman"/>
          <w:sz w:val="24"/>
          <w:szCs w:val="24"/>
        </w:rPr>
        <w:t>se prezintă astfel</w:t>
      </w:r>
      <w:r>
        <w:rPr>
          <w:rFonts w:ascii="Times New Roman" w:hAnsi="Times New Roman"/>
          <w:sz w:val="24"/>
          <w:szCs w:val="24"/>
        </w:rPr>
        <w:t>:</w:t>
      </w:r>
    </w:p>
    <w:p w14:paraId="51B2C6D9"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Casnic + Non casnic</w:t>
      </w:r>
    </w:p>
    <w:tbl>
      <w:tblPr>
        <w:tblStyle w:val="TableGrid"/>
        <w:tblW w:w="0" w:type="auto"/>
        <w:tblLook w:val="04A0" w:firstRow="1" w:lastRow="0" w:firstColumn="1" w:lastColumn="0" w:noHBand="0" w:noVBand="1"/>
      </w:tblPr>
      <w:tblGrid>
        <w:gridCol w:w="909"/>
        <w:gridCol w:w="1708"/>
        <w:gridCol w:w="1787"/>
        <w:gridCol w:w="1709"/>
        <w:gridCol w:w="1596"/>
        <w:gridCol w:w="1579"/>
      </w:tblGrid>
      <w:tr w:rsidR="007C7C77" w:rsidRPr="00605B61" w14:paraId="76560866" w14:textId="77777777" w:rsidTr="00AB1282">
        <w:tc>
          <w:tcPr>
            <w:tcW w:w="909" w:type="dxa"/>
          </w:tcPr>
          <w:p w14:paraId="528343D4"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Nr.crt.</w:t>
            </w:r>
          </w:p>
        </w:tc>
        <w:tc>
          <w:tcPr>
            <w:tcW w:w="1719" w:type="dxa"/>
          </w:tcPr>
          <w:p w14:paraId="10CE036B"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 xml:space="preserve">Valoare medie lunară plătită </w:t>
            </w:r>
          </w:p>
          <w:p w14:paraId="4A65ECD2" w14:textId="77777777" w:rsidR="007C7C77" w:rsidRPr="00605B61" w:rsidRDefault="007C7C77" w:rsidP="00806F07">
            <w:pPr>
              <w:pStyle w:val="NoSpacing"/>
              <w:rPr>
                <w:rFonts w:ascii="Times New Roman" w:hAnsi="Times New Roman"/>
                <w:b/>
                <w:sz w:val="24"/>
                <w:szCs w:val="24"/>
              </w:rPr>
            </w:pPr>
          </w:p>
          <w:p w14:paraId="433B2309"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Lei cu TVA</w:t>
            </w:r>
          </w:p>
        </w:tc>
        <w:tc>
          <w:tcPr>
            <w:tcW w:w="1800" w:type="dxa"/>
          </w:tcPr>
          <w:p w14:paraId="4EBBD594"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Valoare lunară plătită cu mărire</w:t>
            </w:r>
          </w:p>
          <w:p w14:paraId="16FD6948"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Lei cu TVA</w:t>
            </w:r>
          </w:p>
        </w:tc>
        <w:tc>
          <w:tcPr>
            <w:tcW w:w="1723" w:type="dxa"/>
          </w:tcPr>
          <w:p w14:paraId="12BCB2D2"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Diferență plată lunară</w:t>
            </w:r>
          </w:p>
          <w:p w14:paraId="6C24D696" w14:textId="77777777" w:rsidR="007C7C77" w:rsidRPr="00605B61" w:rsidRDefault="007C7C77" w:rsidP="00806F07">
            <w:pPr>
              <w:pStyle w:val="NoSpacing"/>
              <w:rPr>
                <w:rFonts w:ascii="Times New Roman" w:hAnsi="Times New Roman"/>
                <w:b/>
                <w:sz w:val="24"/>
                <w:szCs w:val="24"/>
              </w:rPr>
            </w:pPr>
          </w:p>
          <w:p w14:paraId="5C493073"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Lei cu TVA</w:t>
            </w:r>
          </w:p>
        </w:tc>
        <w:tc>
          <w:tcPr>
            <w:tcW w:w="1550" w:type="dxa"/>
          </w:tcPr>
          <w:p w14:paraId="7ED4A4A2"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Valoare anuală plătită cu mărire</w:t>
            </w:r>
          </w:p>
          <w:p w14:paraId="3EBCDA88"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Lei cu TVA</w:t>
            </w:r>
          </w:p>
          <w:p w14:paraId="6E185AA9" w14:textId="77777777" w:rsidR="007C7C77" w:rsidRPr="00605B61" w:rsidRDefault="007C7C77" w:rsidP="00806F07">
            <w:pPr>
              <w:pStyle w:val="NoSpacing"/>
              <w:rPr>
                <w:rFonts w:ascii="Times New Roman" w:hAnsi="Times New Roman"/>
                <w:b/>
                <w:sz w:val="24"/>
                <w:szCs w:val="24"/>
              </w:rPr>
            </w:pPr>
          </w:p>
        </w:tc>
        <w:tc>
          <w:tcPr>
            <w:tcW w:w="1587" w:type="dxa"/>
            <w:tcBorders>
              <w:right w:val="single" w:sz="4" w:space="0" w:color="000000"/>
            </w:tcBorders>
          </w:tcPr>
          <w:p w14:paraId="375AFBA2"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Diferență plată anuală</w:t>
            </w:r>
          </w:p>
          <w:p w14:paraId="3874419B" w14:textId="77777777" w:rsidR="007C7C77" w:rsidRPr="00605B61" w:rsidRDefault="007C7C77" w:rsidP="00806F07">
            <w:pPr>
              <w:pStyle w:val="NoSpacing"/>
              <w:rPr>
                <w:rFonts w:ascii="Times New Roman" w:hAnsi="Times New Roman"/>
                <w:b/>
                <w:sz w:val="24"/>
                <w:szCs w:val="24"/>
              </w:rPr>
            </w:pPr>
          </w:p>
          <w:p w14:paraId="5F05A349" w14:textId="77777777" w:rsidR="007C7C77" w:rsidRPr="00605B61" w:rsidRDefault="007C7C77" w:rsidP="00806F07">
            <w:pPr>
              <w:pStyle w:val="NoSpacing"/>
              <w:rPr>
                <w:rFonts w:ascii="Times New Roman" w:hAnsi="Times New Roman"/>
                <w:b/>
                <w:sz w:val="24"/>
                <w:szCs w:val="24"/>
              </w:rPr>
            </w:pPr>
            <w:r w:rsidRPr="00605B61">
              <w:rPr>
                <w:rFonts w:ascii="Times New Roman" w:hAnsi="Times New Roman"/>
                <w:b/>
                <w:sz w:val="24"/>
                <w:szCs w:val="24"/>
              </w:rPr>
              <w:t>Lei cu TVA</w:t>
            </w:r>
          </w:p>
        </w:tc>
      </w:tr>
      <w:tr w:rsidR="007C7C77" w:rsidRPr="00605B61" w14:paraId="0171969F" w14:textId="77777777" w:rsidTr="00AB1282">
        <w:tc>
          <w:tcPr>
            <w:tcW w:w="909" w:type="dxa"/>
          </w:tcPr>
          <w:p w14:paraId="5D8D2BF0" w14:textId="77777777" w:rsidR="007C7C77" w:rsidRPr="00605B61" w:rsidRDefault="007C7C77" w:rsidP="00806F07">
            <w:pPr>
              <w:pStyle w:val="NoSpacing"/>
              <w:rPr>
                <w:rFonts w:ascii="Times New Roman" w:hAnsi="Times New Roman"/>
                <w:sz w:val="24"/>
                <w:szCs w:val="24"/>
              </w:rPr>
            </w:pPr>
            <w:r w:rsidRPr="00605B61">
              <w:rPr>
                <w:rFonts w:ascii="Times New Roman" w:hAnsi="Times New Roman"/>
                <w:sz w:val="24"/>
                <w:szCs w:val="24"/>
              </w:rPr>
              <w:t>1.</w:t>
            </w:r>
          </w:p>
        </w:tc>
        <w:tc>
          <w:tcPr>
            <w:tcW w:w="1719" w:type="dxa"/>
          </w:tcPr>
          <w:p w14:paraId="0BDB6BD6" w14:textId="45C93B3D" w:rsidR="007C7C77" w:rsidRPr="00605B61" w:rsidRDefault="0068586E" w:rsidP="00806F07">
            <w:pPr>
              <w:pStyle w:val="NoSpacing"/>
              <w:rPr>
                <w:rFonts w:ascii="Times New Roman" w:hAnsi="Times New Roman"/>
                <w:sz w:val="24"/>
                <w:szCs w:val="24"/>
              </w:rPr>
            </w:pPr>
            <w:r>
              <w:rPr>
                <w:rFonts w:ascii="Times New Roman" w:hAnsi="Times New Roman"/>
                <w:sz w:val="24"/>
                <w:szCs w:val="24"/>
              </w:rPr>
              <w:t>871.531,86</w:t>
            </w:r>
          </w:p>
        </w:tc>
        <w:tc>
          <w:tcPr>
            <w:tcW w:w="1800" w:type="dxa"/>
          </w:tcPr>
          <w:p w14:paraId="7BC49574" w14:textId="50E8210A" w:rsidR="007C7C77" w:rsidRPr="00605B61" w:rsidRDefault="00523F42" w:rsidP="00806F07">
            <w:pPr>
              <w:pStyle w:val="NoSpacing"/>
              <w:rPr>
                <w:rFonts w:ascii="Times New Roman" w:hAnsi="Times New Roman"/>
                <w:sz w:val="24"/>
                <w:szCs w:val="24"/>
              </w:rPr>
            </w:pPr>
            <w:r>
              <w:rPr>
                <w:rFonts w:ascii="Times New Roman" w:hAnsi="Times New Roman"/>
                <w:sz w:val="24"/>
                <w:szCs w:val="24"/>
              </w:rPr>
              <w:t>94</w:t>
            </w:r>
            <w:r w:rsidR="00392039">
              <w:rPr>
                <w:rFonts w:ascii="Times New Roman" w:hAnsi="Times New Roman"/>
                <w:sz w:val="24"/>
                <w:szCs w:val="24"/>
              </w:rPr>
              <w:t>8.101,</w:t>
            </w:r>
            <w:r>
              <w:rPr>
                <w:rFonts w:ascii="Times New Roman" w:hAnsi="Times New Roman"/>
                <w:sz w:val="24"/>
                <w:szCs w:val="24"/>
              </w:rPr>
              <w:t>50</w:t>
            </w:r>
          </w:p>
        </w:tc>
        <w:tc>
          <w:tcPr>
            <w:tcW w:w="1723" w:type="dxa"/>
          </w:tcPr>
          <w:p w14:paraId="3FA6837E" w14:textId="0DC8F97C" w:rsidR="007C7C77" w:rsidRPr="00605B61" w:rsidRDefault="00392039" w:rsidP="00806F07">
            <w:pPr>
              <w:pStyle w:val="NoSpacing"/>
              <w:rPr>
                <w:rFonts w:ascii="Times New Roman" w:hAnsi="Times New Roman"/>
                <w:sz w:val="24"/>
                <w:szCs w:val="24"/>
              </w:rPr>
            </w:pPr>
            <w:r>
              <w:rPr>
                <w:rFonts w:ascii="Times New Roman" w:hAnsi="Times New Roman"/>
                <w:sz w:val="24"/>
                <w:szCs w:val="24"/>
              </w:rPr>
              <w:t>76</w:t>
            </w:r>
            <w:r w:rsidR="008E5B20">
              <w:rPr>
                <w:rFonts w:ascii="Times New Roman" w:hAnsi="Times New Roman"/>
                <w:sz w:val="24"/>
                <w:szCs w:val="24"/>
              </w:rPr>
              <w:t>.5</w:t>
            </w:r>
            <w:r>
              <w:rPr>
                <w:rFonts w:ascii="Times New Roman" w:hAnsi="Times New Roman"/>
                <w:sz w:val="24"/>
                <w:szCs w:val="24"/>
              </w:rPr>
              <w:t>69,64</w:t>
            </w:r>
          </w:p>
        </w:tc>
        <w:tc>
          <w:tcPr>
            <w:tcW w:w="1550" w:type="dxa"/>
          </w:tcPr>
          <w:p w14:paraId="720F5874" w14:textId="3B99A05C" w:rsidR="007C7C77" w:rsidRPr="00605B61" w:rsidRDefault="00392039" w:rsidP="00806F07">
            <w:pPr>
              <w:pStyle w:val="NoSpacing"/>
              <w:rPr>
                <w:rFonts w:ascii="Times New Roman" w:hAnsi="Times New Roman"/>
                <w:sz w:val="24"/>
                <w:szCs w:val="24"/>
              </w:rPr>
            </w:pPr>
            <w:r>
              <w:rPr>
                <w:rFonts w:ascii="Times New Roman" w:hAnsi="Times New Roman"/>
                <w:sz w:val="24"/>
                <w:szCs w:val="24"/>
              </w:rPr>
              <w:t>11.377.2</w:t>
            </w:r>
            <w:r w:rsidR="008E5B20">
              <w:rPr>
                <w:rFonts w:ascii="Times New Roman" w:hAnsi="Times New Roman"/>
                <w:sz w:val="24"/>
                <w:szCs w:val="24"/>
              </w:rPr>
              <w:t>35,55</w:t>
            </w:r>
          </w:p>
        </w:tc>
        <w:tc>
          <w:tcPr>
            <w:tcW w:w="1587" w:type="dxa"/>
            <w:tcBorders>
              <w:right w:val="single" w:sz="4" w:space="0" w:color="000000"/>
            </w:tcBorders>
          </w:tcPr>
          <w:p w14:paraId="51C1589E" w14:textId="59D98FA3" w:rsidR="007C7C77" w:rsidRPr="00605B61" w:rsidRDefault="0068586E" w:rsidP="00806F07">
            <w:pPr>
              <w:pStyle w:val="NoSpacing"/>
              <w:rPr>
                <w:rFonts w:ascii="Times New Roman" w:hAnsi="Times New Roman"/>
                <w:sz w:val="24"/>
                <w:szCs w:val="24"/>
              </w:rPr>
            </w:pPr>
            <w:r>
              <w:rPr>
                <w:rFonts w:ascii="Times New Roman" w:hAnsi="Times New Roman"/>
                <w:sz w:val="24"/>
                <w:szCs w:val="24"/>
              </w:rPr>
              <w:t>918.835,68</w:t>
            </w:r>
            <w:bookmarkStart w:id="3" w:name="_GoBack"/>
            <w:bookmarkEnd w:id="3"/>
          </w:p>
        </w:tc>
      </w:tr>
    </w:tbl>
    <w:p w14:paraId="446C0FAF" w14:textId="77777777" w:rsidR="00940ECE" w:rsidRDefault="00940ECE" w:rsidP="00806F07">
      <w:pPr>
        <w:tabs>
          <w:tab w:val="left" w:pos="3860"/>
        </w:tabs>
        <w:rPr>
          <w:rFonts w:ascii="Times New Roman" w:hAnsi="Times New Roman" w:cs="Times New Roman"/>
          <w:sz w:val="24"/>
          <w:szCs w:val="24"/>
          <w:shd w:val="clear" w:color="auto" w:fill="FFFFFF"/>
          <w:lang w:val="en-US" w:eastAsia="en-US"/>
        </w:rPr>
      </w:pPr>
    </w:p>
    <w:p w14:paraId="3412A73C" w14:textId="00A27423" w:rsidR="008E5B20" w:rsidRPr="00525BC0" w:rsidRDefault="00940ECE" w:rsidP="00806F07">
      <w:pPr>
        <w:tabs>
          <w:tab w:val="left" w:pos="3860"/>
        </w:tabs>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lang w:val="en-US" w:eastAsia="en-US"/>
        </w:rPr>
        <w:t xml:space="preserve">          </w:t>
      </w:r>
      <w:r w:rsidR="00525BC0">
        <w:rPr>
          <w:rFonts w:ascii="Times New Roman" w:hAnsi="Times New Roman" w:cs="Times New Roman"/>
          <w:color w:val="000000" w:themeColor="text1"/>
          <w:sz w:val="24"/>
          <w:szCs w:val="24"/>
          <w:shd w:val="clear" w:color="auto" w:fill="FFFFFF"/>
        </w:rPr>
        <w:t xml:space="preserve"> </w:t>
      </w:r>
      <w:r w:rsidR="008F580F" w:rsidRPr="00525BC0">
        <w:rPr>
          <w:rFonts w:ascii="Times New Roman" w:hAnsi="Times New Roman" w:cs="Times New Roman"/>
          <w:color w:val="000000" w:themeColor="text1"/>
          <w:sz w:val="24"/>
          <w:szCs w:val="24"/>
          <w:shd w:val="clear" w:color="auto" w:fill="FFFFFF"/>
        </w:rPr>
        <w:t xml:space="preserve">In aceste conditii, ajustarea tarifelor </w:t>
      </w:r>
      <w:r w:rsidR="008F580F" w:rsidRPr="00525BC0">
        <w:rPr>
          <w:rFonts w:ascii="Times New Roman" w:eastAsia="Times New Roman" w:hAnsi="Times New Roman" w:cs="Times New Roman"/>
          <w:bCs/>
          <w:sz w:val="24"/>
          <w:szCs w:val="24"/>
        </w:rPr>
        <w:t>aferente contractului de delegare prin concesiune a serviciului public de salubrizare-Lot 5-zona DrobetaTurnu Severin, nr. 706/3710/23.10.2019</w:t>
      </w:r>
      <w:r w:rsidR="008E5B20" w:rsidRPr="00525BC0">
        <w:rPr>
          <w:rFonts w:ascii="Times New Roman" w:eastAsia="Times New Roman" w:hAnsi="Times New Roman" w:cs="Times New Roman"/>
          <w:bCs/>
          <w:sz w:val="24"/>
          <w:szCs w:val="24"/>
        </w:rPr>
        <w:t>, de 8.82% ar produce efecte economice in lant.</w:t>
      </w:r>
    </w:p>
    <w:p w14:paraId="38969146" w14:textId="2E846AF7" w:rsidR="008E5B20" w:rsidRDefault="008E5B20"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-ar determina o majorare proportionala a taxei de salubrizare datorate de contribuabili</w:t>
      </w:r>
    </w:p>
    <w:p w14:paraId="034FFC08" w14:textId="4027D9A6" w:rsidR="008E5B20" w:rsidRDefault="008E5B20"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 reduce gradul de colectare a taxei afectand fluxul de venituri al serviciului</w:t>
      </w:r>
    </w:p>
    <w:p w14:paraId="29085815" w14:textId="3277CACF" w:rsidR="008E5B20" w:rsidRDefault="008E5B20"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 impune eventualele compensari bugetari din partea UAT-urilor pentru mentinerea platilor catre opeartor</w:t>
      </w:r>
    </w:p>
    <w:p w14:paraId="478E203E" w14:textId="38AC2A56" w:rsidR="008E5B20" w:rsidRDefault="008E5B20"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 diminua capacitatea administratiilor locale de a asigura sustenabilitatea  financiara a serviciului de salubrizare</w:t>
      </w:r>
    </w:p>
    <w:p w14:paraId="3FE0F57E" w14:textId="12A56AC8" w:rsidR="008E5B20" w:rsidRDefault="00940ECE"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E5B20">
        <w:rPr>
          <w:rFonts w:ascii="Times New Roman" w:eastAsia="Times New Roman" w:hAnsi="Times New Roman" w:cs="Times New Roman"/>
          <w:bCs/>
          <w:sz w:val="24"/>
          <w:szCs w:val="24"/>
        </w:rPr>
        <w:t>In conformitate cu ar. 36 alin. (2) din Legea nr. 101/2006, tarifele aferente serviciului de salubrizare trebuie stabilite astfel incat sa asigure echilibrul intre nivelul costurilor si calitatea serviciului prestat, precum si suportabilitatea pentru utilizatori.</w:t>
      </w:r>
    </w:p>
    <w:p w14:paraId="30CCD6D3" w14:textId="2A7CD953" w:rsidR="0025254A" w:rsidRDefault="00940ECE"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5254A">
        <w:rPr>
          <w:rFonts w:ascii="Times New Roman" w:eastAsia="Times New Roman" w:hAnsi="Times New Roman" w:cs="Times New Roman"/>
          <w:bCs/>
          <w:sz w:val="24"/>
          <w:szCs w:val="24"/>
        </w:rPr>
        <w:t>Prin urmare, in actualul context economic si social, mentinerea nivelului existent al tarifului de colectare si transport, reprezinta o masura de prudenta , sustenabilitate si responsabilitate fiscala, justificata prin nevoia de a evita dezechilibrele financiare si poverile suplimentare asupra populatiei.</w:t>
      </w:r>
    </w:p>
    <w:p w14:paraId="2F096972" w14:textId="781DB239" w:rsidR="0025254A" w:rsidRDefault="00806F07"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25BC0">
        <w:rPr>
          <w:rFonts w:ascii="Times New Roman" w:eastAsia="Times New Roman" w:hAnsi="Times New Roman" w:cs="Times New Roman"/>
          <w:bCs/>
          <w:sz w:val="24"/>
          <w:szCs w:val="24"/>
        </w:rPr>
        <w:t xml:space="preserve"> </w:t>
      </w:r>
      <w:r w:rsidR="0025254A">
        <w:rPr>
          <w:rFonts w:ascii="Times New Roman" w:eastAsia="Times New Roman" w:hAnsi="Times New Roman" w:cs="Times New Roman"/>
          <w:bCs/>
          <w:sz w:val="24"/>
          <w:szCs w:val="24"/>
        </w:rPr>
        <w:t>In contextul economic actual, caracterizat de cresteri generalizate ale costurilor si de reducerea capacitatii de plata a populatiei, o asemenea ajustare de colectare si transport ar afecta atat sustenabilitatea financiara a serviciului, cat si predictibilitatea bugetara a autoritatii publice locale.</w:t>
      </w:r>
    </w:p>
    <w:p w14:paraId="361A7794" w14:textId="2A76ABA4" w:rsidR="0025254A" w:rsidRDefault="00806F07"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5254A">
        <w:rPr>
          <w:rFonts w:ascii="Times New Roman" w:eastAsia="Times New Roman" w:hAnsi="Times New Roman" w:cs="Times New Roman"/>
          <w:bCs/>
          <w:sz w:val="24"/>
          <w:szCs w:val="24"/>
        </w:rPr>
        <w:t>Prin urmare, mentinerea actualului nivel a tarifelor de colectare si transport constituie o masura de echilbru care permite continuarea prestarii serviciului in conditii de stabilitate financiara, fara a transfera asupra cetatinilor o povara fiscala suplimentara.</w:t>
      </w:r>
    </w:p>
    <w:p w14:paraId="10FA1463" w14:textId="3693C2DD"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Avand in vedere :</w:t>
      </w:r>
    </w:p>
    <w:p w14:paraId="5DA777BE" w14:textId="56B08D6C"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-prevederile Legii nr. 101/2006 privind serviciul de salubrizare  a localitatilor si ale Ordinului presedintelui ANRSC nr. 640/2022</w:t>
      </w:r>
    </w:p>
    <w:p w14:paraId="7568F5F4" w14:textId="5117A545"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-analiza documentatie transmise de ADIS Mehedinti si concluziile formulate in raportul de specialitate aferent</w:t>
      </w:r>
    </w:p>
    <w:p w14:paraId="0C0258DC" w14:textId="21007D3B"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-implicatiile economico-financiare asupra bugetului local si asupra taxei de salubrizare</w:t>
      </w:r>
    </w:p>
    <w:p w14:paraId="132C2E7F" w14:textId="2AD0F1AA"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-principiul echilibrului contractual si cel al suportabilitatii costurilor pentru populatie</w:t>
      </w:r>
    </w:p>
    <w:p w14:paraId="2CD3C733" w14:textId="10D77CAF" w:rsidR="0025254A" w:rsidRDefault="0025254A"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-contextul social economic actual caracterizat prin cresteri</w:t>
      </w:r>
      <w:r w:rsidR="00525BC0">
        <w:rPr>
          <w:rFonts w:ascii="Times New Roman" w:eastAsia="Times New Roman" w:hAnsi="Times New Roman" w:cs="Times New Roman"/>
          <w:bCs/>
          <w:sz w:val="24"/>
          <w:szCs w:val="24"/>
        </w:rPr>
        <w:t xml:space="preserve"> semnificative ale costurilor de trai si presiune bugetara asupra gospodariilor si a autoritatilor locale.</w:t>
      </w:r>
    </w:p>
    <w:p w14:paraId="3CFCE78D" w14:textId="77777777" w:rsidR="00525BC0" w:rsidRDefault="00525BC0" w:rsidP="00806F07">
      <w:pPr>
        <w:tabs>
          <w:tab w:val="left" w:pos="3860"/>
        </w:tabs>
        <w:rPr>
          <w:rFonts w:ascii="Times New Roman" w:eastAsia="Times New Roman" w:hAnsi="Times New Roman" w:cs="Times New Roman"/>
          <w:bCs/>
          <w:sz w:val="24"/>
          <w:szCs w:val="24"/>
        </w:rPr>
      </w:pPr>
    </w:p>
    <w:p w14:paraId="4D4BDE6B" w14:textId="0EE3AC5D" w:rsidR="00525BC0" w:rsidRDefault="00940ECE"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25BC0">
        <w:rPr>
          <w:rFonts w:ascii="Times New Roman" w:eastAsia="Times New Roman" w:hAnsi="Times New Roman" w:cs="Times New Roman"/>
          <w:bCs/>
          <w:sz w:val="24"/>
          <w:szCs w:val="24"/>
        </w:rPr>
        <w:t xml:space="preserve">Avand in vedere obligatia UAT este de a-si exprima punctul de vedere in ceea ce priveste ajutarea tarifuli si de a mandata reprezentantul in Adunarea Generala a Asociatiei de Dezvoltare Intercomunitara pentru Salubritate Mehedinti, sa voteze cu privire la aceasta </w:t>
      </w:r>
      <w:r w:rsidR="00525BC0">
        <w:rPr>
          <w:rFonts w:ascii="Times New Roman" w:eastAsia="Times New Roman" w:hAnsi="Times New Roman" w:cs="Times New Roman"/>
          <w:bCs/>
          <w:sz w:val="24"/>
          <w:szCs w:val="24"/>
        </w:rPr>
        <w:lastRenderedPageBreak/>
        <w:t>ajustare in urma analizei documentatiei depuse de catre ADIS Mehedinti, Directia Managementul Deseurilor, face urmatoarele precizari:</w:t>
      </w:r>
    </w:p>
    <w:p w14:paraId="7010CBA9" w14:textId="01421FD1" w:rsidR="00525BC0" w:rsidRDefault="00525BC0"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-orice ajustare a tarifelor de colectare si transport se reflecta direct in taxa de salubrizare achitata de populatie, prin cresterea costului unitar aferent intregului lant de gestionare a deseurilor-de la colectare si transport, pana la tratare si depozitare finala.</w:t>
      </w:r>
    </w:p>
    <w:p w14:paraId="4F621811" w14:textId="4F5823D5" w:rsidR="00525BC0" w:rsidRDefault="00940ECE"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25BC0">
        <w:rPr>
          <w:rFonts w:ascii="Times New Roman" w:eastAsia="Times New Roman" w:hAnsi="Times New Roman" w:cs="Times New Roman"/>
          <w:bCs/>
          <w:sz w:val="24"/>
          <w:szCs w:val="24"/>
        </w:rPr>
        <w:t>Astfel, orice decizie privind ajustarea tarifelor trebuie analizata nu doar prin prisma costurilor operatorului, ci si din perspectiva impactului economic asupra utilizatorilor finali si a echilibrului financiar al serviciului public</w:t>
      </w:r>
      <w:r w:rsidR="00571F03">
        <w:rPr>
          <w:rFonts w:ascii="Times New Roman" w:eastAsia="Times New Roman" w:hAnsi="Times New Roman" w:cs="Times New Roman"/>
          <w:bCs/>
          <w:sz w:val="24"/>
          <w:szCs w:val="24"/>
        </w:rPr>
        <w:t>. In contextul actual:</w:t>
      </w:r>
    </w:p>
    <w:p w14:paraId="765D04FE" w14:textId="073CD1C8" w:rsidR="00571F03" w:rsidRDefault="00571F03"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-tarifele pentru colectare, transport, sortare si tratare au fost deja majorate zona 5 prin Hotararea AGA ADIS nr. 1/14.01.2025, ceea ce a determinat cresterea taxei de salubrizare la nivelul tuturor UAT-urilor membre a acestei zone</w:t>
      </w:r>
    </w:p>
    <w:p w14:paraId="6BFA9541" w14:textId="129E2B17" w:rsidR="00571F03" w:rsidRDefault="00571F03"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-indicele inflatiei si cresterea generalizata a preturilor la energie, combustibili si servicii au diminuat semnificativ puterea de cumparare a populatiei , iar gradul de conformare fiscala este in scadere;</w:t>
      </w:r>
    </w:p>
    <w:p w14:paraId="2B1BC44B" w14:textId="58E7B9F7" w:rsidR="00571F03" w:rsidRDefault="00571F03"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-bugetele locale se afla sub o presiune accentuata, generate de cresterea costurilor administrative si de nevoia de a mentine echilibrul financiar al serviciilor publice de interes local.</w:t>
      </w:r>
    </w:p>
    <w:p w14:paraId="4E285EF7" w14:textId="03637720" w:rsidR="00571F03" w:rsidRDefault="00940ECE"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71F03">
        <w:rPr>
          <w:rFonts w:ascii="Times New Roman" w:eastAsia="Times New Roman" w:hAnsi="Times New Roman" w:cs="Times New Roman"/>
          <w:bCs/>
          <w:sz w:val="24"/>
          <w:szCs w:val="24"/>
        </w:rPr>
        <w:t>Directia Managementul Deseurilor din cadrul Primariei Municipiului Drobeta Turnu Severin apreciaza ca nu sunt intrunite conditiile legale, economice si de oportunitate care sa justifice aprobarea ajustarii tarifelor de colectare si transport propus de operatorul SC Brantner Servicii Ecologice SRL.</w:t>
      </w:r>
    </w:p>
    <w:p w14:paraId="4E5B7146" w14:textId="0E29583A" w:rsidR="0038248C" w:rsidRDefault="00806F07" w:rsidP="00806F07">
      <w:pPr>
        <w:tabs>
          <w:tab w:val="left" w:pos="386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8248C">
        <w:rPr>
          <w:rFonts w:ascii="Times New Roman" w:eastAsia="Times New Roman" w:hAnsi="Times New Roman" w:cs="Times New Roman"/>
          <w:bCs/>
          <w:sz w:val="24"/>
          <w:szCs w:val="24"/>
        </w:rPr>
        <w:t>In considerarea celor expuse, propunem Consiliului Local al Municipiulul Drobeta Turnu Severin respingerea solicitarii operatorului S C Brantner Servicii Ecologice SRL privind ajustarea tarifelor de colectare si transport intrucat , documentatia analizata nu demonstreaza, in forma actuala, caracterul proportional si sustenabil al nivelului tarifar solicitat si mandatarea reprezentantul Municipiului Drobeta Turnu Severin in Adunarea Generala a Asociatiei de Dezvoltare Intercomunitara pentru Salubritate Mehedinti pentru a vota respingerea ajustarii tarifelor pentru colectare si transport.</w:t>
      </w:r>
    </w:p>
    <w:p w14:paraId="2054D3D5" w14:textId="77777777" w:rsidR="001A45FC" w:rsidRDefault="001A45FC" w:rsidP="00806F07">
      <w:pPr>
        <w:tabs>
          <w:tab w:val="left" w:pos="3860"/>
        </w:tabs>
        <w:rPr>
          <w:rFonts w:ascii="Times New Roman" w:eastAsia="Times New Roman" w:hAnsi="Times New Roman" w:cs="Times New Roman"/>
          <w:bCs/>
          <w:sz w:val="24"/>
          <w:szCs w:val="24"/>
        </w:rPr>
      </w:pPr>
    </w:p>
    <w:p w14:paraId="714F5F67" w14:textId="77777777" w:rsidR="001A45FC" w:rsidRDefault="001A45FC" w:rsidP="00806F07">
      <w:pPr>
        <w:tabs>
          <w:tab w:val="left" w:pos="3860"/>
        </w:tabs>
        <w:rPr>
          <w:rFonts w:ascii="Times New Roman" w:eastAsia="Times New Roman" w:hAnsi="Times New Roman" w:cs="Times New Roman"/>
          <w:bCs/>
          <w:sz w:val="24"/>
          <w:szCs w:val="24"/>
        </w:rPr>
      </w:pPr>
    </w:p>
    <w:p w14:paraId="1CD5219E" w14:textId="0469E40E" w:rsidR="001A45FC" w:rsidRDefault="001A45FC" w:rsidP="001A45FC">
      <w:pPr>
        <w:tabs>
          <w:tab w:val="left" w:pos="38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Initiator,</w:t>
      </w:r>
    </w:p>
    <w:p w14:paraId="1247EB47" w14:textId="377765E4" w:rsidR="0038248C" w:rsidRDefault="00A434DE" w:rsidP="001A45FC">
      <w:pPr>
        <w:tabs>
          <w:tab w:val="left" w:pos="38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Viceprimar</w:t>
      </w:r>
    </w:p>
    <w:p w14:paraId="7594531C" w14:textId="67AA53B5" w:rsidR="009D74B3" w:rsidRDefault="001A5C4C" w:rsidP="00E2575A">
      <w:pPr>
        <w:tabs>
          <w:tab w:val="left" w:pos="3860"/>
        </w:tabs>
        <w:jc w:val="center"/>
        <w:rPr>
          <w:rFonts w:ascii="Times New Roman" w:hAnsi="Times New Roman" w:cs="Times New Roman"/>
          <w:sz w:val="24"/>
          <w:szCs w:val="24"/>
        </w:rPr>
      </w:pPr>
      <w:r>
        <w:rPr>
          <w:rFonts w:ascii="Times New Roman" w:eastAsia="Times New Roman" w:hAnsi="Times New Roman" w:cs="Times New Roman"/>
          <w:bCs/>
          <w:sz w:val="24"/>
          <w:szCs w:val="24"/>
        </w:rPr>
        <w:t>Mura Cristian</w:t>
      </w:r>
      <w:bookmarkEnd w:id="2"/>
    </w:p>
    <w:p w14:paraId="4E1EED74" w14:textId="77777777" w:rsidR="009D74B3" w:rsidRDefault="009D74B3" w:rsidP="008269C7">
      <w:pPr>
        <w:rPr>
          <w:rFonts w:ascii="Times New Roman" w:hAnsi="Times New Roman" w:cs="Times New Roman"/>
          <w:sz w:val="24"/>
          <w:szCs w:val="24"/>
        </w:rPr>
      </w:pPr>
    </w:p>
    <w:p w14:paraId="7005D4CB" w14:textId="77777777" w:rsidR="009D74B3" w:rsidRDefault="009D74B3" w:rsidP="008269C7">
      <w:pPr>
        <w:rPr>
          <w:rFonts w:ascii="Times New Roman" w:hAnsi="Times New Roman" w:cs="Times New Roman"/>
          <w:sz w:val="24"/>
          <w:szCs w:val="24"/>
        </w:rPr>
      </w:pPr>
    </w:p>
    <w:p w14:paraId="57A3499C" w14:textId="77777777" w:rsidR="009D74B3" w:rsidRDefault="009D74B3" w:rsidP="008269C7">
      <w:pPr>
        <w:rPr>
          <w:rFonts w:ascii="Times New Roman" w:hAnsi="Times New Roman" w:cs="Times New Roman"/>
          <w:sz w:val="24"/>
          <w:szCs w:val="24"/>
        </w:rPr>
      </w:pPr>
    </w:p>
    <w:p w14:paraId="2D23DD90" w14:textId="77777777" w:rsidR="009D74B3" w:rsidRDefault="009D74B3" w:rsidP="008269C7">
      <w:pPr>
        <w:rPr>
          <w:rFonts w:ascii="Times New Roman" w:hAnsi="Times New Roman" w:cs="Times New Roman"/>
          <w:sz w:val="24"/>
          <w:szCs w:val="24"/>
        </w:rPr>
      </w:pPr>
    </w:p>
    <w:p w14:paraId="5E2F27E3" w14:textId="77777777" w:rsidR="009D74B3" w:rsidRDefault="009D74B3" w:rsidP="008269C7">
      <w:pPr>
        <w:rPr>
          <w:rFonts w:ascii="Times New Roman" w:hAnsi="Times New Roman" w:cs="Times New Roman"/>
          <w:sz w:val="24"/>
          <w:szCs w:val="24"/>
        </w:rPr>
      </w:pPr>
    </w:p>
    <w:p w14:paraId="4C766069" w14:textId="77777777" w:rsidR="009D74B3" w:rsidRDefault="009D74B3" w:rsidP="008269C7">
      <w:pPr>
        <w:rPr>
          <w:rFonts w:ascii="Times New Roman" w:hAnsi="Times New Roman" w:cs="Times New Roman"/>
          <w:sz w:val="24"/>
          <w:szCs w:val="24"/>
        </w:rPr>
      </w:pPr>
    </w:p>
    <w:p w14:paraId="43725477" w14:textId="77777777" w:rsidR="009D74B3" w:rsidRDefault="009D74B3" w:rsidP="008269C7">
      <w:pPr>
        <w:rPr>
          <w:rFonts w:ascii="Times New Roman" w:hAnsi="Times New Roman" w:cs="Times New Roman"/>
          <w:sz w:val="24"/>
          <w:szCs w:val="24"/>
        </w:rPr>
      </w:pPr>
    </w:p>
    <w:p w14:paraId="0BB20E51" w14:textId="77777777" w:rsidR="009D74B3" w:rsidRDefault="009D74B3" w:rsidP="008269C7">
      <w:pPr>
        <w:rPr>
          <w:rFonts w:ascii="Times New Roman" w:hAnsi="Times New Roman" w:cs="Times New Roman"/>
          <w:sz w:val="24"/>
          <w:szCs w:val="24"/>
        </w:rPr>
      </w:pPr>
    </w:p>
    <w:p w14:paraId="3B5DC616" w14:textId="77777777" w:rsidR="009D74B3" w:rsidRDefault="009D74B3" w:rsidP="008269C7">
      <w:pPr>
        <w:rPr>
          <w:rFonts w:ascii="Times New Roman" w:hAnsi="Times New Roman" w:cs="Times New Roman"/>
          <w:sz w:val="24"/>
          <w:szCs w:val="24"/>
        </w:rPr>
      </w:pPr>
    </w:p>
    <w:p w14:paraId="66652EE9" w14:textId="77777777" w:rsidR="009D74B3" w:rsidRDefault="009D74B3" w:rsidP="008269C7">
      <w:pPr>
        <w:rPr>
          <w:rFonts w:ascii="Times New Roman" w:hAnsi="Times New Roman" w:cs="Times New Roman"/>
          <w:sz w:val="24"/>
          <w:szCs w:val="24"/>
        </w:rPr>
      </w:pPr>
    </w:p>
    <w:p w14:paraId="02C9B5BB" w14:textId="77777777" w:rsidR="009D74B3" w:rsidRDefault="009D74B3" w:rsidP="008269C7">
      <w:pPr>
        <w:rPr>
          <w:rFonts w:ascii="Times New Roman" w:hAnsi="Times New Roman" w:cs="Times New Roman"/>
          <w:sz w:val="24"/>
          <w:szCs w:val="24"/>
        </w:rPr>
      </w:pPr>
    </w:p>
    <w:p w14:paraId="2C57C90F" w14:textId="77777777" w:rsidR="009D74B3" w:rsidRDefault="009D74B3" w:rsidP="008269C7">
      <w:pPr>
        <w:rPr>
          <w:rFonts w:ascii="Times New Roman" w:hAnsi="Times New Roman" w:cs="Times New Roman"/>
          <w:sz w:val="24"/>
          <w:szCs w:val="24"/>
        </w:rPr>
      </w:pPr>
    </w:p>
    <w:p w14:paraId="42C743A3" w14:textId="77777777" w:rsidR="009D74B3" w:rsidRDefault="009D74B3" w:rsidP="008269C7">
      <w:pPr>
        <w:rPr>
          <w:rFonts w:ascii="Times New Roman" w:hAnsi="Times New Roman" w:cs="Times New Roman"/>
          <w:sz w:val="24"/>
          <w:szCs w:val="24"/>
        </w:rPr>
      </w:pPr>
    </w:p>
    <w:p w14:paraId="052B9200" w14:textId="77777777" w:rsidR="009D74B3" w:rsidRDefault="009D74B3" w:rsidP="008269C7">
      <w:pPr>
        <w:rPr>
          <w:rFonts w:ascii="Times New Roman" w:hAnsi="Times New Roman" w:cs="Times New Roman"/>
          <w:sz w:val="24"/>
          <w:szCs w:val="24"/>
        </w:rPr>
      </w:pPr>
    </w:p>
    <w:p w14:paraId="4819B54A" w14:textId="77777777" w:rsidR="009D74B3" w:rsidRDefault="009D74B3" w:rsidP="008269C7">
      <w:pPr>
        <w:rPr>
          <w:rFonts w:ascii="Times New Roman" w:hAnsi="Times New Roman" w:cs="Times New Roman"/>
          <w:sz w:val="24"/>
          <w:szCs w:val="24"/>
        </w:rPr>
      </w:pPr>
    </w:p>
    <w:p w14:paraId="76FD9DA1" w14:textId="77777777" w:rsidR="009D74B3" w:rsidRPr="00B72EF8" w:rsidRDefault="009D74B3" w:rsidP="008269C7">
      <w:pPr>
        <w:rPr>
          <w:rFonts w:ascii="Times New Roman" w:hAnsi="Times New Roman" w:cs="Times New Roman"/>
          <w:sz w:val="24"/>
          <w:szCs w:val="24"/>
        </w:rPr>
      </w:pPr>
    </w:p>
    <w:p w14:paraId="36646A02" w14:textId="77777777" w:rsidR="008269C7" w:rsidRPr="00B72EF8" w:rsidRDefault="008269C7" w:rsidP="008269C7">
      <w:pPr>
        <w:spacing w:after="0" w:line="240" w:lineRule="auto"/>
        <w:jc w:val="right"/>
        <w:rPr>
          <w:rFonts w:ascii="Times New Roman" w:eastAsia="Calibri" w:hAnsi="Times New Roman" w:cs="Times New Roman"/>
          <w:sz w:val="24"/>
          <w:szCs w:val="24"/>
        </w:rPr>
      </w:pPr>
    </w:p>
    <w:sectPr w:rsidR="008269C7" w:rsidRPr="00B72EF8" w:rsidSect="004971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0490" w14:textId="77777777" w:rsidR="0079010B" w:rsidRDefault="0079010B" w:rsidP="00BC6137">
      <w:pPr>
        <w:spacing w:after="0" w:line="240" w:lineRule="auto"/>
      </w:pPr>
      <w:r>
        <w:separator/>
      </w:r>
    </w:p>
  </w:endnote>
  <w:endnote w:type="continuationSeparator" w:id="0">
    <w:p w14:paraId="2DEA9538" w14:textId="77777777" w:rsidR="0079010B" w:rsidRDefault="0079010B" w:rsidP="00BC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A4019" w14:textId="77777777" w:rsidR="0079010B" w:rsidRDefault="0079010B" w:rsidP="00BC6137">
      <w:pPr>
        <w:spacing w:after="0" w:line="240" w:lineRule="auto"/>
      </w:pPr>
      <w:r>
        <w:separator/>
      </w:r>
    </w:p>
  </w:footnote>
  <w:footnote w:type="continuationSeparator" w:id="0">
    <w:p w14:paraId="33F3A882" w14:textId="77777777" w:rsidR="0079010B" w:rsidRDefault="0079010B" w:rsidP="00BC6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2B8C"/>
    <w:multiLevelType w:val="hybridMultilevel"/>
    <w:tmpl w:val="A2AC176A"/>
    <w:lvl w:ilvl="0" w:tplc="7068C5B8">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04617C"/>
    <w:multiLevelType w:val="multilevel"/>
    <w:tmpl w:val="5D18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C1A67"/>
    <w:multiLevelType w:val="multilevel"/>
    <w:tmpl w:val="1AD49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74B19"/>
    <w:multiLevelType w:val="multilevel"/>
    <w:tmpl w:val="73F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D05D2"/>
    <w:multiLevelType w:val="multilevel"/>
    <w:tmpl w:val="D11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07A79"/>
    <w:multiLevelType w:val="hybridMultilevel"/>
    <w:tmpl w:val="A9E672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61A3D7A"/>
    <w:multiLevelType w:val="multilevel"/>
    <w:tmpl w:val="4E0E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35830"/>
    <w:multiLevelType w:val="hybridMultilevel"/>
    <w:tmpl w:val="E1B6B1D0"/>
    <w:lvl w:ilvl="0" w:tplc="2C9CD6C6">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FBB28EB"/>
    <w:multiLevelType w:val="hybridMultilevel"/>
    <w:tmpl w:val="66B6D33C"/>
    <w:lvl w:ilvl="0" w:tplc="CCE2A6C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BAE2017"/>
    <w:multiLevelType w:val="multilevel"/>
    <w:tmpl w:val="A88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70516B"/>
    <w:multiLevelType w:val="hybridMultilevel"/>
    <w:tmpl w:val="728623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20A5373"/>
    <w:multiLevelType w:val="hybridMultilevel"/>
    <w:tmpl w:val="CCC2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E4EA0"/>
    <w:multiLevelType w:val="multilevel"/>
    <w:tmpl w:val="113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880C55"/>
    <w:multiLevelType w:val="multilevel"/>
    <w:tmpl w:val="77B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901A0D"/>
    <w:multiLevelType w:val="multilevel"/>
    <w:tmpl w:val="1AB8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A78B5"/>
    <w:multiLevelType w:val="hybridMultilevel"/>
    <w:tmpl w:val="BF22FD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FCA5BBB"/>
    <w:multiLevelType w:val="hybridMultilevel"/>
    <w:tmpl w:val="9C889B8A"/>
    <w:lvl w:ilvl="0" w:tplc="B9022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5"/>
  </w:num>
  <w:num w:numId="4">
    <w:abstractNumId w:val="9"/>
  </w:num>
  <w:num w:numId="5">
    <w:abstractNumId w:val="7"/>
  </w:num>
  <w:num w:numId="6">
    <w:abstractNumId w:val="11"/>
  </w:num>
  <w:num w:numId="7">
    <w:abstractNumId w:val="8"/>
  </w:num>
  <w:num w:numId="8">
    <w:abstractNumId w:val="10"/>
  </w:num>
  <w:num w:numId="9">
    <w:abstractNumId w:val="14"/>
  </w:num>
  <w:num w:numId="10">
    <w:abstractNumId w:val="12"/>
  </w:num>
  <w:num w:numId="11">
    <w:abstractNumId w:val="4"/>
  </w:num>
  <w:num w:numId="12">
    <w:abstractNumId w:val="3"/>
  </w:num>
  <w:num w:numId="13">
    <w:abstractNumId w:val="1"/>
  </w:num>
  <w:num w:numId="14">
    <w:abstractNumId w:val="13"/>
  </w:num>
  <w:num w:numId="15">
    <w:abstractNumId w:val="6"/>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69C7"/>
    <w:rsid w:val="00024FFB"/>
    <w:rsid w:val="000A10F5"/>
    <w:rsid w:val="000C7843"/>
    <w:rsid w:val="001473C4"/>
    <w:rsid w:val="00187912"/>
    <w:rsid w:val="001A45FC"/>
    <w:rsid w:val="001A5C4C"/>
    <w:rsid w:val="001D42E7"/>
    <w:rsid w:val="00217A46"/>
    <w:rsid w:val="0025254A"/>
    <w:rsid w:val="00266D63"/>
    <w:rsid w:val="00281257"/>
    <w:rsid w:val="0029139D"/>
    <w:rsid w:val="002F282A"/>
    <w:rsid w:val="00344DD5"/>
    <w:rsid w:val="0038248C"/>
    <w:rsid w:val="00390B3D"/>
    <w:rsid w:val="00392039"/>
    <w:rsid w:val="00420351"/>
    <w:rsid w:val="004807F9"/>
    <w:rsid w:val="004971B8"/>
    <w:rsid w:val="004B6B95"/>
    <w:rsid w:val="004F25D6"/>
    <w:rsid w:val="00514FFB"/>
    <w:rsid w:val="00523F42"/>
    <w:rsid w:val="00525BC0"/>
    <w:rsid w:val="005571D0"/>
    <w:rsid w:val="00571716"/>
    <w:rsid w:val="00571F03"/>
    <w:rsid w:val="0058414B"/>
    <w:rsid w:val="005A6318"/>
    <w:rsid w:val="005C2DEB"/>
    <w:rsid w:val="005C759F"/>
    <w:rsid w:val="00655C30"/>
    <w:rsid w:val="006654C2"/>
    <w:rsid w:val="00685770"/>
    <w:rsid w:val="0068586E"/>
    <w:rsid w:val="006B38F2"/>
    <w:rsid w:val="007061A7"/>
    <w:rsid w:val="00711C27"/>
    <w:rsid w:val="00714DF0"/>
    <w:rsid w:val="00776AE3"/>
    <w:rsid w:val="0079010B"/>
    <w:rsid w:val="007C7C77"/>
    <w:rsid w:val="007D7A2F"/>
    <w:rsid w:val="007E30DD"/>
    <w:rsid w:val="00806F07"/>
    <w:rsid w:val="008269C7"/>
    <w:rsid w:val="008720C8"/>
    <w:rsid w:val="00873354"/>
    <w:rsid w:val="008E5B20"/>
    <w:rsid w:val="008F580F"/>
    <w:rsid w:val="00940ECE"/>
    <w:rsid w:val="009463DA"/>
    <w:rsid w:val="009A3997"/>
    <w:rsid w:val="009B7D21"/>
    <w:rsid w:val="009D74B3"/>
    <w:rsid w:val="009E27EC"/>
    <w:rsid w:val="00A040A4"/>
    <w:rsid w:val="00A34294"/>
    <w:rsid w:val="00A342DF"/>
    <w:rsid w:val="00A434DE"/>
    <w:rsid w:val="00AA2F6D"/>
    <w:rsid w:val="00B17504"/>
    <w:rsid w:val="00B35D87"/>
    <w:rsid w:val="00B460ED"/>
    <w:rsid w:val="00B57CF5"/>
    <w:rsid w:val="00B7033A"/>
    <w:rsid w:val="00B72EF8"/>
    <w:rsid w:val="00BA6017"/>
    <w:rsid w:val="00BC481B"/>
    <w:rsid w:val="00BC6137"/>
    <w:rsid w:val="00C33A1D"/>
    <w:rsid w:val="00C95C5E"/>
    <w:rsid w:val="00CA5AA6"/>
    <w:rsid w:val="00D00452"/>
    <w:rsid w:val="00D216BD"/>
    <w:rsid w:val="00D819AF"/>
    <w:rsid w:val="00DE7266"/>
    <w:rsid w:val="00DF7CC0"/>
    <w:rsid w:val="00E04457"/>
    <w:rsid w:val="00E2575A"/>
    <w:rsid w:val="00E7731E"/>
    <w:rsid w:val="00E936C1"/>
    <w:rsid w:val="00E95439"/>
    <w:rsid w:val="00F34772"/>
    <w:rsid w:val="00F65204"/>
    <w:rsid w:val="00F95C1C"/>
    <w:rsid w:val="00FA64B2"/>
    <w:rsid w:val="00FB5F4D"/>
    <w:rsid w:val="00FF74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69C7"/>
    <w:pPr>
      <w:spacing w:after="0" w:line="240" w:lineRule="auto"/>
    </w:pPr>
  </w:style>
  <w:style w:type="character" w:styleId="Hyperlink">
    <w:name w:val="Hyperlink"/>
    <w:basedOn w:val="DefaultParagraphFont"/>
    <w:rsid w:val="00B72EF8"/>
    <w:rPr>
      <w:color w:val="0563C1"/>
      <w:u w:val="single"/>
    </w:rPr>
  </w:style>
  <w:style w:type="paragraph" w:styleId="Header">
    <w:name w:val="header"/>
    <w:basedOn w:val="Normal"/>
    <w:link w:val="HeaderChar"/>
    <w:uiPriority w:val="99"/>
    <w:rsid w:val="00B72EF8"/>
    <w:pPr>
      <w:tabs>
        <w:tab w:val="center" w:pos="4536"/>
        <w:tab w:val="right" w:pos="9072"/>
      </w:tabs>
      <w:suppressAutoHyphens/>
      <w:autoSpaceDN w:val="0"/>
      <w:spacing w:after="0" w:line="240" w:lineRule="auto"/>
      <w:textAlignment w:val="baseline"/>
    </w:pPr>
    <w:rPr>
      <w:rFonts w:ascii="Calibri" w:eastAsia="Calibri" w:hAnsi="Calibri" w:cs="Times New Roman"/>
      <w:lang w:eastAsia="en-US"/>
    </w:rPr>
  </w:style>
  <w:style w:type="character" w:customStyle="1" w:styleId="HeaderChar">
    <w:name w:val="Header Char"/>
    <w:basedOn w:val="DefaultParagraphFont"/>
    <w:link w:val="Header"/>
    <w:uiPriority w:val="99"/>
    <w:rsid w:val="00B72EF8"/>
    <w:rPr>
      <w:rFonts w:ascii="Calibri" w:eastAsia="Calibri" w:hAnsi="Calibri" w:cs="Times New Roman"/>
      <w:lang w:eastAsia="en-US"/>
    </w:rPr>
  </w:style>
  <w:style w:type="paragraph" w:customStyle="1" w:styleId="NoSpacing1">
    <w:name w:val="No Spacing1"/>
    <w:rsid w:val="00B72EF8"/>
    <w:pPr>
      <w:autoSpaceDN w:val="0"/>
      <w:spacing w:after="0" w:line="240" w:lineRule="auto"/>
      <w:textAlignment w:val="baseline"/>
    </w:pPr>
    <w:rPr>
      <w:rFonts w:ascii="Calibri" w:eastAsia="Times New Roman" w:hAnsi="Calibri" w:cs="Times New Roman"/>
      <w:lang w:eastAsia="en-US"/>
    </w:rPr>
  </w:style>
  <w:style w:type="paragraph" w:styleId="ListParagraph">
    <w:name w:val="List Paragraph"/>
    <w:aliases w:val="Header bold,bullets,Normal bullet 2,Arial,EU,Bullet line,Forth level,Citation List,heading 7,Obiekt,za tekst,Odstavek seznama_IP,List Paragraph111,Listă paragra,List Paragraph3,Lettre d'introduction,List Paragraph1111,List Paragraph11111"/>
    <w:basedOn w:val="Normal"/>
    <w:link w:val="ListParagraphChar"/>
    <w:uiPriority w:val="34"/>
    <w:qFormat/>
    <w:rsid w:val="00BC6137"/>
    <w:pPr>
      <w:ind w:left="720"/>
      <w:contextualSpacing/>
    </w:pPr>
  </w:style>
  <w:style w:type="paragraph" w:styleId="Footer">
    <w:name w:val="footer"/>
    <w:basedOn w:val="Normal"/>
    <w:link w:val="FooterChar"/>
    <w:uiPriority w:val="99"/>
    <w:unhideWhenUsed/>
    <w:rsid w:val="00BC61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137"/>
  </w:style>
  <w:style w:type="character" w:customStyle="1" w:styleId="NoSpacingChar">
    <w:name w:val="No Spacing Char"/>
    <w:link w:val="NoSpacing"/>
    <w:uiPriority w:val="1"/>
    <w:rsid w:val="00FF7420"/>
  </w:style>
  <w:style w:type="table" w:styleId="TableGrid">
    <w:name w:val="Table Grid"/>
    <w:basedOn w:val="TableNormal"/>
    <w:uiPriority w:val="39"/>
    <w:qFormat/>
    <w:rsid w:val="009A39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er bold Char,bullets Char,Normal bullet 2 Char,Arial Char,EU Char,Bullet line Char,Forth level Char,Citation List Char,heading 7 Char,Obiekt Char,za tekst Char,Odstavek seznama_IP Char,List Paragraph111 Char,Listă paragra Char"/>
    <w:link w:val="ListParagraph"/>
    <w:uiPriority w:val="34"/>
    <w:qFormat/>
    <w:locked/>
    <w:rsid w:val="009A3997"/>
  </w:style>
  <w:style w:type="character" w:styleId="Strong">
    <w:name w:val="Strong"/>
    <w:basedOn w:val="DefaultParagraphFont"/>
    <w:uiPriority w:val="22"/>
    <w:qFormat/>
    <w:rsid w:val="00685770"/>
    <w:rPr>
      <w:rFonts w:cs="Times New Roman"/>
      <w:b/>
      <w:bCs/>
    </w:rPr>
  </w:style>
  <w:style w:type="paragraph" w:styleId="NormalWeb">
    <w:name w:val="Normal (Web)"/>
    <w:basedOn w:val="Normal"/>
    <w:uiPriority w:val="99"/>
    <w:unhideWhenUsed/>
    <w:rsid w:val="006B38F2"/>
    <w:pPr>
      <w:spacing w:before="100" w:beforeAutospacing="1" w:after="100" w:afterAutospacing="1" w:line="240" w:lineRule="auto"/>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1A4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6E0D-52D7-4339-B055-410D3987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1871</Words>
  <Characters>10668</Characters>
  <Application>Microsoft Office Word</Application>
  <DocSecurity>0</DocSecurity>
  <Lines>88</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Imagine3</cp:lastModifiedBy>
  <cp:revision>52</cp:revision>
  <cp:lastPrinted>2025-11-18T13:58:00Z</cp:lastPrinted>
  <dcterms:created xsi:type="dcterms:W3CDTF">2025-10-19T19:01:00Z</dcterms:created>
  <dcterms:modified xsi:type="dcterms:W3CDTF">2025-11-27T07:44:00Z</dcterms:modified>
</cp:coreProperties>
</file>