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3A5DFB">
      <w:pPr>
        <w:pStyle w:val="27"/>
        <w:keepNext w:val="0"/>
        <w:keepLines w:val="0"/>
        <w:pageBreakBefore w:val="0"/>
        <w:kinsoku/>
        <w:wordWrap/>
        <w:overflowPunct/>
        <w:topLinePunct w:val="0"/>
        <w:bidi w:val="0"/>
        <w:snapToGrid/>
        <w:spacing w:after="0" w:line="240" w:lineRule="auto"/>
        <w:ind w:left="0" w:right="0"/>
        <w:rPr>
          <w:rFonts w:hint="default" w:cs="Arial Black" w:asciiTheme="minorAscii" w:hAnsiTheme="minorAscii"/>
          <w:b/>
          <w:bCs/>
          <w:strike w:val="0"/>
          <w:dstrike w:val="0"/>
          <w:color w:val="000000" w:themeColor="text1"/>
          <w:sz w:val="20"/>
          <w:szCs w:val="20"/>
          <w:lang w:val="ro-RO"/>
          <w14:textFill>
            <w14:solidFill>
              <w14:schemeClr w14:val="tx1"/>
            </w14:solidFill>
          </w14:textFill>
        </w:rPr>
      </w:pPr>
      <w:r>
        <w:rPr>
          <w:rFonts w:hint="default" w:cs="Arial Black" w:asciiTheme="minorAscii" w:hAnsiTheme="minorAscii"/>
          <w:b/>
          <w:bCs/>
          <w:strike w:val="0"/>
          <w:dstrike w:val="0"/>
          <w:color w:val="000000" w:themeColor="text1"/>
          <w:sz w:val="20"/>
          <w:szCs w:val="20"/>
          <w:lang w:val="ro-RO"/>
          <w14:textFill>
            <w14:solidFill>
              <w14:schemeClr w14:val="tx1"/>
            </w14:solidFill>
          </w14:textFill>
        </w:rPr>
        <w:t xml:space="preserve">ANEXA nr. 1  </w:t>
      </w:r>
    </w:p>
    <w:p w14:paraId="39F9C0D9">
      <w:pPr>
        <w:keepNext w:val="0"/>
        <w:keepLines w:val="0"/>
        <w:pageBreakBefore w:val="0"/>
        <w:tabs>
          <w:tab w:val="left" w:pos="4680"/>
        </w:tabs>
        <w:kinsoku/>
        <w:wordWrap/>
        <w:overflowPunct/>
        <w:topLinePunct w:val="0"/>
        <w:bidi w:val="0"/>
        <w:snapToGrid/>
        <w:spacing w:after="0" w:line="240" w:lineRule="auto"/>
        <w:ind w:left="0" w:right="0"/>
        <w:jc w:val="center"/>
        <w:rPr>
          <w:rFonts w:hint="default" w:eastAsia="Times New Roman" w:cs="Arial Black" w:asciiTheme="minorAscii" w:hAnsiTheme="minorAscii"/>
          <w:b/>
          <w:bCs/>
          <w:strike w:val="0"/>
          <w:dstrike w:val="0"/>
          <w:color w:val="000000" w:themeColor="text1"/>
          <w:sz w:val="20"/>
          <w:szCs w:val="20"/>
          <w:lang w:val="ro-RO"/>
          <w14:textFill>
            <w14:solidFill>
              <w14:schemeClr w14:val="tx1"/>
            </w14:solidFill>
          </w14:textFill>
        </w:rPr>
      </w:pPr>
      <w:r>
        <w:rPr>
          <w:rFonts w:hint="default" w:eastAsia="Times New Roman" w:cs="Arial Black" w:asciiTheme="minorAscii" w:hAnsiTheme="minorAscii"/>
          <w:b/>
          <w:bCs/>
          <w:strike w:val="0"/>
          <w:dstrike w:val="0"/>
          <w:color w:val="000000" w:themeColor="text1"/>
          <w:sz w:val="20"/>
          <w:szCs w:val="20"/>
          <w:lang w:val="ro-RO"/>
          <w14:textFill>
            <w14:solidFill>
              <w14:schemeClr w14:val="tx1"/>
            </w14:solidFill>
          </w14:textFill>
        </w:rPr>
        <w:t xml:space="preserve"> La HOTĂRÂREA CONSILIULUI LOCAL   nr.151 din 18.12.2025  </w:t>
      </w:r>
    </w:p>
    <w:p w14:paraId="3D68203F">
      <w:pPr>
        <w:keepNext w:val="0"/>
        <w:keepLines w:val="0"/>
        <w:pageBreakBefore w:val="0"/>
        <w:kinsoku/>
        <w:wordWrap/>
        <w:overflowPunct/>
        <w:topLinePunct w:val="0"/>
        <w:bidi w:val="0"/>
        <w:snapToGrid/>
        <w:spacing w:after="0" w:line="240" w:lineRule="auto"/>
        <w:ind w:left="0" w:right="0"/>
        <w:jc w:val="center"/>
        <w:rPr>
          <w:rFonts w:hint="default" w:eastAsia="Times New Roman" w:cs="Arial Black" w:asciiTheme="minorAscii" w:hAnsiTheme="minorAscii"/>
          <w:b/>
          <w:bCs/>
          <w:strike w:val="0"/>
          <w:dstrike w:val="0"/>
          <w:color w:val="000000" w:themeColor="text1"/>
          <w:sz w:val="20"/>
          <w:szCs w:val="20"/>
          <w:lang w:val="ro-RO" w:eastAsia="ro-RO"/>
          <w14:textFill>
            <w14:solidFill>
              <w14:schemeClr w14:val="tx1"/>
            </w14:solidFill>
          </w14:textFill>
        </w:rPr>
      </w:pPr>
      <w:r>
        <w:rPr>
          <w:rFonts w:hint="default" w:eastAsia="Times New Roman" w:cs="Arial Black" w:asciiTheme="minorAscii" w:hAnsiTheme="minorAscii"/>
          <w:b/>
          <w:bCs/>
          <w:strike w:val="0"/>
          <w:dstrike w:val="0"/>
          <w:color w:val="000000" w:themeColor="text1"/>
          <w:sz w:val="20"/>
          <w:szCs w:val="20"/>
          <w:lang w:val="ro-RO" w:eastAsia="ro-RO"/>
          <w14:textFill>
            <w14:solidFill>
              <w14:schemeClr w14:val="tx1"/>
            </w14:solidFill>
          </w14:textFill>
        </w:rPr>
        <w:t>privind stabilirea impozitelor și taxelor locale, precum și a taxelor speciale</w:t>
      </w:r>
    </w:p>
    <w:p w14:paraId="5EA9DB70">
      <w:pPr>
        <w:keepNext w:val="0"/>
        <w:keepLines w:val="0"/>
        <w:pageBreakBefore w:val="0"/>
        <w:kinsoku/>
        <w:wordWrap/>
        <w:overflowPunct/>
        <w:topLinePunct w:val="0"/>
        <w:bidi w:val="0"/>
        <w:snapToGrid/>
        <w:spacing w:after="0" w:line="240" w:lineRule="auto"/>
        <w:ind w:left="0" w:right="0"/>
        <w:jc w:val="center"/>
        <w:rPr>
          <w:rFonts w:hint="default" w:eastAsia="Times New Roman" w:cs="Arial Black" w:asciiTheme="minorAscii" w:hAnsiTheme="minorAscii"/>
          <w:b/>
          <w:bCs/>
          <w:strike w:val="0"/>
          <w:dstrike w:val="0"/>
          <w:color w:val="000000" w:themeColor="text1"/>
          <w:sz w:val="20"/>
          <w:szCs w:val="20"/>
          <w:lang w:val="ro-RO" w:eastAsia="ro-RO"/>
          <w14:textFill>
            <w14:solidFill>
              <w14:schemeClr w14:val="tx1"/>
            </w14:solidFill>
          </w14:textFill>
        </w:rPr>
      </w:pPr>
      <w:r>
        <w:rPr>
          <w:rFonts w:hint="default" w:eastAsia="Times New Roman" w:cs="Arial Black" w:asciiTheme="minorAscii" w:hAnsiTheme="minorAscii"/>
          <w:b/>
          <w:bCs/>
          <w:strike w:val="0"/>
          <w:dstrike w:val="0"/>
          <w:color w:val="000000" w:themeColor="text1"/>
          <w:sz w:val="20"/>
          <w:szCs w:val="20"/>
          <w:lang w:val="ro-RO" w:eastAsia="ro-RO"/>
          <w14:textFill>
            <w14:solidFill>
              <w14:schemeClr w14:val="tx1"/>
            </w14:solidFill>
          </w14:textFill>
        </w:rPr>
        <w:t xml:space="preserve"> pe anul 2026</w:t>
      </w:r>
    </w:p>
    <w:p w14:paraId="35544DA0">
      <w:pPr>
        <w:pStyle w:val="27"/>
        <w:keepNext w:val="0"/>
        <w:keepLines w:val="0"/>
        <w:pageBreakBefore w:val="0"/>
        <w:kinsoku/>
        <w:wordWrap/>
        <w:overflowPunct/>
        <w:topLinePunct w:val="0"/>
        <w:bidi w:val="0"/>
        <w:snapToGrid/>
        <w:spacing w:after="0" w:line="240" w:lineRule="auto"/>
        <w:ind w:left="0" w:right="0"/>
        <w:rPr>
          <w:rFonts w:hint="default" w:cs="Arial Black" w:asciiTheme="minorAscii" w:hAnsiTheme="minorAscii"/>
          <w:b/>
          <w:bCs/>
          <w:strike w:val="0"/>
          <w:dstrike w:val="0"/>
          <w:color w:val="000000" w:themeColor="text1"/>
          <w:sz w:val="20"/>
          <w:szCs w:val="20"/>
          <w:lang w:val="ro-RO"/>
          <w14:textFill>
            <w14:solidFill>
              <w14:schemeClr w14:val="tx1"/>
            </w14:solidFill>
          </w14:textFill>
        </w:rPr>
      </w:pPr>
      <w:r>
        <w:rPr>
          <w:rFonts w:hint="default" w:cs="Arial Black" w:asciiTheme="minorAscii" w:hAnsiTheme="minorAscii"/>
          <w:b/>
          <w:bCs/>
          <w:strike w:val="0"/>
          <w:dstrike w:val="0"/>
          <w:color w:val="000000" w:themeColor="text1"/>
          <w:sz w:val="20"/>
          <w:szCs w:val="20"/>
          <w:lang w:val="ro-RO"/>
          <w14:textFill>
            <w14:solidFill>
              <w14:schemeClr w14:val="tx1"/>
            </w14:solidFill>
          </w14:textFill>
        </w:rPr>
        <w:t>(actualizat conf. Lege 239/2025 și OUG nr.78/2025)</w:t>
      </w:r>
    </w:p>
    <w:p w14:paraId="7E32C937">
      <w:pPr>
        <w:pStyle w:val="27"/>
        <w:keepNext w:val="0"/>
        <w:keepLines w:val="0"/>
        <w:pageBreakBefore w:val="0"/>
        <w:kinsoku/>
        <w:wordWrap/>
        <w:overflowPunct/>
        <w:topLinePunct w:val="0"/>
        <w:bidi w:val="0"/>
        <w:snapToGrid/>
        <w:spacing w:after="0" w:line="240" w:lineRule="auto"/>
        <w:ind w:left="0" w:right="0"/>
        <w:rPr>
          <w:rFonts w:hint="default" w:cs="Arial Black" w:asciiTheme="minorAscii" w:hAnsiTheme="minorAscii"/>
          <w:b w:val="0"/>
          <w:bCs w:val="0"/>
          <w:strike w:val="0"/>
          <w:dstrike w:val="0"/>
          <w:color w:val="000000" w:themeColor="text1"/>
          <w:sz w:val="20"/>
          <w:szCs w:val="20"/>
          <w:lang w:val="ro-RO"/>
          <w14:textFill>
            <w14:solidFill>
              <w14:schemeClr w14:val="tx1"/>
            </w14:solidFill>
          </w14:textFill>
        </w:rPr>
      </w:pPr>
    </w:p>
    <w:p w14:paraId="7D5E37DD">
      <w:pPr>
        <w:pStyle w:val="27"/>
        <w:keepNext w:val="0"/>
        <w:keepLines w:val="0"/>
        <w:pageBreakBefore w:val="0"/>
        <w:kinsoku/>
        <w:wordWrap/>
        <w:overflowPunct/>
        <w:topLinePunct w:val="0"/>
        <w:bidi w:val="0"/>
        <w:snapToGrid/>
        <w:spacing w:after="0" w:line="240" w:lineRule="auto"/>
        <w:ind w:left="0" w:right="0"/>
        <w:rPr>
          <w:rFonts w:hint="default" w:cs="Arial Black" w:asciiTheme="minorAscii" w:hAnsiTheme="minorAscii"/>
          <w:b/>
          <w:bCs/>
          <w:strike w:val="0"/>
          <w:dstrike w:val="0"/>
          <w:color w:val="000000" w:themeColor="text1"/>
          <w:sz w:val="20"/>
          <w:szCs w:val="20"/>
          <w:lang w:val="ro-RO"/>
          <w14:textFill>
            <w14:solidFill>
              <w14:schemeClr w14:val="tx1"/>
            </w14:solidFill>
          </w14:textFill>
        </w:rPr>
      </w:pPr>
      <w:r>
        <w:rPr>
          <w:rFonts w:hint="default" w:cs="Arial Black" w:asciiTheme="minorAscii" w:hAnsiTheme="minorAscii"/>
          <w:b/>
          <w:bCs/>
          <w:strike w:val="0"/>
          <w:dstrike w:val="0"/>
          <w:color w:val="000000" w:themeColor="text1"/>
          <w:sz w:val="20"/>
          <w:szCs w:val="20"/>
          <w:lang w:val="ro-RO"/>
          <w14:textFill>
            <w14:solidFill>
              <w14:schemeClr w14:val="tx1"/>
            </w14:solidFill>
          </w14:textFill>
        </w:rPr>
        <w:t>T A B L O U L</w:t>
      </w:r>
    </w:p>
    <w:p w14:paraId="22922747">
      <w:pPr>
        <w:pStyle w:val="27"/>
        <w:keepNext w:val="0"/>
        <w:keepLines w:val="0"/>
        <w:pageBreakBefore w:val="0"/>
        <w:kinsoku/>
        <w:wordWrap/>
        <w:overflowPunct/>
        <w:topLinePunct w:val="0"/>
        <w:bidi w:val="0"/>
        <w:snapToGrid/>
        <w:spacing w:after="0" w:line="240" w:lineRule="auto"/>
        <w:ind w:left="0" w:right="0"/>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bCs/>
          <w:strike w:val="0"/>
          <w:dstrike w:val="0"/>
          <w:color w:val="000000" w:themeColor="text1"/>
          <w:sz w:val="20"/>
          <w:szCs w:val="20"/>
          <w:lang w:val="ro-RO"/>
          <w14:textFill>
            <w14:solidFill>
              <w14:schemeClr w14:val="tx1"/>
            </w14:solidFill>
          </w14:textFill>
        </w:rPr>
        <w:t>cuprinzând cotele, valorile  impozabile, nivelurile impozitelor și taxelor locale, taxele speciale și amenzile care se stabilesc, se actualizează sau se ajustează, după caz, de către Consiliul Local al UAT Bucoșnița, în limitele și în condițiile titlului IX din Legea nr. 227/2015 privind Codul fiscal,  Titlul IX – Impozite și taxe locale,cu modificările și completările ulte</w:t>
      </w: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 xml:space="preserve">rioare </w:t>
      </w:r>
    </w:p>
    <w:p w14:paraId="0000000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Art. 1. (453) - Definiţii </w:t>
      </w:r>
    </w:p>
    <w:p w14:paraId="0D828F5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În înţelesul prezentului titlu, expresiile de mai jos au următoarele semnificaţii:</w:t>
      </w:r>
    </w:p>
    <w:p w14:paraId="0000000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a) activitate economică - orice activitate care constă în furnizarea de bunuri, servicii şi lucrări  pe o piaţă;  </w:t>
      </w:r>
    </w:p>
    <w:p w14:paraId="0000000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7"/>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b) clădire - orice construcţie situată deasupra solului şi/sau sub nivelul acestuia, indiferent de  denumirea ori de folosinţa sa, şi care are una sau mai multe încăperi ce pot servi la adăpostirea  de oameni, animale, obiecte, produse, materiale, instalaţii, echipamente şi altele asemenea, iar  elementele structurale de bază ale acesteia sunt pereţii şi acoperişul, indiferent de materialele  din care sunt construite, </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inclusiv construcţiile reprezentând turnurile de susţinere a turbinelor  eoliene şi fundaţiile acestora </w:t>
      </w:r>
    </w:p>
    <w:p w14:paraId="0000000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8"/>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c) clădire-anexă - clădiri situate în afara clădirii de locuit, precum: bucătării, grajduri, pivniţe,  cămări, pătule, magazii, depozite, garaje şi altele asemenea;  </w:t>
      </w:r>
    </w:p>
    <w:p w14:paraId="497AC20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d) clădire cu destinaţie mixtă - clădire folosită atât în scop rezidenţial, cât şi nerezidenţial;   </w:t>
      </w:r>
    </w:p>
    <w:p w14:paraId="0000000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e) clădire nerezidenţială - orice clădire care nu este rezidenţială;  </w:t>
      </w:r>
    </w:p>
    <w:p w14:paraId="0000000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f) clădire rezidenţială - construcţie alcătuită din una sau mai multe camere folosite pentru  locuit, cu dependinţele, dotările şi utilităţile necesare, care satisface cerinţele de locuit ale unei  persoane sau familii;  </w:t>
      </w:r>
    </w:p>
    <w:p w14:paraId="0000000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8"/>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g) nomenclatură stradală - lista care conţine denumirile tuturor străzilor dintr-o unitate  administrativ-teritorială, numerele de identificare a imobilelor pe fiecare stradă în parte, precum  şi titularul dreptului de proprietate al fiecărui imobil; nomenclatura stradală se organizează pe  fiecare localitate rurală şi urbană şi reprezintă evidenţa primară unitară care serveşte la  atribuirea adresei domiciliului/reşedinţei persoanei fizice, a sediului persoanei juridice, precum  şi a fiecărui imobil, teren şi/sau clădire;  </w:t>
      </w:r>
    </w:p>
    <w:p w14:paraId="580359A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h) rangul unei localităţi - rangul atribuit unei localităţi conform legii;   </w:t>
      </w:r>
    </w:p>
    <w:p w14:paraId="0000000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h</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superscript"/>
          <w:rtl w:val="0"/>
          <w14:textFill>
            <w14:solidFill>
              <w14:schemeClr w14:val="tx1"/>
            </w14:solidFill>
          </w14:textFill>
        </w:rPr>
        <w:t>1</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terenul aferent clădirii de domiciliu - terenul proprietăţii identificat prin adresa acestuia,  individualizată prin denumire proprie a străzii şi numărul poştal atribuit de la adresa de  domiciliu; </w:t>
      </w:r>
    </w:p>
    <w:p w14:paraId="0000000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i) zone din cadrul localităţii - zone stabilite de consiliul local, în funcţie de poziţia terenului  faţă de centrul localităţii, de reţelele edilitare, precum şi de alte elemente specifice fiecărei  unităţi administrativ-teritoriale, conform documentaţiilor de amenajare a teritoriului şi de  urbanism, registrelor agricole, evidenţelor specifice cadastrului imobiliar-edilitar sau altor  evidenţe agricole sau cadastrale care pot afecta valoarea terenului.  </w:t>
      </w:r>
    </w:p>
    <w:p w14:paraId="0000000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Art. </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t xml:space="preserve"> art</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(454) - Impozite şi taxe locale </w:t>
      </w:r>
    </w:p>
    <w:p w14:paraId="0000001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Impozitele şi taxele locale sunt după cum urmează:  </w:t>
      </w:r>
    </w:p>
    <w:p w14:paraId="0000001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a) impozitul pe clădiri şi taxa pe clădiri;  </w:t>
      </w:r>
    </w:p>
    <w:p w14:paraId="0000001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b) impozitul pe teren şi taxa pe teren;  </w:t>
      </w:r>
    </w:p>
    <w:p w14:paraId="0000001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c) impozitul pe mijloacele de transport;  </w:t>
      </w:r>
    </w:p>
    <w:p w14:paraId="0000001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d) taxa pentru eliberarea certificatelor, avizelor şi autorizaţiilor;  </w:t>
      </w:r>
    </w:p>
    <w:p w14:paraId="0000001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e) taxa pentru folosirea mijloacelor de reclamă şi publicitate;  </w:t>
      </w:r>
    </w:p>
    <w:p w14:paraId="0000001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f) impozitul pe spectacole;  </w:t>
      </w:r>
    </w:p>
    <w:p w14:paraId="0000001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g) taxele speciale;  </w:t>
      </w:r>
    </w:p>
    <w:p w14:paraId="0000001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1200" w:firstLineChars="60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h) alte taxe locale. </w:t>
      </w:r>
      <w:r>
        <w:rPr>
          <w:rFonts w:hint="default" w:eastAsia="Verdana"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w:t>
      </w:r>
    </w:p>
    <w:p w14:paraId="0000001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Impozitul pe clădiri şi taxa pe clădiri  </w:t>
      </w:r>
    </w:p>
    <w:p w14:paraId="0000001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lang w:val="ro-RO"/>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Art. 3. (455) - Reguli generale </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t>.</w:t>
      </w:r>
    </w:p>
    <w:p w14:paraId="0000001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(1) Orice persoană care are în proprietate o clădire situată în România datorează anual impozit  pentru acea clădire, exceptând cazul în care în prezentul titlu se prevede diferit.   (2) Pentru clădirile aflate în domeniul public sau privat al statului ori al unităţilor  administrativ - teritoriale, concesionate, închiriate, date în administrare ori în folosinţă, după  caz, oricăror entităţi, altele decât cele de drept public, se stabileşte taxa pe clădiri, care se  datorează de concesionari, locatari, titularii dreptului de administrare sau de folosinţă, după caz,  în condiţii similare impozitului pe clădiri. În cazul transmiterii ulterioare altor entităţi a  dreptului de concesiune, închiriere, administrare sau folosinţă asupra clădirii, taxa se datorează  de persoana care are relaţia contractuală cu persoana de drept public. </w:t>
      </w:r>
    </w:p>
    <w:p w14:paraId="0000001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(3) Impozitul prevăzut la alin. (1), denumit în continuare impozit pe clădiri, precum şi taxa  pe clădiri prevăzută la alin. (2) se datorează către bugetul local al comunei, al oraşului sau al  municipiului în care este amplasată clădirea. </w:t>
      </w:r>
    </w:p>
    <w:p w14:paraId="0000002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55"/>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(4) În cazul clădirilor care fac obiectul unor contracte de concesiune, închiriere, administrare  sau folosinţă ce se referă la perioade mai mari de o lună, taxa pe clădiri se stabileşte proporţional  cu numărul de luni pentru care este constituit dreptul de concesiune, închiriere, administrare ori  folosinţă. Pentru fracţiunile mai mici de o lună, taxa se calculează proporţional cu numărul de  zile din luna respectivă.  </w:t>
      </w:r>
    </w:p>
    <w:p w14:paraId="0DE407B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(4</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superscript"/>
          <w:rtl w:val="0"/>
          <w14:textFill>
            <w14:solidFill>
              <w14:schemeClr w14:val="tx1"/>
            </w14:solidFill>
          </w14:textFill>
        </w:rPr>
        <w:t>1</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În cazul clădirilor care fac obiectul unor contracte de concesiune, închiriere, administrare  sau folosinţă ce se referă la perioade mai mici de o lună, taxa pe clădiri se datorează proporţional  cu numărul de zile sau de ore prevăzute în contract. </w:t>
      </w:r>
    </w:p>
    <w:p w14:paraId="0000002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(5) Pe perioada în care pentru o clădire se plăteşte taxa pe clădiri, nu se datorează impozitul  pe clădiri. </w:t>
      </w:r>
    </w:p>
    <w:p w14:paraId="0000002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(5</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superscript"/>
          <w:rtl w:val="0"/>
          <w14:textFill>
            <w14:solidFill>
              <w14:schemeClr w14:val="tx1"/>
            </w14:solidFill>
          </w14:textFill>
        </w:rPr>
        <w:t>1</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În cazul în care pentru o clădire aflată în domeniul public sau privat al statului ori al unităţii administrativ - teritoriale se datorează impozit pe clădiri, iar în cursul unui an apar  situaţii care determină datorarea taxei pe clădiri, diferenţa de impozit pentru perioada pe care  se datorează taxa pe clădiri se compensează sau se restituie contribuabilului în anul fiscal  următor.  </w:t>
      </w:r>
    </w:p>
    <w:p w14:paraId="25C8F95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(6) În cazul în care o clădire se află în proprietatea comună a două sau mai multe persoane,  fiecare dintre proprietarii comuni ai clădirii datorează impozitul pentru spaţiile situate în partea  din clădire aflată în proprietatea sa. În cazul în care nu se pot stabili părţile individuale ale  proprietarilor în comun, fiecare proprietar în comun datorează o parte egală din impozitul pentru  clădirea respectivă. </w:t>
      </w:r>
    </w:p>
    <w:p w14:paraId="0000002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Art. 4. (456) - Scutiri  </w:t>
      </w:r>
    </w:p>
    <w:p w14:paraId="0000002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(1) Nu se datorează impozit/taxă pe clădiri pentru:  </w:t>
      </w:r>
    </w:p>
    <w:p w14:paraId="0000002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6"/>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a) clădirile aflate în domeniul public sau privat al statului ori al unităților administrativ teritoriale, cu excepția încăperilor folosite pentru activități economice sau agrement, altele decât  cele desfășurate în relație cu persoane juridice de drept public;  </w:t>
      </w:r>
    </w:p>
    <w:p w14:paraId="0000002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1"/>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b) clădirile aflate în domeniul privat al statului concesionate, închiriate, date în administrare ori  în folosință, după caz, instituțiilor publice cu finanțare de la bugetul de stat, utilizate pentru  activitatea proprie a acestora;  </w:t>
      </w:r>
    </w:p>
    <w:p w14:paraId="0000002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6"/>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c) clădirile care, prin destinație, constituie lăcașuri de cult, aparținând cultelor religioase  recunoscute oficial, asociațiilor religioase și componentelor locale ale acestora, precum și  casele parohiale, cu excepția încăperilor folosite pentru activități economice;  d) clădirile funerare din cimitire și crematorii;  </w:t>
      </w:r>
    </w:p>
    <w:p w14:paraId="0000002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9"/>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e) clădirile utilizate de unitățile și instituțiile de învățământ de stat, confesional sau particular,  autorizate să funcționeze provizoriu ori acreditate, cu excepția încăperilor care sunt folosite  pentru activități economice care generează alte venituri decât cele din taxele de școlarizare, </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t>s</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ervirea meselor pentru preșcolari, elevi sau studenți și cazarea acestora, precum și clădirile  utilizate de către creșe;  </w:t>
      </w:r>
    </w:p>
    <w:p w14:paraId="0000002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9"/>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f) clădirile utilizate de unitățile sanitare publice, cu excepția încăperilor folosite pentru activități  economice, precum și pentru clădirile în care funcționează cabinete de medicină de familie,  potrivit legii, cu excepția încăperilor folosite pentru altă activitate decât cea de medicină de  familie;  </w:t>
      </w:r>
    </w:p>
    <w:p w14:paraId="0000002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7"/>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g) clădirile din parcurile industriale, parcurile științifice și tehnologice, precum și cele utilizate  de incubatoarele de afaceri, cu respectarea legislației în materia ajutorului de stat;  h) clădirile noi realizate ca parte a unor proiecte investiționale din domeniul industriei  prelucrătoare, depozitării și logisticii, pe baza procesului-verbal de recepție finală întocmit la  terminarea lucrărilor, în condițiile legii, pentru o perioadă de 2 ani de la recepția acestora,  începând cu data de 1 ianuarie a anului următor celui în care a avut loc recepția și cu respectarea  legislației în materia ajutorului de stat; activitățile ce intră sub incidența prevederii se stabilesc  prin normele metodologice date în aplicarea prezentului cod;  </w:t>
      </w:r>
    </w:p>
    <w:p w14:paraId="0000002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7"/>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i) clădirile care sunt afectate activităților hidrotehnice, hidrometrice, hidrometeorologice,  oceanografice, de îmbunătățiri funciare și de intervenții la apărarea împotriva inundațiilor,  precum și clădirile din porturi și cele afectate canalelor navigabile și stațiilor de pompare  aferente canalelor, cu excepția încăperilor care sunt folosite pentru activități economice;  </w:t>
      </w:r>
    </w:p>
    <w:p w14:paraId="0000002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2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j) clădirile care, prin natura lor, fac corp comun cu poduri, viaducte, apeducte, diguri, baraje și  tuneluri și care sunt utilizate pentru exploatarea acestor construcții, cu excepția încăperilor care  sunt folosite pentru alte activități economice;  </w:t>
      </w:r>
    </w:p>
    <w:p w14:paraId="0000003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k) clădirile aferente infrastructurii feroviare publice sau infrastructurii metroului, cu excepția  încăperilor folosite pentru activități economice;  </w:t>
      </w:r>
    </w:p>
    <w:p w14:paraId="0000003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5"/>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l) clădirile Academiei Române și ale fundațiilor proprii înființate de Academia Română, în  calitate de fondator unic cu excepția încăperilor care sunt folosite pentru activități economice;  m) clădirile aferente capacităților de producție care sunt în sectorul pentru apărare cu  respectarea legislației în materia ajutorului de stat;  </w:t>
      </w:r>
    </w:p>
    <w:p w14:paraId="0000003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n) clădirile destinate serviciului de apostilă și supralegalizare, cele destinate depozitării și  administrării arhivei, precum și clădirile afectate funcționării Centrului Național de  Administrare a Registrelor Naționale Notariale;  </w:t>
      </w:r>
    </w:p>
    <w:p w14:paraId="0000003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7"/>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o) clădirea folosită ca domiciliu aflată în proprietatea sau coproprietatea persoanelor prevăzute  la art. 1 din Decretul-lege nr. 118/1990 privind acordarea unor drepturi persoanelor persecutate  din motive politice de dictatura instaurată cu începere de la 6 martie 1945, precum și celor  deportate în străinătate ori constituite în prizonieri, republicat, cu modificările și completările  ulterioare, și a persoanelor fizice prevăzute la art. 1 din Ordonanța Guvernului nr. 105/1999,  republicată, cu modificările și completările ulterioare;  </w:t>
      </w:r>
    </w:p>
    <w:p w14:paraId="371A792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9"/>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p) clădirea folosită ca domiciliu aflată în proprietatea sau coproprietatea veteranilor de război,  a văduvelor de război și a văduvelor nerecăsătorite ale veteranilor de război. </w:t>
      </w:r>
    </w:p>
    <w:p w14:paraId="0000003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9"/>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(2) Consiliul local poate hotărî să acorde scutirea sau reducerea impozitului/taxei pe  clădiri datorate pentru următoarele clădiri</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t>, în funcție de solicitări</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w:t>
      </w:r>
    </w:p>
    <w:p w14:paraId="0000003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8"/>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a) clădirile care, potrivit legii, sunt clasate ca muzee ori case memoriale;  b) clădirile utilizate pentru furnizarea de servicii sociale de către organizații neguvernamentale  și întreprinderi sociale ca furnizori de servicii sociale, primite în folosință gratuită;  c) clădirile aflate în proprietatea organizațiilor nonprofit și clădirile utilizate de organizațiile  nonprofit primite în folosință gratuită, folosite exclusiv pentru activitățile fără scop lucrativ;  d) clădirile restituite potrivit art. 16 din Legea nr. 10/2001 privind regimul juridic al unor  imobile preluate în mod abuziv în perioada 6 martie 1945–22 decembrie 1989, republicată, cu  modificările și completările ulterioare, pentru perioada pentru care proprietarul menține  afectațiunea de interes public;  </w:t>
      </w:r>
    </w:p>
    <w:p w14:paraId="0000003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9"/>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e) clădirile retrocedate potrivit art. 1 alin. (10) din Ordonanța de urgență a Guvernului nr.  94/2000 privind retrocedarea unor bunuri imobile care au aparținut cultelor religioase din  România, republicată, cu modificările și completările ulterioare, pentru perioada pentru care  proprietarul menține afectațiunea de interes public;  </w:t>
      </w:r>
    </w:p>
    <w:p w14:paraId="0000003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9"/>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f) clădirile restituite potrivit art. 1 alin. (5) din Ordonanța de urgență a Guvernului nr. 83/1999  privind restituirea unor bunuri imobile care au aparținut comunităților cetățenilor aparținând minorităților naționale din România, republicată, cu modificările ulterioare, pentru perioada  pentru care proprietarul menține afectațiunea de interes public;  </w:t>
      </w:r>
    </w:p>
    <w:p w14:paraId="0000003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6"/>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g) clădirile rezidențiale afectate de calamități naturale, pentru o perioadă de până la 2 ani,  începând cu data de 1 ianuarie a anului următor celui în care s-a produs evenimentul;  h) clădirile rezidențiale la care proprietarii au executat pe cheltuială proprie lucrări de  intervenție pentru creșterea performanței energetice, pe baza procesului-verbal de recepție la  terminarea lucrărilor, întocmit în condițiile legii, prin care se constată realizarea măsurilor de  intervenție recomandate de către auditorul energetic în certificatul de performanță energetică  sau, după caz, în raportul de audit energetic, astfel cum este prevăzut în Ordonanța de urgență  a Guvernului nr. 18/2009 privind creșterea performanței energetice a blocurilor de locuințe,  aprobată cu modificări și completări prin Legea nr. 158/2011, cu modificările și completările  ulterioare, precum și cele pentru care proprietarii execută pe cheltuiala proprie lucrări pentru  instalarea de sisteme de producere a energiei electrice din surse fotovoltaice sau pentru sisteme  ecologice certificate de colectare și tratare a apelor uzate rezultate din consumul propriu;  i) clădirea folosită ca domiciliu aflată în proprietatea persoanelor care locuiesc efectiv în  localitățile prevăzute în Hotărârea Guvernului nr. 323/1996 privind aprobarea Programului  special pentru sprijinirea dezvoltării economico-sociale a unor localități din Munții Apuseni, cu  modificările și completările ulterioare și în Hotărârea Guvernului nr. 395/1996 pentru aprobarea  Programului special privind unele măsuri și acțiuni pentru sprijinirea dezvoltării economico sociale a județului Tulcea și a Rezervației Biosferei „Delta Dunării”, cu modificările ulterioare,  în cazul cărora impozitul se poate reduce cu până la 50%;  </w:t>
      </w:r>
    </w:p>
    <w:p w14:paraId="0000003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j) clădirile deținute de asociațiile de dezvoltare intercomunitară;  </w:t>
      </w:r>
    </w:p>
    <w:p w14:paraId="0000003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5"/>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k) clădirile folosite de proprietar pentru desfășurarea de activități sportive, în cazul cărora  impozitul se poate reduce cu până la 50%, cu respectarea legislației în materia ajutorului de  stat;  </w:t>
      </w:r>
    </w:p>
    <w:p w14:paraId="0000003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1"/>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l) clădirile pentru care proprietarul efectuează pe cheltuială proprie intabularea în cartea  funciară, pe o perioadă de 2 ani, începând cu data de 1 ianuarie a anului următor celui în care a  avut loc intabularea;  </w:t>
      </w:r>
    </w:p>
    <w:p w14:paraId="0000003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6"/>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m) clădirile aflate în proprietatea fundațiilor înființate prin testament constituite, conform legii,  cu scopul de a întreține, dezvolta și ajuta instituții de cultură națională, precum și de a susține  acțiuni cu caracter umanitar, social și cultural;  </w:t>
      </w:r>
    </w:p>
    <w:p w14:paraId="0000003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5"/>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n) clădirile unităților sanitare private, cu excepția încăperilor care sunt folosite pentru activități  economice care generează alte venituri decât cele din domeniul sănătății, cu respectarea  legislației în materia ajutorului de stat;  </w:t>
      </w:r>
    </w:p>
    <w:p w14:paraId="0000004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8"/>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o) clădirea folosită ca domiciliu aflată în proprietatea sau coproprietatea persoanelor prevăzute  la art. 2 lit. c) – f) și j) din Legea nr. 168/2020 pentru recunoașterea meritelor personalului  participant la acțiuni militare, misiuni și operații pe teritoriul sau în afara teritoriului statului  român și acordarea unor drepturi acestuia, familiei acestuia și urmașilor celui decedat, cu  modificările și completările ulterioare;  </w:t>
      </w:r>
    </w:p>
    <w:p w14:paraId="0000004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4"/>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p) clădirile aflate în proprietatea organizațiilor cetățenilor aparținând minorităților naționale din  România, cu statut de utilitate publică, precum și cele închiriate, concesionate sau primite în  folosință de acestea de la o instituție sau o autoritate publică, cu excepția încăperilor care sunt  folosite pentru activități economice;  </w:t>
      </w:r>
    </w:p>
    <w:p w14:paraId="0000004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1"/>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r) clădirile clasate ca monumente istorice, de arhitectură sau arheologice, indiferent de titularul  dreptului de proprietate sau de administrare, care nu au fațada stradală și/sau principală renovată  sau reabilitată conform prevederilor Legii nr. 422/2001 privind protejarea monumentelor  istorice, republicată, cu modificările și completările ulterioare, pentru perioada realizării  lucrărilor de renovare sau reabilitare, începând cu data autorizației de construcție și până la data  procesului-verbal de recepție finală privind lucrările efectuate, precum și pe o perioadă de 2  ani, începând cu data de 1 ianuarie a anului următor celui în care au fost finalizate lucrările de  renovare sau reabilitare, cu respectarea legislației în materia ajutorului de stat;  </w:t>
      </w:r>
    </w:p>
    <w:p w14:paraId="0000004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3"/>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s) clădirile clasate ca monumente istorice, de arhitectură sau arheologice, indiferent de titularul  dreptului de proprietate sau de administrare, care au fațada stradală și/sau principală renovată  sau reabilitată conform prevederilor Legii nr. 422/2001, republicată, cu modificările și  completările ulterioare, cu excepția încăperilor care sunt folosite pentru activități economice, pe o perioadă de 2 ani, începând cu data de 1 ianuarie a anului următor celui în care au fost  finalizate lucrările.  </w:t>
      </w:r>
    </w:p>
    <w:p w14:paraId="0000004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7"/>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(3) În cazul clădirilor care sunt utilizate ca sere, solare, răsadnițe, ciupercării, silozuri pentru  furaje, silozuri și/sau pătule pentru depozitarea și conservarea cerealelor, cu excepția încăperilor  care sunt folosite pentru alte activități economice, impozitul se reduce cu 50%, cu respectarea  legislației în materia ajutorului de stat.  </w:t>
      </w:r>
    </w:p>
    <w:p w14:paraId="0000004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18"/>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(4) Prin hotărârea prin care s-a stabilit să se acorde scutirea sau reducerea impozitului/taxei  pe clădiri, potrivit alin. (2), se dispune și cu privire la documentele justificative pentru fiecare  situație în parte, după caz. Scutirea sau reducerea se aplică, persoanelor care dețin documente  justificative ce sunt depuse la organul fiscal local în termenul stabilit prin hotărârea consiliului  local/Consiliului General al Municipiului București și care și-au îndeplinit obligația de plată a  impozitului/taxei pentru anul fiscal anterior în termenele prevăzute de lege, începând cu data  de 1 ianuarie a anului fiscal următor celui în care a fost emisă hotărârea consiliului  local/Consiliului General al Municipiului București.  </w:t>
      </w:r>
    </w:p>
    <w:p w14:paraId="0000004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7"/>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(5) În cazul scutirii prevăzută la alin. (1) lit. o) și p), aceasta se acordă pentru întreaga clădire  de domiciliu deținută în comun cu soțul sau soția. În situația în care o cotă-parte din clădire  aparține unor terți, scutirea nu se acordă pentru cota-parte deținută de acești terți.”. </w:t>
      </w:r>
    </w:p>
    <w:p w14:paraId="29FD8B3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Art. 5. (457) - Calculul impozitului pe clădirile rezidenţiale aflate în proprietatea  persoanelor fizice  </w:t>
      </w:r>
    </w:p>
    <w:p w14:paraId="1304F2A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6"/>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(1) Pentru clădirile rezidenţiale şi clădirile-anexă, aflate în proprietatea persoanelor fizice,  impozitul pe clădiri se calculează prin aplicarea unei cote de 0,1% asupra valorii impozabile a  clădirii.  </w:t>
      </w:r>
    </w:p>
    <w:p w14:paraId="3E79FA6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7"/>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(1^1) Cota impozitului pe clădiri stabilită potrivit alin. (1) pentru anul 2026, nu poate fi mai  mică decât cota stabilită pentru anul 2025. </w:t>
      </w:r>
    </w:p>
    <w:p w14:paraId="71DDFAA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8"/>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(2) Valoarea impozabilă a clădirii, exprimată în lei, se determină prin înmulţirea suprafeţei  construite desfăşurate a acesteia, exprimată în metri pătraţi, cu valoarea impozabilă  corespunzătoare, exprimată în lei/m</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superscript"/>
          <w:rtl w:val="0"/>
          <w14:textFill>
            <w14:solidFill>
              <w14:schemeClr w14:val="tx1"/>
            </w14:solidFill>
          </w14:textFill>
        </w:rPr>
        <w:t>2</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din tabelul următor :  </w:t>
      </w:r>
    </w:p>
    <w:p w14:paraId="5A38AB8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w:t>
      </w:r>
    </w:p>
    <w:tbl>
      <w:tblPr>
        <w:tblStyle w:val="55"/>
        <w:tblpPr w:leftFromText="180" w:rightFromText="180" w:vertAnchor="text" w:horzAnchor="margin" w:tblpX="1404" w:tblpY="240"/>
        <w:tblOverlap w:val="never"/>
        <w:tblW w:w="9337"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3129"/>
        <w:gridCol w:w="2562"/>
        <w:gridCol w:w="3646"/>
      </w:tblGrid>
      <w:tr w14:paraId="48C3848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595" w:hRule="atLeast"/>
        </w:trPr>
        <w:tc>
          <w:tcPr>
            <w:tcW w:w="3129" w:type="dxa"/>
            <w:vMerge w:val="restart"/>
            <w:shd w:val="clear" w:color="auto" w:fill="auto"/>
            <w:tcMar>
              <w:top w:w="100" w:type="dxa"/>
              <w:left w:w="100" w:type="dxa"/>
              <w:bottom w:w="100" w:type="dxa"/>
              <w:right w:w="100" w:type="dxa"/>
            </w:tcMar>
            <w:vAlign w:val="top"/>
          </w:tcPr>
          <w:p w14:paraId="6FBCE95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Tipul clădirii</w:t>
            </w:r>
          </w:p>
        </w:tc>
        <w:tc>
          <w:tcPr>
            <w:tcW w:w="6208" w:type="dxa"/>
            <w:gridSpan w:val="2"/>
            <w:shd w:val="clear" w:color="auto" w:fill="auto"/>
            <w:tcMar>
              <w:top w:w="100" w:type="dxa"/>
              <w:left w:w="100" w:type="dxa"/>
              <w:bottom w:w="100" w:type="dxa"/>
              <w:right w:w="100" w:type="dxa"/>
            </w:tcMar>
            <w:vAlign w:val="top"/>
          </w:tcPr>
          <w:p w14:paraId="2058ED6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Valoarea impozabilă </w:t>
            </w:r>
          </w:p>
          <w:p w14:paraId="638DF45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lei/m</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superscript"/>
                <w:rtl w:val="0"/>
                <w14:textFill>
                  <w14:solidFill>
                    <w14:schemeClr w14:val="tx1"/>
                  </w14:solidFill>
                </w14:textFill>
              </w:rPr>
              <w:t>2</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w:t>
            </w:r>
          </w:p>
        </w:tc>
      </w:tr>
      <w:tr w14:paraId="46D4478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1425" w:hRule="atLeast"/>
        </w:trPr>
        <w:tc>
          <w:tcPr>
            <w:tcW w:w="3129" w:type="dxa"/>
            <w:vMerge w:val="continue"/>
            <w:shd w:val="clear" w:color="auto" w:fill="auto"/>
            <w:tcMar>
              <w:top w:w="100" w:type="dxa"/>
              <w:left w:w="100" w:type="dxa"/>
              <w:bottom w:w="100" w:type="dxa"/>
              <w:right w:w="100" w:type="dxa"/>
            </w:tcMar>
            <w:vAlign w:val="top"/>
          </w:tcPr>
          <w:p w14:paraId="5AB12B4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tc>
        <w:tc>
          <w:tcPr>
            <w:tcW w:w="2562" w:type="dxa"/>
            <w:shd w:val="clear" w:color="auto" w:fill="auto"/>
            <w:tcMar>
              <w:top w:w="100" w:type="dxa"/>
              <w:left w:w="100" w:type="dxa"/>
              <w:bottom w:w="100" w:type="dxa"/>
              <w:right w:w="100" w:type="dxa"/>
            </w:tcMar>
            <w:vAlign w:val="top"/>
          </w:tcPr>
          <w:p w14:paraId="35E0208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Cu instalaţii de  apă, canalizare,  electrice şi  </w:t>
            </w:r>
          </w:p>
          <w:p w14:paraId="46A1444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încălzire (condiţii  cumulative)</w:t>
            </w:r>
          </w:p>
        </w:tc>
        <w:tc>
          <w:tcPr>
            <w:tcW w:w="3646" w:type="dxa"/>
            <w:shd w:val="clear" w:color="auto" w:fill="auto"/>
            <w:tcMar>
              <w:top w:w="100" w:type="dxa"/>
              <w:left w:w="100" w:type="dxa"/>
              <w:bottom w:w="100" w:type="dxa"/>
              <w:right w:w="100" w:type="dxa"/>
            </w:tcMar>
            <w:vAlign w:val="top"/>
          </w:tcPr>
          <w:p w14:paraId="26AFE1C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Fără instalaţii de  apă, canalizare,  electrice sau  </w:t>
            </w:r>
          </w:p>
          <w:p w14:paraId="0B71B42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încălzire</w:t>
            </w:r>
          </w:p>
        </w:tc>
      </w:tr>
      <w:tr w14:paraId="4A6E942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272" w:hRule="atLeast"/>
        </w:trPr>
        <w:tc>
          <w:tcPr>
            <w:tcW w:w="3129" w:type="dxa"/>
            <w:shd w:val="clear" w:color="auto" w:fill="auto"/>
            <w:tcMar>
              <w:top w:w="100" w:type="dxa"/>
              <w:left w:w="100" w:type="dxa"/>
              <w:bottom w:w="100" w:type="dxa"/>
              <w:right w:w="100" w:type="dxa"/>
            </w:tcMar>
            <w:vAlign w:val="top"/>
          </w:tcPr>
          <w:p w14:paraId="493ABFE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1 </w:t>
            </w:r>
          </w:p>
        </w:tc>
        <w:tc>
          <w:tcPr>
            <w:tcW w:w="2562" w:type="dxa"/>
            <w:shd w:val="clear" w:color="auto" w:fill="auto"/>
            <w:tcMar>
              <w:top w:w="100" w:type="dxa"/>
              <w:left w:w="100" w:type="dxa"/>
              <w:bottom w:w="100" w:type="dxa"/>
              <w:right w:w="100" w:type="dxa"/>
            </w:tcMar>
            <w:vAlign w:val="top"/>
          </w:tcPr>
          <w:p w14:paraId="17902B6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2 </w:t>
            </w:r>
          </w:p>
        </w:tc>
        <w:tc>
          <w:tcPr>
            <w:tcW w:w="3646" w:type="dxa"/>
            <w:shd w:val="clear" w:color="auto" w:fill="auto"/>
            <w:tcMar>
              <w:top w:w="100" w:type="dxa"/>
              <w:left w:w="100" w:type="dxa"/>
              <w:bottom w:w="100" w:type="dxa"/>
              <w:right w:w="100" w:type="dxa"/>
            </w:tcMar>
            <w:vAlign w:val="top"/>
          </w:tcPr>
          <w:p w14:paraId="04192AF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3</w:t>
            </w:r>
          </w:p>
        </w:tc>
      </w:tr>
      <w:tr w14:paraId="4A6873C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1150" w:hRule="atLeast"/>
        </w:trPr>
        <w:tc>
          <w:tcPr>
            <w:tcW w:w="3129" w:type="dxa"/>
            <w:shd w:val="clear" w:color="auto" w:fill="auto"/>
            <w:tcMar>
              <w:top w:w="100" w:type="dxa"/>
              <w:left w:w="100" w:type="dxa"/>
              <w:bottom w:w="100" w:type="dxa"/>
              <w:right w:w="100" w:type="dxa"/>
            </w:tcMar>
            <w:vAlign w:val="top"/>
          </w:tcPr>
          <w:p w14:paraId="058471A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2"/>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A. Clădire cu cadre din beton armat sau cu  pereţi exteriori din cărămidă arsă sau din  orice alte materiale rezultate în urma unui  tratament termic şi/sau chimic</w:t>
            </w:r>
          </w:p>
        </w:tc>
        <w:tc>
          <w:tcPr>
            <w:tcW w:w="2562" w:type="dxa"/>
            <w:shd w:val="clear" w:color="auto" w:fill="auto"/>
            <w:tcMar>
              <w:top w:w="100" w:type="dxa"/>
              <w:left w:w="100" w:type="dxa"/>
              <w:bottom w:w="100" w:type="dxa"/>
              <w:right w:w="100" w:type="dxa"/>
            </w:tcMar>
            <w:vAlign w:val="top"/>
          </w:tcPr>
          <w:p w14:paraId="00501A8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2.677 </w:t>
            </w:r>
          </w:p>
        </w:tc>
        <w:tc>
          <w:tcPr>
            <w:tcW w:w="3646" w:type="dxa"/>
            <w:shd w:val="clear" w:color="auto" w:fill="auto"/>
            <w:tcMar>
              <w:top w:w="100" w:type="dxa"/>
              <w:left w:w="100" w:type="dxa"/>
              <w:bottom w:w="100" w:type="dxa"/>
              <w:right w:w="100" w:type="dxa"/>
            </w:tcMar>
            <w:vAlign w:val="top"/>
          </w:tcPr>
          <w:p w14:paraId="1B2B6C2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1.606</w:t>
            </w:r>
          </w:p>
        </w:tc>
      </w:tr>
      <w:tr w14:paraId="51D3EB2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1425" w:hRule="atLeast"/>
        </w:trPr>
        <w:tc>
          <w:tcPr>
            <w:tcW w:w="3129" w:type="dxa"/>
            <w:shd w:val="clear" w:color="auto" w:fill="auto"/>
            <w:tcMar>
              <w:top w:w="100" w:type="dxa"/>
              <w:left w:w="100" w:type="dxa"/>
              <w:bottom w:w="100" w:type="dxa"/>
              <w:right w:w="100" w:type="dxa"/>
            </w:tcMar>
            <w:vAlign w:val="top"/>
          </w:tcPr>
          <w:p w14:paraId="660ACA0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4"/>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B. Clădire cu pereţii exteriori din lemn, din  piatră naturală, din cărămidă nearsă, din  vălătuci sau din orice alte materiale  nesupuse unui tratament termic şi/sau  chimic</w:t>
            </w:r>
          </w:p>
        </w:tc>
        <w:tc>
          <w:tcPr>
            <w:tcW w:w="2562" w:type="dxa"/>
            <w:shd w:val="clear" w:color="auto" w:fill="auto"/>
            <w:tcMar>
              <w:top w:w="100" w:type="dxa"/>
              <w:left w:w="100" w:type="dxa"/>
              <w:bottom w:w="100" w:type="dxa"/>
              <w:right w:w="100" w:type="dxa"/>
            </w:tcMar>
            <w:vAlign w:val="top"/>
          </w:tcPr>
          <w:p w14:paraId="224AC8D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803 </w:t>
            </w:r>
          </w:p>
        </w:tc>
        <w:tc>
          <w:tcPr>
            <w:tcW w:w="3646" w:type="dxa"/>
            <w:shd w:val="clear" w:color="auto" w:fill="auto"/>
            <w:tcMar>
              <w:top w:w="100" w:type="dxa"/>
              <w:left w:w="100" w:type="dxa"/>
              <w:bottom w:w="100" w:type="dxa"/>
              <w:right w:w="100" w:type="dxa"/>
            </w:tcMar>
            <w:vAlign w:val="top"/>
          </w:tcPr>
          <w:p w14:paraId="1690DA5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535</w:t>
            </w:r>
          </w:p>
        </w:tc>
      </w:tr>
      <w:tr w14:paraId="2A57A78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1149" w:hRule="atLeast"/>
        </w:trPr>
        <w:tc>
          <w:tcPr>
            <w:tcW w:w="3129" w:type="dxa"/>
            <w:shd w:val="clear" w:color="auto" w:fill="auto"/>
            <w:tcMar>
              <w:top w:w="100" w:type="dxa"/>
              <w:left w:w="100" w:type="dxa"/>
              <w:bottom w:w="100" w:type="dxa"/>
              <w:right w:w="100" w:type="dxa"/>
            </w:tcMar>
            <w:vAlign w:val="top"/>
          </w:tcPr>
          <w:p w14:paraId="7065C3D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8"/>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C. Clădire-anexă cu cadre din beton armat  sau cu pereţi exteriori din cărămidă arsă sau  din orice alte materiale rezultate în urma  unui tratament termic şi/sau chimic</w:t>
            </w:r>
          </w:p>
        </w:tc>
        <w:tc>
          <w:tcPr>
            <w:tcW w:w="2562" w:type="dxa"/>
            <w:shd w:val="clear" w:color="auto" w:fill="auto"/>
            <w:tcMar>
              <w:top w:w="100" w:type="dxa"/>
              <w:left w:w="100" w:type="dxa"/>
              <w:bottom w:w="100" w:type="dxa"/>
              <w:right w:w="100" w:type="dxa"/>
            </w:tcMar>
            <w:vAlign w:val="top"/>
          </w:tcPr>
          <w:p w14:paraId="2AEB2EF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535 </w:t>
            </w:r>
          </w:p>
        </w:tc>
        <w:tc>
          <w:tcPr>
            <w:tcW w:w="3646" w:type="dxa"/>
            <w:shd w:val="clear" w:color="auto" w:fill="auto"/>
            <w:tcMar>
              <w:top w:w="100" w:type="dxa"/>
              <w:left w:w="100" w:type="dxa"/>
              <w:bottom w:w="100" w:type="dxa"/>
              <w:right w:w="100" w:type="dxa"/>
            </w:tcMar>
            <w:vAlign w:val="top"/>
          </w:tcPr>
          <w:p w14:paraId="5BD30AF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469</w:t>
            </w:r>
          </w:p>
        </w:tc>
      </w:tr>
      <w:tr w14:paraId="597792E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1149" w:hRule="atLeast"/>
        </w:trPr>
        <w:tc>
          <w:tcPr>
            <w:tcW w:w="3129" w:type="dxa"/>
            <w:shd w:val="clear" w:color="auto" w:fill="auto"/>
            <w:tcMar>
              <w:top w:w="100" w:type="dxa"/>
              <w:left w:w="100" w:type="dxa"/>
              <w:bottom w:w="100" w:type="dxa"/>
              <w:right w:w="100" w:type="dxa"/>
            </w:tcMar>
            <w:vAlign w:val="top"/>
          </w:tcPr>
          <w:p w14:paraId="37145DB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leftChars="0" w:right="0" w:rightChars="0" w:firstLine="2" w:firstLineChars="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D. Clădire-anexă cu pereţii exteriori din  lemn, din piatră naturală, din cărămidă  nearsă, din vălătuci sau din orice alte  materiale nesupuse unui tratament termic  şi/sau chimic</w:t>
            </w:r>
          </w:p>
        </w:tc>
        <w:tc>
          <w:tcPr>
            <w:tcW w:w="2562" w:type="dxa"/>
            <w:shd w:val="clear" w:color="auto" w:fill="auto"/>
            <w:tcMar>
              <w:top w:w="100" w:type="dxa"/>
              <w:left w:w="100" w:type="dxa"/>
              <w:bottom w:w="100" w:type="dxa"/>
              <w:right w:w="100" w:type="dxa"/>
            </w:tcMar>
            <w:vAlign w:val="top"/>
          </w:tcPr>
          <w:p w14:paraId="70C2DA5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leftChars="0" w:right="0" w:rightChars="0" w:firstLine="0" w:firstLineChars="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335 </w:t>
            </w:r>
          </w:p>
        </w:tc>
        <w:tc>
          <w:tcPr>
            <w:tcW w:w="3646" w:type="dxa"/>
            <w:shd w:val="clear" w:color="auto" w:fill="auto"/>
            <w:tcMar>
              <w:top w:w="100" w:type="dxa"/>
              <w:left w:w="100" w:type="dxa"/>
              <w:bottom w:w="100" w:type="dxa"/>
              <w:right w:w="100" w:type="dxa"/>
            </w:tcMar>
            <w:vAlign w:val="top"/>
          </w:tcPr>
          <w:p w14:paraId="2495333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leftChars="0" w:right="0" w:rightChars="0" w:firstLine="0" w:firstLineChars="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201</w:t>
            </w:r>
          </w:p>
        </w:tc>
      </w:tr>
      <w:tr w14:paraId="442B3E0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1149" w:hRule="atLeast"/>
        </w:trPr>
        <w:tc>
          <w:tcPr>
            <w:tcW w:w="3129" w:type="dxa"/>
            <w:shd w:val="clear" w:color="auto" w:fill="auto"/>
            <w:tcMar>
              <w:top w:w="100" w:type="dxa"/>
              <w:left w:w="100" w:type="dxa"/>
              <w:bottom w:w="100" w:type="dxa"/>
              <w:right w:w="100" w:type="dxa"/>
            </w:tcMar>
            <w:vAlign w:val="top"/>
          </w:tcPr>
          <w:p w14:paraId="1672BEB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leftChars="0" w:right="0" w:rightChars="0" w:firstLine="5" w:firstLineChars="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E. În cazul contribuabilului care deţine la  aceeaşi adresă încăperi amplasate la subsol,  demisol şi/sau la mansardă, utilizate ca  locuinţă, în oricare dintre tipurile de clădiri  prevăzute la lit. A-D</w:t>
            </w:r>
          </w:p>
        </w:tc>
        <w:tc>
          <w:tcPr>
            <w:tcW w:w="2562" w:type="dxa"/>
            <w:shd w:val="clear" w:color="auto" w:fill="auto"/>
            <w:tcMar>
              <w:top w:w="100" w:type="dxa"/>
              <w:left w:w="100" w:type="dxa"/>
              <w:bottom w:w="100" w:type="dxa"/>
              <w:right w:w="100" w:type="dxa"/>
            </w:tcMar>
            <w:vAlign w:val="top"/>
          </w:tcPr>
          <w:p w14:paraId="1DE1E8F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leftChars="0" w:right="0" w:rightChars="0" w:firstLine="0" w:firstLineChars="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75% din suma  care s-ar aplica  clădirii</w:t>
            </w:r>
          </w:p>
        </w:tc>
        <w:tc>
          <w:tcPr>
            <w:tcW w:w="3646" w:type="dxa"/>
            <w:shd w:val="clear" w:color="auto" w:fill="auto"/>
            <w:tcMar>
              <w:top w:w="100" w:type="dxa"/>
              <w:left w:w="100" w:type="dxa"/>
              <w:bottom w:w="100" w:type="dxa"/>
              <w:right w:w="100" w:type="dxa"/>
            </w:tcMar>
            <w:vAlign w:val="top"/>
          </w:tcPr>
          <w:p w14:paraId="309FD00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leftChars="0" w:right="0" w:rightChars="0" w:firstLine="0" w:firstLineChars="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75% din suma  care s-ar aplica  clădirii</w:t>
            </w:r>
          </w:p>
        </w:tc>
      </w:tr>
      <w:tr w14:paraId="49D4464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1149" w:hRule="atLeast"/>
        </w:trPr>
        <w:tc>
          <w:tcPr>
            <w:tcW w:w="3129" w:type="dxa"/>
            <w:shd w:val="clear" w:color="auto" w:fill="auto"/>
            <w:tcMar>
              <w:top w:w="100" w:type="dxa"/>
              <w:left w:w="100" w:type="dxa"/>
              <w:bottom w:w="100" w:type="dxa"/>
              <w:right w:w="100" w:type="dxa"/>
            </w:tcMar>
            <w:vAlign w:val="top"/>
          </w:tcPr>
          <w:p w14:paraId="1DF0E8D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leftChars="0" w:right="0" w:rightChars="0" w:hanging="3" w:firstLineChars="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F. În cazul contribuabilului care deţine la  aceeaşi adresă încăperi amplasate la subsol,  la demisol şi/sau la mansardă, utilizate în  alte scopuri decât cel de locuinţă, în oricare  dintre tipurile de clădiri prevăzute la lit. A-D</w:t>
            </w:r>
          </w:p>
        </w:tc>
        <w:tc>
          <w:tcPr>
            <w:tcW w:w="2562" w:type="dxa"/>
            <w:shd w:val="clear" w:color="auto" w:fill="auto"/>
            <w:tcMar>
              <w:top w:w="100" w:type="dxa"/>
              <w:left w:w="100" w:type="dxa"/>
              <w:bottom w:w="100" w:type="dxa"/>
              <w:right w:w="100" w:type="dxa"/>
            </w:tcMar>
            <w:vAlign w:val="top"/>
          </w:tcPr>
          <w:p w14:paraId="6E63B32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leftChars="0" w:right="0" w:rightChars="0" w:firstLine="0" w:firstLineChars="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50% din suma  care s-ar aplica  clădirii</w:t>
            </w:r>
          </w:p>
        </w:tc>
        <w:tc>
          <w:tcPr>
            <w:tcW w:w="3646" w:type="dxa"/>
            <w:shd w:val="clear" w:color="auto" w:fill="auto"/>
            <w:tcMar>
              <w:top w:w="100" w:type="dxa"/>
              <w:left w:w="100" w:type="dxa"/>
              <w:bottom w:w="100" w:type="dxa"/>
              <w:right w:w="100" w:type="dxa"/>
            </w:tcMar>
            <w:vAlign w:val="top"/>
          </w:tcPr>
          <w:p w14:paraId="597854C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leftChars="0" w:right="0" w:rightChars="0" w:firstLine="0" w:firstLineChars="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50% din suma  care s-ar aplica  clădirii</w:t>
            </w:r>
          </w:p>
        </w:tc>
      </w:tr>
    </w:tbl>
    <w:p w14:paraId="0000004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righ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w:t>
      </w:r>
    </w:p>
    <w:p w14:paraId="0000007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07FA5B8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5F4E152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3E89682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796DB9F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0A6CF42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7A9951B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117FC73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7A031D3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65659F6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0672B5A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4C33C4D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061A134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5A63BB4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325CE36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49A127F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6CC7FFC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612CD20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6329785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18AD7F8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2131878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77286DA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57DBE71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1A4308B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6B0A116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6DC98E2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48D72F3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0660797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10BB15E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276B379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4CBB606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52F81F1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15A9757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1C4D073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3C0B29D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7DC0BCC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5EA6124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764BD68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23F5436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13DB079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074BFA6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0D14812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4311990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33BD279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5D4FF95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045D010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4E3C94B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69FC2F7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76A5151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7681FD8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304A5C6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0EF81F7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0000007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6"/>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(3) În cazul unei clădiri care are pereţii exteriori din materiale diferite, pentru stabilirea valorii  impozabile a clădirii se identifică în tabelul prevăzut la alin. (2) valoarea impozabilă  corespunzătoare materialului cu ponderea cea mai mare.  </w:t>
      </w:r>
    </w:p>
    <w:p w14:paraId="0000007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2"/>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(4) Suprafaţa construită desfăşurată a unei clădiri se determină prin însumarea suprafeţelor  secţiunilor tuturor nivelurilor clădirii, inclusiv ale balcoanelor, logiilor sau ale celor situate la  subsol sau la mansardă, exceptând suprafeţele podurilor neutilizate ca locuinţă, ale scărilor şi  teraselor neacoperite.  </w:t>
      </w:r>
    </w:p>
    <w:p w14:paraId="0000007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(5) Dacă dimensiunile exterioare ale unei clădiri nu pot fi efectiv măsurate pe conturul  exterior, atunci suprafaţa construită desfăşurată a clădirii se determină prin înmulţirea suprafeţei  utile a clădirii cu un coeficient de transformare de 1,4.  </w:t>
      </w:r>
    </w:p>
    <w:p w14:paraId="0000007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7"/>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(6) Valoarea impozabilă a clădirii se ajustează în funcţie de rangul localităţii şi zona în care  este amplasată clădirea, prin înmulţirea valorii determinate conform alin. (2)-(5) cu coeficientul  de corecţie corespunzător, prevăzut în tabelul următor:  </w:t>
      </w:r>
    </w:p>
    <w:p w14:paraId="0000007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w:t>
      </w:r>
    </w:p>
    <w:tbl>
      <w:tblPr>
        <w:tblStyle w:val="58"/>
        <w:tblW w:w="6453" w:type="dxa"/>
        <w:tblInd w:w="2726"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1646"/>
        <w:gridCol w:w="795"/>
        <w:gridCol w:w="800"/>
        <w:gridCol w:w="800"/>
        <w:gridCol w:w="795"/>
        <w:gridCol w:w="800"/>
        <w:gridCol w:w="815"/>
      </w:tblGrid>
      <w:tr w14:paraId="53BA1C7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595" w:hRule="atLeast"/>
        </w:trPr>
        <w:tc>
          <w:tcPr>
            <w:shd w:val="clear" w:color="auto" w:fill="auto"/>
            <w:tcMar>
              <w:top w:w="100" w:type="dxa"/>
              <w:left w:w="100" w:type="dxa"/>
              <w:bottom w:w="100" w:type="dxa"/>
              <w:right w:w="100" w:type="dxa"/>
            </w:tcMar>
            <w:vAlign w:val="top"/>
          </w:tcPr>
          <w:p w14:paraId="0000007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Zona în cadrul  localităţii </w:t>
            </w:r>
          </w:p>
        </w:tc>
        <w:tc>
          <w:tcPr>
            <w:gridSpan w:val="6"/>
            <w:shd w:val="clear" w:color="auto" w:fill="auto"/>
            <w:tcMar>
              <w:top w:w="100" w:type="dxa"/>
              <w:left w:w="100" w:type="dxa"/>
              <w:bottom w:w="100" w:type="dxa"/>
              <w:right w:w="100" w:type="dxa"/>
            </w:tcMar>
            <w:vAlign w:val="top"/>
          </w:tcPr>
          <w:p w14:paraId="0000007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Rangul localităţii</w:t>
            </w:r>
          </w:p>
        </w:tc>
      </w:tr>
      <w:tr w14:paraId="1A36643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390" w:hRule="atLeast"/>
        </w:trPr>
        <w:tc>
          <w:tcPr>
            <w:shd w:val="clear" w:color="auto" w:fill="auto"/>
            <w:tcMar>
              <w:top w:w="100" w:type="dxa"/>
              <w:left w:w="100" w:type="dxa"/>
              <w:bottom w:w="100" w:type="dxa"/>
              <w:right w:w="100" w:type="dxa"/>
            </w:tcMar>
            <w:vAlign w:val="top"/>
          </w:tcPr>
          <w:p w14:paraId="0000007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tc>
        <w:tc>
          <w:tcPr>
            <w:shd w:val="clear" w:color="auto" w:fill="auto"/>
            <w:tcMar>
              <w:top w:w="100" w:type="dxa"/>
              <w:left w:w="100" w:type="dxa"/>
              <w:bottom w:w="100" w:type="dxa"/>
              <w:right w:w="100" w:type="dxa"/>
            </w:tcMar>
            <w:vAlign w:val="top"/>
          </w:tcPr>
          <w:p w14:paraId="0000007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0 </w:t>
            </w:r>
          </w:p>
        </w:tc>
        <w:tc>
          <w:tcPr>
            <w:shd w:val="clear" w:color="auto" w:fill="auto"/>
            <w:tcMar>
              <w:top w:w="100" w:type="dxa"/>
              <w:left w:w="100" w:type="dxa"/>
              <w:bottom w:w="100" w:type="dxa"/>
              <w:right w:w="100" w:type="dxa"/>
            </w:tcMar>
            <w:vAlign w:val="top"/>
          </w:tcPr>
          <w:p w14:paraId="0000008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I </w:t>
            </w:r>
          </w:p>
        </w:tc>
        <w:tc>
          <w:tcPr>
            <w:shd w:val="clear" w:color="auto" w:fill="auto"/>
            <w:tcMar>
              <w:top w:w="100" w:type="dxa"/>
              <w:left w:w="100" w:type="dxa"/>
              <w:bottom w:w="100" w:type="dxa"/>
              <w:right w:w="100" w:type="dxa"/>
            </w:tcMar>
            <w:vAlign w:val="top"/>
          </w:tcPr>
          <w:p w14:paraId="0000008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II </w:t>
            </w:r>
          </w:p>
        </w:tc>
        <w:tc>
          <w:tcPr>
            <w:shd w:val="clear" w:color="auto" w:fill="auto"/>
            <w:tcMar>
              <w:top w:w="100" w:type="dxa"/>
              <w:left w:w="100" w:type="dxa"/>
              <w:bottom w:w="100" w:type="dxa"/>
              <w:right w:w="100" w:type="dxa"/>
            </w:tcMar>
            <w:vAlign w:val="top"/>
          </w:tcPr>
          <w:p w14:paraId="0000008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III </w:t>
            </w:r>
          </w:p>
        </w:tc>
        <w:tc>
          <w:tcPr>
            <w:shd w:val="clear" w:color="auto" w:fill="auto"/>
            <w:tcMar>
              <w:top w:w="100" w:type="dxa"/>
              <w:left w:w="100" w:type="dxa"/>
              <w:bottom w:w="100" w:type="dxa"/>
              <w:right w:w="100" w:type="dxa"/>
            </w:tcMar>
            <w:vAlign w:val="top"/>
          </w:tcPr>
          <w:p w14:paraId="0000008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IV </w:t>
            </w:r>
          </w:p>
        </w:tc>
        <w:tc>
          <w:tcPr>
            <w:shd w:val="clear" w:color="auto" w:fill="auto"/>
            <w:tcMar>
              <w:top w:w="100" w:type="dxa"/>
              <w:left w:w="100" w:type="dxa"/>
              <w:bottom w:w="100" w:type="dxa"/>
              <w:right w:w="100" w:type="dxa"/>
            </w:tcMar>
            <w:vAlign w:val="top"/>
          </w:tcPr>
          <w:p w14:paraId="0000008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V</w:t>
            </w:r>
          </w:p>
        </w:tc>
      </w:tr>
      <w:tr w14:paraId="58C42C3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390" w:hRule="atLeast"/>
        </w:trPr>
        <w:tc>
          <w:tcPr>
            <w:shd w:val="clear" w:color="auto" w:fill="auto"/>
            <w:tcMar>
              <w:top w:w="100" w:type="dxa"/>
              <w:left w:w="100" w:type="dxa"/>
              <w:bottom w:w="100" w:type="dxa"/>
              <w:right w:w="100" w:type="dxa"/>
            </w:tcMar>
            <w:vAlign w:val="top"/>
          </w:tcPr>
          <w:p w14:paraId="0000008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A </w:t>
            </w:r>
          </w:p>
        </w:tc>
        <w:tc>
          <w:tcPr>
            <w:shd w:val="clear" w:color="auto" w:fill="auto"/>
            <w:tcMar>
              <w:top w:w="100" w:type="dxa"/>
              <w:left w:w="100" w:type="dxa"/>
              <w:bottom w:w="100" w:type="dxa"/>
              <w:right w:w="100" w:type="dxa"/>
            </w:tcMar>
            <w:vAlign w:val="top"/>
          </w:tcPr>
          <w:p w14:paraId="0000008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2,60 </w:t>
            </w:r>
          </w:p>
        </w:tc>
        <w:tc>
          <w:tcPr>
            <w:shd w:val="clear" w:color="auto" w:fill="auto"/>
            <w:tcMar>
              <w:top w:w="100" w:type="dxa"/>
              <w:left w:w="100" w:type="dxa"/>
              <w:bottom w:w="100" w:type="dxa"/>
              <w:right w:w="100" w:type="dxa"/>
            </w:tcMar>
            <w:vAlign w:val="top"/>
          </w:tcPr>
          <w:p w14:paraId="0000008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2,50 </w:t>
            </w:r>
          </w:p>
        </w:tc>
        <w:tc>
          <w:tcPr>
            <w:shd w:val="clear" w:color="auto" w:fill="auto"/>
            <w:tcMar>
              <w:top w:w="100" w:type="dxa"/>
              <w:left w:w="100" w:type="dxa"/>
              <w:bottom w:w="100" w:type="dxa"/>
              <w:right w:w="100" w:type="dxa"/>
            </w:tcMar>
            <w:vAlign w:val="top"/>
          </w:tcPr>
          <w:p w14:paraId="0000008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2,40 </w:t>
            </w:r>
          </w:p>
        </w:tc>
        <w:tc>
          <w:tcPr>
            <w:shd w:val="clear" w:color="auto" w:fill="auto"/>
            <w:tcMar>
              <w:top w:w="100" w:type="dxa"/>
              <w:left w:w="100" w:type="dxa"/>
              <w:bottom w:w="100" w:type="dxa"/>
              <w:right w:w="100" w:type="dxa"/>
            </w:tcMar>
            <w:vAlign w:val="top"/>
          </w:tcPr>
          <w:p w14:paraId="0000008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2,30 </w:t>
            </w:r>
          </w:p>
        </w:tc>
        <w:tc>
          <w:tcPr>
            <w:shd w:val="clear" w:color="auto" w:fill="auto"/>
            <w:tcMar>
              <w:top w:w="100" w:type="dxa"/>
              <w:left w:w="100" w:type="dxa"/>
              <w:bottom w:w="100" w:type="dxa"/>
              <w:right w:w="100" w:type="dxa"/>
            </w:tcMar>
            <w:vAlign w:val="top"/>
          </w:tcPr>
          <w:p w14:paraId="0000008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1,10 </w:t>
            </w:r>
          </w:p>
        </w:tc>
        <w:tc>
          <w:tcPr>
            <w:shd w:val="clear" w:color="auto" w:fill="auto"/>
            <w:tcMar>
              <w:top w:w="100" w:type="dxa"/>
              <w:left w:w="100" w:type="dxa"/>
              <w:bottom w:w="100" w:type="dxa"/>
              <w:right w:w="100" w:type="dxa"/>
            </w:tcMar>
            <w:vAlign w:val="top"/>
          </w:tcPr>
          <w:p w14:paraId="0000008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1,05</w:t>
            </w:r>
          </w:p>
        </w:tc>
      </w:tr>
      <w:tr w14:paraId="665D542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390" w:hRule="atLeast"/>
        </w:trPr>
        <w:tc>
          <w:tcPr>
            <w:shd w:val="clear" w:color="auto" w:fill="auto"/>
            <w:tcMar>
              <w:top w:w="100" w:type="dxa"/>
              <w:left w:w="100" w:type="dxa"/>
              <w:bottom w:w="100" w:type="dxa"/>
              <w:right w:w="100" w:type="dxa"/>
            </w:tcMar>
            <w:vAlign w:val="top"/>
          </w:tcPr>
          <w:p w14:paraId="0000008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B </w:t>
            </w:r>
          </w:p>
        </w:tc>
        <w:tc>
          <w:tcPr>
            <w:shd w:val="clear" w:color="auto" w:fill="auto"/>
            <w:tcMar>
              <w:top w:w="100" w:type="dxa"/>
              <w:left w:w="100" w:type="dxa"/>
              <w:bottom w:w="100" w:type="dxa"/>
              <w:right w:w="100" w:type="dxa"/>
            </w:tcMar>
            <w:vAlign w:val="top"/>
          </w:tcPr>
          <w:p w14:paraId="0000008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2,50 </w:t>
            </w:r>
          </w:p>
        </w:tc>
        <w:tc>
          <w:tcPr>
            <w:shd w:val="clear" w:color="auto" w:fill="auto"/>
            <w:tcMar>
              <w:top w:w="100" w:type="dxa"/>
              <w:left w:w="100" w:type="dxa"/>
              <w:bottom w:w="100" w:type="dxa"/>
              <w:right w:w="100" w:type="dxa"/>
            </w:tcMar>
            <w:vAlign w:val="top"/>
          </w:tcPr>
          <w:p w14:paraId="0000008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2,40 </w:t>
            </w:r>
          </w:p>
        </w:tc>
        <w:tc>
          <w:tcPr>
            <w:shd w:val="clear" w:color="auto" w:fill="auto"/>
            <w:tcMar>
              <w:top w:w="100" w:type="dxa"/>
              <w:left w:w="100" w:type="dxa"/>
              <w:bottom w:w="100" w:type="dxa"/>
              <w:right w:w="100" w:type="dxa"/>
            </w:tcMar>
            <w:vAlign w:val="top"/>
          </w:tcPr>
          <w:p w14:paraId="0000008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2,30 </w:t>
            </w:r>
          </w:p>
        </w:tc>
        <w:tc>
          <w:tcPr>
            <w:shd w:val="clear" w:color="auto" w:fill="auto"/>
            <w:tcMar>
              <w:top w:w="100" w:type="dxa"/>
              <w:left w:w="100" w:type="dxa"/>
              <w:bottom w:w="100" w:type="dxa"/>
              <w:right w:w="100" w:type="dxa"/>
            </w:tcMar>
            <w:vAlign w:val="top"/>
          </w:tcPr>
          <w:p w14:paraId="0000009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2,20 </w:t>
            </w:r>
          </w:p>
        </w:tc>
        <w:tc>
          <w:tcPr>
            <w:shd w:val="clear" w:color="auto" w:fill="auto"/>
            <w:tcMar>
              <w:top w:w="100" w:type="dxa"/>
              <w:left w:w="100" w:type="dxa"/>
              <w:bottom w:w="100" w:type="dxa"/>
              <w:right w:w="100" w:type="dxa"/>
            </w:tcMar>
            <w:vAlign w:val="top"/>
          </w:tcPr>
          <w:p w14:paraId="0000009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1,05 </w:t>
            </w:r>
          </w:p>
        </w:tc>
        <w:tc>
          <w:tcPr>
            <w:shd w:val="clear" w:color="auto" w:fill="auto"/>
            <w:tcMar>
              <w:top w:w="100" w:type="dxa"/>
              <w:left w:w="100" w:type="dxa"/>
              <w:bottom w:w="100" w:type="dxa"/>
              <w:right w:w="100" w:type="dxa"/>
            </w:tcMar>
            <w:vAlign w:val="top"/>
          </w:tcPr>
          <w:p w14:paraId="0000009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1,00</w:t>
            </w:r>
          </w:p>
        </w:tc>
      </w:tr>
      <w:tr w14:paraId="39B0128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390" w:hRule="atLeast"/>
        </w:trPr>
        <w:tc>
          <w:tcPr>
            <w:shd w:val="clear" w:color="auto" w:fill="auto"/>
            <w:tcMar>
              <w:top w:w="100" w:type="dxa"/>
              <w:left w:w="100" w:type="dxa"/>
              <w:bottom w:w="100" w:type="dxa"/>
              <w:right w:w="100" w:type="dxa"/>
            </w:tcMar>
            <w:vAlign w:val="top"/>
          </w:tcPr>
          <w:p w14:paraId="0000009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C </w:t>
            </w:r>
          </w:p>
        </w:tc>
        <w:tc>
          <w:tcPr>
            <w:shd w:val="clear" w:color="auto" w:fill="auto"/>
            <w:tcMar>
              <w:top w:w="100" w:type="dxa"/>
              <w:left w:w="100" w:type="dxa"/>
              <w:bottom w:w="100" w:type="dxa"/>
              <w:right w:w="100" w:type="dxa"/>
            </w:tcMar>
            <w:vAlign w:val="top"/>
          </w:tcPr>
          <w:p w14:paraId="0000009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2,40 </w:t>
            </w:r>
          </w:p>
        </w:tc>
        <w:tc>
          <w:tcPr>
            <w:shd w:val="clear" w:color="auto" w:fill="auto"/>
            <w:tcMar>
              <w:top w:w="100" w:type="dxa"/>
              <w:left w:w="100" w:type="dxa"/>
              <w:bottom w:w="100" w:type="dxa"/>
              <w:right w:w="100" w:type="dxa"/>
            </w:tcMar>
            <w:vAlign w:val="top"/>
          </w:tcPr>
          <w:p w14:paraId="0000009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2,30 </w:t>
            </w:r>
          </w:p>
        </w:tc>
        <w:tc>
          <w:tcPr>
            <w:shd w:val="clear" w:color="auto" w:fill="auto"/>
            <w:tcMar>
              <w:top w:w="100" w:type="dxa"/>
              <w:left w:w="100" w:type="dxa"/>
              <w:bottom w:w="100" w:type="dxa"/>
              <w:right w:w="100" w:type="dxa"/>
            </w:tcMar>
            <w:vAlign w:val="top"/>
          </w:tcPr>
          <w:p w14:paraId="0000009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2,20 </w:t>
            </w:r>
          </w:p>
        </w:tc>
        <w:tc>
          <w:tcPr>
            <w:shd w:val="clear" w:color="auto" w:fill="auto"/>
            <w:tcMar>
              <w:top w:w="100" w:type="dxa"/>
              <w:left w:w="100" w:type="dxa"/>
              <w:bottom w:w="100" w:type="dxa"/>
              <w:right w:w="100" w:type="dxa"/>
            </w:tcMar>
            <w:vAlign w:val="top"/>
          </w:tcPr>
          <w:p w14:paraId="0000009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2,10 </w:t>
            </w:r>
          </w:p>
        </w:tc>
        <w:tc>
          <w:tcPr>
            <w:shd w:val="clear" w:color="auto" w:fill="auto"/>
            <w:tcMar>
              <w:top w:w="100" w:type="dxa"/>
              <w:left w:w="100" w:type="dxa"/>
              <w:bottom w:w="100" w:type="dxa"/>
              <w:right w:w="100" w:type="dxa"/>
            </w:tcMar>
            <w:vAlign w:val="top"/>
          </w:tcPr>
          <w:p w14:paraId="0000009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1,00 </w:t>
            </w:r>
          </w:p>
        </w:tc>
        <w:tc>
          <w:tcPr>
            <w:shd w:val="clear" w:color="auto" w:fill="auto"/>
            <w:tcMar>
              <w:top w:w="100" w:type="dxa"/>
              <w:left w:w="100" w:type="dxa"/>
              <w:bottom w:w="100" w:type="dxa"/>
              <w:right w:w="100" w:type="dxa"/>
            </w:tcMar>
            <w:vAlign w:val="top"/>
          </w:tcPr>
          <w:p w14:paraId="0000009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0,95</w:t>
            </w:r>
          </w:p>
        </w:tc>
      </w:tr>
      <w:tr w14:paraId="27F1757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404" w:hRule="atLeast"/>
        </w:trPr>
        <w:tc>
          <w:tcPr>
            <w:shd w:val="clear" w:color="auto" w:fill="auto"/>
            <w:tcMar>
              <w:top w:w="100" w:type="dxa"/>
              <w:left w:w="100" w:type="dxa"/>
              <w:bottom w:w="100" w:type="dxa"/>
              <w:right w:w="100" w:type="dxa"/>
            </w:tcMar>
            <w:vAlign w:val="top"/>
          </w:tcPr>
          <w:p w14:paraId="0000009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D </w:t>
            </w:r>
          </w:p>
        </w:tc>
        <w:tc>
          <w:tcPr>
            <w:shd w:val="clear" w:color="auto" w:fill="auto"/>
            <w:tcMar>
              <w:top w:w="100" w:type="dxa"/>
              <w:left w:w="100" w:type="dxa"/>
              <w:bottom w:w="100" w:type="dxa"/>
              <w:right w:w="100" w:type="dxa"/>
            </w:tcMar>
            <w:vAlign w:val="top"/>
          </w:tcPr>
          <w:p w14:paraId="0000009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2,30 </w:t>
            </w:r>
          </w:p>
        </w:tc>
        <w:tc>
          <w:tcPr>
            <w:shd w:val="clear" w:color="auto" w:fill="auto"/>
            <w:tcMar>
              <w:top w:w="100" w:type="dxa"/>
              <w:left w:w="100" w:type="dxa"/>
              <w:bottom w:w="100" w:type="dxa"/>
              <w:right w:w="100" w:type="dxa"/>
            </w:tcMar>
            <w:vAlign w:val="top"/>
          </w:tcPr>
          <w:p w14:paraId="0000009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2,20 </w:t>
            </w:r>
          </w:p>
        </w:tc>
        <w:tc>
          <w:tcPr>
            <w:shd w:val="clear" w:color="auto" w:fill="auto"/>
            <w:tcMar>
              <w:top w:w="100" w:type="dxa"/>
              <w:left w:w="100" w:type="dxa"/>
              <w:bottom w:w="100" w:type="dxa"/>
              <w:right w:w="100" w:type="dxa"/>
            </w:tcMar>
            <w:vAlign w:val="top"/>
          </w:tcPr>
          <w:p w14:paraId="0000009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2,10 </w:t>
            </w:r>
          </w:p>
        </w:tc>
        <w:tc>
          <w:tcPr>
            <w:shd w:val="clear" w:color="auto" w:fill="auto"/>
            <w:tcMar>
              <w:top w:w="100" w:type="dxa"/>
              <w:left w:w="100" w:type="dxa"/>
              <w:bottom w:w="100" w:type="dxa"/>
              <w:right w:w="100" w:type="dxa"/>
            </w:tcMar>
            <w:vAlign w:val="top"/>
          </w:tcPr>
          <w:p w14:paraId="0000009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2,00 </w:t>
            </w:r>
          </w:p>
        </w:tc>
        <w:tc>
          <w:tcPr>
            <w:shd w:val="clear" w:color="auto" w:fill="auto"/>
            <w:tcMar>
              <w:top w:w="100" w:type="dxa"/>
              <w:left w:w="100" w:type="dxa"/>
              <w:bottom w:w="100" w:type="dxa"/>
              <w:right w:w="100" w:type="dxa"/>
            </w:tcMar>
            <w:vAlign w:val="top"/>
          </w:tcPr>
          <w:p w14:paraId="0000009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0,95 </w:t>
            </w:r>
          </w:p>
        </w:tc>
        <w:tc>
          <w:tcPr>
            <w:shd w:val="clear" w:color="auto" w:fill="auto"/>
            <w:tcMar>
              <w:top w:w="100" w:type="dxa"/>
              <w:left w:w="100" w:type="dxa"/>
              <w:bottom w:w="100" w:type="dxa"/>
              <w:right w:w="100" w:type="dxa"/>
            </w:tcMar>
            <w:vAlign w:val="top"/>
          </w:tcPr>
          <w:p w14:paraId="000000A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0,90</w:t>
            </w:r>
          </w:p>
        </w:tc>
      </w:tr>
    </w:tbl>
    <w:p w14:paraId="000000A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000000A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7"/>
        <w:jc w:val="left"/>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14:textFill>
            <w14:solidFill>
              <w14:schemeClr w14:val="tx1"/>
            </w14:solidFill>
          </w14:textFill>
        </w:rPr>
        <w:t xml:space="preserve">Rangul localitatilor este : </w:t>
      </w:r>
      <w:r>
        <w:rPr>
          <w:rFonts w:hint="default" w:eastAsia="Times New Roman" w:cs="Arial" w:asciiTheme="minorAscii" w:hAnsiTheme="minorAscii"/>
          <w:b w:val="0"/>
          <w:bCs w:val="0"/>
          <w:strike w:val="0"/>
          <w:dstrike w:val="0"/>
          <w:color w:val="000000" w:themeColor="text1"/>
          <w:sz w:val="20"/>
          <w:szCs w:val="20"/>
          <w:u w:val="single"/>
          <w:rtl w:val="0"/>
          <w14:textFill>
            <w14:solidFill>
              <w14:schemeClr w14:val="tx1"/>
            </w14:solidFill>
          </w14:textFill>
        </w:rPr>
        <w:t>Bucoșnița</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14:textFill>
            <w14:solidFill>
              <w14:schemeClr w14:val="tx1"/>
            </w14:solidFill>
          </w14:textFill>
        </w:rPr>
        <w:t xml:space="preserve"> - rangul IV, </w:t>
      </w:r>
      <w:r>
        <w:rPr>
          <w:rFonts w:hint="default" w:eastAsia="Times New Roman" w:cs="Arial" w:asciiTheme="minorAscii" w:hAnsiTheme="minorAscii"/>
          <w:b w:val="0"/>
          <w:bCs w:val="0"/>
          <w:strike w:val="0"/>
          <w:dstrike w:val="0"/>
          <w:color w:val="000000" w:themeColor="text1"/>
          <w:sz w:val="20"/>
          <w:szCs w:val="20"/>
          <w:u w:val="single"/>
          <w:rtl w:val="0"/>
          <w14:textFill>
            <w14:solidFill>
              <w14:schemeClr w14:val="tx1"/>
            </w14:solidFill>
          </w14:textFill>
        </w:rPr>
        <w:t>Petroșnița, Goleț, Vășișoara</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14:textFill>
            <w14:solidFill>
              <w14:schemeClr w14:val="tx1"/>
            </w14:solidFill>
          </w14:textFill>
        </w:rPr>
        <w:t xml:space="preserve">– rangul V.  Se stabileste o singura zona pentru toate satele si anume Zona A. </w:t>
      </w:r>
    </w:p>
    <w:p w14:paraId="000000A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lang w:val="ro-RO"/>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Ar</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t>t</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6. (458) -Calculul impozitului pe clădirile nerezidenţiale aflate în proprietatea  persoanelor fizice  </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t>pentru anul 2026</w:t>
      </w:r>
    </w:p>
    <w:p w14:paraId="051880D4">
      <w:pPr>
        <w:keepNext w:val="0"/>
        <w:keepLines w:val="0"/>
        <w:pageBreakBefore w:val="0"/>
        <w:widowControl w:val="0"/>
        <w:numPr>
          <w:ilvl w:val="0"/>
          <w:numId w:val="1"/>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leftChars="0" w:right="0" w:firstLine="0" w:firstLineChars="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Pentru clădirile nerezidenţiale aflate în proprietatea persoanelor fizice, impozitul pe clădiri  se calculează prin aplicarea unei cote de 0,</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t>5</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asupra valorii care poate fi:  </w:t>
      </w:r>
    </w:p>
    <w:p w14:paraId="000000A5">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leftChars="0" w:right="0" w:rightChars="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 a) valoarea rezultată dintr-un raport de evaluare întocmit de un evaluator autorizat în ultimii  5 ani anteriori anului de referinţă, depus la organul fiscal local până la primul termen de plată  din anul de referinţă. În situaţia depunerii raportului de evaluare după primul termen de plată  din anul de referinţă, acesta produce efecte începând cu data de 1 ianuarie a anului fiscal  următor;</w:t>
      </w:r>
    </w:p>
    <w:p w14:paraId="000000A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8"/>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14:textFill>
            <w14:solidFill>
              <w14:schemeClr w14:val="tx1"/>
            </w14:solidFill>
          </w14:textFill>
        </w:rPr>
      </w:pPr>
      <w:r>
        <w:rPr>
          <w:rFonts w:hint="default" w:eastAsia="Verdana"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 </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b) valoarea finală a lucrărilor de construcţii, în cazul clădirilor noi, construite în ultimii 5 ani  anteriori anului de referinţă;  </w:t>
      </w:r>
    </w:p>
    <w:p w14:paraId="135ABBE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 c) valoarea clădirilor care rezultă din actul prin care se transferă dreptul de proprietate, în  cazul clădirilor dobândite în ultimii 5 ani anteriori anului de referinţă. În situaţia în care nu este  precizată valoarea, se utilizează ultima valoare înregistrată în baza de date a organului fiscal;</w:t>
      </w:r>
    </w:p>
    <w:p w14:paraId="000000A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  (2) Cota impozitului pe clădiri stabilă potrivit alin. (1) pentru anul 2026, nu poate fi mai  mica decât cota stabilită pentru anul 2025. </w:t>
      </w:r>
    </w:p>
    <w:p w14:paraId="2CDE7A5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sz w:val="20"/>
          <w:szCs w:val="20"/>
          <w:lang w:val="ro-RO"/>
          <w14:textFill>
            <w14:solidFill>
              <w14:schemeClr w14:val="tx1"/>
            </w14:solidFill>
          </w14:textFill>
        </w:rPr>
        <w:t xml:space="preserve">(3) conform art.458 alin </w:t>
      </w:r>
      <w:r>
        <w:rPr>
          <w:rFonts w:hint="default" w:eastAsia="SimSun"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t>(4) În cazul în care proprietarul clădirii nu depune raportul de evaluare la organul fiscal competent până la primul termen de plată a impozitului, impozitul se calculează prin aplicarea cotei de 2% asupra valorii impozabile determinate conform prevederilor art. 457, cu condiția ca proprietarul clădirii să fi fost notificat de către organul fiscal competent despre posibilitatea depunerii raportului de evaluare. Notificarea se comunică proprietarului clădirii prin publicarea acesteia în spațiul privat virtual sau prin poștă, în cazul contribuabililor care nu sunt înrolați în spațiul privat virtual. Termenul până la care trebuie comunicată notificarea este 31 octombrie a anului curent pentru impozitul datorat începând cu anul următor. În cazul în care notificarea nu este comunicată până la această dată, impozitul urmează a se calcula prin aplicarea cotei stabilite potrivit alin. (1) asupra valorii impozabile determinate conform prevederilor art. 457.</w:t>
      </w:r>
    </w:p>
    <w:p w14:paraId="000000A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Art. 7. (459) - Calculul impozitului pe clădirile cu destinaţie mixtă aflate în proprietatea  persoanelor fizice </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lang w:val="ro-RO"/>
          <w14:textFill>
            <w14:solidFill>
              <w14:schemeClr w14:val="tx1"/>
            </w14:solidFill>
          </w14:textFill>
        </w:rPr>
        <w:t>pentru anul 2026</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 </w:t>
      </w:r>
    </w:p>
    <w:p w14:paraId="000000A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 (1) În cazul clădirilor cu destinaţie mixtă aflate în proprietatea persoanelor fizice, impozitul  se calculează prin însumarea: </w:t>
      </w:r>
    </w:p>
    <w:p w14:paraId="000000A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9"/>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a)impozitului calculat pentru suprafaţa folosită în scop rezidenţial conform art. 457; </w:t>
      </w:r>
      <w:r>
        <w:rPr>
          <w:rFonts w:hint="default" w:eastAsia="Times New Roman" w:cs="Arial" w:asciiTheme="minorAscii" w:hAnsiTheme="minorAscii"/>
          <w:b w:val="0"/>
          <w:bCs w:val="0"/>
          <w:i w:val="0"/>
          <w:iCs w:val="0"/>
          <w:smallCaps w:val="0"/>
          <w:strike w:val="0"/>
          <w:dstrike w:val="0"/>
          <w:color w:val="000000" w:themeColor="text1"/>
          <w:sz w:val="20"/>
          <w:szCs w:val="20"/>
          <w:highlight w:val="white"/>
          <w:u w:val="none"/>
          <w:shd w:val="clear" w:color="auto" w:fill="auto"/>
          <w:vertAlign w:val="baseline"/>
          <w:rtl w:val="0"/>
          <w14:textFill>
            <w14:solidFill>
              <w14:schemeClr w14:val="tx1"/>
            </w14:solidFill>
          </w14:textFill>
        </w:rPr>
        <w:t>b</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)impozitului determinat pentru suprafaţa folosită în scop nerezidenţial, indicată prin declaraţie  </w:t>
      </w:r>
      <w:r>
        <w:rPr>
          <w:rFonts w:hint="default" w:eastAsia="Times New Roman" w:cs="Arial" w:asciiTheme="minorAscii" w:hAnsiTheme="minorAscii"/>
          <w:b w:val="0"/>
          <w:bCs w:val="0"/>
          <w:i w:val="0"/>
          <w:iCs w:val="0"/>
          <w:smallCaps w:val="0"/>
          <w:strike w:val="0"/>
          <w:dstrike w:val="0"/>
          <w:color w:val="000000" w:themeColor="text1"/>
          <w:sz w:val="20"/>
          <w:szCs w:val="20"/>
          <w:highlight w:val="white"/>
          <w:u w:val="none"/>
          <w:shd w:val="clear" w:color="auto" w:fill="auto"/>
          <w:vertAlign w:val="baseline"/>
          <w:rtl w:val="0"/>
          <w14:textFill>
            <w14:solidFill>
              <w14:schemeClr w14:val="tx1"/>
            </w14:solidFill>
          </w14:textFill>
        </w:rPr>
        <w:t>p</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e propria răspundere, prin aplicarea cotei menţionate la art. 458 asupra valorii impozabile  determinate potrivit art. 457, fără a fi necesară stabilirea valorii prin depunerea documentelor  </w:t>
      </w:r>
      <w:r>
        <w:rPr>
          <w:rFonts w:hint="default" w:eastAsia="Times New Roman" w:cs="Arial" w:asciiTheme="minorAscii" w:hAnsiTheme="minorAscii"/>
          <w:b w:val="0"/>
          <w:bCs w:val="0"/>
          <w:i w:val="0"/>
          <w:iCs w:val="0"/>
          <w:smallCaps w:val="0"/>
          <w:strike w:val="0"/>
          <w:dstrike w:val="0"/>
          <w:color w:val="000000" w:themeColor="text1"/>
          <w:sz w:val="20"/>
          <w:szCs w:val="20"/>
          <w:highlight w:val="white"/>
          <w:u w:val="none"/>
          <w:shd w:val="clear" w:color="auto" w:fill="auto"/>
          <w:vertAlign w:val="baseline"/>
          <w:rtl w:val="0"/>
          <w14:textFill>
            <w14:solidFill>
              <w14:schemeClr w14:val="tx1"/>
            </w14:solidFill>
          </w14:textFill>
        </w:rPr>
        <w:t>p</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revăzute la art. 458 alin. (1). </w:t>
      </w:r>
    </w:p>
    <w:p w14:paraId="000000A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highlight w:val="white"/>
          <w:u w:val="none"/>
          <w:shd w:val="clear" w:color="auto" w:fill="auto"/>
          <w:vertAlign w:val="baseline"/>
          <w:rtl w:val="0"/>
          <w14:textFill>
            <w14:solidFill>
              <w14:schemeClr w14:val="tx1"/>
            </w14:solidFill>
          </w14:textFill>
        </w:rPr>
        <w:t xml:space="preserve"> (2) În cazul în care la adresa clădirii este înregistrat un domiciliu fiscal la care nu se desfăşoară </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 </w:t>
      </w:r>
      <w:r>
        <w:rPr>
          <w:rFonts w:hint="default" w:eastAsia="Times New Roman" w:cs="Arial" w:asciiTheme="minorAscii" w:hAnsiTheme="minorAscii"/>
          <w:b w:val="0"/>
          <w:bCs w:val="0"/>
          <w:i w:val="0"/>
          <w:iCs w:val="0"/>
          <w:smallCaps w:val="0"/>
          <w:strike w:val="0"/>
          <w:dstrike w:val="0"/>
          <w:color w:val="000000" w:themeColor="text1"/>
          <w:sz w:val="20"/>
          <w:szCs w:val="20"/>
          <w:highlight w:val="white"/>
          <w:u w:val="none"/>
          <w:shd w:val="clear" w:color="auto" w:fill="auto"/>
          <w:vertAlign w:val="baseline"/>
          <w:rtl w:val="0"/>
          <w14:textFill>
            <w14:solidFill>
              <w14:schemeClr w14:val="tx1"/>
            </w14:solidFill>
          </w14:textFill>
        </w:rPr>
        <w:t>nicio activitate economică, impozitul se calculează conform art. 457.</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 </w:t>
      </w:r>
    </w:p>
    <w:p w14:paraId="227ED14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 (3) În cazul clădirilor cu destinaţie mixtă, când proprietarul nu declară la organul fiscal  suprafaţa folosită în scop nerezidenţial, potrivit alin. (1) lit. b), impozitul pe clădiri se calculează  prin aplicarea cotei de 0,3% asupra valorii impozabile determinate</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lang w:val="ro-RO"/>
          <w14:textFill>
            <w14:solidFill>
              <w14:schemeClr w14:val="tx1"/>
            </w14:solidFill>
          </w14:textFill>
        </w:rPr>
        <w:t xml:space="preserve"> </w:t>
      </w:r>
      <w:r>
        <w:rPr>
          <w:rFonts w:hint="default" w:eastAsia="Times New Roman" w:cs="Arial" w:asciiTheme="minorAscii" w:hAnsiTheme="minorAscii"/>
          <w:b w:val="0"/>
          <w:bCs w:val="0"/>
          <w:i w:val="0"/>
          <w:iCs w:val="0"/>
          <w:smallCaps w:val="0"/>
          <w:strike w:val="0"/>
          <w:dstrike w:val="0"/>
          <w:color w:val="000000" w:themeColor="text1"/>
          <w:sz w:val="20"/>
          <w:szCs w:val="20"/>
          <w:highlight w:val="white"/>
          <w:u w:val="none"/>
          <w:shd w:val="clear" w:color="auto" w:fill="auto"/>
          <w:vertAlign w:val="baseline"/>
          <w:rtl w:val="0"/>
          <w14:textFill>
            <w14:solidFill>
              <w14:schemeClr w14:val="tx1"/>
            </w14:solidFill>
          </w14:textFill>
        </w:rPr>
        <w:t>conform art. 457.</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 </w:t>
      </w:r>
    </w:p>
    <w:p w14:paraId="38DA5416">
      <w:pPr>
        <w:keepNext w:val="0"/>
        <w:keepLines w:val="0"/>
        <w:pageBreakBefore w:val="0"/>
        <w:widowControl w:val="0"/>
        <w:numPr>
          <w:ilvl w:val="0"/>
          <w:numId w:val="0"/>
        </w:numPr>
        <w:shd w:val="clear" w:color="auto" w:fill="FFFFFF"/>
        <w:kinsoku/>
        <w:wordWrap/>
        <w:overflowPunct/>
        <w:topLinePunct w:val="0"/>
        <w:autoSpaceDE w:val="0"/>
        <w:autoSpaceDN w:val="0"/>
        <w:bidi w:val="0"/>
        <w:adjustRightInd w:val="0"/>
        <w:snapToGrid/>
        <w:spacing w:after="0" w:line="240" w:lineRule="auto"/>
        <w:ind w:left="0" w:right="0"/>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lang w:val="ro-RO"/>
          <w14:textFill>
            <w14:solidFill>
              <w14:schemeClr w14:val="tx1"/>
            </w14:solidFill>
          </w14:textFill>
        </w:rPr>
      </w:pPr>
    </w:p>
    <w:p w14:paraId="1FC96049">
      <w:pPr>
        <w:keepNext w:val="0"/>
        <w:keepLines w:val="0"/>
        <w:pageBreakBefore w:val="0"/>
        <w:widowControl w:val="0"/>
        <w:shd w:val="clear" w:color="auto" w:fill="FFFFFF"/>
        <w:kinsoku/>
        <w:wordWrap/>
        <w:overflowPunct/>
        <w:topLinePunct w:val="0"/>
        <w:autoSpaceDE w:val="0"/>
        <w:autoSpaceDN w:val="0"/>
        <w:bidi w:val="0"/>
        <w:adjustRightInd w:val="0"/>
        <w:snapToGrid/>
        <w:spacing w:after="0" w:line="240" w:lineRule="auto"/>
        <w:ind w:left="0" w:right="0"/>
        <w:jc w:val="center"/>
        <w:rPr>
          <w:rFonts w:hint="default" w:eastAsia="Times New Roman" w:cs="Arial" w:asciiTheme="minorAscii" w:hAnsiTheme="minorAscii"/>
          <w:b w:val="0"/>
          <w:bCs w:val="0"/>
          <w:strike w:val="0"/>
          <w:dstrike w:val="0"/>
          <w:color w:val="000000" w:themeColor="text1"/>
          <w:sz w:val="20"/>
          <w:szCs w:val="20"/>
          <w:lang w:val="ro-RO"/>
          <w14:textFill>
            <w14:solidFill>
              <w14:schemeClr w14:val="tx1"/>
            </w14:solidFill>
          </w14:textFill>
        </w:rPr>
      </w:pPr>
    </w:p>
    <w:p w14:paraId="7ADF320F">
      <w:pPr>
        <w:keepNext w:val="0"/>
        <w:keepLines w:val="0"/>
        <w:pageBreakBefore w:val="0"/>
        <w:widowControl w:val="0"/>
        <w:shd w:val="clear" w:color="auto" w:fill="FFFFFF"/>
        <w:kinsoku/>
        <w:wordWrap/>
        <w:overflowPunct/>
        <w:topLinePunct w:val="0"/>
        <w:autoSpaceDE w:val="0"/>
        <w:autoSpaceDN w:val="0"/>
        <w:bidi w:val="0"/>
        <w:adjustRightInd w:val="0"/>
        <w:snapToGrid/>
        <w:spacing w:after="0" w:line="240" w:lineRule="auto"/>
        <w:ind w:left="0" w:right="0"/>
        <w:jc w:val="center"/>
        <w:rPr>
          <w:rFonts w:hint="default" w:eastAsia="Times New Roman"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ro-RO"/>
          <w14:textFill>
            <w14:solidFill>
              <w14:schemeClr w14:val="tx1"/>
            </w14:solidFill>
          </w14:textFill>
        </w:rPr>
        <w:t>IMPOZITUL/ TAXĂ PE CLĂDIRI ÎN CAZUL PERSOANELOR JURIDICE</w:t>
      </w:r>
    </w:p>
    <w:p w14:paraId="186C13E3">
      <w:pPr>
        <w:keepNext w:val="0"/>
        <w:keepLines w:val="0"/>
        <w:pageBreakBefore w:val="0"/>
        <w:widowControl w:val="0"/>
        <w:shd w:val="clear" w:color="auto" w:fill="FFFFFF"/>
        <w:kinsoku/>
        <w:wordWrap/>
        <w:overflowPunct/>
        <w:topLinePunct w:val="0"/>
        <w:autoSpaceDE w:val="0"/>
        <w:autoSpaceDN w:val="0"/>
        <w:bidi w:val="0"/>
        <w:adjustRightInd w:val="0"/>
        <w:snapToGrid/>
        <w:spacing w:after="0" w:line="240" w:lineRule="auto"/>
        <w:ind w:left="0" w:right="0"/>
        <w:jc w:val="center"/>
        <w:rPr>
          <w:rFonts w:hint="default" w:eastAsia="Times New Roman" w:cs="Arial" w:asciiTheme="minorAscii" w:hAnsiTheme="minorAscii"/>
          <w:b w:val="0"/>
          <w:bCs w:val="0"/>
          <w:strike w:val="0"/>
          <w:dstrike w:val="0"/>
          <w:color w:val="000000" w:themeColor="text1"/>
          <w:sz w:val="20"/>
          <w:szCs w:val="20"/>
          <w:lang w:val="ro-RO"/>
          <w14:textFill>
            <w14:solidFill>
              <w14:schemeClr w14:val="tx1"/>
            </w14:solidFill>
          </w14:textFill>
        </w:rPr>
      </w:pPr>
    </w:p>
    <w:p w14:paraId="38DFC27F">
      <w:pPr>
        <w:keepNext w:val="0"/>
        <w:keepLines w:val="0"/>
        <w:pageBreakBefore w:val="0"/>
        <w:kinsoku/>
        <w:wordWrap/>
        <w:overflowPunct/>
        <w:topLinePunct w:val="0"/>
        <w:autoSpaceDE w:val="0"/>
        <w:autoSpaceDN w:val="0"/>
        <w:bidi w:val="0"/>
        <w:adjustRightInd w:val="0"/>
        <w:snapToGrid/>
        <w:spacing w:after="0" w:line="240" w:lineRule="auto"/>
        <w:ind w:left="0" w:right="0"/>
        <w:jc w:val="both"/>
        <w:rPr>
          <w:rFonts w:hint="default" w:eastAsia="Calibri" w:cs="Arial" w:asciiTheme="minorAscii" w:hAnsiTheme="minorAscii"/>
          <w:b w:val="0"/>
          <w:bCs w:val="0"/>
          <w:strike w:val="0"/>
          <w:dstrike w:val="0"/>
          <w:color w:val="000000" w:themeColor="text1"/>
          <w:sz w:val="20"/>
          <w:szCs w:val="20"/>
          <w:u w:val="singl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 xml:space="preserve">Art.8.  </w:t>
      </w:r>
      <w:r>
        <w:rPr>
          <w:rFonts w:hint="default" w:eastAsia="Calibri" w:cs="Arial" w:asciiTheme="minorAscii" w:hAnsiTheme="minorAscii"/>
          <w:b w:val="0"/>
          <w:bCs w:val="0"/>
          <w:strike w:val="0"/>
          <w:dstrike w:val="0"/>
          <w:color w:val="000000" w:themeColor="text1"/>
          <w:sz w:val="20"/>
          <w:szCs w:val="20"/>
          <w:u w:val="single"/>
          <w14:textFill>
            <w14:solidFill>
              <w14:schemeClr w14:val="tx1"/>
            </w14:solidFill>
          </w14:textFill>
        </w:rPr>
        <w:t>Calculul impozitului/taxei pe clădirile deţinute de persoanele juridice</w:t>
      </w:r>
      <w:r>
        <w:rPr>
          <w:rFonts w:hint="default" w:eastAsia="Calibri" w:cs="Arial" w:asciiTheme="minorAscii" w:hAnsiTheme="minorAscii"/>
          <w:b w:val="0"/>
          <w:bCs w:val="0"/>
          <w:strike w:val="0"/>
          <w:dstrike w:val="0"/>
          <w:color w:val="000000" w:themeColor="text1"/>
          <w:sz w:val="20"/>
          <w:szCs w:val="20"/>
          <w:u w:val="single"/>
          <w:lang w:val="ro-RO"/>
          <w14:textFill>
            <w14:solidFill>
              <w14:schemeClr w14:val="tx1"/>
            </w14:solidFill>
          </w14:textFill>
        </w:rPr>
        <w:t xml:space="preserve"> pentru 2026</w:t>
      </w:r>
    </w:p>
    <w:p w14:paraId="7B35620B">
      <w:pPr>
        <w:keepNext w:val="0"/>
        <w:keepLines w:val="0"/>
        <w:pageBreakBefore w:val="0"/>
        <w:kinsoku/>
        <w:wordWrap/>
        <w:overflowPunct/>
        <w:topLinePunct w:val="0"/>
        <w:autoSpaceDE w:val="0"/>
        <w:autoSpaceDN w:val="0"/>
        <w:bidi w:val="0"/>
        <w:adjustRightInd w:val="0"/>
        <w:snapToGrid/>
        <w:spacing w:after="0" w:line="240" w:lineRule="auto"/>
        <w:ind w:left="0" w:right="0"/>
        <w:jc w:val="center"/>
        <w:rPr>
          <w:rFonts w:hint="default" w:eastAsia="Calibri" w:cs="Arial" w:asciiTheme="minorAscii" w:hAnsiTheme="minorAscii"/>
          <w:b w:val="0"/>
          <w:bCs w:val="0"/>
          <w:strike w:val="0"/>
          <w:dstrike w:val="0"/>
          <w:color w:val="000000" w:themeColor="text1"/>
          <w:sz w:val="20"/>
          <w:szCs w:val="20"/>
          <w:u w:val="single"/>
          <w14:textFill>
            <w14:solidFill>
              <w14:schemeClr w14:val="tx1"/>
            </w14:solidFill>
          </w14:textFill>
        </w:rPr>
      </w:pPr>
    </w:p>
    <w:p w14:paraId="5818BBAA">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lang w:val="ro-RO" w:eastAsia="en-GB"/>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t xml:space="preserve"> </w:t>
      </w:r>
      <w:r>
        <w:rPr>
          <w:rFonts w:hint="default" w:eastAsia="Times New Roman" w:cs="Arial" w:asciiTheme="minorAscii" w:hAnsiTheme="minorAscii"/>
          <w:b w:val="0"/>
          <w:bCs w:val="0"/>
          <w:strike w:val="0"/>
          <w:dstrike w:val="0"/>
          <w:color w:val="000000" w:themeColor="text1"/>
          <w:sz w:val="20"/>
          <w:szCs w:val="20"/>
          <w:lang w:val="ro-RO" w:eastAsia="en-GB"/>
          <w14:textFill>
            <w14:solidFill>
              <w14:schemeClr w14:val="tx1"/>
            </w14:solidFill>
          </w14:textFill>
        </w:rPr>
        <w:t xml:space="preserve">Conform art.460  din Cod Fiscal </w:t>
      </w:r>
    </w:p>
    <w:p w14:paraId="49FF2D04">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t xml:space="preserve">(1) </w:t>
      </w:r>
      <w:r>
        <w:rPr>
          <w:rFonts w:hint="default" w:eastAsia="Times New Roman" w:cs="Arial" w:asciiTheme="minorAscii" w:hAnsiTheme="minorAscii"/>
          <w:b w:val="0"/>
          <w:bCs w:val="0"/>
          <w:strike w:val="0"/>
          <w:dstrike w:val="0"/>
          <w:color w:val="000000" w:themeColor="text1"/>
          <w:sz w:val="20"/>
          <w:szCs w:val="20"/>
          <w:lang w:val="ro-RO" w:eastAsia="en-GB"/>
          <w14:textFill>
            <w14:solidFill>
              <w14:schemeClr w14:val="tx1"/>
            </w14:solidFill>
          </w14:textFill>
        </w:rPr>
        <w:t>:</w:t>
      </w:r>
      <w:r>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t>Pentru clădirile rezidenţiale aflate în proprietatea sau deţinute de persoanele juridice, impozitul/taxa pe clădiri se calculează prin aplicarea unei cote cuprinse între 0,</w:t>
      </w:r>
      <w:r>
        <w:rPr>
          <w:rFonts w:hint="default" w:eastAsia="Times New Roman" w:cs="Arial" w:asciiTheme="minorAscii" w:hAnsiTheme="minorAscii"/>
          <w:b w:val="0"/>
          <w:bCs w:val="0"/>
          <w:strike w:val="0"/>
          <w:dstrike w:val="0"/>
          <w:color w:val="000000" w:themeColor="text1"/>
          <w:sz w:val="20"/>
          <w:szCs w:val="20"/>
          <w:lang w:val="ro-RO" w:eastAsia="en-GB"/>
          <w14:textFill>
            <w14:solidFill>
              <w14:schemeClr w14:val="tx1"/>
            </w14:solidFill>
          </w14:textFill>
        </w:rPr>
        <w:t>1</w:t>
      </w:r>
      <w:r>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t xml:space="preserve">% asupra valorii impozabile a clădirii. </w:t>
      </w:r>
    </w:p>
    <w:p w14:paraId="5D6ED761">
      <w:pPr>
        <w:keepNext w:val="0"/>
        <w:keepLines w:val="0"/>
        <w:pageBreakBefore w:val="0"/>
        <w:kinsoku/>
        <w:wordWrap/>
        <w:overflowPunct/>
        <w:topLinePunct w:val="0"/>
        <w:autoSpaceDE w:val="0"/>
        <w:autoSpaceDN w:val="0"/>
        <w:bidi w:val="0"/>
        <w:adjustRightInd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t>(2) Pentru clădirile nerezidenţiale aflate în proprietatea sau deţinute de persoanele juridice, impozitul/taxa pe clădiri se calculează prin aplicarea unei cote cuprinse între 0,</w:t>
      </w:r>
      <w:r>
        <w:rPr>
          <w:rFonts w:hint="default" w:eastAsia="Times New Roman" w:cs="Arial" w:asciiTheme="minorAscii" w:hAnsiTheme="minorAscii"/>
          <w:b w:val="0"/>
          <w:bCs w:val="0"/>
          <w:strike w:val="0"/>
          <w:dstrike w:val="0"/>
          <w:color w:val="000000" w:themeColor="text1"/>
          <w:sz w:val="20"/>
          <w:szCs w:val="20"/>
          <w:lang w:val="ro-RO" w:eastAsia="en-GB"/>
          <w14:textFill>
            <w14:solidFill>
              <w14:schemeClr w14:val="tx1"/>
            </w14:solidFill>
          </w14:textFill>
        </w:rPr>
        <w:t>3%</w:t>
      </w:r>
      <w:r>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t>, inclusiv, asupra valorii impozabile a clădirii.</w:t>
      </w:r>
    </w:p>
    <w:p w14:paraId="73D92286">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lang w:val="ro-RO" w:eastAsia="en-GB"/>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t>(3) Pentru clădirile nerezidenţiale aflate în proprietatea sau deţinute de persoanele juridice, utilizate pentru activităţi din domeniul agricol, impozitul/taxa pe clădiri se calculează prin aplicarea unei cote de 0,4% asupra valorii impozabile a clădirii</w:t>
      </w:r>
      <w:r>
        <w:rPr>
          <w:rFonts w:hint="default" w:eastAsia="Times New Roman" w:cs="Arial" w:asciiTheme="minorAscii" w:hAnsiTheme="minorAscii"/>
          <w:b w:val="0"/>
          <w:bCs w:val="0"/>
          <w:strike w:val="0"/>
          <w:dstrike w:val="0"/>
          <w:color w:val="000000" w:themeColor="text1"/>
          <w:sz w:val="20"/>
          <w:szCs w:val="20"/>
          <w:lang w:val="ro-RO" w:eastAsia="en-GB"/>
          <w14:textFill>
            <w14:solidFill>
              <w14:schemeClr w14:val="tx1"/>
            </w14:solidFill>
          </w14:textFill>
        </w:rPr>
        <w:t>.</w:t>
      </w:r>
    </w:p>
    <w:p w14:paraId="22508A95">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t>(4) În cazul clădirilor cu destinaţie mixtă aflate în proprietatea persoanelor juridice, impozitul se determină prin însumarea impozitului calculat pentru suprafaţa folosită în scop rezidenţial conform alin. (1), cu impozitul calculat pentru suprafaţa folosită în scop nerezidenţial, conform alin. (2) sau (3).</w:t>
      </w:r>
      <w:r>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br w:type="textWrapping"/>
      </w:r>
      <w:r>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t xml:space="preserve">(5) Pentru stabilirea impozitului/taxei pe clădiri, valoarea impozabilă a clădirilor aflate în proprietatea persoanelor juridice este valoarea de la 31 decembrie a anului anterior celui pentru care se datorează impozitul/taxa şi poate fi: </w:t>
      </w:r>
    </w:p>
    <w:p w14:paraId="06E12F14">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t>a) ultima valoare impozabilă înregistrată în evidenţele organului fiscal;</w:t>
      </w:r>
    </w:p>
    <w:p w14:paraId="07D7D5EE">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t>b) valoarea rezultată dintr-un raport de evaluare întocmit de un evaluator autorizat în conformitate cu standardele de evaluare a bunurilor aflate în vigoare la data evaluării;</w:t>
      </w:r>
    </w:p>
    <w:p w14:paraId="7E36BFC2">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t>c) valoarea finală a lucrărilor de construcţii, în cazul clădirilor noi, construite în cursul anului fiscal anterior;</w:t>
      </w:r>
    </w:p>
    <w:p w14:paraId="15676D71">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vanish/>
          <w:color w:val="000000" w:themeColor="text1"/>
          <w:sz w:val="20"/>
          <w:szCs w:val="20"/>
          <w:lang w:val="en-GB" w:eastAsia="en-GB"/>
          <w14:textFill>
            <w14:solidFill>
              <w14:schemeClr w14:val="tx1"/>
            </w14:solidFill>
          </w14:textFill>
        </w:rPr>
      </w:pPr>
      <w:r>
        <w:rPr>
          <w:rFonts w:hint="default" w:eastAsia="Times New Roman" w:cs="Arial" w:asciiTheme="minorAscii" w:hAnsiTheme="minorAscii"/>
          <w:b w:val="0"/>
          <w:bCs w:val="0"/>
          <w:strike w:val="0"/>
          <w:dstrike w:val="0"/>
          <w:vanish/>
          <w:color w:val="000000" w:themeColor="text1"/>
          <w:sz w:val="20"/>
          <w:szCs w:val="20"/>
          <w:lang w:val="en-GB" w:eastAsia="en-GB"/>
          <w14:textFill>
            <w14:solidFill>
              <w14:schemeClr w14:val="tx1"/>
            </w14:solidFill>
          </w14:textFill>
        </w:rPr>
        <w:t>|[d) valoarea clădirilor care rezultă din actul prin care se transferă dreptul de proprietate, în cazul clădirilor dobândite în cursul anului fiscal anterior;</w:t>
      </w:r>
      <w:r>
        <w:rPr>
          <w:rFonts w:hint="default" w:eastAsia="Times New Roman" w:cs="Arial" w:asciiTheme="minorAscii" w:hAnsiTheme="minorAscii"/>
          <w:b w:val="0"/>
          <w:bCs w:val="0"/>
          <w:i/>
          <w:iCs/>
          <w:strike w:val="0"/>
          <w:dstrike w:val="0"/>
          <w:vanish/>
          <w:color w:val="000000" w:themeColor="text1"/>
          <w:sz w:val="20"/>
          <w:szCs w:val="20"/>
          <w:lang w:val="en-GB" w:eastAsia="en-GB"/>
          <w14:textFill>
            <w14:solidFill>
              <w14:schemeClr w14:val="tx1"/>
            </w14:solidFill>
          </w14:textFill>
        </w:rPr>
        <w:t xml:space="preserve"> (text original în vigoare până la 24 decembrie 2020)</w:t>
      </w:r>
      <w:r>
        <w:rPr>
          <w:rFonts w:hint="default" w:eastAsia="Times New Roman" w:cs="Arial" w:asciiTheme="minorAscii" w:hAnsiTheme="minorAscii"/>
          <w:b w:val="0"/>
          <w:bCs w:val="0"/>
          <w:strike w:val="0"/>
          <w:dstrike w:val="0"/>
          <w:vanish/>
          <w:color w:val="000000" w:themeColor="text1"/>
          <w:sz w:val="20"/>
          <w:szCs w:val="20"/>
          <w:lang w:val="en-GB" w:eastAsia="en-GB"/>
          <w14:textFill>
            <w14:solidFill>
              <w14:schemeClr w14:val="tx1"/>
            </w14:solidFill>
          </w14:textFill>
        </w:rPr>
        <w:t xml:space="preserve"> ]| </w:t>
      </w:r>
    </w:p>
    <w:p w14:paraId="3BDE342F">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i/>
          <w:iCs/>
          <w:strike w:val="0"/>
          <w:dstrike w:val="0"/>
          <w:color w:val="000000" w:themeColor="text1"/>
          <w:sz w:val="20"/>
          <w:szCs w:val="20"/>
          <w:lang w:val="en-GB" w:eastAsia="en-GB"/>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t>d) valoarea clădirilor care rezultă din actul prin care se transferă dreptul de proprietate. În situaţia în care nu este precizată valoarea în documentele care atestă proprietatea, se utilizează ultima valoare înregistrată în baza de date a organului fiscal;</w:t>
      </w:r>
      <w:r>
        <w:rPr>
          <w:rFonts w:hint="default" w:eastAsia="Times New Roman" w:cs="Arial" w:asciiTheme="minorAscii" w:hAnsiTheme="minorAscii"/>
          <w:b w:val="0"/>
          <w:bCs w:val="0"/>
          <w:i/>
          <w:iCs/>
          <w:strike w:val="0"/>
          <w:dstrike w:val="0"/>
          <w:color w:val="000000" w:themeColor="text1"/>
          <w:sz w:val="20"/>
          <w:szCs w:val="20"/>
          <w:lang w:val="en-GB" w:eastAsia="en-GB"/>
          <w14:textFill>
            <w14:solidFill>
              <w14:schemeClr w14:val="tx1"/>
            </w14:solidFill>
          </w14:textFill>
        </w:rPr>
        <w:t> </w:t>
      </w:r>
    </w:p>
    <w:p w14:paraId="5684C863">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t xml:space="preserve"> e) în cazul clădirilor care sunt finanţate în baza unui contract de leasing financiar, valoarea rezultată dintr-un raport de evaluare întocmit de un evaluator autorizat în conformitate cu standardele de evaluare a bunurilor aflate în vigoare la data evaluării;</w:t>
      </w:r>
    </w:p>
    <w:p w14:paraId="3F086B96">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t xml:space="preserve">f) în cazul clădirilor pentru care se datorează taxa pe clădiri, valoarea înscrisă în contabilitatea proprietarului clădirii şi comunicată concesionarului, locatarului, titularului dreptului de administrare sau de folosinţă, după caz. </w:t>
      </w:r>
    </w:p>
    <w:p w14:paraId="4114295E">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vanish/>
          <w:color w:val="000000" w:themeColor="text1"/>
          <w:sz w:val="20"/>
          <w:szCs w:val="20"/>
          <w:lang w:val="en-GB" w:eastAsia="en-GB"/>
          <w14:textFill>
            <w14:solidFill>
              <w14:schemeClr w14:val="tx1"/>
            </w14:solidFill>
          </w14:textFill>
        </w:rPr>
      </w:pPr>
      <w:r>
        <w:rPr>
          <w:rFonts w:hint="default" w:eastAsia="Times New Roman" w:cs="Arial" w:asciiTheme="minorAscii" w:hAnsiTheme="minorAscii"/>
          <w:b w:val="0"/>
          <w:bCs w:val="0"/>
          <w:strike w:val="0"/>
          <w:dstrike w:val="0"/>
          <w:vanish/>
          <w:color w:val="000000" w:themeColor="text1"/>
          <w:sz w:val="20"/>
          <w:szCs w:val="20"/>
          <w:lang w:val="en-GB" w:eastAsia="en-GB"/>
          <w14:textFill>
            <w14:solidFill>
              <w14:schemeClr w14:val="tx1"/>
            </w14:solidFill>
          </w14:textFill>
        </w:rPr>
        <w:t xml:space="preserve">|[ </w:t>
      </w:r>
    </w:p>
    <w:p w14:paraId="3D83C6C0">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vanish/>
          <w:color w:val="000000" w:themeColor="text1"/>
          <w:sz w:val="20"/>
          <w:szCs w:val="20"/>
          <w:lang w:val="en-GB" w:eastAsia="en-GB"/>
          <w14:textFill>
            <w14:solidFill>
              <w14:schemeClr w14:val="tx1"/>
            </w14:solidFill>
          </w14:textFill>
        </w:rPr>
      </w:pPr>
      <w:r>
        <w:rPr>
          <w:rFonts w:hint="default" w:eastAsia="Times New Roman" w:cs="Arial" w:asciiTheme="minorAscii" w:hAnsiTheme="minorAscii"/>
          <w:b w:val="0"/>
          <w:bCs w:val="0"/>
          <w:strike w:val="0"/>
          <w:dstrike w:val="0"/>
          <w:vanish/>
          <w:color w:val="000000" w:themeColor="text1"/>
          <w:sz w:val="20"/>
          <w:szCs w:val="20"/>
          <w:lang w:val="en-GB" w:eastAsia="en-GB"/>
          <w14:textFill>
            <w14:solidFill>
              <w14:schemeClr w14:val="tx1"/>
            </w14:solidFill>
          </w14:textFill>
        </w:rPr>
        <w:t>(6) Valoarea impozabilă a clădirii se actualizează o dată la 3 ani pe baza unui raport de evaluare a clădirii întocmit de un evaluator autorizat în conformitate cu standardele de evaluare a bunurilor aflate în vigoare la data evaluării.</w:t>
      </w:r>
      <w:r>
        <w:rPr>
          <w:rFonts w:hint="default" w:eastAsia="Times New Roman" w:cs="Arial" w:asciiTheme="minorAscii" w:hAnsiTheme="minorAscii"/>
          <w:b w:val="0"/>
          <w:bCs w:val="0"/>
          <w:i/>
          <w:iCs/>
          <w:strike w:val="0"/>
          <w:dstrike w:val="0"/>
          <w:vanish/>
          <w:color w:val="000000" w:themeColor="text1"/>
          <w:sz w:val="20"/>
          <w:szCs w:val="20"/>
          <w:lang w:val="en-GB" w:eastAsia="en-GB"/>
          <w14:textFill>
            <w14:solidFill>
              <w14:schemeClr w14:val="tx1"/>
            </w14:solidFill>
          </w14:textFill>
        </w:rPr>
        <w:t xml:space="preserve"> (text original în vigoare până la 3 ianuarie 2016)</w:t>
      </w:r>
      <w:r>
        <w:rPr>
          <w:rFonts w:hint="default" w:eastAsia="Times New Roman" w:cs="Arial" w:asciiTheme="minorAscii" w:hAnsiTheme="minorAscii"/>
          <w:b w:val="0"/>
          <w:bCs w:val="0"/>
          <w:strike w:val="0"/>
          <w:dstrike w:val="0"/>
          <w:vanish/>
          <w:color w:val="000000" w:themeColor="text1"/>
          <w:sz w:val="20"/>
          <w:szCs w:val="20"/>
          <w:lang w:val="en-GB" w:eastAsia="en-GB"/>
          <w14:textFill>
            <w14:solidFill>
              <w14:schemeClr w14:val="tx1"/>
            </w14:solidFill>
          </w14:textFill>
        </w:rPr>
        <w:t xml:space="preserve"> ]| </w:t>
      </w:r>
      <w:r>
        <w:rPr>
          <w:rFonts w:hint="default" w:eastAsia="Times New Roman" w:cs="Arial" w:asciiTheme="minorAscii" w:hAnsiTheme="minorAscii"/>
          <w:b w:val="0"/>
          <w:bCs w:val="0"/>
          <w:strike w:val="0"/>
          <w:dstrike w:val="0"/>
          <w:vanish/>
          <w:color w:val="000000" w:themeColor="text1"/>
          <w:sz w:val="20"/>
          <w:szCs w:val="20"/>
          <w:lang w:val="en-GB" w:eastAsia="en-GB"/>
          <w14:textFill>
            <w14:solidFill>
              <w14:schemeClr w14:val="tx1"/>
            </w14:solidFill>
          </w14:textFill>
        </w:rPr>
        <w:br w:type="textWrapping"/>
      </w:r>
      <w:r>
        <w:rPr>
          <w:rFonts w:hint="default" w:eastAsia="Times New Roman" w:cs="Arial" w:asciiTheme="minorAscii" w:hAnsiTheme="minorAscii"/>
          <w:b w:val="0"/>
          <w:bCs w:val="0"/>
          <w:strike w:val="0"/>
          <w:dstrike w:val="0"/>
          <w:vanish/>
          <w:color w:val="000000" w:themeColor="text1"/>
          <w:sz w:val="20"/>
          <w:szCs w:val="20"/>
          <w:lang w:val="en-GB" w:eastAsia="en-GB"/>
          <w14:textFill>
            <w14:solidFill>
              <w14:schemeClr w14:val="tx1"/>
            </w14:solidFill>
          </w14:textFill>
        </w:rPr>
        <w:t>|[(6) Valoarea impozabilă a clădirii se actualizează o dată la 3 ani pe baza unui raport de evaluare a clădirii întocmit de un evaluator autorizat în conformitate cu standardele de evaluare a bunurilor aflate în vigoare la data evaluării, depus la organul fiscal local până la primul termen de plată din anul de referinţă.</w:t>
      </w:r>
      <w:r>
        <w:rPr>
          <w:rFonts w:hint="default" w:eastAsia="Times New Roman" w:cs="Arial" w:asciiTheme="minorAscii" w:hAnsiTheme="minorAscii"/>
          <w:b w:val="0"/>
          <w:bCs w:val="0"/>
          <w:i/>
          <w:iCs/>
          <w:strike w:val="0"/>
          <w:dstrike w:val="0"/>
          <w:vanish/>
          <w:color w:val="000000" w:themeColor="text1"/>
          <w:sz w:val="20"/>
          <w:szCs w:val="20"/>
          <w:lang w:val="en-GB" w:eastAsia="en-GB"/>
          <w14:textFill>
            <w14:solidFill>
              <w14:schemeClr w14:val="tx1"/>
            </w14:solidFill>
          </w14:textFill>
        </w:rPr>
        <w:t xml:space="preserve"> (alineat modificat prin art. I pct. 3622 din O.U.G. nr. 50/2015, astfel cum a fost modificată prin art. unic pct. 8 din </w:t>
      </w:r>
      <w:r>
        <w:rPr>
          <w:rFonts w:hint="default" w:cs="Arial" w:asciiTheme="minorAscii" w:hAnsiTheme="minorAscii"/>
          <w:b w:val="0"/>
          <w:bCs w:val="0"/>
          <w:strike w:val="0"/>
          <w:dstrike w:val="0"/>
          <w:color w:val="000000" w:themeColor="text1"/>
          <w:sz w:val="20"/>
          <w:szCs w:val="20"/>
          <w14:textFill>
            <w14:solidFill>
              <w14:schemeClr w14:val="tx1"/>
            </w14:solidFill>
          </w14:textFill>
        </w:rPr>
        <w:fldChar w:fldCharType="begin"/>
      </w:r>
      <w:r>
        <w:rPr>
          <w:rFonts w:hint="default" w:cs="Arial" w:asciiTheme="minorAscii" w:hAnsiTheme="minorAscii"/>
          <w:b w:val="0"/>
          <w:bCs w:val="0"/>
          <w:strike w:val="0"/>
          <w:dstrike w:val="0"/>
          <w:color w:val="000000" w:themeColor="text1"/>
          <w:sz w:val="20"/>
          <w:szCs w:val="20"/>
          <w14:textFill>
            <w14:solidFill>
              <w14:schemeClr w14:val="tx1"/>
            </w14:solidFill>
          </w14:textFill>
        </w:rPr>
        <w:instrText xml:space="preserve"> HYPERLINK "unsaved://LexNavigator.htm/DB0;LexAct%20247440" </w:instrText>
      </w:r>
      <w:r>
        <w:rPr>
          <w:rFonts w:hint="default" w:cs="Arial" w:asciiTheme="minorAscii" w:hAnsiTheme="minorAscii"/>
          <w:b w:val="0"/>
          <w:bCs w:val="0"/>
          <w:strike w:val="0"/>
          <w:dstrike w:val="0"/>
          <w:color w:val="000000" w:themeColor="text1"/>
          <w:sz w:val="20"/>
          <w:szCs w:val="20"/>
          <w14:textFill>
            <w14:solidFill>
              <w14:schemeClr w14:val="tx1"/>
            </w14:solidFill>
          </w14:textFill>
        </w:rPr>
        <w:fldChar w:fldCharType="separate"/>
      </w:r>
      <w:r>
        <w:rPr>
          <w:rFonts w:hint="default" w:eastAsia="Times New Roman" w:cs="Arial" w:asciiTheme="minorAscii" w:hAnsiTheme="minorAscii"/>
          <w:b w:val="0"/>
          <w:bCs w:val="0"/>
          <w:i/>
          <w:iCs/>
          <w:strike w:val="0"/>
          <w:dstrike w:val="0"/>
          <w:vanish/>
          <w:color w:val="000000" w:themeColor="text1"/>
          <w:sz w:val="20"/>
          <w:szCs w:val="20"/>
          <w:u w:val="single"/>
          <w:lang w:val="en-GB" w:eastAsia="en-GB"/>
          <w14:textFill>
            <w14:solidFill>
              <w14:schemeClr w14:val="tx1"/>
            </w14:solidFill>
          </w14:textFill>
        </w:rPr>
        <w:t>Legea nr. 358/2015</w:t>
      </w:r>
      <w:r>
        <w:rPr>
          <w:rFonts w:hint="default" w:eastAsia="Times New Roman" w:cs="Arial" w:asciiTheme="minorAscii" w:hAnsiTheme="minorAscii"/>
          <w:b w:val="0"/>
          <w:bCs w:val="0"/>
          <w:i/>
          <w:iCs/>
          <w:strike w:val="0"/>
          <w:dstrike w:val="0"/>
          <w:vanish/>
          <w:color w:val="000000" w:themeColor="text1"/>
          <w:sz w:val="20"/>
          <w:szCs w:val="20"/>
          <w:u w:val="single"/>
          <w:lang w:val="en-GB" w:eastAsia="en-GB"/>
          <w14:textFill>
            <w14:solidFill>
              <w14:schemeClr w14:val="tx1"/>
            </w14:solidFill>
          </w14:textFill>
        </w:rPr>
        <w:fldChar w:fldCharType="end"/>
      </w:r>
      <w:r>
        <w:rPr>
          <w:rFonts w:hint="default" w:eastAsia="Times New Roman" w:cs="Arial" w:asciiTheme="minorAscii" w:hAnsiTheme="minorAscii"/>
          <w:b w:val="0"/>
          <w:bCs w:val="0"/>
          <w:i/>
          <w:iCs/>
          <w:strike w:val="0"/>
          <w:dstrike w:val="0"/>
          <w:vanish/>
          <w:color w:val="000000" w:themeColor="text1"/>
          <w:sz w:val="20"/>
          <w:szCs w:val="20"/>
          <w:lang w:val="en-GB" w:eastAsia="en-GB"/>
          <w14:textFill>
            <w14:solidFill>
              <w14:schemeClr w14:val="tx1"/>
            </w14:solidFill>
          </w14:textFill>
        </w:rPr>
        <w:t>, în vigoare de la 3 ianuarie 2016 până la 24 decembrie 2020)</w:t>
      </w:r>
      <w:r>
        <w:rPr>
          <w:rFonts w:hint="default" w:eastAsia="Times New Roman" w:cs="Arial" w:asciiTheme="minorAscii" w:hAnsiTheme="minorAscii"/>
          <w:b w:val="0"/>
          <w:bCs w:val="0"/>
          <w:strike w:val="0"/>
          <w:dstrike w:val="0"/>
          <w:vanish/>
          <w:color w:val="000000" w:themeColor="text1"/>
          <w:sz w:val="20"/>
          <w:szCs w:val="20"/>
          <w:lang w:val="en-GB" w:eastAsia="en-GB"/>
          <w14:textFill>
            <w14:solidFill>
              <w14:schemeClr w14:val="tx1"/>
            </w14:solidFill>
          </w14:textFill>
        </w:rPr>
        <w:t xml:space="preserve"> ]| </w:t>
      </w:r>
    </w:p>
    <w:p w14:paraId="036C9828">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i/>
          <w:iCs/>
          <w:strike w:val="0"/>
          <w:dstrike w:val="0"/>
          <w:color w:val="000000" w:themeColor="text1"/>
          <w:sz w:val="20"/>
          <w:szCs w:val="20"/>
          <w:lang w:val="en-GB" w:eastAsia="en-GB"/>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t>(6) Valoarea impozabilă a clădirii se actualizează o dată la 5 ani pe baza unui raport de evaluare a clădirii întocmit de un evaluator autorizat în conformitate cu standardele de evaluare a bunurilor aflate în vigoare la data evaluării, depus la organul fiscal local până la primul termen de plată din anul de referinţă. În situaţia depunerii raportului de evaluare după primul termen de plată din anul de referinţă acesta produce efecte începând cu data de 1 ianuarie a anului fiscal următor.</w:t>
      </w:r>
      <w:r>
        <w:rPr>
          <w:rFonts w:hint="default" w:eastAsia="Times New Roman" w:cs="Arial" w:asciiTheme="minorAscii" w:hAnsiTheme="minorAscii"/>
          <w:b w:val="0"/>
          <w:bCs w:val="0"/>
          <w:i/>
          <w:iCs/>
          <w:strike w:val="0"/>
          <w:dstrike w:val="0"/>
          <w:color w:val="000000" w:themeColor="text1"/>
          <w:sz w:val="20"/>
          <w:szCs w:val="20"/>
          <w:lang w:val="en-GB" w:eastAsia="en-GB"/>
          <w14:textFill>
            <w14:solidFill>
              <w14:schemeClr w14:val="tx1"/>
            </w14:solidFill>
          </w14:textFill>
        </w:rPr>
        <w:t> </w:t>
      </w:r>
    </w:p>
    <w:p w14:paraId="7815F94A">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t xml:space="preserve"> (7) Prevederile alin. (6) nu se aplică în cazul clădirilor care aparţin persoanelor faţă de care a fost pronunţată o hotărâre definitivă de declanşare a procedurii falimentului.</w:t>
      </w:r>
      <w:r>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br w:type="textWrapping"/>
      </w:r>
      <w:r>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t xml:space="preserve">(8) Prevederile alin. (6) nu se aplică în cazul clădirilor care sunt scutite de plata impozitului/taxei pe clădiri potrivit </w:t>
      </w:r>
      <w:r>
        <w:rPr>
          <w:rFonts w:hint="default" w:cs="Arial" w:asciiTheme="minorAscii" w:hAnsiTheme="minorAscii"/>
          <w:b w:val="0"/>
          <w:bCs w:val="0"/>
          <w:strike w:val="0"/>
          <w:dstrike w:val="0"/>
          <w:color w:val="000000" w:themeColor="text1"/>
          <w:sz w:val="20"/>
          <w:szCs w:val="20"/>
          <w14:textFill>
            <w14:solidFill>
              <w14:schemeClr w14:val="tx1"/>
            </w14:solidFill>
          </w14:textFill>
        </w:rPr>
        <w:fldChar w:fldCharType="begin"/>
      </w:r>
      <w:r>
        <w:rPr>
          <w:rFonts w:hint="default" w:cs="Arial" w:asciiTheme="minorAscii" w:hAnsiTheme="minorAscii"/>
          <w:b w:val="0"/>
          <w:bCs w:val="0"/>
          <w:strike w:val="0"/>
          <w:dstrike w:val="0"/>
          <w:color w:val="000000" w:themeColor="text1"/>
          <w:sz w:val="20"/>
          <w:szCs w:val="20"/>
          <w14:textFill>
            <w14:solidFill>
              <w14:schemeClr w14:val="tx1"/>
            </w14:solidFill>
          </w14:textFill>
        </w:rPr>
        <w:instrText xml:space="preserve">HYPERLINK "unsaved://LexNavigator.htm" \l "456"</w:instrText>
      </w:r>
      <w:r>
        <w:rPr>
          <w:rFonts w:hint="default" w:cs="Arial" w:asciiTheme="minorAscii" w:hAnsiTheme="minorAscii"/>
          <w:b w:val="0"/>
          <w:bCs w:val="0"/>
          <w:strike w:val="0"/>
          <w:dstrike w:val="0"/>
          <w:color w:val="000000" w:themeColor="text1"/>
          <w:sz w:val="20"/>
          <w:szCs w:val="20"/>
          <w14:textFill>
            <w14:solidFill>
              <w14:schemeClr w14:val="tx1"/>
            </w14:solidFill>
          </w14:textFill>
        </w:rPr>
        <w:fldChar w:fldCharType="separate"/>
      </w:r>
      <w:r>
        <w:rPr>
          <w:rFonts w:hint="default" w:eastAsia="Times New Roman" w:cs="Arial" w:asciiTheme="minorAscii" w:hAnsiTheme="minorAscii"/>
          <w:b w:val="0"/>
          <w:bCs w:val="0"/>
          <w:strike w:val="0"/>
          <w:dstrike w:val="0"/>
          <w:color w:val="000000" w:themeColor="text1"/>
          <w:sz w:val="20"/>
          <w:szCs w:val="20"/>
          <w:u w:val="single"/>
          <w:lang w:val="en-GB" w:eastAsia="en-GB"/>
          <w14:textFill>
            <w14:solidFill>
              <w14:schemeClr w14:val="tx1"/>
            </w14:solidFill>
          </w14:textFill>
        </w:rPr>
        <w:t>art. 456</w:t>
      </w:r>
      <w:r>
        <w:rPr>
          <w:rFonts w:hint="default" w:cs="Arial" w:asciiTheme="minorAscii" w:hAnsiTheme="minorAscii"/>
          <w:b w:val="0"/>
          <w:bCs w:val="0"/>
          <w:strike w:val="0"/>
          <w:dstrike w:val="0"/>
          <w:color w:val="000000" w:themeColor="text1"/>
          <w:sz w:val="20"/>
          <w:szCs w:val="20"/>
          <w14:textFill>
            <w14:solidFill>
              <w14:schemeClr w14:val="tx1"/>
            </w14:solidFill>
          </w14:textFill>
        </w:rPr>
        <w:fldChar w:fldCharType="end"/>
      </w:r>
      <w:r>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t xml:space="preserve"> alin. (1). </w:t>
      </w:r>
    </w:p>
    <w:p w14:paraId="7E098603">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vanish/>
          <w:color w:val="000000" w:themeColor="text1"/>
          <w:sz w:val="20"/>
          <w:szCs w:val="20"/>
          <w:lang w:val="en-GB" w:eastAsia="en-GB"/>
          <w14:textFill>
            <w14:solidFill>
              <w14:schemeClr w14:val="tx1"/>
            </w14:solidFill>
          </w14:textFill>
        </w:rPr>
      </w:pPr>
      <w:r>
        <w:rPr>
          <w:rFonts w:hint="default" w:eastAsia="Times New Roman" w:cs="Arial" w:asciiTheme="minorAscii" w:hAnsiTheme="minorAscii"/>
          <w:b w:val="0"/>
          <w:bCs w:val="0"/>
          <w:strike w:val="0"/>
          <w:dstrike w:val="0"/>
          <w:vanish/>
          <w:color w:val="000000" w:themeColor="text1"/>
          <w:sz w:val="20"/>
          <w:szCs w:val="20"/>
          <w:lang w:val="en-GB" w:eastAsia="en-GB"/>
          <w14:textFill>
            <w14:solidFill>
              <w14:schemeClr w14:val="tx1"/>
            </w14:solidFill>
          </w14:textFill>
        </w:rPr>
        <w:t>|[(8) În cazul în care proprietarul clădirii nu a actualizat valoarea impozabilă a clădirii în ultimii 3 ani anteriori anului de referinţă, cota impozitului/taxei pe clădiri este 5%.</w:t>
      </w:r>
      <w:r>
        <w:rPr>
          <w:rFonts w:hint="default" w:eastAsia="Times New Roman" w:cs="Arial" w:asciiTheme="minorAscii" w:hAnsiTheme="minorAscii"/>
          <w:b w:val="0"/>
          <w:bCs w:val="0"/>
          <w:i/>
          <w:iCs/>
          <w:strike w:val="0"/>
          <w:dstrike w:val="0"/>
          <w:vanish/>
          <w:color w:val="000000" w:themeColor="text1"/>
          <w:sz w:val="20"/>
          <w:szCs w:val="20"/>
          <w:lang w:val="en-GB" w:eastAsia="en-GB"/>
          <w14:textFill>
            <w14:solidFill>
              <w14:schemeClr w14:val="tx1"/>
            </w14:solidFill>
          </w14:textFill>
        </w:rPr>
        <w:t xml:space="preserve"> (text original în vigoare până la 24 decembrie 2020)</w:t>
      </w:r>
      <w:r>
        <w:rPr>
          <w:rFonts w:hint="default" w:eastAsia="Times New Roman" w:cs="Arial" w:asciiTheme="minorAscii" w:hAnsiTheme="minorAscii"/>
          <w:b w:val="0"/>
          <w:bCs w:val="0"/>
          <w:strike w:val="0"/>
          <w:dstrike w:val="0"/>
          <w:vanish/>
          <w:color w:val="000000" w:themeColor="text1"/>
          <w:sz w:val="20"/>
          <w:szCs w:val="20"/>
          <w:lang w:val="en-GB" w:eastAsia="en-GB"/>
          <w14:textFill>
            <w14:solidFill>
              <w14:schemeClr w14:val="tx1"/>
            </w14:solidFill>
          </w14:textFill>
        </w:rPr>
        <w:t xml:space="preserve"> ]| </w:t>
      </w:r>
      <w:r>
        <w:rPr>
          <w:rFonts w:hint="default" w:eastAsia="Times New Roman" w:cs="Arial" w:asciiTheme="minorAscii" w:hAnsiTheme="minorAscii"/>
          <w:b w:val="0"/>
          <w:bCs w:val="0"/>
          <w:strike w:val="0"/>
          <w:dstrike w:val="0"/>
          <w:vanish/>
          <w:color w:val="000000" w:themeColor="text1"/>
          <w:sz w:val="20"/>
          <w:szCs w:val="20"/>
          <w:lang w:val="en-GB" w:eastAsia="en-GB"/>
          <w14:textFill>
            <w14:solidFill>
              <w14:schemeClr w14:val="tx1"/>
            </w14:solidFill>
          </w14:textFill>
        </w:rPr>
        <w:br w:type="textWrapping"/>
      </w:r>
      <w:r>
        <w:rPr>
          <w:rFonts w:hint="default" w:eastAsia="Times New Roman" w:cs="Arial" w:asciiTheme="minorAscii" w:hAnsiTheme="minorAscii"/>
          <w:b w:val="0"/>
          <w:bCs w:val="0"/>
          <w:strike w:val="0"/>
          <w:dstrike w:val="0"/>
          <w:vanish/>
          <w:color w:val="000000" w:themeColor="text1"/>
          <w:sz w:val="20"/>
          <w:szCs w:val="20"/>
          <w:lang w:val="en-GB" w:eastAsia="en-GB"/>
          <w14:textFill>
            <w14:solidFill>
              <w14:schemeClr w14:val="tx1"/>
            </w14:solidFill>
          </w14:textFill>
        </w:rPr>
        <w:t>|[(8) În cazul în care proprietarul clădirii nu a actualizat valoarea impozabilă în ultimii 5 ani anteriori anului de referinţă, cota impozitului/taxei pe clădiri este de 5%. </w:t>
      </w:r>
      <w:r>
        <w:rPr>
          <w:rFonts w:hint="default" w:eastAsia="Times New Roman" w:cs="Arial" w:asciiTheme="minorAscii" w:hAnsiTheme="minorAscii"/>
          <w:b w:val="0"/>
          <w:bCs w:val="0"/>
          <w:i/>
          <w:iCs/>
          <w:strike w:val="0"/>
          <w:dstrike w:val="0"/>
          <w:vanish/>
          <w:color w:val="000000" w:themeColor="text1"/>
          <w:sz w:val="20"/>
          <w:szCs w:val="20"/>
          <w:lang w:val="en-GB" w:eastAsia="en-GB"/>
          <w14:textFill>
            <w14:solidFill>
              <w14:schemeClr w14:val="tx1"/>
            </w14:solidFill>
          </w14:textFill>
        </w:rPr>
        <w:t xml:space="preserve">(alineat modificat prin art. I pct. 197 din </w:t>
      </w:r>
      <w:r>
        <w:rPr>
          <w:rFonts w:hint="default" w:cs="Arial" w:asciiTheme="minorAscii" w:hAnsiTheme="minorAscii"/>
          <w:b w:val="0"/>
          <w:bCs w:val="0"/>
          <w:strike w:val="0"/>
          <w:dstrike w:val="0"/>
          <w:color w:val="000000" w:themeColor="text1"/>
          <w:sz w:val="20"/>
          <w:szCs w:val="20"/>
          <w14:textFill>
            <w14:solidFill>
              <w14:schemeClr w14:val="tx1"/>
            </w14:solidFill>
          </w14:textFill>
        </w:rPr>
        <w:fldChar w:fldCharType="begin"/>
      </w:r>
      <w:r>
        <w:rPr>
          <w:rFonts w:hint="default" w:cs="Arial" w:asciiTheme="minorAscii" w:hAnsiTheme="minorAscii"/>
          <w:b w:val="0"/>
          <w:bCs w:val="0"/>
          <w:strike w:val="0"/>
          <w:dstrike w:val="0"/>
          <w:color w:val="000000" w:themeColor="text1"/>
          <w:sz w:val="20"/>
          <w:szCs w:val="20"/>
          <w14:textFill>
            <w14:solidFill>
              <w14:schemeClr w14:val="tx1"/>
            </w14:solidFill>
          </w14:textFill>
        </w:rPr>
        <w:instrText xml:space="preserve"> HYPERLINK "unsaved://LexNavigator.htm/DB0;LexAct%20425124" </w:instrText>
      </w:r>
      <w:r>
        <w:rPr>
          <w:rFonts w:hint="default" w:cs="Arial" w:asciiTheme="minorAscii" w:hAnsiTheme="minorAscii"/>
          <w:b w:val="0"/>
          <w:bCs w:val="0"/>
          <w:strike w:val="0"/>
          <w:dstrike w:val="0"/>
          <w:color w:val="000000" w:themeColor="text1"/>
          <w:sz w:val="20"/>
          <w:szCs w:val="20"/>
          <w14:textFill>
            <w14:solidFill>
              <w14:schemeClr w14:val="tx1"/>
            </w14:solidFill>
          </w14:textFill>
        </w:rPr>
        <w:fldChar w:fldCharType="separate"/>
      </w:r>
      <w:r>
        <w:rPr>
          <w:rFonts w:hint="default" w:eastAsia="Times New Roman" w:cs="Arial" w:asciiTheme="minorAscii" w:hAnsiTheme="minorAscii"/>
          <w:b w:val="0"/>
          <w:bCs w:val="0"/>
          <w:i/>
          <w:iCs/>
          <w:strike w:val="0"/>
          <w:dstrike w:val="0"/>
          <w:vanish/>
          <w:color w:val="000000" w:themeColor="text1"/>
          <w:sz w:val="20"/>
          <w:szCs w:val="20"/>
          <w:u w:val="single"/>
          <w:lang w:val="en-GB" w:eastAsia="en-GB"/>
          <w14:textFill>
            <w14:solidFill>
              <w14:schemeClr w14:val="tx1"/>
            </w14:solidFill>
          </w14:textFill>
        </w:rPr>
        <w:t>Legea nr. 296/2020</w:t>
      </w:r>
      <w:r>
        <w:rPr>
          <w:rFonts w:hint="default" w:eastAsia="Times New Roman" w:cs="Arial" w:asciiTheme="minorAscii" w:hAnsiTheme="minorAscii"/>
          <w:b w:val="0"/>
          <w:bCs w:val="0"/>
          <w:i/>
          <w:iCs/>
          <w:strike w:val="0"/>
          <w:dstrike w:val="0"/>
          <w:vanish/>
          <w:color w:val="000000" w:themeColor="text1"/>
          <w:sz w:val="20"/>
          <w:szCs w:val="20"/>
          <w:u w:val="single"/>
          <w:lang w:val="en-GB" w:eastAsia="en-GB"/>
          <w14:textFill>
            <w14:solidFill>
              <w14:schemeClr w14:val="tx1"/>
            </w14:solidFill>
          </w14:textFill>
        </w:rPr>
        <w:fldChar w:fldCharType="end"/>
      </w:r>
      <w:r>
        <w:rPr>
          <w:rFonts w:hint="default" w:eastAsia="Times New Roman" w:cs="Arial" w:asciiTheme="minorAscii" w:hAnsiTheme="minorAscii"/>
          <w:b w:val="0"/>
          <w:bCs w:val="0"/>
          <w:i/>
          <w:iCs/>
          <w:strike w:val="0"/>
          <w:dstrike w:val="0"/>
          <w:vanish/>
          <w:color w:val="000000" w:themeColor="text1"/>
          <w:sz w:val="20"/>
          <w:szCs w:val="20"/>
          <w:lang w:val="en-GB" w:eastAsia="en-GB"/>
          <w14:textFill>
            <w14:solidFill>
              <w14:schemeClr w14:val="tx1"/>
            </w14:solidFill>
          </w14:textFill>
        </w:rPr>
        <w:t>, în vigoare de la 24 decembrie 2020 până la 1 ianuarie 2023)</w:t>
      </w:r>
      <w:r>
        <w:rPr>
          <w:rFonts w:hint="default" w:eastAsia="Times New Roman" w:cs="Arial" w:asciiTheme="minorAscii" w:hAnsiTheme="minorAscii"/>
          <w:b w:val="0"/>
          <w:bCs w:val="0"/>
          <w:strike w:val="0"/>
          <w:dstrike w:val="0"/>
          <w:vanish/>
          <w:color w:val="000000" w:themeColor="text1"/>
          <w:sz w:val="20"/>
          <w:szCs w:val="20"/>
          <w:lang w:val="en-GB" w:eastAsia="en-GB"/>
          <w14:textFill>
            <w14:solidFill>
              <w14:schemeClr w14:val="tx1"/>
            </w14:solidFill>
          </w14:textFill>
        </w:rPr>
        <w:t xml:space="preserve"> ]| </w:t>
      </w:r>
    </w:p>
    <w:p w14:paraId="4E67244A">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lang w:val="ro-RO" w:eastAsia="en-GB"/>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t>(9) În cazul în care proprietarul clădirii nu a actualizat valoarea impozabilă în ultimii 5 ani anteriori anului de referinţă, cota impozitului/taxei pe clădiri este de 5%, cu condiţia ca proprietarul clădirii să fi fost notificat de către organul fiscal competent despre posibilitatea depunerii raportului de evaluare. Notificarea se comunică proprietarului clădirii prin publicarea acesteia în spaţiul privat virtual sau prin poştă, în cazul contribuabililor care nu sunt înrolaţi în spaţiul privat virtual. Termenul până la care trebuie comunicată notificarea este 31 octombrie a anului curent pentru impozitul datorat începând cu anul următor. În cazul în care notificarea nu este comunicată până la această dată, impozitul urmează a se calcula prin aplicarea cotei stabilite potrivit alin. (1) sau (2), după caz, asupra valorii impozabile a clădirii</w:t>
      </w:r>
      <w:r>
        <w:rPr>
          <w:rFonts w:hint="default" w:eastAsia="Times New Roman" w:cs="Arial" w:asciiTheme="minorAscii" w:hAnsiTheme="minorAscii"/>
          <w:b w:val="0"/>
          <w:bCs w:val="0"/>
          <w:strike w:val="0"/>
          <w:dstrike w:val="0"/>
          <w:color w:val="000000" w:themeColor="text1"/>
          <w:sz w:val="20"/>
          <w:szCs w:val="20"/>
          <w:lang w:val="ro-RO" w:eastAsia="en-GB"/>
          <w14:textFill>
            <w14:solidFill>
              <w14:schemeClr w14:val="tx1"/>
            </w14:solidFill>
          </w14:textFill>
        </w:rPr>
        <w:t>, conform art.460 alin.(8).</w:t>
      </w:r>
    </w:p>
    <w:p w14:paraId="65E806D1">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vanish/>
          <w:color w:val="000000" w:themeColor="text1"/>
          <w:sz w:val="20"/>
          <w:szCs w:val="20"/>
          <w:lang w:val="en-GB" w:eastAsia="en-GB"/>
          <w14:textFill>
            <w14:solidFill>
              <w14:schemeClr w14:val="tx1"/>
            </w14:solidFill>
          </w14:textFill>
        </w:rPr>
      </w:pPr>
      <w:r>
        <w:rPr>
          <w:rFonts w:hint="default" w:eastAsia="Times New Roman" w:cs="Arial" w:asciiTheme="minorAscii" w:hAnsiTheme="minorAscii"/>
          <w:b w:val="0"/>
          <w:bCs w:val="0"/>
          <w:strike w:val="0"/>
          <w:dstrike w:val="0"/>
          <w:vanish/>
          <w:color w:val="000000" w:themeColor="text1"/>
          <w:sz w:val="20"/>
          <w:szCs w:val="20"/>
          <w:lang w:val="en-GB" w:eastAsia="en-GB"/>
          <w14:textFill>
            <w14:solidFill>
              <w14:schemeClr w14:val="tx1"/>
            </w14:solidFill>
          </w14:textFill>
        </w:rPr>
        <w:t>|[(9) În cazul în care proprietarul clădirii pentru care se datorează taxa pe clădiri nu a actualizat valoarea impozabilă în ultimii 3 ani anteriori anului de referinţă, diferenţa de taxă faţă de cea stabilită conform alin. (1) sau (2), după caz, va fi datorată de proprietarul clădirii.</w:t>
      </w:r>
      <w:r>
        <w:rPr>
          <w:rFonts w:hint="default" w:eastAsia="Times New Roman" w:cs="Arial" w:asciiTheme="minorAscii" w:hAnsiTheme="minorAscii"/>
          <w:b w:val="0"/>
          <w:bCs w:val="0"/>
          <w:i/>
          <w:iCs/>
          <w:strike w:val="0"/>
          <w:dstrike w:val="0"/>
          <w:vanish/>
          <w:color w:val="000000" w:themeColor="text1"/>
          <w:sz w:val="20"/>
          <w:szCs w:val="20"/>
          <w:lang w:val="en-GB" w:eastAsia="en-GB"/>
          <w14:textFill>
            <w14:solidFill>
              <w14:schemeClr w14:val="tx1"/>
            </w14:solidFill>
          </w14:textFill>
        </w:rPr>
        <w:t xml:space="preserve"> (text original în vigoare până la 24 decembrie 2020)</w:t>
      </w:r>
      <w:r>
        <w:rPr>
          <w:rFonts w:hint="default" w:eastAsia="Times New Roman" w:cs="Arial" w:asciiTheme="minorAscii" w:hAnsiTheme="minorAscii"/>
          <w:b w:val="0"/>
          <w:bCs w:val="0"/>
          <w:strike w:val="0"/>
          <w:dstrike w:val="0"/>
          <w:vanish/>
          <w:color w:val="000000" w:themeColor="text1"/>
          <w:sz w:val="20"/>
          <w:szCs w:val="20"/>
          <w:lang w:val="en-GB" w:eastAsia="en-GB"/>
          <w14:textFill>
            <w14:solidFill>
              <w14:schemeClr w14:val="tx1"/>
            </w14:solidFill>
          </w14:textFill>
        </w:rPr>
        <w:t xml:space="preserve"> ]| </w:t>
      </w:r>
      <w:r>
        <w:rPr>
          <w:rFonts w:hint="default" w:eastAsia="Times New Roman" w:cs="Arial" w:asciiTheme="minorAscii" w:hAnsiTheme="minorAscii"/>
          <w:b w:val="0"/>
          <w:bCs w:val="0"/>
          <w:strike w:val="0"/>
          <w:dstrike w:val="0"/>
          <w:vanish/>
          <w:color w:val="000000" w:themeColor="text1"/>
          <w:sz w:val="20"/>
          <w:szCs w:val="20"/>
          <w:lang w:val="en-GB" w:eastAsia="en-GB"/>
          <w14:textFill>
            <w14:solidFill>
              <w14:schemeClr w14:val="tx1"/>
            </w14:solidFill>
          </w14:textFill>
        </w:rPr>
        <w:br w:type="textWrapping"/>
      </w:r>
      <w:r>
        <w:rPr>
          <w:rFonts w:hint="default" w:eastAsia="Times New Roman" w:cs="Arial" w:asciiTheme="minorAscii" w:hAnsiTheme="minorAscii"/>
          <w:b w:val="0"/>
          <w:bCs w:val="0"/>
          <w:strike w:val="0"/>
          <w:dstrike w:val="0"/>
          <w:vanish/>
          <w:color w:val="000000" w:themeColor="text1"/>
          <w:sz w:val="20"/>
          <w:szCs w:val="20"/>
          <w:lang w:val="en-GB" w:eastAsia="en-GB"/>
          <w14:textFill>
            <w14:solidFill>
              <w14:schemeClr w14:val="tx1"/>
            </w14:solidFill>
          </w14:textFill>
        </w:rPr>
        <w:t>|[(9) În cazul în care proprietarul clădirii nu a actualizat valoarea impozabilă în ultimii 5 ani anteriori anului de referinţă, diferenţa de taxă faţă de cea stabilită conform alin. (1) şi (2), după caz, va fi datorată de proprietarul clădirii.</w:t>
      </w:r>
      <w:r>
        <w:rPr>
          <w:rFonts w:hint="default" w:eastAsia="Times New Roman" w:cs="Arial" w:asciiTheme="minorAscii" w:hAnsiTheme="minorAscii"/>
          <w:b w:val="0"/>
          <w:bCs w:val="0"/>
          <w:i/>
          <w:iCs/>
          <w:strike w:val="0"/>
          <w:dstrike w:val="0"/>
          <w:vanish/>
          <w:color w:val="000000" w:themeColor="text1"/>
          <w:sz w:val="20"/>
          <w:szCs w:val="20"/>
          <w:lang w:val="en-GB" w:eastAsia="en-GB"/>
          <w14:textFill>
            <w14:solidFill>
              <w14:schemeClr w14:val="tx1"/>
            </w14:solidFill>
          </w14:textFill>
        </w:rPr>
        <w:t xml:space="preserve"> (alineat modificat prin art. I pct. 197 din </w:t>
      </w:r>
      <w:r>
        <w:rPr>
          <w:rFonts w:hint="default" w:cs="Arial" w:asciiTheme="minorAscii" w:hAnsiTheme="minorAscii"/>
          <w:b w:val="0"/>
          <w:bCs w:val="0"/>
          <w:strike w:val="0"/>
          <w:dstrike w:val="0"/>
          <w:color w:val="000000" w:themeColor="text1"/>
          <w:sz w:val="20"/>
          <w:szCs w:val="20"/>
          <w14:textFill>
            <w14:solidFill>
              <w14:schemeClr w14:val="tx1"/>
            </w14:solidFill>
          </w14:textFill>
        </w:rPr>
        <w:fldChar w:fldCharType="begin"/>
      </w:r>
      <w:r>
        <w:rPr>
          <w:rFonts w:hint="default" w:cs="Arial" w:asciiTheme="minorAscii" w:hAnsiTheme="minorAscii"/>
          <w:b w:val="0"/>
          <w:bCs w:val="0"/>
          <w:strike w:val="0"/>
          <w:dstrike w:val="0"/>
          <w:color w:val="000000" w:themeColor="text1"/>
          <w:sz w:val="20"/>
          <w:szCs w:val="20"/>
          <w14:textFill>
            <w14:solidFill>
              <w14:schemeClr w14:val="tx1"/>
            </w14:solidFill>
          </w14:textFill>
        </w:rPr>
        <w:instrText xml:space="preserve"> HYPERLINK "unsaved://LexNavigator.htm/DB0;LexAct%20425124" </w:instrText>
      </w:r>
      <w:r>
        <w:rPr>
          <w:rFonts w:hint="default" w:cs="Arial" w:asciiTheme="minorAscii" w:hAnsiTheme="minorAscii"/>
          <w:b w:val="0"/>
          <w:bCs w:val="0"/>
          <w:strike w:val="0"/>
          <w:dstrike w:val="0"/>
          <w:color w:val="000000" w:themeColor="text1"/>
          <w:sz w:val="20"/>
          <w:szCs w:val="20"/>
          <w14:textFill>
            <w14:solidFill>
              <w14:schemeClr w14:val="tx1"/>
            </w14:solidFill>
          </w14:textFill>
        </w:rPr>
        <w:fldChar w:fldCharType="separate"/>
      </w:r>
      <w:r>
        <w:rPr>
          <w:rFonts w:hint="default" w:eastAsia="Times New Roman" w:cs="Arial" w:asciiTheme="minorAscii" w:hAnsiTheme="minorAscii"/>
          <w:b w:val="0"/>
          <w:bCs w:val="0"/>
          <w:i/>
          <w:iCs/>
          <w:strike w:val="0"/>
          <w:dstrike w:val="0"/>
          <w:vanish/>
          <w:color w:val="000000" w:themeColor="text1"/>
          <w:sz w:val="20"/>
          <w:szCs w:val="20"/>
          <w:u w:val="single"/>
          <w:lang w:val="en-GB" w:eastAsia="en-GB"/>
          <w14:textFill>
            <w14:solidFill>
              <w14:schemeClr w14:val="tx1"/>
            </w14:solidFill>
          </w14:textFill>
        </w:rPr>
        <w:t>Legea nr. 296/2020</w:t>
      </w:r>
      <w:r>
        <w:rPr>
          <w:rFonts w:hint="default" w:eastAsia="Times New Roman" w:cs="Arial" w:asciiTheme="minorAscii" w:hAnsiTheme="minorAscii"/>
          <w:b w:val="0"/>
          <w:bCs w:val="0"/>
          <w:i/>
          <w:iCs/>
          <w:strike w:val="0"/>
          <w:dstrike w:val="0"/>
          <w:vanish/>
          <w:color w:val="000000" w:themeColor="text1"/>
          <w:sz w:val="20"/>
          <w:szCs w:val="20"/>
          <w:u w:val="single"/>
          <w:lang w:val="en-GB" w:eastAsia="en-GB"/>
          <w14:textFill>
            <w14:solidFill>
              <w14:schemeClr w14:val="tx1"/>
            </w14:solidFill>
          </w14:textFill>
        </w:rPr>
        <w:fldChar w:fldCharType="end"/>
      </w:r>
      <w:r>
        <w:rPr>
          <w:rFonts w:hint="default" w:eastAsia="Times New Roman" w:cs="Arial" w:asciiTheme="minorAscii" w:hAnsiTheme="minorAscii"/>
          <w:b w:val="0"/>
          <w:bCs w:val="0"/>
          <w:i/>
          <w:iCs/>
          <w:strike w:val="0"/>
          <w:dstrike w:val="0"/>
          <w:vanish/>
          <w:color w:val="000000" w:themeColor="text1"/>
          <w:sz w:val="20"/>
          <w:szCs w:val="20"/>
          <w:lang w:val="en-GB" w:eastAsia="en-GB"/>
          <w14:textFill>
            <w14:solidFill>
              <w14:schemeClr w14:val="tx1"/>
            </w14:solidFill>
          </w14:textFill>
        </w:rPr>
        <w:t>, în vigoare de la 24 decembrie 2020 până la 1 ianuarie 2023)</w:t>
      </w:r>
      <w:r>
        <w:rPr>
          <w:rFonts w:hint="default" w:eastAsia="Times New Roman" w:cs="Arial" w:asciiTheme="minorAscii" w:hAnsiTheme="minorAscii"/>
          <w:b w:val="0"/>
          <w:bCs w:val="0"/>
          <w:strike w:val="0"/>
          <w:dstrike w:val="0"/>
          <w:vanish/>
          <w:color w:val="000000" w:themeColor="text1"/>
          <w:sz w:val="20"/>
          <w:szCs w:val="20"/>
          <w:lang w:val="en-GB" w:eastAsia="en-GB"/>
          <w14:textFill>
            <w14:solidFill>
              <w14:schemeClr w14:val="tx1"/>
            </w14:solidFill>
          </w14:textFill>
        </w:rPr>
        <w:t xml:space="preserve"> ]| </w:t>
      </w:r>
    </w:p>
    <w:p w14:paraId="639A726A">
      <w:pPr>
        <w:keepNext w:val="0"/>
        <w:keepLines w:val="0"/>
        <w:pageBreakBefore w:val="0"/>
        <w:numPr>
          <w:ilvl w:val="0"/>
          <w:numId w:val="2"/>
        </w:numPr>
        <w:kinsoku/>
        <w:wordWrap/>
        <w:overflowPunct/>
        <w:topLinePunct w:val="0"/>
        <w:bidi w:val="0"/>
        <w:snapToGrid/>
        <w:spacing w:after="0" w:line="240" w:lineRule="auto"/>
        <w:ind w:left="0" w:right="0"/>
        <w:jc w:val="both"/>
        <w:rPr>
          <w:rFonts w:hint="default" w:eastAsia="Times New Roman" w:cs="Arial" w:asciiTheme="minorAscii" w:hAnsiTheme="minorAscii"/>
          <w:b w:val="0"/>
          <w:bCs w:val="0"/>
          <w:i w:val="0"/>
          <w:iCs w:val="0"/>
          <w:strike w:val="0"/>
          <w:dstrike w:val="0"/>
          <w:color w:val="000000" w:themeColor="text1"/>
          <w:sz w:val="20"/>
          <w:szCs w:val="20"/>
          <w:lang w:val="en-GB" w:eastAsia="en-GB"/>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t>În cazul în care proprietarul clădirii nu a actualizat valoarea impozabilă în ultimii 5 ani anteriori anului de referinţă, diferenţa de taxă va fi datorată de proprietarul clădirii, cu condiţia ca acesta să fi fost notificat de către organul fiscal competent, în conformitate cu prevederile alin. (9).</w:t>
      </w:r>
      <w:r>
        <w:rPr>
          <w:rFonts w:hint="default" w:eastAsia="Times New Roman" w:cs="Arial" w:asciiTheme="minorAscii" w:hAnsiTheme="minorAscii"/>
          <w:b w:val="0"/>
          <w:bCs w:val="0"/>
          <w:i w:val="0"/>
          <w:iCs w:val="0"/>
          <w:strike w:val="0"/>
          <w:dstrike w:val="0"/>
          <w:color w:val="000000" w:themeColor="text1"/>
          <w:sz w:val="20"/>
          <w:szCs w:val="20"/>
          <w:lang w:val="en-GB" w:eastAsia="en-GB"/>
          <w14:textFill>
            <w14:solidFill>
              <w14:schemeClr w14:val="tx1"/>
            </w14:solidFill>
          </w14:textFill>
        </w:rPr>
        <w:t xml:space="preserve"> </w:t>
      </w:r>
    </w:p>
    <w:p w14:paraId="0439A0E5">
      <w:pPr>
        <w:keepNext w:val="0"/>
        <w:keepLines w:val="0"/>
        <w:pageBreakBefore w:val="0"/>
        <w:numPr>
          <w:numId w:val="0"/>
        </w:numPr>
        <w:kinsoku/>
        <w:wordWrap/>
        <w:overflowPunct/>
        <w:topLinePunct w:val="0"/>
        <w:bidi w:val="0"/>
        <w:snapToGrid/>
        <w:spacing w:after="0" w:line="240" w:lineRule="auto"/>
        <w:ind w:right="0" w:rightChars="0"/>
        <w:jc w:val="both"/>
        <w:rPr>
          <w:rFonts w:hint="default" w:eastAsia="Times New Roman" w:cs="Arial" w:asciiTheme="minorAscii" w:hAnsiTheme="minorAscii"/>
          <w:b w:val="0"/>
          <w:bCs w:val="0"/>
          <w:strike w:val="0"/>
          <w:dstrike w:val="0"/>
          <w:color w:val="000000" w:themeColor="text1"/>
          <w:sz w:val="20"/>
          <w:szCs w:val="20"/>
          <w:u w:val="single"/>
          <w:lang w:val="ro-RO" w:eastAsia="en-GB"/>
          <w14:textFill>
            <w14:solidFill>
              <w14:schemeClr w14:val="tx1"/>
            </w14:solidFill>
          </w14:textFill>
        </w:rPr>
      </w:pPr>
      <w:r>
        <w:rPr>
          <w:rFonts w:hint="default" w:eastAsia="Times New Roman" w:cs="Arial" w:asciiTheme="minorAscii" w:hAnsiTheme="minorAscii"/>
          <w:b w:val="0"/>
          <w:bCs w:val="0"/>
          <w:i w:val="0"/>
          <w:iCs w:val="0"/>
          <w:strike w:val="0"/>
          <w:dstrike w:val="0"/>
          <w:color w:val="000000" w:themeColor="text1"/>
          <w:sz w:val="20"/>
          <w:szCs w:val="20"/>
          <w:lang w:val="ro-RO" w:eastAsia="en-GB"/>
          <w14:textFill>
            <w14:solidFill>
              <w14:schemeClr w14:val="tx1"/>
            </w14:solidFill>
          </w14:textFill>
        </w:rPr>
        <w:t>Art</w:t>
      </w:r>
      <w:r>
        <w:rPr>
          <w:rFonts w:hint="default" w:eastAsia="Times New Roman" w:cs="Arial" w:asciiTheme="minorAscii" w:hAnsiTheme="minorAscii"/>
          <w:b w:val="0"/>
          <w:bCs w:val="0"/>
          <w:i w:val="0"/>
          <w:iCs w:val="0"/>
          <w:strike w:val="0"/>
          <w:dstrike w:val="0"/>
          <w:color w:val="000000" w:themeColor="text1"/>
          <w:sz w:val="20"/>
          <w:szCs w:val="20"/>
          <w:u w:val="single"/>
          <w:lang w:val="ro-RO" w:eastAsia="en-GB"/>
          <w14:textFill>
            <w14:solidFill>
              <w14:schemeClr w14:val="tx1"/>
            </w14:solidFill>
          </w14:textFill>
        </w:rPr>
        <w:t>.9.</w:t>
      </w:r>
      <w:r>
        <w:rPr>
          <w:rFonts w:hint="default" w:eastAsia="Times New Roman" w:cs="Arial" w:asciiTheme="minorAscii" w:hAnsiTheme="minorAscii"/>
          <w:b w:val="0"/>
          <w:bCs w:val="0"/>
          <w:strike w:val="0"/>
          <w:dstrike w:val="0"/>
          <w:color w:val="000000" w:themeColor="text1"/>
          <w:sz w:val="20"/>
          <w:szCs w:val="20"/>
          <w:u w:val="single"/>
          <w:lang w:val="ro-RO" w:eastAsia="en-GB"/>
          <w14:textFill>
            <w14:solidFill>
              <w14:schemeClr w14:val="tx1"/>
            </w14:solidFill>
          </w14:textFill>
        </w:rPr>
        <w:t xml:space="preserve"> </w:t>
      </w:r>
      <w:r>
        <w:rPr>
          <w:rFonts w:hint="default" w:eastAsia="Times New Roman" w:cs="Arial" w:asciiTheme="minorAscii" w:hAnsiTheme="minorAscii"/>
          <w:b w:val="0"/>
          <w:bCs w:val="0"/>
          <w:strike w:val="0"/>
          <w:dstrike w:val="0"/>
          <w:color w:val="000000" w:themeColor="text1"/>
          <w:sz w:val="20"/>
          <w:szCs w:val="20"/>
          <w:u w:val="single"/>
          <w:lang w:val="en-GB" w:eastAsia="en-GB"/>
          <w14:textFill>
            <w14:solidFill>
              <w14:schemeClr w14:val="tx1"/>
            </w14:solidFill>
          </w14:textFill>
        </w:rPr>
        <w:t xml:space="preserve"> Declararea, dobândirea, înstrăinarea şi modificarea clădirilor</w:t>
      </w:r>
      <w:r>
        <w:rPr>
          <w:rFonts w:hint="default" w:eastAsia="Times New Roman" w:cs="Arial" w:asciiTheme="minorAscii" w:hAnsiTheme="minorAscii"/>
          <w:b w:val="0"/>
          <w:bCs w:val="0"/>
          <w:strike w:val="0"/>
          <w:dstrike w:val="0"/>
          <w:color w:val="000000" w:themeColor="text1"/>
          <w:sz w:val="20"/>
          <w:szCs w:val="20"/>
          <w:u w:val="single"/>
          <w:lang w:val="ro-RO" w:eastAsia="en-GB"/>
          <w14:textFill>
            <w14:solidFill>
              <w14:schemeClr w14:val="tx1"/>
            </w14:solidFill>
          </w14:textFill>
        </w:rPr>
        <w:t xml:space="preserve"> 2026 conform art.461 Cod Fiscal </w:t>
      </w:r>
    </w:p>
    <w:p w14:paraId="328D81A8">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pPr>
      <w:bookmarkStart w:id="0" w:name="461"/>
      <w:bookmarkEnd w:id="0"/>
      <w:r>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t>(1) Impozitul pe clădiri este datorat pentru întregul an fiscal de persoana care are în proprietate clădirea la data de 31 decembrie a anului fiscal anterior.</w:t>
      </w:r>
    </w:p>
    <w:p w14:paraId="79B3D2A2">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t>(2) În cazul dobândirii sau construirii unei clădiri în cursul anului, proprietarul acesteia are obligaţia să depună o declaraţie la organul fiscal local în a cărui rază teritorială de competenţă se află clădirea, în termen de 30 de zile de la data dobândirii şi datorează impozit pe clădiri începând cu data de 1 ianuarie a anului următor.</w:t>
      </w:r>
    </w:p>
    <w:p w14:paraId="02A4916F">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t xml:space="preserve">(3) Pentru clădirile nou - construite, data dobândirii clădirii se consideră după cum urmează: </w:t>
      </w:r>
    </w:p>
    <w:p w14:paraId="7E6BF71C">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t>a) pentru clădirile executate integral înainte de expirarea termenului prevăzut în autorizaţia de construire, data întocmirii procesului - verbal de recepţie, dar nu mai târziu de 15 zile de la data terminării efective a lucrărilor;</w:t>
      </w:r>
    </w:p>
    <w:p w14:paraId="0EF3D853">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t>b) pentru clădirile executate integral la termenul prevăzut în autorizaţia de construire, data din aceasta, cu obligativitatea întocmirii procesului - verbal de recepţie în termenul prevăzut de lege;</w:t>
      </w:r>
      <w:r>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br w:type="textWrapping"/>
      </w:r>
      <w:r>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t xml:space="preserve">c) pentru clădirile ale căror lucrări de construcţii nu au fost finalizate la termenul prevăzut în autorizaţia de construire şi pentru care nu s-a solicitat prelungirea valabilităţii autorizaţiei, în condiţiile legii, la data expirării acestui termen şi numai pentru suprafaţa construită desfăşurată care are elementele structurale de bază ale unei clădiri, în speţă pereţi şi acoperiş. Procesul - verbal de recepţie se întocmeşte la data expirării termenului prevăzut în autorizaţia de construire, consemnându-se stadiul lucrărilor, precum şi suprafaţa construită desfăşurată în raport cu care se stabileşte impozitul pe clădiri. </w:t>
      </w:r>
    </w:p>
    <w:p w14:paraId="3BBEA8F7">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t>(4) Declararea clădirilor în vederea impunerii şi înscrierea acestora în evidenţele autorităţilor administraţiei publice locale reprezintă o obligaţie legală a contribuabililor care deţin în proprietate aceste imobile, chiar dacă ele au fost executate fără autorizaţie de construire.</w:t>
      </w:r>
      <w:r>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br w:type="textWrapping"/>
      </w:r>
      <w:r>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t>(5) În cazul în care dreptul de proprietate asupra unei clădiri este transmis în cursul unui an fiscal, impozitul va fi datorat de persoana care deţine dreptul de proprietate asupra clădirii la data de 31 decembrie a anului fiscal anterior anului în care se înstrăinează.</w:t>
      </w:r>
    </w:p>
    <w:p w14:paraId="1C64EA25">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vanish/>
          <w:color w:val="000000" w:themeColor="text1"/>
          <w:sz w:val="20"/>
          <w:szCs w:val="20"/>
          <w:lang w:val="en-GB" w:eastAsia="en-GB"/>
          <w14:textFill>
            <w14:solidFill>
              <w14:schemeClr w14:val="tx1"/>
            </w14:solidFill>
          </w14:textFill>
        </w:rPr>
      </w:pPr>
      <w:r>
        <w:rPr>
          <w:rFonts w:hint="default" w:eastAsia="Times New Roman" w:cs="Arial" w:asciiTheme="minorAscii" w:hAnsiTheme="minorAscii"/>
          <w:b w:val="0"/>
          <w:bCs w:val="0"/>
          <w:strike w:val="0"/>
          <w:dstrike w:val="0"/>
          <w:vanish/>
          <w:color w:val="000000" w:themeColor="text1"/>
          <w:sz w:val="20"/>
          <w:szCs w:val="20"/>
          <w:lang w:val="en-GB" w:eastAsia="en-GB"/>
          <w14:textFill>
            <w14:solidFill>
              <w14:schemeClr w14:val="tx1"/>
            </w14:solidFill>
          </w14:textFill>
        </w:rPr>
        <w:t xml:space="preserve">|[(6) În cazul extinderii, îmbunătăţirii, desfiinţării parţiale sau al altor modificări aduse unei clădiri existente, inclusiv schimbarea integrală sau parţială a folosinţei, precum şi în cazul reevaluării unei clădiri, care determină creşterea sau diminuarea impozitului, proprietarul are obligaţia să depună o nouă declaraţie de impunere la organul fiscal local în a cărui rază teritorială de competenţă se află clădirea, în termen de 30 de zile de la data modificării respective şi datorează impozitul pe clădiri determinat în noile condiţii începând cu data de 1 ianuarie a anului următor. </w:t>
      </w:r>
      <w:r>
        <w:rPr>
          <w:rFonts w:hint="default" w:eastAsia="Times New Roman" w:cs="Arial" w:asciiTheme="minorAscii" w:hAnsiTheme="minorAscii"/>
          <w:b w:val="0"/>
          <w:bCs w:val="0"/>
          <w:i/>
          <w:iCs/>
          <w:strike w:val="0"/>
          <w:dstrike w:val="0"/>
          <w:vanish/>
          <w:color w:val="000000" w:themeColor="text1"/>
          <w:sz w:val="20"/>
          <w:szCs w:val="20"/>
          <w:lang w:val="en-GB" w:eastAsia="en-GB"/>
          <w14:textFill>
            <w14:solidFill>
              <w14:schemeClr w14:val="tx1"/>
            </w14:solidFill>
          </w14:textFill>
        </w:rPr>
        <w:t xml:space="preserve">(text original în vigoare până la 3 ianuarie 2016) </w:t>
      </w:r>
      <w:r>
        <w:rPr>
          <w:rFonts w:hint="default" w:eastAsia="Times New Roman" w:cs="Arial" w:asciiTheme="minorAscii" w:hAnsiTheme="minorAscii"/>
          <w:b w:val="0"/>
          <w:bCs w:val="0"/>
          <w:strike w:val="0"/>
          <w:dstrike w:val="0"/>
          <w:vanish/>
          <w:color w:val="000000" w:themeColor="text1"/>
          <w:sz w:val="20"/>
          <w:szCs w:val="20"/>
          <w:lang w:val="en-GB" w:eastAsia="en-GB"/>
          <w14:textFill>
            <w14:solidFill>
              <w14:schemeClr w14:val="tx1"/>
            </w14:solidFill>
          </w14:textFill>
        </w:rPr>
        <w:t xml:space="preserve">]| </w:t>
      </w:r>
      <w:r>
        <w:rPr>
          <w:rFonts w:hint="default" w:eastAsia="Times New Roman" w:cs="Arial" w:asciiTheme="minorAscii" w:hAnsiTheme="minorAscii"/>
          <w:b w:val="0"/>
          <w:bCs w:val="0"/>
          <w:strike w:val="0"/>
          <w:dstrike w:val="0"/>
          <w:vanish/>
          <w:color w:val="000000" w:themeColor="text1"/>
          <w:sz w:val="20"/>
          <w:szCs w:val="20"/>
          <w:lang w:val="en-GB" w:eastAsia="en-GB"/>
          <w14:textFill>
            <w14:solidFill>
              <w14:schemeClr w14:val="tx1"/>
            </w14:solidFill>
          </w14:textFill>
        </w:rPr>
        <w:br w:type="textWrapping"/>
      </w:r>
      <w:r>
        <w:rPr>
          <w:rFonts w:hint="default" w:eastAsia="Times New Roman" w:cs="Arial" w:asciiTheme="minorAscii" w:hAnsiTheme="minorAscii"/>
          <w:b w:val="0"/>
          <w:bCs w:val="0"/>
          <w:strike w:val="0"/>
          <w:dstrike w:val="0"/>
          <w:vanish/>
          <w:color w:val="000000" w:themeColor="text1"/>
          <w:sz w:val="20"/>
          <w:szCs w:val="20"/>
          <w:lang w:val="en-GB" w:eastAsia="en-GB"/>
          <w14:textFill>
            <w14:solidFill>
              <w14:schemeClr w14:val="tx1"/>
            </w14:solidFill>
          </w14:textFill>
        </w:rPr>
        <w:t xml:space="preserve">|[(6) În cazul extinderii, îmbunătăţirii, desfiinţării parţiale sau al altor modificări aduse unei clădiri existente, inclusiv schimbarea integrală sau parţială a folosinţei, care determină creşterea sau diminuarea valorii impozabile a clădirii cu mai mult de 25%, proprietarul are obligaţia să depună o nouă declaraţie de impunere la organul fiscal local în a cărui rază teritorială de competenţă se află clădirea, în termen de 30 de zile de la data modificării respective, şi datorează impozitul pe clădiri determinat în noile condiţii începând cu data de 1 ianuarie a anului următor. </w:t>
      </w:r>
      <w:r>
        <w:rPr>
          <w:rFonts w:hint="default" w:eastAsia="Times New Roman" w:cs="Arial" w:asciiTheme="minorAscii" w:hAnsiTheme="minorAscii"/>
          <w:b w:val="0"/>
          <w:bCs w:val="0"/>
          <w:i/>
          <w:iCs/>
          <w:strike w:val="0"/>
          <w:dstrike w:val="0"/>
          <w:vanish/>
          <w:color w:val="000000" w:themeColor="text1"/>
          <w:sz w:val="20"/>
          <w:szCs w:val="20"/>
          <w:lang w:val="en-GB" w:eastAsia="en-GB"/>
          <w14:textFill>
            <w14:solidFill>
              <w14:schemeClr w14:val="tx1"/>
            </w14:solidFill>
          </w14:textFill>
        </w:rPr>
        <w:t>(alineat modificat prin art. I pct. 36</w:t>
      </w:r>
      <w:r>
        <w:rPr>
          <w:rFonts w:hint="default" w:eastAsia="Times New Roman" w:cs="Arial" w:asciiTheme="minorAscii" w:hAnsiTheme="minorAscii"/>
          <w:b w:val="0"/>
          <w:bCs w:val="0"/>
          <w:i/>
          <w:iCs/>
          <w:strike w:val="0"/>
          <w:dstrike w:val="0"/>
          <w:vanish/>
          <w:color w:val="000000" w:themeColor="text1"/>
          <w:sz w:val="20"/>
          <w:szCs w:val="20"/>
          <w:vertAlign w:val="superscript"/>
          <w:lang w:val="en-GB" w:eastAsia="en-GB"/>
          <w14:textFill>
            <w14:solidFill>
              <w14:schemeClr w14:val="tx1"/>
            </w14:solidFill>
          </w14:textFill>
        </w:rPr>
        <w:t>23</w:t>
      </w:r>
      <w:r>
        <w:rPr>
          <w:rFonts w:hint="default" w:eastAsia="Times New Roman" w:cs="Arial" w:asciiTheme="minorAscii" w:hAnsiTheme="minorAscii"/>
          <w:b w:val="0"/>
          <w:bCs w:val="0"/>
          <w:i/>
          <w:iCs/>
          <w:strike w:val="0"/>
          <w:dstrike w:val="0"/>
          <w:vanish/>
          <w:color w:val="000000" w:themeColor="text1"/>
          <w:sz w:val="20"/>
          <w:szCs w:val="20"/>
          <w:lang w:val="en-GB" w:eastAsia="en-GB"/>
          <w14:textFill>
            <w14:solidFill>
              <w14:schemeClr w14:val="tx1"/>
            </w14:solidFill>
          </w14:textFill>
        </w:rPr>
        <w:t xml:space="preserve"> din O.U.G. nr. 50/2015, astfel cum a fost modificată prin art. unic pct. 8 din </w:t>
      </w:r>
      <w:r>
        <w:rPr>
          <w:rFonts w:hint="default" w:cs="Arial" w:asciiTheme="minorAscii" w:hAnsiTheme="minorAscii"/>
          <w:b w:val="0"/>
          <w:bCs w:val="0"/>
          <w:strike w:val="0"/>
          <w:dstrike w:val="0"/>
          <w:color w:val="000000" w:themeColor="text1"/>
          <w:sz w:val="20"/>
          <w:szCs w:val="20"/>
          <w14:textFill>
            <w14:solidFill>
              <w14:schemeClr w14:val="tx1"/>
            </w14:solidFill>
          </w14:textFill>
        </w:rPr>
        <w:fldChar w:fldCharType="begin"/>
      </w:r>
      <w:r>
        <w:rPr>
          <w:rFonts w:hint="default" w:cs="Arial" w:asciiTheme="minorAscii" w:hAnsiTheme="minorAscii"/>
          <w:b w:val="0"/>
          <w:bCs w:val="0"/>
          <w:strike w:val="0"/>
          <w:dstrike w:val="0"/>
          <w:color w:val="000000" w:themeColor="text1"/>
          <w:sz w:val="20"/>
          <w:szCs w:val="20"/>
          <w14:textFill>
            <w14:solidFill>
              <w14:schemeClr w14:val="tx1"/>
            </w14:solidFill>
          </w14:textFill>
        </w:rPr>
        <w:instrText xml:space="preserve"> HYPERLINK "unsaved://LexNavigator.htm/DB0;LexAct%20247440" </w:instrText>
      </w:r>
      <w:r>
        <w:rPr>
          <w:rFonts w:hint="default" w:cs="Arial" w:asciiTheme="minorAscii" w:hAnsiTheme="minorAscii"/>
          <w:b w:val="0"/>
          <w:bCs w:val="0"/>
          <w:strike w:val="0"/>
          <w:dstrike w:val="0"/>
          <w:color w:val="000000" w:themeColor="text1"/>
          <w:sz w:val="20"/>
          <w:szCs w:val="20"/>
          <w14:textFill>
            <w14:solidFill>
              <w14:schemeClr w14:val="tx1"/>
            </w14:solidFill>
          </w14:textFill>
        </w:rPr>
        <w:fldChar w:fldCharType="separate"/>
      </w:r>
      <w:r>
        <w:rPr>
          <w:rFonts w:hint="default" w:eastAsia="Times New Roman" w:cs="Arial" w:asciiTheme="minorAscii" w:hAnsiTheme="minorAscii"/>
          <w:b w:val="0"/>
          <w:bCs w:val="0"/>
          <w:i/>
          <w:iCs/>
          <w:strike w:val="0"/>
          <w:dstrike w:val="0"/>
          <w:vanish/>
          <w:color w:val="000000" w:themeColor="text1"/>
          <w:sz w:val="20"/>
          <w:szCs w:val="20"/>
          <w:u w:val="single"/>
          <w:lang w:val="en-GB" w:eastAsia="en-GB"/>
          <w14:textFill>
            <w14:solidFill>
              <w14:schemeClr w14:val="tx1"/>
            </w14:solidFill>
          </w14:textFill>
        </w:rPr>
        <w:t>Legea nr. 358/2015</w:t>
      </w:r>
      <w:r>
        <w:rPr>
          <w:rFonts w:hint="default" w:eastAsia="Times New Roman" w:cs="Arial" w:asciiTheme="minorAscii" w:hAnsiTheme="minorAscii"/>
          <w:b w:val="0"/>
          <w:bCs w:val="0"/>
          <w:i/>
          <w:iCs/>
          <w:strike w:val="0"/>
          <w:dstrike w:val="0"/>
          <w:vanish/>
          <w:color w:val="000000" w:themeColor="text1"/>
          <w:sz w:val="20"/>
          <w:szCs w:val="20"/>
          <w:u w:val="single"/>
          <w:lang w:val="en-GB" w:eastAsia="en-GB"/>
          <w14:textFill>
            <w14:solidFill>
              <w14:schemeClr w14:val="tx1"/>
            </w14:solidFill>
          </w14:textFill>
        </w:rPr>
        <w:fldChar w:fldCharType="end"/>
      </w:r>
      <w:r>
        <w:rPr>
          <w:rFonts w:hint="default" w:eastAsia="Times New Roman" w:cs="Arial" w:asciiTheme="minorAscii" w:hAnsiTheme="minorAscii"/>
          <w:b w:val="0"/>
          <w:bCs w:val="0"/>
          <w:i/>
          <w:iCs/>
          <w:strike w:val="0"/>
          <w:dstrike w:val="0"/>
          <w:vanish/>
          <w:color w:val="000000" w:themeColor="text1"/>
          <w:sz w:val="20"/>
          <w:szCs w:val="20"/>
          <w:lang w:val="en-GB" w:eastAsia="en-GB"/>
          <w14:textFill>
            <w14:solidFill>
              <w14:schemeClr w14:val="tx1"/>
            </w14:solidFill>
          </w14:textFill>
        </w:rPr>
        <w:t>, în vigoare de la 3 ianuarie 2016 până la 24 decembrie 2020)</w:t>
      </w:r>
      <w:r>
        <w:rPr>
          <w:rFonts w:hint="default" w:eastAsia="Times New Roman" w:cs="Arial" w:asciiTheme="minorAscii" w:hAnsiTheme="minorAscii"/>
          <w:b w:val="0"/>
          <w:bCs w:val="0"/>
          <w:strike w:val="0"/>
          <w:dstrike w:val="0"/>
          <w:vanish/>
          <w:color w:val="000000" w:themeColor="text1"/>
          <w:sz w:val="20"/>
          <w:szCs w:val="20"/>
          <w:lang w:val="en-GB" w:eastAsia="en-GB"/>
          <w14:textFill>
            <w14:solidFill>
              <w14:schemeClr w14:val="tx1"/>
            </w14:solidFill>
          </w14:textFill>
        </w:rPr>
        <w:t xml:space="preserve"> ]| </w:t>
      </w:r>
    </w:p>
    <w:p w14:paraId="66773BD2">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t>(6) În cazul extinderii, îmbunătăţirii, desfiinţării parţiale sau al altor modificări aduse unei clădiri existente cu destinaţie nerezidenţială, care determină creşterea sau diminuarea valorii impozabile a clădirii cu mai mult de 25%, proprietarul are obligaţia să depună o nouă declaraţie de impunere la organul fiscal local în a cărui rază teritorială de competenţă se află clădirea, în termen de 30 de zile de la data modificării respective, şi datorează impozitul pe clădiri determinat în noile condiţii începând cu data de 1 ianuarie a anului următor. </w:t>
      </w:r>
    </w:p>
    <w:p w14:paraId="073ED1D7">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t>(7) În cazul desfiinţării unei clădiri, proprietarul are obligaţia să depună o nouă declaraţie de impunere la organul fiscal local în a cărui rază teritorială de competenţă se află clădirea, în termen de 30 de zile de la data demolării sau distrugerii şi încetează să datoreze impozitul începând cu data de 1 ianuarie a anului următor, inclusiv în cazul clădirilor pentru care nu s-a eliberat autorizaţie de desfiinţare.</w:t>
      </w:r>
      <w:r>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br w:type="textWrapping"/>
      </w:r>
      <w:r>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t xml:space="preserve">(8) Dacă încadrarea clădirii în funcţie de rangul localităţii şi zonă se modifică în cursul unui an sau în cursul anului intervine un eveniment care conduce la modificarea impozitului pe clădiri, impozitul se calculează conform noii situaţii începând cu data de 1 ianuarie a anului următor. </w:t>
      </w:r>
    </w:p>
    <w:p w14:paraId="1004E3D3">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vanish/>
          <w:color w:val="000000" w:themeColor="text1"/>
          <w:sz w:val="20"/>
          <w:szCs w:val="20"/>
          <w:lang w:val="en-GB" w:eastAsia="en-GB"/>
          <w14:textFill>
            <w14:solidFill>
              <w14:schemeClr w14:val="tx1"/>
            </w14:solidFill>
          </w14:textFill>
        </w:rPr>
      </w:pPr>
      <w:r>
        <w:rPr>
          <w:rFonts w:hint="default" w:eastAsia="Times New Roman" w:cs="Arial" w:asciiTheme="minorAscii" w:hAnsiTheme="minorAscii"/>
          <w:b w:val="0"/>
          <w:bCs w:val="0"/>
          <w:strike w:val="0"/>
          <w:dstrike w:val="0"/>
          <w:vanish/>
          <w:color w:val="000000" w:themeColor="text1"/>
          <w:sz w:val="20"/>
          <w:szCs w:val="20"/>
          <w:lang w:val="en-GB" w:eastAsia="en-GB"/>
          <w14:textFill>
            <w14:solidFill>
              <w14:schemeClr w14:val="tx1"/>
            </w14:solidFill>
          </w14:textFill>
        </w:rPr>
        <w:t xml:space="preserve">|[(8) Dacă încadrarea clădirii în funcţie de rangul localităţii şi zonă se modifică în cursul unui an sau în cursul anului intervine un eveniment care conduce la modificarea impozitului pe clădiri, impozitul se calculează conform noii situaţii începând cu data de 1 ianuarie a anului următor. </w:t>
      </w:r>
      <w:r>
        <w:rPr>
          <w:rFonts w:hint="default" w:eastAsia="Times New Roman" w:cs="Arial" w:asciiTheme="minorAscii" w:hAnsiTheme="minorAscii"/>
          <w:b w:val="0"/>
          <w:bCs w:val="0"/>
          <w:i/>
          <w:iCs/>
          <w:strike w:val="0"/>
          <w:dstrike w:val="0"/>
          <w:vanish/>
          <w:color w:val="000000" w:themeColor="text1"/>
          <w:sz w:val="20"/>
          <w:szCs w:val="20"/>
          <w:lang w:val="en-GB" w:eastAsia="en-GB"/>
          <w14:textFill>
            <w14:solidFill>
              <w14:schemeClr w14:val="tx1"/>
            </w14:solidFill>
          </w14:textFill>
        </w:rPr>
        <w:t xml:space="preserve">(alineat abrogat începând cu data de 1 ianuarie 2023 prin art. I pct. 111 din </w:t>
      </w:r>
      <w:r>
        <w:rPr>
          <w:rFonts w:hint="default" w:cs="Arial" w:asciiTheme="minorAscii" w:hAnsiTheme="minorAscii"/>
          <w:b w:val="0"/>
          <w:bCs w:val="0"/>
          <w:strike w:val="0"/>
          <w:dstrike w:val="0"/>
          <w:color w:val="000000" w:themeColor="text1"/>
          <w:sz w:val="20"/>
          <w:szCs w:val="20"/>
          <w14:textFill>
            <w14:solidFill>
              <w14:schemeClr w14:val="tx1"/>
            </w14:solidFill>
          </w14:textFill>
        </w:rPr>
        <w:fldChar w:fldCharType="begin"/>
      </w:r>
      <w:r>
        <w:rPr>
          <w:rFonts w:hint="default" w:cs="Arial" w:asciiTheme="minorAscii" w:hAnsiTheme="minorAscii"/>
          <w:b w:val="0"/>
          <w:bCs w:val="0"/>
          <w:strike w:val="0"/>
          <w:dstrike w:val="0"/>
          <w:color w:val="000000" w:themeColor="text1"/>
          <w:sz w:val="20"/>
          <w:szCs w:val="20"/>
          <w14:textFill>
            <w14:solidFill>
              <w14:schemeClr w14:val="tx1"/>
            </w14:solidFill>
          </w14:textFill>
        </w:rPr>
        <w:instrText xml:space="preserve"> HYPERLINK "unsaved://LexNavigator.htm/DB0;LexAct%20474090" </w:instrText>
      </w:r>
      <w:r>
        <w:rPr>
          <w:rFonts w:hint="default" w:cs="Arial" w:asciiTheme="minorAscii" w:hAnsiTheme="minorAscii"/>
          <w:b w:val="0"/>
          <w:bCs w:val="0"/>
          <w:strike w:val="0"/>
          <w:dstrike w:val="0"/>
          <w:color w:val="000000" w:themeColor="text1"/>
          <w:sz w:val="20"/>
          <w:szCs w:val="20"/>
          <w14:textFill>
            <w14:solidFill>
              <w14:schemeClr w14:val="tx1"/>
            </w14:solidFill>
          </w14:textFill>
        </w:rPr>
        <w:fldChar w:fldCharType="separate"/>
      </w:r>
      <w:r>
        <w:rPr>
          <w:rFonts w:hint="default" w:eastAsia="Times New Roman" w:cs="Arial" w:asciiTheme="minorAscii" w:hAnsiTheme="minorAscii"/>
          <w:b w:val="0"/>
          <w:bCs w:val="0"/>
          <w:i/>
          <w:iCs/>
          <w:strike w:val="0"/>
          <w:dstrike w:val="0"/>
          <w:vanish/>
          <w:color w:val="000000" w:themeColor="text1"/>
          <w:sz w:val="20"/>
          <w:szCs w:val="20"/>
          <w:u w:val="single"/>
          <w:lang w:val="en-GB" w:eastAsia="en-GB"/>
          <w14:textFill>
            <w14:solidFill>
              <w14:schemeClr w14:val="tx1"/>
            </w14:solidFill>
          </w14:textFill>
        </w:rPr>
        <w:t>O.G. nr. 16/2022</w:t>
      </w:r>
      <w:r>
        <w:rPr>
          <w:rFonts w:hint="default" w:eastAsia="Times New Roman" w:cs="Arial" w:asciiTheme="minorAscii" w:hAnsiTheme="minorAscii"/>
          <w:b w:val="0"/>
          <w:bCs w:val="0"/>
          <w:i/>
          <w:iCs/>
          <w:strike w:val="0"/>
          <w:dstrike w:val="0"/>
          <w:vanish/>
          <w:color w:val="000000" w:themeColor="text1"/>
          <w:sz w:val="20"/>
          <w:szCs w:val="20"/>
          <w:u w:val="single"/>
          <w:lang w:val="en-GB" w:eastAsia="en-GB"/>
          <w14:textFill>
            <w14:solidFill>
              <w14:schemeClr w14:val="tx1"/>
            </w14:solidFill>
          </w14:textFill>
        </w:rPr>
        <w:fldChar w:fldCharType="end"/>
      </w:r>
      <w:r>
        <w:rPr>
          <w:rFonts w:hint="default" w:eastAsia="Times New Roman" w:cs="Arial" w:asciiTheme="minorAscii" w:hAnsiTheme="minorAscii"/>
          <w:b w:val="0"/>
          <w:bCs w:val="0"/>
          <w:i/>
          <w:iCs/>
          <w:strike w:val="0"/>
          <w:dstrike w:val="0"/>
          <w:vanish/>
          <w:color w:val="000000" w:themeColor="text1"/>
          <w:sz w:val="20"/>
          <w:szCs w:val="20"/>
          <w:lang w:val="en-GB" w:eastAsia="en-GB"/>
          <w14:textFill>
            <w14:solidFill>
              <w14:schemeClr w14:val="tx1"/>
            </w14:solidFill>
          </w14:textFill>
        </w:rPr>
        <w:t xml:space="preserve"> - publicată la 15 iulie 2022; text în vigoare până la 20 decembrie 2022)</w:t>
      </w:r>
      <w:r>
        <w:rPr>
          <w:rFonts w:hint="default" w:eastAsia="Times New Roman" w:cs="Arial" w:asciiTheme="minorAscii" w:hAnsiTheme="minorAscii"/>
          <w:b w:val="0"/>
          <w:bCs w:val="0"/>
          <w:strike w:val="0"/>
          <w:dstrike w:val="0"/>
          <w:vanish/>
          <w:color w:val="000000" w:themeColor="text1"/>
          <w:sz w:val="20"/>
          <w:szCs w:val="20"/>
          <w:lang w:val="en-GB" w:eastAsia="en-GB"/>
          <w14:textFill>
            <w14:solidFill>
              <w14:schemeClr w14:val="tx1"/>
            </w14:solidFill>
          </w14:textFill>
        </w:rPr>
        <w:t xml:space="preserve"> ]| </w:t>
      </w:r>
      <w:r>
        <w:rPr>
          <w:rFonts w:hint="default" w:eastAsia="Times New Roman" w:cs="Arial" w:asciiTheme="minorAscii" w:hAnsiTheme="minorAscii"/>
          <w:b w:val="0"/>
          <w:bCs w:val="0"/>
          <w:strike w:val="0"/>
          <w:dstrike w:val="0"/>
          <w:vanish/>
          <w:color w:val="000000" w:themeColor="text1"/>
          <w:sz w:val="20"/>
          <w:szCs w:val="20"/>
          <w:lang w:val="en-GB" w:eastAsia="en-GB"/>
          <w14:textFill>
            <w14:solidFill>
              <w14:schemeClr w14:val="tx1"/>
            </w14:solidFill>
          </w14:textFill>
        </w:rPr>
        <w:br w:type="textWrapping"/>
      </w:r>
      <w:r>
        <w:rPr>
          <w:rFonts w:hint="default" w:eastAsia="Times New Roman" w:cs="Arial" w:asciiTheme="minorAscii" w:hAnsiTheme="minorAscii"/>
          <w:b w:val="0"/>
          <w:bCs w:val="0"/>
          <w:strike w:val="0"/>
          <w:dstrike w:val="0"/>
          <w:vanish/>
          <w:color w:val="000000" w:themeColor="text1"/>
          <w:sz w:val="20"/>
          <w:szCs w:val="20"/>
          <w:lang w:val="en-GB" w:eastAsia="en-GB"/>
          <w14:textFill>
            <w14:solidFill>
              <w14:schemeClr w14:val="tx1"/>
            </w14:solidFill>
          </w14:textFill>
        </w:rPr>
        <w:t xml:space="preserve">|[(8) Dacă încadrarea clădirii în funcţie de rangul localităţii şi zonă se modifică în cursul unui an sau în cursul anului intervine un eveniment care conduce la modificarea impozitului pe clădiri, impozitul se calculează conform noii situaţii începând cu data de 1 ianuarie a anului următor. </w:t>
      </w:r>
      <w:r>
        <w:rPr>
          <w:rFonts w:hint="default" w:eastAsia="Times New Roman" w:cs="Arial" w:asciiTheme="minorAscii" w:hAnsiTheme="minorAscii"/>
          <w:b w:val="0"/>
          <w:bCs w:val="0"/>
          <w:i/>
          <w:iCs/>
          <w:strike w:val="0"/>
          <w:dstrike w:val="0"/>
          <w:vanish/>
          <w:color w:val="000000" w:themeColor="text1"/>
          <w:sz w:val="20"/>
          <w:szCs w:val="20"/>
          <w:lang w:val="en-GB" w:eastAsia="en-GB"/>
          <w14:textFill>
            <w14:solidFill>
              <w14:schemeClr w14:val="tx1"/>
            </w14:solidFill>
          </w14:textFill>
        </w:rPr>
        <w:t xml:space="preserve">(alineat abrogat începând cu data de 1 ianuarie 2025 prin art. I pct. 111 din O.G. nr. 16/2022 - publicată la 15 iulie 2022; data aplicării modificată prin art. I pct. 19 din </w:t>
      </w:r>
      <w:r>
        <w:rPr>
          <w:rFonts w:hint="default" w:cs="Arial" w:asciiTheme="minorAscii" w:hAnsiTheme="minorAscii"/>
          <w:b w:val="0"/>
          <w:bCs w:val="0"/>
          <w:strike w:val="0"/>
          <w:dstrike w:val="0"/>
          <w:color w:val="000000" w:themeColor="text1"/>
          <w:sz w:val="20"/>
          <w:szCs w:val="20"/>
          <w14:textFill>
            <w14:solidFill>
              <w14:schemeClr w14:val="tx1"/>
            </w14:solidFill>
          </w14:textFill>
        </w:rPr>
        <w:fldChar w:fldCharType="begin"/>
      </w:r>
      <w:r>
        <w:rPr>
          <w:rFonts w:hint="default" w:cs="Arial" w:asciiTheme="minorAscii" w:hAnsiTheme="minorAscii"/>
          <w:b w:val="0"/>
          <w:bCs w:val="0"/>
          <w:strike w:val="0"/>
          <w:dstrike w:val="0"/>
          <w:color w:val="000000" w:themeColor="text1"/>
          <w:sz w:val="20"/>
          <w:szCs w:val="20"/>
          <w14:textFill>
            <w14:solidFill>
              <w14:schemeClr w14:val="tx1"/>
            </w14:solidFill>
          </w14:textFill>
        </w:rPr>
        <w:instrText xml:space="preserve"> HYPERLINK "unsaved://LexNavigator.htm/DB0;LexAct%20484017" </w:instrText>
      </w:r>
      <w:r>
        <w:rPr>
          <w:rFonts w:hint="default" w:cs="Arial" w:asciiTheme="minorAscii" w:hAnsiTheme="minorAscii"/>
          <w:b w:val="0"/>
          <w:bCs w:val="0"/>
          <w:strike w:val="0"/>
          <w:dstrike w:val="0"/>
          <w:color w:val="000000" w:themeColor="text1"/>
          <w:sz w:val="20"/>
          <w:szCs w:val="20"/>
          <w14:textFill>
            <w14:solidFill>
              <w14:schemeClr w14:val="tx1"/>
            </w14:solidFill>
          </w14:textFill>
        </w:rPr>
        <w:fldChar w:fldCharType="separate"/>
      </w:r>
      <w:r>
        <w:rPr>
          <w:rFonts w:hint="default" w:eastAsia="Times New Roman" w:cs="Arial" w:asciiTheme="minorAscii" w:hAnsiTheme="minorAscii"/>
          <w:b w:val="0"/>
          <w:bCs w:val="0"/>
          <w:i/>
          <w:iCs/>
          <w:strike w:val="0"/>
          <w:dstrike w:val="0"/>
          <w:vanish/>
          <w:color w:val="000000" w:themeColor="text1"/>
          <w:sz w:val="20"/>
          <w:szCs w:val="20"/>
          <w:u w:val="single"/>
          <w:lang w:val="en-GB" w:eastAsia="en-GB"/>
          <w14:textFill>
            <w14:solidFill>
              <w14:schemeClr w14:val="tx1"/>
            </w14:solidFill>
          </w14:textFill>
        </w:rPr>
        <w:t>Legea nr. 370/2022</w:t>
      </w:r>
      <w:r>
        <w:rPr>
          <w:rFonts w:hint="default" w:eastAsia="Times New Roman" w:cs="Arial" w:asciiTheme="minorAscii" w:hAnsiTheme="minorAscii"/>
          <w:b w:val="0"/>
          <w:bCs w:val="0"/>
          <w:i/>
          <w:iCs/>
          <w:strike w:val="0"/>
          <w:dstrike w:val="0"/>
          <w:vanish/>
          <w:color w:val="000000" w:themeColor="text1"/>
          <w:sz w:val="20"/>
          <w:szCs w:val="20"/>
          <w:u w:val="single"/>
          <w:lang w:val="en-GB" w:eastAsia="en-GB"/>
          <w14:textFill>
            <w14:solidFill>
              <w14:schemeClr w14:val="tx1"/>
            </w14:solidFill>
          </w14:textFill>
        </w:rPr>
        <w:fldChar w:fldCharType="end"/>
      </w:r>
      <w:r>
        <w:rPr>
          <w:rFonts w:hint="default" w:eastAsia="Times New Roman" w:cs="Arial" w:asciiTheme="minorAscii" w:hAnsiTheme="minorAscii"/>
          <w:b w:val="0"/>
          <w:bCs w:val="0"/>
          <w:i/>
          <w:iCs/>
          <w:strike w:val="0"/>
          <w:dstrike w:val="0"/>
          <w:vanish/>
          <w:color w:val="000000" w:themeColor="text1"/>
          <w:sz w:val="20"/>
          <w:szCs w:val="20"/>
          <w:lang w:val="en-GB" w:eastAsia="en-GB"/>
          <w14:textFill>
            <w14:solidFill>
              <w14:schemeClr w14:val="tx1"/>
            </w14:solidFill>
          </w14:textFill>
        </w:rPr>
        <w:t xml:space="preserve"> - publicată la 20 decembrie 2022; text în vigoare până la 24 octombrie 2024)</w:t>
      </w:r>
      <w:r>
        <w:rPr>
          <w:rFonts w:hint="default" w:eastAsia="Times New Roman" w:cs="Arial" w:asciiTheme="minorAscii" w:hAnsiTheme="minorAscii"/>
          <w:b w:val="0"/>
          <w:bCs w:val="0"/>
          <w:strike w:val="0"/>
          <w:dstrike w:val="0"/>
          <w:vanish/>
          <w:color w:val="000000" w:themeColor="text1"/>
          <w:sz w:val="20"/>
          <w:szCs w:val="20"/>
          <w:lang w:val="en-GB" w:eastAsia="en-GB"/>
          <w14:textFill>
            <w14:solidFill>
              <w14:schemeClr w14:val="tx1"/>
            </w14:solidFill>
          </w14:textFill>
        </w:rPr>
        <w:t xml:space="preserve"> ]| </w:t>
      </w:r>
    </w:p>
    <w:p w14:paraId="26A4CA67">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vanish/>
          <w:color w:val="000000" w:themeColor="text1"/>
          <w:sz w:val="20"/>
          <w:szCs w:val="20"/>
          <w:lang w:val="en-GB" w:eastAsia="en-GB"/>
          <w14:textFill>
            <w14:solidFill>
              <w14:schemeClr w14:val="tx1"/>
            </w14:solidFill>
          </w14:textFill>
        </w:rPr>
      </w:pPr>
      <w:r>
        <w:rPr>
          <w:rFonts w:hint="default" w:eastAsia="Times New Roman" w:cs="Arial" w:asciiTheme="minorAscii" w:hAnsiTheme="minorAscii"/>
          <w:b w:val="0"/>
          <w:bCs w:val="0"/>
          <w:strike w:val="0"/>
          <w:dstrike w:val="0"/>
          <w:vanish/>
          <w:color w:val="000000" w:themeColor="text1"/>
          <w:sz w:val="20"/>
          <w:szCs w:val="20"/>
          <w:lang w:val="en-GB" w:eastAsia="en-GB"/>
          <w14:textFill>
            <w14:solidFill>
              <w14:schemeClr w14:val="tx1"/>
            </w14:solidFill>
          </w14:textFill>
        </w:rPr>
        <w:t xml:space="preserve"> (8) Dacă încadrarea clădirii în funcţie de rangul localităţii şi zonă se modifică în cursul unui an sau în cursul anului intervine un eveniment care conduce la modificarea impozitului pe clădiri, impozitul se calculează conform noii situaţii începând cu data de 1 ianuarie a anului următor. </w:t>
      </w:r>
      <w:r>
        <w:rPr>
          <w:rFonts w:hint="default" w:eastAsia="Times New Roman" w:cs="Arial" w:asciiTheme="minorAscii" w:hAnsiTheme="minorAscii"/>
          <w:b w:val="0"/>
          <w:bCs w:val="0"/>
          <w:i/>
          <w:iCs/>
          <w:strike w:val="0"/>
          <w:dstrike w:val="0"/>
          <w:vanish/>
          <w:color w:val="000000" w:themeColor="text1"/>
          <w:sz w:val="20"/>
          <w:szCs w:val="20"/>
          <w:lang w:val="en-GB" w:eastAsia="en-GB"/>
          <w14:textFill>
            <w14:solidFill>
              <w14:schemeClr w14:val="tx1"/>
            </w14:solidFill>
          </w14:textFill>
        </w:rPr>
        <w:t xml:space="preserve">(alineat abrogat începând cu data de 1 ianuarie 2026 prin art. I pct. 111 din </w:t>
      </w:r>
      <w:r>
        <w:rPr>
          <w:rFonts w:hint="default" w:cs="Arial" w:asciiTheme="minorAscii" w:hAnsiTheme="minorAscii"/>
          <w:b w:val="0"/>
          <w:bCs w:val="0"/>
          <w:strike w:val="0"/>
          <w:dstrike w:val="0"/>
          <w:color w:val="000000" w:themeColor="text1"/>
          <w:sz w:val="20"/>
          <w:szCs w:val="20"/>
          <w14:textFill>
            <w14:solidFill>
              <w14:schemeClr w14:val="tx1"/>
            </w14:solidFill>
          </w14:textFill>
        </w:rPr>
        <w:fldChar w:fldCharType="begin"/>
      </w:r>
      <w:r>
        <w:rPr>
          <w:rFonts w:hint="default" w:cs="Arial" w:asciiTheme="minorAscii" w:hAnsiTheme="minorAscii"/>
          <w:b w:val="0"/>
          <w:bCs w:val="0"/>
          <w:strike w:val="0"/>
          <w:dstrike w:val="0"/>
          <w:color w:val="000000" w:themeColor="text1"/>
          <w:sz w:val="20"/>
          <w:szCs w:val="20"/>
          <w14:textFill>
            <w14:solidFill>
              <w14:schemeClr w14:val="tx1"/>
            </w14:solidFill>
          </w14:textFill>
        </w:rPr>
        <w:instrText xml:space="preserve"> HYPERLINK "unsaved://LexNavigator.htm/DB0;LexAct%20474090" </w:instrText>
      </w:r>
      <w:r>
        <w:rPr>
          <w:rFonts w:hint="default" w:cs="Arial" w:asciiTheme="minorAscii" w:hAnsiTheme="minorAscii"/>
          <w:b w:val="0"/>
          <w:bCs w:val="0"/>
          <w:strike w:val="0"/>
          <w:dstrike w:val="0"/>
          <w:color w:val="000000" w:themeColor="text1"/>
          <w:sz w:val="20"/>
          <w:szCs w:val="20"/>
          <w14:textFill>
            <w14:solidFill>
              <w14:schemeClr w14:val="tx1"/>
            </w14:solidFill>
          </w14:textFill>
        </w:rPr>
        <w:fldChar w:fldCharType="separate"/>
      </w:r>
      <w:r>
        <w:rPr>
          <w:rFonts w:hint="default" w:eastAsia="Times New Roman" w:cs="Arial" w:asciiTheme="minorAscii" w:hAnsiTheme="minorAscii"/>
          <w:b w:val="0"/>
          <w:bCs w:val="0"/>
          <w:i/>
          <w:iCs/>
          <w:strike w:val="0"/>
          <w:dstrike w:val="0"/>
          <w:vanish/>
          <w:color w:val="000000" w:themeColor="text1"/>
          <w:sz w:val="20"/>
          <w:szCs w:val="20"/>
          <w:u w:val="single"/>
          <w:lang w:val="en-GB" w:eastAsia="en-GB"/>
          <w14:textFill>
            <w14:solidFill>
              <w14:schemeClr w14:val="tx1"/>
            </w14:solidFill>
          </w14:textFill>
        </w:rPr>
        <w:t>O.G. nr. 16/2022</w:t>
      </w:r>
      <w:r>
        <w:rPr>
          <w:rFonts w:hint="default" w:eastAsia="Times New Roman" w:cs="Arial" w:asciiTheme="minorAscii" w:hAnsiTheme="minorAscii"/>
          <w:b w:val="0"/>
          <w:bCs w:val="0"/>
          <w:i/>
          <w:iCs/>
          <w:strike w:val="0"/>
          <w:dstrike w:val="0"/>
          <w:vanish/>
          <w:color w:val="000000" w:themeColor="text1"/>
          <w:sz w:val="20"/>
          <w:szCs w:val="20"/>
          <w:u w:val="single"/>
          <w:lang w:val="en-GB" w:eastAsia="en-GB"/>
          <w14:textFill>
            <w14:solidFill>
              <w14:schemeClr w14:val="tx1"/>
            </w14:solidFill>
          </w14:textFill>
        </w:rPr>
        <w:fldChar w:fldCharType="end"/>
      </w:r>
      <w:r>
        <w:rPr>
          <w:rFonts w:hint="default" w:eastAsia="Times New Roman" w:cs="Arial" w:asciiTheme="minorAscii" w:hAnsiTheme="minorAscii"/>
          <w:b w:val="0"/>
          <w:bCs w:val="0"/>
          <w:i/>
          <w:iCs/>
          <w:strike w:val="0"/>
          <w:dstrike w:val="0"/>
          <w:vanish/>
          <w:color w:val="000000" w:themeColor="text1"/>
          <w:sz w:val="20"/>
          <w:szCs w:val="20"/>
          <w:lang w:val="en-GB" w:eastAsia="en-GB"/>
          <w14:textFill>
            <w14:solidFill>
              <w14:schemeClr w14:val="tx1"/>
            </w14:solidFill>
          </w14:textFill>
        </w:rPr>
        <w:t xml:space="preserve"> - publicată la 15 iulie 2022; data aplicării modificată prin art. I din </w:t>
      </w:r>
      <w:r>
        <w:rPr>
          <w:rFonts w:hint="default" w:cs="Arial" w:asciiTheme="minorAscii" w:hAnsiTheme="minorAscii"/>
          <w:b w:val="0"/>
          <w:bCs w:val="0"/>
          <w:strike w:val="0"/>
          <w:dstrike w:val="0"/>
          <w:color w:val="000000" w:themeColor="text1"/>
          <w:sz w:val="20"/>
          <w:szCs w:val="20"/>
          <w14:textFill>
            <w14:solidFill>
              <w14:schemeClr w14:val="tx1"/>
            </w14:solidFill>
          </w14:textFill>
        </w:rPr>
        <w:fldChar w:fldCharType="begin"/>
      </w:r>
      <w:r>
        <w:rPr>
          <w:rFonts w:hint="default" w:cs="Arial" w:asciiTheme="minorAscii" w:hAnsiTheme="minorAscii"/>
          <w:b w:val="0"/>
          <w:bCs w:val="0"/>
          <w:strike w:val="0"/>
          <w:dstrike w:val="0"/>
          <w:color w:val="000000" w:themeColor="text1"/>
          <w:sz w:val="20"/>
          <w:szCs w:val="20"/>
          <w14:textFill>
            <w14:solidFill>
              <w14:schemeClr w14:val="tx1"/>
            </w14:solidFill>
          </w14:textFill>
        </w:rPr>
        <w:instrText xml:space="preserve"> HYPERLINK "unsaved://LexNavigator.htm/DB0;LexAct%20532150" </w:instrText>
      </w:r>
      <w:r>
        <w:rPr>
          <w:rFonts w:hint="default" w:cs="Arial" w:asciiTheme="minorAscii" w:hAnsiTheme="minorAscii"/>
          <w:b w:val="0"/>
          <w:bCs w:val="0"/>
          <w:strike w:val="0"/>
          <w:dstrike w:val="0"/>
          <w:color w:val="000000" w:themeColor="text1"/>
          <w:sz w:val="20"/>
          <w:szCs w:val="20"/>
          <w14:textFill>
            <w14:solidFill>
              <w14:schemeClr w14:val="tx1"/>
            </w14:solidFill>
          </w14:textFill>
        </w:rPr>
        <w:fldChar w:fldCharType="separate"/>
      </w:r>
      <w:r>
        <w:rPr>
          <w:rFonts w:hint="default" w:eastAsia="Times New Roman" w:cs="Arial" w:asciiTheme="minorAscii" w:hAnsiTheme="minorAscii"/>
          <w:b w:val="0"/>
          <w:bCs w:val="0"/>
          <w:i/>
          <w:iCs/>
          <w:strike w:val="0"/>
          <w:dstrike w:val="0"/>
          <w:vanish/>
          <w:color w:val="000000" w:themeColor="text1"/>
          <w:sz w:val="20"/>
          <w:szCs w:val="20"/>
          <w:u w:val="single"/>
          <w:lang w:val="en-GB" w:eastAsia="en-GB"/>
          <w14:textFill>
            <w14:solidFill>
              <w14:schemeClr w14:val="tx1"/>
            </w14:solidFill>
          </w14:textFill>
        </w:rPr>
        <w:t>O.U.G. nr. 124/2024</w:t>
      </w:r>
      <w:r>
        <w:rPr>
          <w:rFonts w:hint="default" w:eastAsia="Times New Roman" w:cs="Arial" w:asciiTheme="minorAscii" w:hAnsiTheme="minorAscii"/>
          <w:b w:val="0"/>
          <w:bCs w:val="0"/>
          <w:i/>
          <w:iCs/>
          <w:strike w:val="0"/>
          <w:dstrike w:val="0"/>
          <w:vanish/>
          <w:color w:val="000000" w:themeColor="text1"/>
          <w:sz w:val="20"/>
          <w:szCs w:val="20"/>
          <w:u w:val="single"/>
          <w:lang w:val="en-GB" w:eastAsia="en-GB"/>
          <w14:textFill>
            <w14:solidFill>
              <w14:schemeClr w14:val="tx1"/>
            </w14:solidFill>
          </w14:textFill>
        </w:rPr>
        <w:fldChar w:fldCharType="end"/>
      </w:r>
      <w:r>
        <w:rPr>
          <w:rFonts w:hint="default" w:eastAsia="Times New Roman" w:cs="Arial" w:asciiTheme="minorAscii" w:hAnsiTheme="minorAscii"/>
          <w:b w:val="0"/>
          <w:bCs w:val="0"/>
          <w:i/>
          <w:iCs/>
          <w:strike w:val="0"/>
          <w:dstrike w:val="0"/>
          <w:vanish/>
          <w:color w:val="000000" w:themeColor="text1"/>
          <w:sz w:val="20"/>
          <w:szCs w:val="20"/>
          <w:lang w:val="en-GB" w:eastAsia="en-GB"/>
          <w14:textFill>
            <w14:solidFill>
              <w14:schemeClr w14:val="tx1"/>
            </w14:solidFill>
          </w14:textFill>
        </w:rPr>
        <w:t xml:space="preserve"> - publicată la 24 octombrie 2024)</w:t>
      </w:r>
      <w:r>
        <w:rPr>
          <w:rFonts w:hint="default" w:eastAsia="Times New Roman" w:cs="Arial" w:asciiTheme="minorAscii" w:hAnsiTheme="minorAscii"/>
          <w:b w:val="0"/>
          <w:bCs w:val="0"/>
          <w:strike w:val="0"/>
          <w:dstrike w:val="0"/>
          <w:vanish/>
          <w:color w:val="000000" w:themeColor="text1"/>
          <w:sz w:val="20"/>
          <w:szCs w:val="20"/>
          <w:lang w:val="en-GB" w:eastAsia="en-GB"/>
          <w14:textFill>
            <w14:solidFill>
              <w14:schemeClr w14:val="tx1"/>
            </w14:solidFill>
          </w14:textFill>
        </w:rPr>
        <w:t xml:space="preserve"> </w:t>
      </w:r>
    </w:p>
    <w:p w14:paraId="1AF5A677">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vanish/>
          <w:color w:val="000000" w:themeColor="text1"/>
          <w:sz w:val="20"/>
          <w:szCs w:val="20"/>
          <w:lang w:val="en-GB" w:eastAsia="en-GB"/>
          <w14:textFill>
            <w14:solidFill>
              <w14:schemeClr w14:val="tx1"/>
            </w14:solidFill>
          </w14:textFill>
        </w:rPr>
      </w:pPr>
      <w:r>
        <w:rPr>
          <w:rFonts w:hint="default" w:eastAsia="Times New Roman" w:cs="Arial" w:asciiTheme="minorAscii" w:hAnsiTheme="minorAscii"/>
          <w:b w:val="0"/>
          <w:bCs w:val="0"/>
          <w:strike w:val="0"/>
          <w:dstrike w:val="0"/>
          <w:vanish/>
          <w:color w:val="000000" w:themeColor="text1"/>
          <w:sz w:val="20"/>
          <w:szCs w:val="20"/>
          <w:lang w:val="en-GB" w:eastAsia="en-GB"/>
          <w14:textFill>
            <w14:solidFill>
              <w14:schemeClr w14:val="tx1"/>
            </w14:solidFill>
          </w14:textFill>
        </w:rPr>
        <w:t xml:space="preserve">|[(9) În cazul clădirilor la care se constată diferenţe între suprafeţele înscrise în actele de proprietate şi situaţia reală rezultată din măsurătorile executate în condiţiile </w:t>
      </w:r>
      <w:r>
        <w:rPr>
          <w:rFonts w:hint="default" w:cs="Arial" w:asciiTheme="minorAscii" w:hAnsiTheme="minorAscii"/>
          <w:b w:val="0"/>
          <w:bCs w:val="0"/>
          <w:strike w:val="0"/>
          <w:dstrike w:val="0"/>
          <w:color w:val="000000" w:themeColor="text1"/>
          <w:sz w:val="20"/>
          <w:szCs w:val="20"/>
          <w14:textFill>
            <w14:solidFill>
              <w14:schemeClr w14:val="tx1"/>
            </w14:solidFill>
          </w14:textFill>
        </w:rPr>
        <w:fldChar w:fldCharType="begin"/>
      </w:r>
      <w:r>
        <w:rPr>
          <w:rFonts w:hint="default" w:cs="Arial" w:asciiTheme="minorAscii" w:hAnsiTheme="minorAscii"/>
          <w:b w:val="0"/>
          <w:bCs w:val="0"/>
          <w:strike w:val="0"/>
          <w:dstrike w:val="0"/>
          <w:color w:val="000000" w:themeColor="text1"/>
          <w:sz w:val="20"/>
          <w:szCs w:val="20"/>
          <w14:textFill>
            <w14:solidFill>
              <w14:schemeClr w14:val="tx1"/>
            </w14:solidFill>
          </w14:textFill>
        </w:rPr>
        <w:instrText xml:space="preserve"> HYPERLINK "unsaved://LexNavigator.htm/DB0;LexAct%20181831" </w:instrText>
      </w:r>
      <w:r>
        <w:rPr>
          <w:rFonts w:hint="default" w:cs="Arial" w:asciiTheme="minorAscii" w:hAnsiTheme="minorAscii"/>
          <w:b w:val="0"/>
          <w:bCs w:val="0"/>
          <w:strike w:val="0"/>
          <w:dstrike w:val="0"/>
          <w:color w:val="000000" w:themeColor="text1"/>
          <w:sz w:val="20"/>
          <w:szCs w:val="20"/>
          <w14:textFill>
            <w14:solidFill>
              <w14:schemeClr w14:val="tx1"/>
            </w14:solidFill>
          </w14:textFill>
        </w:rPr>
        <w:fldChar w:fldCharType="separate"/>
      </w:r>
      <w:r>
        <w:rPr>
          <w:rFonts w:hint="default" w:eastAsia="Times New Roman" w:cs="Arial" w:asciiTheme="minorAscii" w:hAnsiTheme="minorAscii"/>
          <w:b w:val="0"/>
          <w:bCs w:val="0"/>
          <w:strike w:val="0"/>
          <w:dstrike w:val="0"/>
          <w:vanish/>
          <w:color w:val="000000" w:themeColor="text1"/>
          <w:sz w:val="20"/>
          <w:szCs w:val="20"/>
          <w:u w:val="single"/>
          <w:lang w:val="en-GB" w:eastAsia="en-GB"/>
          <w14:textFill>
            <w14:solidFill>
              <w14:schemeClr w14:val="tx1"/>
            </w14:solidFill>
          </w14:textFill>
        </w:rPr>
        <w:t>Legii cadastrului şi a publicităţii imobiliare nr. 7/1996</w:t>
      </w:r>
      <w:r>
        <w:rPr>
          <w:rFonts w:hint="default" w:eastAsia="Times New Roman" w:cs="Arial" w:asciiTheme="minorAscii" w:hAnsiTheme="minorAscii"/>
          <w:b w:val="0"/>
          <w:bCs w:val="0"/>
          <w:strike w:val="0"/>
          <w:dstrike w:val="0"/>
          <w:vanish/>
          <w:color w:val="000000" w:themeColor="text1"/>
          <w:sz w:val="20"/>
          <w:szCs w:val="20"/>
          <w:u w:val="single"/>
          <w:lang w:val="en-GB" w:eastAsia="en-GB"/>
          <w14:textFill>
            <w14:solidFill>
              <w14:schemeClr w14:val="tx1"/>
            </w14:solidFill>
          </w14:textFill>
        </w:rPr>
        <w:fldChar w:fldCharType="end"/>
      </w:r>
      <w:r>
        <w:rPr>
          <w:rFonts w:hint="default" w:eastAsia="Times New Roman" w:cs="Arial" w:asciiTheme="minorAscii" w:hAnsiTheme="minorAscii"/>
          <w:b w:val="0"/>
          <w:bCs w:val="0"/>
          <w:strike w:val="0"/>
          <w:dstrike w:val="0"/>
          <w:vanish/>
          <w:color w:val="000000" w:themeColor="text1"/>
          <w:sz w:val="20"/>
          <w:szCs w:val="20"/>
          <w:lang w:val="en-GB" w:eastAsia="en-GB"/>
          <w14:textFill>
            <w14:solidFill>
              <w14:schemeClr w14:val="tx1"/>
            </w14:solidFill>
          </w14:textFill>
        </w:rPr>
        <w:t xml:space="preserve">, republicată, cu modificările şi completările ulterioare, pentru determinarea sarcinii fiscale se au în vedere suprafeţele care corespund situaţiei reale, dovedite prin lucrări de cadastru. Datele rezultate din lucrările de cadastru se înscriu în evidenţele fiscale, în registrul agricol, precum şi în cartea funciară, iar impozitul se calculează conform noii situaţii începând cu data de 1 ianuarie a anului următor celui în care se înregistrează la organul fiscal local lucrarea de cadastru, ca anexă la declaraţia fiscală. </w:t>
      </w:r>
      <w:r>
        <w:rPr>
          <w:rFonts w:hint="default" w:eastAsia="Times New Roman" w:cs="Arial" w:asciiTheme="minorAscii" w:hAnsiTheme="minorAscii"/>
          <w:b w:val="0"/>
          <w:bCs w:val="0"/>
          <w:i/>
          <w:iCs/>
          <w:strike w:val="0"/>
          <w:dstrike w:val="0"/>
          <w:vanish/>
          <w:color w:val="000000" w:themeColor="text1"/>
          <w:sz w:val="20"/>
          <w:szCs w:val="20"/>
          <w:lang w:val="en-GB" w:eastAsia="en-GB"/>
          <w14:textFill>
            <w14:solidFill>
              <w14:schemeClr w14:val="tx1"/>
            </w14:solidFill>
          </w14:textFill>
        </w:rPr>
        <w:t>(text original în vigoare până la 24 decembrie 2020)</w:t>
      </w:r>
      <w:r>
        <w:rPr>
          <w:rFonts w:hint="default" w:eastAsia="Times New Roman" w:cs="Arial" w:asciiTheme="minorAscii" w:hAnsiTheme="minorAscii"/>
          <w:b w:val="0"/>
          <w:bCs w:val="0"/>
          <w:strike w:val="0"/>
          <w:dstrike w:val="0"/>
          <w:vanish/>
          <w:color w:val="000000" w:themeColor="text1"/>
          <w:sz w:val="20"/>
          <w:szCs w:val="20"/>
          <w:lang w:val="en-GB" w:eastAsia="en-GB"/>
          <w14:textFill>
            <w14:solidFill>
              <w14:schemeClr w14:val="tx1"/>
            </w14:solidFill>
          </w14:textFill>
        </w:rPr>
        <w:t xml:space="preserve"> ]| </w:t>
      </w:r>
    </w:p>
    <w:p w14:paraId="5CFFDCEC">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t xml:space="preserve"> (9) În cazul clădirilor la care se constată diferenţe între suprafeţele înscrise în actele de proprietate şi situaţia reală rezultată din măsurătorile executate în condiţiile </w:t>
      </w:r>
      <w:r>
        <w:rPr>
          <w:rFonts w:hint="default" w:cs="Arial" w:asciiTheme="minorAscii" w:hAnsiTheme="minorAscii"/>
          <w:b w:val="0"/>
          <w:bCs w:val="0"/>
          <w:strike w:val="0"/>
          <w:dstrike w:val="0"/>
          <w:color w:val="000000" w:themeColor="text1"/>
          <w:sz w:val="20"/>
          <w:szCs w:val="20"/>
          <w14:textFill>
            <w14:solidFill>
              <w14:schemeClr w14:val="tx1"/>
            </w14:solidFill>
          </w14:textFill>
        </w:rPr>
        <w:fldChar w:fldCharType="begin"/>
      </w:r>
      <w:r>
        <w:rPr>
          <w:rFonts w:hint="default" w:cs="Arial" w:asciiTheme="minorAscii" w:hAnsiTheme="minorAscii"/>
          <w:b w:val="0"/>
          <w:bCs w:val="0"/>
          <w:strike w:val="0"/>
          <w:dstrike w:val="0"/>
          <w:color w:val="000000" w:themeColor="text1"/>
          <w:sz w:val="20"/>
          <w:szCs w:val="20"/>
          <w14:textFill>
            <w14:solidFill>
              <w14:schemeClr w14:val="tx1"/>
            </w14:solidFill>
          </w14:textFill>
        </w:rPr>
        <w:instrText xml:space="preserve"> HYPERLINK "unsaved://LexNavigator.htm/DB0;LexAct%20240898" </w:instrText>
      </w:r>
      <w:r>
        <w:rPr>
          <w:rFonts w:hint="default" w:cs="Arial" w:asciiTheme="minorAscii" w:hAnsiTheme="minorAscii"/>
          <w:b w:val="0"/>
          <w:bCs w:val="0"/>
          <w:strike w:val="0"/>
          <w:dstrike w:val="0"/>
          <w:color w:val="000000" w:themeColor="text1"/>
          <w:sz w:val="20"/>
          <w:szCs w:val="20"/>
          <w14:textFill>
            <w14:solidFill>
              <w14:schemeClr w14:val="tx1"/>
            </w14:solidFill>
          </w14:textFill>
        </w:rPr>
        <w:fldChar w:fldCharType="separate"/>
      </w:r>
      <w:r>
        <w:rPr>
          <w:rFonts w:hint="default" w:eastAsia="Times New Roman" w:cs="Arial" w:asciiTheme="minorAscii" w:hAnsiTheme="minorAscii"/>
          <w:b w:val="0"/>
          <w:bCs w:val="0"/>
          <w:strike w:val="0"/>
          <w:dstrike w:val="0"/>
          <w:color w:val="000000" w:themeColor="text1"/>
          <w:sz w:val="20"/>
          <w:szCs w:val="20"/>
          <w:u w:val="single"/>
          <w:lang w:val="en-GB" w:eastAsia="en-GB"/>
          <w14:textFill>
            <w14:solidFill>
              <w14:schemeClr w14:val="tx1"/>
            </w14:solidFill>
          </w14:textFill>
        </w:rPr>
        <w:t>Legii cadastrului şi a publicităţii imobiliare nr. 7/1996</w:t>
      </w:r>
      <w:r>
        <w:rPr>
          <w:rFonts w:hint="default" w:eastAsia="Times New Roman" w:cs="Arial" w:asciiTheme="minorAscii" w:hAnsiTheme="minorAscii"/>
          <w:b w:val="0"/>
          <w:bCs w:val="0"/>
          <w:strike w:val="0"/>
          <w:dstrike w:val="0"/>
          <w:color w:val="000000" w:themeColor="text1"/>
          <w:sz w:val="20"/>
          <w:szCs w:val="20"/>
          <w:u w:val="single"/>
          <w:lang w:val="en-GB" w:eastAsia="en-GB"/>
          <w14:textFill>
            <w14:solidFill>
              <w14:schemeClr w14:val="tx1"/>
            </w14:solidFill>
          </w14:textFill>
        </w:rPr>
        <w:fldChar w:fldCharType="end"/>
      </w:r>
      <w:r>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t>, republicată, cu modificările şi completările ulterioare, pentru determinarea sarcinii fiscale se au în vedere suprafeţele care corespund situaţiei reale, dovedite prin lucrări de cadastru. Datele rezultate din lucrările de cadastru se înscriu în evidenţele fiscale, în registrul agricol, precum şi în cartea funciară, iar impozitul se calculează conform noii situaţii începând cu data de 1 ianuarie a anului următor celui în care se înregistrează lucrarea de cadastru la oficiile de cadastru şi publicitate imobiliară, ca anexă la declaraţia fiscală. </w:t>
      </w:r>
    </w:p>
    <w:p w14:paraId="5ECB44B1">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t xml:space="preserve">(10) În cazul unei clădiri care face obiectul unui contract de leasing financiar, pe întreaga durată a acestuia se aplică următoarele reguli: </w:t>
      </w:r>
    </w:p>
    <w:p w14:paraId="371716EA">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t>a) impozitul pe clădiri se datorează de locatar, începând cu data de 1 ianuarie a anului următor celui în care a fost încheiat contractul;</w:t>
      </w:r>
    </w:p>
    <w:p w14:paraId="0BD6D5F8">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t>b) în cazul încetării contractului de leasing, impozitul pe clădiri se datorează de locator, începând cu data de 1 ianuarie a anului următor încheierii procesului - verbal de predare a bunului sau a altor documente similare care atestă intrarea bunului în posesia locatorului ca urmare a rezilierii contractului de leasing;</w:t>
      </w:r>
    </w:p>
    <w:p w14:paraId="4BDB3F18">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t xml:space="preserve">c) atât locatorul, cât şi locatarul au obligaţia depunerii declaraţiei fiscale la organul fiscal local în a cărui rază de competenţă se află clădirea, în termen de 30 de zile de la data finalizării contractului de leasing sau a încheierii procesului - verbal de predare a bunului sau a altor documente similare care atestă intrarea bunului în posesia locatorului ca urmare a rezilierii contractului de leasing însoţită de o copie a acestor documente. </w:t>
      </w:r>
    </w:p>
    <w:p w14:paraId="351057CE">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vanish/>
          <w:color w:val="000000" w:themeColor="text1"/>
          <w:sz w:val="20"/>
          <w:szCs w:val="20"/>
          <w:lang w:val="en-GB" w:eastAsia="en-GB"/>
          <w14:textFill>
            <w14:solidFill>
              <w14:schemeClr w14:val="tx1"/>
            </w14:solidFill>
          </w14:textFill>
        </w:rPr>
      </w:pPr>
      <w:r>
        <w:rPr>
          <w:rFonts w:hint="default" w:eastAsia="Times New Roman" w:cs="Arial" w:asciiTheme="minorAscii" w:hAnsiTheme="minorAscii"/>
          <w:b w:val="0"/>
          <w:bCs w:val="0"/>
          <w:strike w:val="0"/>
          <w:dstrike w:val="0"/>
          <w:vanish/>
          <w:color w:val="000000" w:themeColor="text1"/>
          <w:sz w:val="20"/>
          <w:szCs w:val="20"/>
          <w:lang w:val="en-GB" w:eastAsia="en-GB"/>
          <w14:textFill>
            <w14:solidFill>
              <w14:schemeClr w14:val="tx1"/>
            </w14:solidFill>
          </w14:textFill>
        </w:rPr>
        <w:t xml:space="preserve">|[(11) Taxa pe clădiri se datorează pe perioada valabilităţii contractului prin care se constituie dreptul de concesiune, închiriere, administrare ori folosinţă. În cazul contractelor care prevăd perioade mai mici de un an, taxa se datorează proporţional cu intervalul de timp pentru care s-a transmis dreptul de concesiune, închiriere, administrare ori folosinţă. </w:t>
      </w:r>
      <w:r>
        <w:rPr>
          <w:rFonts w:hint="default" w:eastAsia="Times New Roman" w:cs="Arial" w:asciiTheme="minorAscii" w:hAnsiTheme="minorAscii"/>
          <w:b w:val="0"/>
          <w:bCs w:val="0"/>
          <w:i/>
          <w:iCs/>
          <w:strike w:val="0"/>
          <w:dstrike w:val="0"/>
          <w:vanish/>
          <w:color w:val="000000" w:themeColor="text1"/>
          <w:sz w:val="20"/>
          <w:szCs w:val="20"/>
          <w:lang w:val="en-GB" w:eastAsia="en-GB"/>
          <w14:textFill>
            <w14:solidFill>
              <w14:schemeClr w14:val="tx1"/>
            </w14:solidFill>
          </w14:textFill>
        </w:rPr>
        <w:t xml:space="preserve">(text original în vigoare până la 3 ianuarie 2016) </w:t>
      </w:r>
      <w:r>
        <w:rPr>
          <w:rFonts w:hint="default" w:eastAsia="Times New Roman" w:cs="Arial" w:asciiTheme="minorAscii" w:hAnsiTheme="minorAscii"/>
          <w:b w:val="0"/>
          <w:bCs w:val="0"/>
          <w:strike w:val="0"/>
          <w:dstrike w:val="0"/>
          <w:vanish/>
          <w:color w:val="000000" w:themeColor="text1"/>
          <w:sz w:val="20"/>
          <w:szCs w:val="20"/>
          <w:lang w:val="en-GB" w:eastAsia="en-GB"/>
          <w14:textFill>
            <w14:solidFill>
              <w14:schemeClr w14:val="tx1"/>
            </w14:solidFill>
          </w14:textFill>
        </w:rPr>
        <w:t xml:space="preserve">]| </w:t>
      </w:r>
    </w:p>
    <w:p w14:paraId="1BC3B5E0">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t xml:space="preserve">(11) În cazul clădirilor pentru care se datorează taxa pe clădiri, în temeiul unui contract de concesiune, închiriere, administrare ori folosinţă care se referă la perioade mai mari de o lună, titularul dreptului de concesiune, închiriere, administrare ori folosinţă are obligaţia depunerii unei declaraţii la organul fiscal local până la data de 25 inclusiv a lunii următoare intrării în vigoare a contractului.  </w:t>
      </w:r>
    </w:p>
    <w:p w14:paraId="3E25057A">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vanish/>
          <w:color w:val="000000" w:themeColor="text1"/>
          <w:sz w:val="20"/>
          <w:szCs w:val="20"/>
          <w:lang w:val="en-GB" w:eastAsia="en-GB"/>
          <w14:textFill>
            <w14:solidFill>
              <w14:schemeClr w14:val="tx1"/>
            </w14:solidFill>
          </w14:textFill>
        </w:rPr>
      </w:pPr>
      <w:r>
        <w:rPr>
          <w:rFonts w:hint="default" w:eastAsia="Times New Roman" w:cs="Arial" w:asciiTheme="minorAscii" w:hAnsiTheme="minorAscii"/>
          <w:b w:val="0"/>
          <w:bCs w:val="0"/>
          <w:strike w:val="0"/>
          <w:dstrike w:val="0"/>
          <w:vanish/>
          <w:color w:val="000000" w:themeColor="text1"/>
          <w:sz w:val="20"/>
          <w:szCs w:val="20"/>
          <w:lang w:val="en-GB" w:eastAsia="en-GB"/>
          <w14:textFill>
            <w14:solidFill>
              <w14:schemeClr w14:val="tx1"/>
            </w14:solidFill>
          </w14:textFill>
        </w:rPr>
        <w:t xml:space="preserve">|[(12) Persoana care datorează taxa pe clădiri are obligaţia să depună o declaraţie la organul fiscal local în a cărui rază teritorială de competenţă se află clădirea, până la data de 25 a lunii următoare celei în care intră în vigoare contractul prin care se acordă dreptul de concesiune, închiriere, administrare ori folosinţă, la care anexează o copie a acestui contract. </w:t>
      </w:r>
      <w:r>
        <w:rPr>
          <w:rFonts w:hint="default" w:eastAsia="Times New Roman" w:cs="Arial" w:asciiTheme="minorAscii" w:hAnsiTheme="minorAscii"/>
          <w:b w:val="0"/>
          <w:bCs w:val="0"/>
          <w:i/>
          <w:iCs/>
          <w:strike w:val="0"/>
          <w:dstrike w:val="0"/>
          <w:vanish/>
          <w:color w:val="000000" w:themeColor="text1"/>
          <w:sz w:val="20"/>
          <w:szCs w:val="20"/>
          <w:lang w:val="en-GB" w:eastAsia="en-GB"/>
          <w14:textFill>
            <w14:solidFill>
              <w14:schemeClr w14:val="tx1"/>
            </w14:solidFill>
          </w14:textFill>
        </w:rPr>
        <w:t xml:space="preserve">(text original în vigoare până la 3 ianuarie 2016) </w:t>
      </w:r>
      <w:r>
        <w:rPr>
          <w:rFonts w:hint="default" w:eastAsia="Times New Roman" w:cs="Arial" w:asciiTheme="minorAscii" w:hAnsiTheme="minorAscii"/>
          <w:b w:val="0"/>
          <w:bCs w:val="0"/>
          <w:strike w:val="0"/>
          <w:dstrike w:val="0"/>
          <w:vanish/>
          <w:color w:val="000000" w:themeColor="text1"/>
          <w:sz w:val="20"/>
          <w:szCs w:val="20"/>
          <w:lang w:val="en-GB" w:eastAsia="en-GB"/>
          <w14:textFill>
            <w14:solidFill>
              <w14:schemeClr w14:val="tx1"/>
            </w14:solidFill>
          </w14:textFill>
        </w:rPr>
        <w:t xml:space="preserve">]| </w:t>
      </w:r>
    </w:p>
    <w:p w14:paraId="2D4FEE84">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t xml:space="preserve">(12) În cazul clădirilor pentru care se datorează taxa pe clădiri, în temeiul unor contracte de concesiune, închiriere, administrare ori folosinţă care se referă la perioade mai mici de o lună, persoana de drept public care transmite dreptul de concesiune, închiriere, administrare ori folosinţă are obligaţia să depună o declaraţie la organul fiscal local, până la data de 25 inclusiv a lunii următoare intrării în vigoare a contractelor, la care anexează o situaţie centralizatoare a acestor contracte. </w:t>
      </w:r>
    </w:p>
    <w:p w14:paraId="6E7E0595">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t>(13) În cazul clădirilor pentru care se datorează taxa pe clădiri, în temeiul unui contract de concesiune, închiriere, administrare ori folosinţă care se referă la perioade mai mari de un an, titularul dreptului de concesiune, închiriere, administrare ori folosinţă are obligaţia depunerii unei declaraţii la organul fiscal local în termen de 30 de zile de la data intrării în vigoare a contractului şi datorează taxa pe clădiri începând cu data de 1 ianuarie a anului următor. </w:t>
      </w:r>
    </w:p>
    <w:p w14:paraId="73A917D7">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t>(14) În cazul unei situaţii care determină modificarea taxei pe clădiri datorate, persoana care datorează taxa pe clădiri are obligaţia să depună o declaraţie la organul fiscal local în a cărui rază teritorială de competenţă se află clădirea, până la data de 25 a lunii următoare celei în care s-a înregistrat situaţia respectivă.</w:t>
      </w:r>
      <w:r>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br w:type="textWrapping"/>
      </w:r>
      <w:r>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t>(15) Declararea clădirilor în scop fiscal nu este condiţionată de înregistrarea acestor imobile la oficiile de cadastru şi publicitate imobiliară.</w:t>
      </w:r>
    </w:p>
    <w:p w14:paraId="40E1E28E">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t>(16) Depunerea declaraţiilor fiscale reprezintă o obligaţie şi în cazul persoanelor care beneficiază de scutiri sau reduceri de la plata impozitului sau a taxei pe clădiri.</w:t>
      </w:r>
    </w:p>
    <w:p w14:paraId="5CD8FAFA">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pPr>
    </w:p>
    <w:p w14:paraId="001E093E">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u w:val="single"/>
          <w:lang w:val="ro-RO" w:eastAsia="en-GB"/>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ro-RO" w:eastAsia="en-GB"/>
          <w14:textFill>
            <w14:solidFill>
              <w14:schemeClr w14:val="tx1"/>
            </w14:solidFill>
          </w14:textFill>
        </w:rPr>
        <w:t>Art.10-</w:t>
      </w:r>
      <w:r>
        <w:rPr>
          <w:rFonts w:hint="default" w:eastAsia="Times New Roman" w:cs="Arial" w:asciiTheme="minorAscii" w:hAnsiTheme="minorAscii"/>
          <w:b w:val="0"/>
          <w:bCs w:val="0"/>
          <w:strike w:val="0"/>
          <w:dstrike w:val="0"/>
          <w:color w:val="000000" w:themeColor="text1"/>
          <w:sz w:val="20"/>
          <w:szCs w:val="20"/>
          <w:u w:val="single"/>
          <w:lang w:val="en-GB" w:eastAsia="en-GB"/>
          <w14:textFill>
            <w14:solidFill>
              <w14:schemeClr w14:val="tx1"/>
            </w14:solidFill>
          </w14:textFill>
        </w:rPr>
        <w:t>Plata impozitului/taxei</w:t>
      </w:r>
      <w:r>
        <w:rPr>
          <w:rFonts w:hint="default" w:eastAsia="Times New Roman" w:cs="Arial" w:asciiTheme="minorAscii" w:hAnsiTheme="minorAscii"/>
          <w:b w:val="0"/>
          <w:bCs w:val="0"/>
          <w:strike w:val="0"/>
          <w:dstrike w:val="0"/>
          <w:color w:val="000000" w:themeColor="text1"/>
          <w:sz w:val="20"/>
          <w:szCs w:val="20"/>
          <w:u w:val="single"/>
          <w:lang w:val="ro-RO" w:eastAsia="en-GB"/>
          <w14:textFill>
            <w14:solidFill>
              <w14:schemeClr w14:val="tx1"/>
            </w14:solidFill>
          </w14:textFill>
        </w:rPr>
        <w:t>-2026</w:t>
      </w:r>
    </w:p>
    <w:p w14:paraId="103BE085">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u w:val="single"/>
          <w:lang w:val="ro-RO" w:eastAsia="en-GB"/>
          <w14:textFill>
            <w14:solidFill>
              <w14:schemeClr w14:val="tx1"/>
            </w14:solidFill>
          </w14:textFill>
        </w:rPr>
      </w:pPr>
    </w:p>
    <w:p w14:paraId="1B554387">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pPr>
      <w:bookmarkStart w:id="1" w:name="462"/>
      <w:bookmarkEnd w:id="1"/>
      <w:r>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t>(1) Impozitul pe clădiri se plăteşte anual, în două rate egale, până la datele de 31 martie şi 30 septembrie, inclusiv.</w:t>
      </w:r>
    </w:p>
    <w:p w14:paraId="310C47C5">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vanish/>
          <w:color w:val="000000" w:themeColor="text1"/>
          <w:sz w:val="20"/>
          <w:szCs w:val="20"/>
          <w:lang w:val="en-GB" w:eastAsia="en-GB"/>
          <w14:textFill>
            <w14:solidFill>
              <w14:schemeClr w14:val="tx1"/>
            </w14:solidFill>
          </w14:textFill>
        </w:rPr>
      </w:pPr>
      <w:r>
        <w:rPr>
          <w:rFonts w:hint="default" w:eastAsia="Times New Roman" w:cs="Arial" w:asciiTheme="minorAscii" w:hAnsiTheme="minorAscii"/>
          <w:b w:val="0"/>
          <w:bCs w:val="0"/>
          <w:strike w:val="0"/>
          <w:dstrike w:val="0"/>
          <w:vanish/>
          <w:color w:val="000000" w:themeColor="text1"/>
          <w:sz w:val="20"/>
          <w:szCs w:val="20"/>
          <w:lang w:val="en-GB" w:eastAsia="en-GB"/>
          <w14:textFill>
            <w14:solidFill>
              <w14:schemeClr w14:val="tx1"/>
            </w14:solidFill>
          </w14:textFill>
        </w:rPr>
        <w:t xml:space="preserve">|[(2) Pentru plata cu anticipaţie a impozitului pe clădiri, datorat pentru întregul an de către contribuabili, până la data de 31 martie a anului respectiv, se acordă o bonificaţie de până la 10%, stabilită prin hotărâre a consiliului local. La nivelul municipiului Bucureşti, această atribuţie revine Consiliului General al Municipiului Bucureşti. </w:t>
      </w:r>
      <w:r>
        <w:rPr>
          <w:rFonts w:hint="default" w:eastAsia="Times New Roman" w:cs="Arial" w:asciiTheme="minorAscii" w:hAnsiTheme="minorAscii"/>
          <w:b w:val="0"/>
          <w:bCs w:val="0"/>
          <w:i/>
          <w:iCs/>
          <w:strike w:val="0"/>
          <w:dstrike w:val="0"/>
          <w:vanish/>
          <w:color w:val="000000" w:themeColor="text1"/>
          <w:sz w:val="20"/>
          <w:szCs w:val="20"/>
          <w:lang w:val="en-GB" w:eastAsia="en-GB"/>
          <w14:textFill>
            <w14:solidFill>
              <w14:schemeClr w14:val="tx1"/>
            </w14:solidFill>
          </w14:textFill>
        </w:rPr>
        <w:t>(text original în vigoare până la 24 decembrie 2020)</w:t>
      </w:r>
      <w:r>
        <w:rPr>
          <w:rFonts w:hint="default" w:eastAsia="Times New Roman" w:cs="Arial" w:asciiTheme="minorAscii" w:hAnsiTheme="minorAscii"/>
          <w:b w:val="0"/>
          <w:bCs w:val="0"/>
          <w:strike w:val="0"/>
          <w:dstrike w:val="0"/>
          <w:vanish/>
          <w:color w:val="000000" w:themeColor="text1"/>
          <w:sz w:val="20"/>
          <w:szCs w:val="20"/>
          <w:lang w:val="en-GB" w:eastAsia="en-GB"/>
          <w14:textFill>
            <w14:solidFill>
              <w14:schemeClr w14:val="tx1"/>
            </w14:solidFill>
          </w14:textFill>
        </w:rPr>
        <w:t xml:space="preserve"> ]| </w:t>
      </w:r>
    </w:p>
    <w:p w14:paraId="3F2A1B7F">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t>(2) Pentru plata cu anticipaţie a impozitului/taxei pe clădiri, datorat/e pentru întregul an de către contribuabili, până la data de 31 martie a anului respectiv, se acordă o bonificaţie de 10% inclusiv.</w:t>
      </w:r>
    </w:p>
    <w:p w14:paraId="4D6DA330">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t>(3) Impozitul pe clădiri, datorat aceluiaşi buget local de către contribuabili, de până la 50 lei inclusiv, se plăteşte integral până la primul termen de plată.</w:t>
      </w:r>
    </w:p>
    <w:p w14:paraId="021A504B">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t>(4) În cazul în care contribuabilul deţine în proprietate mai multe clădiri amplasate pe raza aceleiaşi unităţi administrativ - teritoriale, prevederile alin. (2) şi (3) se referă la impozitul pe clădiri cumulat.</w:t>
      </w:r>
      <w:r>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br w:type="textWrapping"/>
      </w:r>
      <w:r>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t xml:space="preserve">(5) În cazul contractelor de concesiune, închiriere, administrare sau folosinţă, care se referă la o perioadă mai mare de un an, taxa pe clădiri se plăteşte anual, în două rate egale, până la datele de 31 martie şi 30 septembrie, inclusiv.  </w:t>
      </w:r>
    </w:p>
    <w:p w14:paraId="4686F748">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vanish/>
          <w:color w:val="000000" w:themeColor="text1"/>
          <w:sz w:val="20"/>
          <w:szCs w:val="20"/>
          <w:lang w:val="en-GB" w:eastAsia="en-GB"/>
          <w14:textFill>
            <w14:solidFill>
              <w14:schemeClr w14:val="tx1"/>
            </w14:solidFill>
          </w14:textFill>
        </w:rPr>
      </w:pPr>
      <w:r>
        <w:rPr>
          <w:rFonts w:hint="default" w:eastAsia="Times New Roman" w:cs="Arial" w:asciiTheme="minorAscii" w:hAnsiTheme="minorAscii"/>
          <w:b w:val="0"/>
          <w:bCs w:val="0"/>
          <w:strike w:val="0"/>
          <w:dstrike w:val="0"/>
          <w:vanish/>
          <w:color w:val="000000" w:themeColor="text1"/>
          <w:sz w:val="20"/>
          <w:szCs w:val="20"/>
          <w:lang w:val="en-GB" w:eastAsia="en-GB"/>
          <w14:textFill>
            <w14:solidFill>
              <w14:schemeClr w14:val="tx1"/>
            </w14:solidFill>
          </w14:textFill>
        </w:rPr>
        <w:t xml:space="preserve">|[(5) Taxa pe clădiri se plăteşte lunar, până la data de 25 a lunii următoare fiecărei luni din perioada de valabilitate a contractului prin care se transmite dreptul de concesiune, închiriere, administrare ori folosinţă. </w:t>
      </w:r>
      <w:r>
        <w:rPr>
          <w:rFonts w:hint="default" w:eastAsia="Times New Roman" w:cs="Arial" w:asciiTheme="minorAscii" w:hAnsiTheme="minorAscii"/>
          <w:b w:val="0"/>
          <w:bCs w:val="0"/>
          <w:i/>
          <w:iCs/>
          <w:strike w:val="0"/>
          <w:dstrike w:val="0"/>
          <w:vanish/>
          <w:color w:val="000000" w:themeColor="text1"/>
          <w:sz w:val="20"/>
          <w:szCs w:val="20"/>
          <w:lang w:val="en-GB" w:eastAsia="en-GB"/>
          <w14:textFill>
            <w14:solidFill>
              <w14:schemeClr w14:val="tx1"/>
            </w14:solidFill>
          </w14:textFill>
        </w:rPr>
        <w:t xml:space="preserve">(text original în vigoare până la 3 ianuarie 2016) </w:t>
      </w:r>
      <w:r>
        <w:rPr>
          <w:rFonts w:hint="default" w:eastAsia="Times New Roman" w:cs="Arial" w:asciiTheme="minorAscii" w:hAnsiTheme="minorAscii"/>
          <w:b w:val="0"/>
          <w:bCs w:val="0"/>
          <w:strike w:val="0"/>
          <w:dstrike w:val="0"/>
          <w:vanish/>
          <w:color w:val="000000" w:themeColor="text1"/>
          <w:sz w:val="20"/>
          <w:szCs w:val="20"/>
          <w:lang w:val="en-GB" w:eastAsia="en-GB"/>
          <w14:textFill>
            <w14:solidFill>
              <w14:schemeClr w14:val="tx1"/>
            </w14:solidFill>
          </w14:textFill>
        </w:rPr>
        <w:t xml:space="preserve">]| </w:t>
      </w:r>
    </w:p>
    <w:p w14:paraId="42C95B2D">
      <w:pPr>
        <w:keepNext w:val="0"/>
        <w:keepLines w:val="0"/>
        <w:pageBreakBefore w:val="0"/>
        <w:kinsoku/>
        <w:wordWrap/>
        <w:overflowPunct/>
        <w:topLinePunct w:val="0"/>
        <w:autoSpaceDE w:val="0"/>
        <w:autoSpaceDN w:val="0"/>
        <w:bidi w:val="0"/>
        <w:adjustRightInd w:val="0"/>
        <w:snapToGrid/>
        <w:spacing w:after="0" w:line="240" w:lineRule="auto"/>
        <w:ind w:left="0" w:right="0"/>
        <w:jc w:val="both"/>
        <w:outlineLvl w:val="0"/>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t xml:space="preserve">(6) În cazul contractelor de concesiune, închiriere, administrare sau folosinţă, care se referă la perioade mai mari de o lună, taxa pe clădiri se plăteşte lunar, până la data de 25 inclusiv a lunii următoare fiecărei luni din perioada de valabilitate a contractului, de către concesionar, locatar, titularul dreptului de administrare sau de folosinţă. </w:t>
      </w:r>
    </w:p>
    <w:p w14:paraId="41BBABE8">
      <w:pPr>
        <w:keepNext w:val="0"/>
        <w:keepLines w:val="0"/>
        <w:pageBreakBefore w:val="0"/>
        <w:kinsoku/>
        <w:wordWrap/>
        <w:overflowPunct/>
        <w:topLinePunct w:val="0"/>
        <w:autoSpaceDE w:val="0"/>
        <w:autoSpaceDN w:val="0"/>
        <w:bidi w:val="0"/>
        <w:adjustRightInd w:val="0"/>
        <w:snapToGrid/>
        <w:spacing w:after="0" w:line="240" w:lineRule="auto"/>
        <w:ind w:left="0" w:right="0"/>
        <w:jc w:val="both"/>
        <w:outlineLvl w:val="0"/>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en-GB" w:eastAsia="en-GB"/>
          <w14:textFill>
            <w14:solidFill>
              <w14:schemeClr w14:val="tx1"/>
            </w14:solidFill>
          </w14:textFill>
        </w:rPr>
        <w:t xml:space="preserve">(7) În cazul contractelor care se referă la perioade mai mici de o lună, persoana juridică de drept public care transmite dreptul de concesiune, închiriere, administrare sau folosinţă colectează taxa pe clădiri de la concesionari, locatari, titularii dreptului de administrare sau de folosinţă şi o varsă lunar, până la data de 25 inclusiv a lunii următoare fiecărei luni din perioada de valabilitate a contractului. </w:t>
      </w:r>
    </w:p>
    <w:p w14:paraId="64F8D12A">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lang w:val="ro-RO" w:eastAsia="en-GB"/>
          <w14:textFill>
            <w14:solidFill>
              <w14:schemeClr w14:val="tx1"/>
            </w14:solidFill>
          </w14:textFill>
        </w:rPr>
      </w:pPr>
    </w:p>
    <w:p w14:paraId="1C6B4AFE">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ro-RO" w:eastAsia="en-GB"/>
          <w14:textFill>
            <w14:solidFill>
              <w14:schemeClr w14:val="tx1"/>
            </w14:solidFill>
          </w14:textFill>
        </w:rPr>
        <w:t>Art.11-</w:t>
      </w:r>
      <w:r>
        <w:rPr>
          <w:rFonts w:hint="default" w:eastAsia="Times New Roman" w:cs="Arial" w:asciiTheme="minorAscii" w:hAnsiTheme="minorAscii"/>
          <w:b w:val="0"/>
          <w:bCs w:val="0"/>
          <w:strike w:val="0"/>
          <w:dstrike w:val="0"/>
          <w:color w:val="000000" w:themeColor="text1"/>
          <w:sz w:val="20"/>
          <w:szCs w:val="20"/>
          <w:u w:val="single"/>
          <w:lang w:val="en-GB" w:eastAsia="en-GB"/>
          <w14:textFill>
            <w14:solidFill>
              <w14:schemeClr w14:val="tx1"/>
            </w14:solidFill>
          </w14:textFill>
        </w:rPr>
        <w:t>Plata impozitului/taxei</w:t>
      </w:r>
      <w:r>
        <w:rPr>
          <w:rFonts w:hint="default" w:eastAsia="Times New Roman" w:cs="Arial" w:asciiTheme="minorAscii" w:hAnsiTheme="minorAscii"/>
          <w:b w:val="0"/>
          <w:bCs w:val="0"/>
          <w:strike w:val="0"/>
          <w:dstrike w:val="0"/>
          <w:color w:val="000000" w:themeColor="text1"/>
          <w:sz w:val="20"/>
          <w:szCs w:val="20"/>
          <w:u w:val="single"/>
          <w:lang w:val="ro-RO" w:eastAsia="en-GB"/>
          <w14:textFill>
            <w14:solidFill>
              <w14:schemeClr w14:val="tx1"/>
            </w14:solidFill>
          </w14:textFill>
        </w:rPr>
        <w:t xml:space="preserve">-2026 </w:t>
      </w:r>
      <w:r>
        <w:rPr>
          <w:rFonts w:hint="default" w:eastAsia="Times New Roman" w:cs="Arial" w:asciiTheme="minorAscii" w:hAnsiTheme="minorAscii"/>
          <w:b w:val="0"/>
          <w:bCs w:val="0"/>
          <w:strike w:val="0"/>
          <w:dstrike w:val="0"/>
          <w:color w:val="000000" w:themeColor="text1"/>
          <w:sz w:val="20"/>
          <w:szCs w:val="20"/>
          <w:u w:val="single"/>
          <w:lang w:val="ro-RO" w:eastAsia="ro-RO"/>
          <w14:textFill>
            <w14:solidFill>
              <w14:schemeClr w14:val="tx1"/>
            </w14:solidFill>
          </w14:textFill>
        </w:rPr>
        <w:t>I. Reguli generale</w:t>
      </w:r>
      <w:r>
        <w:rPr>
          <w:rFonts w:hint="default" w:eastAsia="Times New Roman" w:cs="Arial" w:asciiTheme="minorAscii" w:hAnsiTheme="minorAscii"/>
          <w:b w:val="0"/>
          <w:bCs w:val="0"/>
          <w:strike w:val="0"/>
          <w:dstrike w:val="0"/>
          <w:color w:val="000000" w:themeColor="text1"/>
          <w:sz w:val="20"/>
          <w:szCs w:val="20"/>
          <w:u w:val="single"/>
          <w:lang w:val="en-US" w:eastAsia="ro-RO"/>
          <w14:textFill>
            <w14:solidFill>
              <w14:schemeClr w14:val="tx1"/>
            </w14:solidFill>
          </w14:textFill>
        </w:rPr>
        <w:t xml:space="preserve"> conform </w:t>
      </w:r>
      <w:r>
        <w:rPr>
          <w:rFonts w:hint="default" w:eastAsia="Times New Roman" w:cs="Arial" w:asciiTheme="minorAscii" w:hAnsiTheme="minorAscii"/>
          <w:b w:val="0"/>
          <w:bCs w:val="0"/>
          <w:strike w:val="0"/>
          <w:dstrike w:val="0"/>
          <w:color w:val="000000" w:themeColor="text1"/>
          <w:sz w:val="20"/>
          <w:szCs w:val="20"/>
          <w14:textFill>
            <w14:solidFill>
              <w14:schemeClr w14:val="tx1"/>
            </w14:solidFill>
          </w14:textFill>
        </w:rPr>
        <w:t>art. 463-467 din legea 227/2015)</w:t>
      </w:r>
    </w:p>
    <w:p w14:paraId="482DA8EF">
      <w:pPr>
        <w:keepNext w:val="0"/>
        <w:keepLines w:val="0"/>
        <w:pageBreakBefore w:val="0"/>
        <w:kinsoku/>
        <w:wordWrap/>
        <w:overflowPunct/>
        <w:topLinePunct w:val="0"/>
        <w:autoSpaceDE w:val="0"/>
        <w:autoSpaceDN w:val="0"/>
        <w:bidi w:val="0"/>
        <w:adjustRightInd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en-US" w:eastAsia="ro-RO"/>
          <w14:textFill>
            <w14:solidFill>
              <w14:schemeClr w14:val="tx1"/>
            </w14:solidFill>
          </w14:textFill>
        </w:rPr>
        <w:t>Art.463:</w:t>
      </w:r>
      <w: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t xml:space="preserve">   </w:t>
      </w:r>
    </w:p>
    <w:p w14:paraId="66361EE0">
      <w:pPr>
        <w:keepNext w:val="0"/>
        <w:keepLines w:val="0"/>
        <w:pageBreakBefore w:val="0"/>
        <w:widowControl w:val="0"/>
        <w:numPr>
          <w:ilvl w:val="0"/>
          <w:numId w:val="3"/>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leftChars="0" w:right="0" w:firstLine="0" w:firstLineChars="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Orice persoană care are în proprietate teren situat în România datorează pentru acesta un  impozit anual, exceptând cazurile în care în prezentul titlu se prevede altfel.   (2) Pentru terenurile aflate în domeniul public sau privat al statului ori al unităţilor  administrativ - teritoriale, concesionate, închiriate, date în administrare ori în folosinţă, după  caz, oricăror entităţi, altele decât cele de drept public, se stabileşte taxa pe teren, care se  datorează de concesionari, locatari, titulari ai dreptului de administrare sau de folosinţă, după  caz, în condiţii similare impozitului pe teren. În cazul transmiterii ulterioare altor entităţi a  dreptului de concesiune, închiriere, administrare sau folosinţă asupra terenului, taxa se  datorează de persoana care are relaţia contractuală cu persoana de drept public.  (3) Impozitul prevăzut la alin. (1), denumit în continuare impozit pe teren, precum şi taxa pe  teren prevăzută la alin. (2) se datorează către bugetul local al comunei, al oraşului sau al  municipiului în care este amplasat terenul. În cazul municipiului Bucureşti, impozitul şi taxa pe  teren se datorează către bugetul local al sectorului în care este amplasat terenul.   (4) În cazul terenurilor care fac obiectul unor contracte de concesiune, închiriere, administrare  sau folosinţă ce se referă la perioade mai mari de o lună, taxa pe teren se stabileşte proporţional  cu numărul de luni pentru care este constituit dreptul de concesiune, închiriere, administrare ori  folosinţă. Pentru fracţiunile mai mici de o lună, taxa se calculează proporţional cu numărul de  zile din luna respectivă.  (4</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superscript"/>
          <w:rtl w:val="0"/>
          <w14:textFill>
            <w14:solidFill>
              <w14:schemeClr w14:val="tx1"/>
            </w14:solidFill>
          </w14:textFill>
        </w:rPr>
        <w:t>1</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În cazul terenurilor care fac obiectul unor contracte de concesiune, închiriere,  administrare sau folosinţă ce se referă la perioade mai mici de o lună, taxa pe teren se datorează  proporţional cu numărul de zile sau de ore prevăzute în contract.   (5) Pe perioada în care pentru un teren se plăteşte taxa pe teren, nu se datorează impozitul pe </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t>teren.</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(5</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superscript"/>
          <w:rtl w:val="0"/>
          <w14:textFill>
            <w14:solidFill>
              <w14:schemeClr w14:val="tx1"/>
            </w14:solidFill>
          </w14:textFill>
        </w:rPr>
        <w:t>1</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În cazul în care pentru o suprafaţă de teren aflată în domeniul public sau privat al statului  ori a unităţii administrativ - teritoriale se datorează impozit pe teren, iar în cursul unui an apar  situaţii care determină datorarea taxei pe teren, diferenţa de impozit pentru perioada pe care se  datorează taxa se compensează sau se restituie contribuabilului în anul fiscal următor.   (6) În cazul terenului care este deţinut în comun de două sau mai multe persoane, fiecare  proprietar datorează impozit pentru partea din teren aflată în proprietatea sa. În cazul în care nu  se pot stabili părţile individuale ale proprietarilor în comun, fiecare proprietar în comun  datorează o parte egală din impozitul pentru terenul respectiv. </w:t>
      </w:r>
    </w:p>
    <w:p w14:paraId="000000E3">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leftChars="0" w:right="0" w:rightChars="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Art. 12. (464) - Scutiri </w:t>
      </w:r>
    </w:p>
    <w:p w14:paraId="000000E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(1) Nu se datorează impozit/taxă pe teren pentru:  </w:t>
      </w:r>
    </w:p>
    <w:p w14:paraId="1A62D61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a) terenurile aflate în domeniul public sau privat al statului ori al unităților administrativ teritoriale, cu excepția suprafețelor folosite pentru activități economice sau agrement;  </w:t>
      </w:r>
    </w:p>
    <w:p w14:paraId="000000E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b) terenurile aflate în domeniul privat al statului concesionate, închiriate, date în administrare  ori în folosință, după caz, instituțiilor publice cu finanțare de la bugetul de stat, utilizate pentru  activitatea proprie a acestora;  </w:t>
      </w:r>
    </w:p>
    <w:p w14:paraId="000000E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c) terenurile aparținând cultelor religioase recunoscute oficial și asociațiilor religioase, precum  și componentelor locale ale acestora, cu excepția suprafețelor care sunt folosite pentru activități  economice;  </w:t>
      </w:r>
    </w:p>
    <w:p w14:paraId="000000E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d) terenurile aparținând cimitirelor și crematoriilor;  </w:t>
      </w:r>
    </w:p>
    <w:p w14:paraId="000000E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e) terenurile utilizate de unitățile și instituțiile de învățământ de stat, confesional sau particular,  autorizate să funcționeze provizoriu ori acreditate, cu excepția suprafețelor care sunt folosite  pentru activități economice care generează alte venituri decât cele din taxele de școlarizare,  servirea meselor pentru preșcolari, elevi sau studenți și cazarea acestora, precum și terenurile  utilizate de către creșe;  </w:t>
      </w:r>
    </w:p>
    <w:p w14:paraId="000000E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f) terenurile utilizate de unitățile sanitare publice, cu excepția suprafețelor folosite pentru  activități economice;  </w:t>
      </w:r>
    </w:p>
    <w:p w14:paraId="05C4E8F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g) terenurile legate de sistemele hidrotehnice, terenurile de navigație, terenurile aferente  infrastructurii portuare, canalelor navigabile, inclusiv ecluzele și stațiile de pompare aferente  acestora, precum și terenurile aferente lucrărilor de îmbunătățiri funciare, pe baza avizului  privind categoria de folosință a terenului, emis de oficiile de cadastru și publicitate imobiliară; </w:t>
      </w:r>
    </w:p>
    <w:p w14:paraId="000000E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h) terenurile folosite pentru activitățile de apărare împotriva inundațiilor, gospodărirea apelor,  hidrometeorologie, cele care contribuie la exploatarea resurselor de apă, cele folosite ca zone  de protecție definite în lege, precum și terenurile utilizate pentru exploatările din subsol,  încadrate astfel printr-o hotărâre a consiliului local, în măsura în care nu afectează folosirea  suprafeței solului;  </w:t>
      </w:r>
    </w:p>
    <w:p w14:paraId="000000E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i) terenurile ocupate de autostrăzi, drumuri europene, drumuri naționale, drumuri principale  administrate de Compania Națională de Administrare a Infrastructurii Rutiere – S.A. și  Compania Națională de Investiții Rutiere S.A., zonele de siguranță a acestora, precum și  terenurile ocupate de piste și terenurile din jurul pistelor reprezentând zone de siguranță;  </w:t>
      </w:r>
    </w:p>
    <w:p w14:paraId="000000E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j) terenurile pe care sunt amplasate elementele infrastructurii feroviare publice, precum și cele  ale metroului;  </w:t>
      </w:r>
    </w:p>
    <w:p w14:paraId="000000E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k) terenurile din parcurile industriale, parcurile științifice și tehnologice, precum și cele utilizate  de incubatoarele de afaceri, cu respectarea legislației în materia ajutorului de stat;  l) terenurile aferente capacităților de producție care sunt în sectorul pentru apărare cu  respectarea legislației în materia ajutorului de stat;  </w:t>
      </w:r>
    </w:p>
    <w:p w14:paraId="7A4FF4F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m) terenurile Academiei Române și ale fundațiilor proprii înființate de Academia Română, în  calitate de fondator unic, cu excepția terenurilor care sunt folosite pentru activități economice;  </w:t>
      </w:r>
    </w:p>
    <w:p w14:paraId="000000E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n) terenurile destinate serviciului de apostilă și supralegalizare, cele destinate depozitării și  administrării arhivei, precum și terenurile afectate funcționării Centrului Național de  Administrare a Registrelor Naționale Notariale;  </w:t>
      </w:r>
    </w:p>
    <w:p w14:paraId="166AB2E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o) terenurile aferente clădirilor noi realizate ca parte a unor proiecte investiționale din domeniul  industriei prelucrătoare, depozitării și logisticii, pentru o perioadă de 2 ani de la recepția finală  a clădirii potrivit procesului-verbal de recepție întocmit la terminarea lucrărilor, în condițiile legii, începând cu data de 1 ianuarie a anului următor celui în care a avut loc recepția și cu  respectarea legislației în materia ajutorului de stat; activitățile ce intră sub incidența prevederii  se stabilesc prin normele metodologice date în aplicarea prezentului cod;  </w:t>
      </w:r>
    </w:p>
    <w:p w14:paraId="000000F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p) terenul aferent clădirii de domiciliu aflate în proprietatea sau coproprietatea persoanelor  prevăzute la art. 1 din Decretul-lege nr. 118/1990, republicat, cu modificările și completările  ulterioare, și a persoanelor fizice prevăzute la art. 1 din Ordonanța Guvernului nr. 105/1999,  republicată, cu modificările și completările ulterioare;  </w:t>
      </w:r>
    </w:p>
    <w:p w14:paraId="000000F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q) terenul aferent clădirii folosită ca domiciliu aflate în proprietatea sau coproprietatea  veteranilor de război, a văduvelor de război și a văduvelor nerecăsătorite ale veteranilor de  război. </w:t>
      </w:r>
    </w:p>
    <w:p w14:paraId="000000F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(2) </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14:textFill>
            <w14:solidFill>
              <w14:schemeClr w14:val="tx1"/>
            </w14:solidFill>
          </w14:textFill>
        </w:rPr>
        <w:t>Consiliul local</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lang w:val="ro-RO"/>
          <w14:textFill>
            <w14:solidFill>
              <w14:schemeClr w14:val="tx1"/>
            </w14:solidFill>
          </w14:textFill>
        </w:rPr>
        <w:t xml:space="preserve"> acorda</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14:textFill>
            <w14:solidFill>
              <w14:schemeClr w14:val="tx1"/>
            </w14:solidFill>
          </w14:textFill>
        </w:rPr>
        <w:t xml:space="preserve"> reducerea impozitului/taxei pe </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14:textFill>
            <w14:solidFill>
              <w14:schemeClr w14:val="tx1"/>
            </w14:solidFill>
          </w14:textFill>
        </w:rPr>
        <w:t>teren datorate</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lang w:val="ro-RO"/>
          <w14:textFill>
            <w14:solidFill>
              <w14:schemeClr w14:val="tx1"/>
            </w14:solidFill>
          </w14:textFill>
        </w:rPr>
        <w:t>, la cerere, daca este cazul,</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14:textFill>
            <w14:solidFill>
              <w14:schemeClr w14:val="tx1"/>
            </w14:solidFill>
          </w14:textFill>
        </w:rPr>
        <w:t xml:space="preserve"> pentru:</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w:t>
      </w:r>
    </w:p>
    <w:p w14:paraId="000000F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6"/>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a) terenul aferent clădirilor restituite potrivit art. 16 din Legea nr. 10/2001, republicată, cu  modificările și completările ulterioare, pe durata pentru care proprietarul menține afectațiunea  de interes public;  </w:t>
      </w:r>
    </w:p>
    <w:p w14:paraId="000000F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8"/>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b) terenul aferent clădirilor retrocedate potrivit art. 1 alin. (10) din Ordonanța de urgență a  Guvernului nr. 94/2000, republicată, cu modificările și completările ulterioare, pe durata pentru  care proprietarul menține afectațiunea de interes public;  </w:t>
      </w:r>
    </w:p>
    <w:p w14:paraId="000000F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8"/>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c) terenul aferent clădirilor restituite potrivit art. 1 alin. (5) din Ordonanța de urgență a  Guvernului nr. 83/1999, republicată, cu modificările ulterioare, pe durata pentru care  proprietarul menține afectațiunea de interes public;  </w:t>
      </w:r>
    </w:p>
    <w:p w14:paraId="000000F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6"/>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d) terenul aferent clădirii utilizate pentru furnizarea de servicii sociale de către organizații  neguvernamentale și întreprinderi sociale ca furnizori de servicii sociale, primite în folosință  gratuită;  </w:t>
      </w:r>
    </w:p>
    <w:p w14:paraId="000000F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e) terenul aferent clădirii aflate în proprietatea organizațiilor nonprofit, precum și terenul aferent  clădirii utilizate de organizațiile nonprofit primite în folosință gratuită, folosite exclusiv pentru  activitățile fără scop lucrativ;  </w:t>
      </w:r>
    </w:p>
    <w:p w14:paraId="000000F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1"/>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f) terenurile afectate de calamități naturale, pentru o perioadă de până la 2 ani, începând cu data  de 1 ianuarie a anului următor celui în care s-a produs evenimentul;  </w:t>
      </w:r>
    </w:p>
    <w:p w14:paraId="000000F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g) terenurile aflate în proprietatea operatorilor economici, în condițiile elaborării unor scheme  de ajutor de stat/de minimis având un obiectiv prevăzut de legislația în domeniul ajutorului de  stat;  </w:t>
      </w:r>
    </w:p>
    <w:p w14:paraId="000000F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1"/>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h) terenul aferent clădirii folosite ca domiciliu aflate în proprietatea persoanelor care locuiesc  efectiv în localitățile prevăzute în Hotărârea Guvernului nr. 323/1996, cu modificările și  completările ulterioare și în Hotărârea Guvernului nr. 395/1996, cu modificările și completările  ulterioare, în cazul cărora impozitul se poate reduce cu până la 50%;  </w:t>
      </w:r>
    </w:p>
    <w:p w14:paraId="000000F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1"/>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i) terenurile pentru care proprietarul efectuează pe cheltuială proprie intabularea în cartea  funciară, pe o perioadă de 2 ani începând cu data de 1 ianuarie a anului următor celui în care a  avut loc intabularea;  </w:t>
      </w:r>
    </w:p>
    <w:p w14:paraId="000000F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19"/>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j) terenurile fundațiilor înființate prin testament, constituite conform legii, cu scopul de a  întreține, dezvolta și ajuta instituții de cultură națională, precum și de a susține acțiuni cu  caracter umanitar, social și cultural;  </w:t>
      </w:r>
    </w:p>
    <w:p w14:paraId="000000F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2"/>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k) terenul aferent clădirii folosite ca domiciliu aflate în proprietatea sau coproprietatea  persoanelor prevăzute la art. 2 lit. c), f) și j) din Legea nr. 168/2020, cu modificările și  completările ulterioare;  </w:t>
      </w:r>
    </w:p>
    <w:p w14:paraId="000000F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5"/>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l) terenurile aflate în proprietatea organizațiilor cetățenilor aparținând minorităților naționale  din România, cu statut de utilitate publică, precum și cele închiriate, concesionate sau primite  în folosință de acestea de la o instituție sau o autoritate publică, cu excepția terenurilor care sunt  folosite pentru activități economice;  </w:t>
      </w:r>
    </w:p>
    <w:p w14:paraId="0000010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6"/>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m) suprafețele construite ale terenurilor aferente clădirilor clasate ca monumente istorice, de  arhitectură sau arheologice, prevăzute la art. 456 alin. (2) lit. t), indiferent de titularul dreptului  de proprietate sau de administrare, cu excepția terenurilor care sunt folosite pentru activități  economice.  </w:t>
      </w:r>
    </w:p>
    <w:p w14:paraId="0000010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(3) Prin hotărârea prin care s-a stabilit să se acorde scutirea sau reducerea impozitului/taxei  pe teren, potrivit alin. (2), se dispune și cu privire la documentele justificative pentru fiecare  situație în parte, după caz. Scutirea sau reducerea se aplică, persoanelor care dețin documente justificative ce sunt depuse la organul fiscal local în termenul stabilit prin hotărârea consiliului  local și care și-au îndeplinit obligația de plată a impozitului/taxei pentru anul fiscal anterior în  termenele prevăzute de lege, începând cu data de 1 ianuarie a anului fiscal următor celui în care  a fost emisă hotărârea consiliului local. </w:t>
      </w:r>
    </w:p>
    <w:p w14:paraId="0000010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7"/>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(4) În cazul scutirii prevăzute la art. 464 alin. (1) lit. p) și q), scutirea se acordă pentru terenul  aferent clădirii de domiciliu deținute în comun cu soțul sau soția. În situația în care o cotă-parte  din teren aparține unor terți, scutirea nu se acordă pentru cota-parte deținută de acești terți. </w:t>
      </w:r>
    </w:p>
    <w:p w14:paraId="0000010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Art. 13. (465) - Calculul impozitului/taxei pe teren  </w:t>
      </w:r>
    </w:p>
    <w:p w14:paraId="0000010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(1) Impozitul/Taxa pe teren se stabileşte luând în calcul suprafaţa terenului, rangul localităţii  în care este amplasat terenul, zona şi categoria de folosinţă a terenului, conform încadrării făcute  de consiliul local.  </w:t>
      </w:r>
    </w:p>
    <w:p w14:paraId="50EB8F84">
      <w:pPr>
        <w:keepNext w:val="0"/>
        <w:keepLines w:val="0"/>
        <w:pageBreakBefore w:val="0"/>
        <w:kinsoku/>
        <w:wordWrap/>
        <w:overflowPunct/>
        <w:topLinePunct w:val="0"/>
        <w:autoSpaceDE w:val="0"/>
        <w:autoSpaceDN w:val="0"/>
        <w:bidi w:val="0"/>
        <w:adjustRightInd w:val="0"/>
        <w:snapToGrid/>
        <w:spacing w:after="0" w:line="240" w:lineRule="auto"/>
        <w:ind w:left="0" w:right="0"/>
        <w:jc w:val="both"/>
        <w:rPr>
          <w:rFonts w:hint="default" w:eastAsia="Calibri"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t xml:space="preserve">  (2) </w:t>
      </w:r>
      <w:r>
        <w:rPr>
          <w:rFonts w:hint="default" w:eastAsia="Calibri" w:cs="Arial" w:asciiTheme="minorAscii" w:hAnsiTheme="minorAscii"/>
          <w:b w:val="0"/>
          <w:bCs w:val="0"/>
          <w:strike w:val="0"/>
          <w:dstrike w:val="0"/>
          <w:color w:val="000000" w:themeColor="text1"/>
          <w:sz w:val="20"/>
          <w:szCs w:val="20"/>
          <w14:textFill>
            <w14:solidFill>
              <w14:schemeClr w14:val="tx1"/>
            </w14:solidFill>
          </w14:textFill>
        </w:rPr>
        <w:t>În cazul unui teren amplasat în intravilan, înregistrat în registrul agricol la categoria de folosinţă terenuri cu construcţii, impozitul/taxa pe teren se stabileşte prin înmulţirea suprafeţei terenului, exprimată în hectare, cu suma corespunzătoare prevăzută în următorul tabel:</w:t>
      </w:r>
    </w:p>
    <w:p w14:paraId="77EDA340">
      <w:pPr>
        <w:keepNext w:val="0"/>
        <w:keepLines w:val="0"/>
        <w:pageBreakBefore w:val="0"/>
        <w:kinsoku/>
        <w:wordWrap/>
        <w:overflowPunct/>
        <w:topLinePunct w:val="0"/>
        <w:autoSpaceDE w:val="0"/>
        <w:autoSpaceDN w:val="0"/>
        <w:bidi w:val="0"/>
        <w:adjustRightInd w:val="0"/>
        <w:snapToGrid/>
        <w:spacing w:after="0" w:line="240" w:lineRule="auto"/>
        <w:ind w:left="0" w:right="0"/>
        <w:jc w:val="both"/>
        <w:rPr>
          <w:rFonts w:hint="default" w:eastAsia="Calibri" w:cs="Arial" w:asciiTheme="minorAscii" w:hAnsiTheme="minorAscii"/>
          <w:b w:val="0"/>
          <w:bCs w:val="0"/>
          <w:strike w:val="0"/>
          <w:dstrike w:val="0"/>
          <w:color w:val="000000" w:themeColor="text1"/>
          <w:sz w:val="20"/>
          <w:szCs w:val="20"/>
          <w14:textFill>
            <w14:solidFill>
              <w14:schemeClr w14:val="tx1"/>
            </w14:solidFill>
          </w14:textFill>
        </w:rPr>
      </w:pPr>
    </w:p>
    <w:p w14:paraId="729CC875">
      <w:pPr>
        <w:keepNext w:val="0"/>
        <w:keepLines w:val="0"/>
        <w:pageBreakBefore w:val="0"/>
        <w:kinsoku/>
        <w:wordWrap/>
        <w:overflowPunct/>
        <w:topLinePunct w:val="0"/>
        <w:autoSpaceDE w:val="0"/>
        <w:autoSpaceDN w:val="0"/>
        <w:bidi w:val="0"/>
        <w:adjustRightInd w:val="0"/>
        <w:snapToGrid/>
        <w:spacing w:after="0" w:line="240" w:lineRule="auto"/>
        <w:ind w:left="0" w:right="0"/>
        <w:jc w:val="both"/>
        <w:outlineLvl w:val="0"/>
        <w:rPr>
          <w:rFonts w:hint="default" w:eastAsia="Times New Roman" w:cs="Arial" w:asciiTheme="minorAscii" w:hAnsiTheme="minorAscii"/>
          <w:b w:val="0"/>
          <w:bCs w:val="0"/>
          <w:strike w:val="0"/>
          <w:dstrike w:val="0"/>
          <w:color w:val="000000" w:themeColor="text1"/>
          <w:sz w:val="20"/>
          <w:szCs w:val="20"/>
          <w:u w:val="single"/>
          <w:lang w:val="ro-RO" w:eastAsia="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u w:val="single"/>
          <w:lang w:val="fr-FR" w:eastAsia="ro-RO"/>
          <w14:textFill>
            <w14:solidFill>
              <w14:schemeClr w14:val="tx1"/>
            </w14:solidFill>
          </w14:textFill>
        </w:rPr>
        <w:t>A.Impozit teren intravilan – categoria de folosintă curți-construcții</w:t>
      </w:r>
    </w:p>
    <w:tbl>
      <w:tblPr>
        <w:tblStyle w:val="10"/>
        <w:tblpPr w:leftFromText="180" w:rightFromText="180" w:vertAnchor="text" w:horzAnchor="margin" w:tblpY="242"/>
        <w:tblW w:w="101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
        <w:gridCol w:w="871"/>
        <w:gridCol w:w="958"/>
        <w:gridCol w:w="911"/>
        <w:gridCol w:w="970"/>
        <w:gridCol w:w="974"/>
        <w:gridCol w:w="622"/>
        <w:gridCol w:w="685"/>
        <w:gridCol w:w="563"/>
        <w:gridCol w:w="497"/>
        <w:gridCol w:w="555"/>
        <w:gridCol w:w="873"/>
        <w:gridCol w:w="711"/>
      </w:tblGrid>
      <w:tr w14:paraId="1138F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3" w:hRule="atLeast"/>
        </w:trPr>
        <w:tc>
          <w:tcPr>
            <w:tcW w:w="10152" w:type="dxa"/>
            <w:gridSpan w:val="13"/>
            <w:tcBorders>
              <w:top w:val="double" w:color="auto" w:sz="4" w:space="0"/>
              <w:left w:val="double" w:color="auto" w:sz="4" w:space="0"/>
              <w:right w:val="double" w:color="auto" w:sz="4" w:space="0"/>
            </w:tcBorders>
            <w:vAlign w:val="center"/>
          </w:tcPr>
          <w:p w14:paraId="03C3143D">
            <w:pPr>
              <w:keepNext w:val="0"/>
              <w:keepLines w:val="0"/>
              <w:pageBreakBefore w:val="0"/>
              <w:kinsoku/>
              <w:wordWrap/>
              <w:overflowPunct/>
              <w:topLinePunct w:val="0"/>
              <w:bidi w:val="0"/>
              <w:snapToGrid/>
              <w:spacing w:after="0" w:line="240" w:lineRule="auto"/>
              <w:ind w:left="0" w:right="0"/>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p>
          <w:p w14:paraId="6DEC12A4">
            <w:pPr>
              <w:keepNext w:val="0"/>
              <w:keepLines w:val="0"/>
              <w:pageBreakBefore w:val="0"/>
              <w:kinsoku/>
              <w:wordWrap/>
              <w:overflowPunct/>
              <w:topLinePunct w:val="0"/>
              <w:bidi w:val="0"/>
              <w:snapToGrid/>
              <w:spacing w:after="0" w:line="240" w:lineRule="auto"/>
              <w:ind w:left="0" w:right="0"/>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t xml:space="preserve">Art. 465 alin. (2)          TEREN  INTRAVILAN    –  CATEGORIA DE  FOLOSINȚĂ  CURȚI- </w:t>
            </w:r>
          </w:p>
          <w:p w14:paraId="14941D69">
            <w:pPr>
              <w:keepNext w:val="0"/>
              <w:keepLines w:val="0"/>
              <w:pageBreakBefore w:val="0"/>
              <w:kinsoku/>
              <w:wordWrap/>
              <w:overflowPunct/>
              <w:topLinePunct w:val="0"/>
              <w:bidi w:val="0"/>
              <w:snapToGrid/>
              <w:spacing w:after="0" w:line="240" w:lineRule="auto"/>
              <w:ind w:left="0" w:right="0"/>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t xml:space="preserve">                                                                           CONSTRUCŢII                                                                 - lei/ha -                                                                                                                                     </w:t>
            </w:r>
          </w:p>
        </w:tc>
      </w:tr>
      <w:tr w14:paraId="08C93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6" w:hRule="atLeast"/>
        </w:trPr>
        <w:tc>
          <w:tcPr>
            <w:tcW w:w="962" w:type="dxa"/>
            <w:vMerge w:val="restart"/>
            <w:tcBorders>
              <w:left w:val="double" w:color="auto" w:sz="4" w:space="0"/>
              <w:right w:val="double" w:color="auto" w:sz="4" w:space="0"/>
            </w:tcBorders>
            <w:vAlign w:val="center"/>
          </w:tcPr>
          <w:p w14:paraId="50FA4531">
            <w:pPr>
              <w:keepNext w:val="0"/>
              <w:keepLines w:val="0"/>
              <w:pageBreakBefore w:val="0"/>
              <w:kinsoku/>
              <w:wordWrap/>
              <w:overflowPunct/>
              <w:topLinePunct w:val="0"/>
              <w:bidi w:val="0"/>
              <w:snapToGrid/>
              <w:spacing w:after="0" w:line="240" w:lineRule="auto"/>
              <w:ind w:left="0" w:right="0"/>
              <w:jc w:val="cente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t>Zona în cadrul localității</w:t>
            </w:r>
          </w:p>
          <w:p w14:paraId="2C3D5347">
            <w:pPr>
              <w:keepNext w:val="0"/>
              <w:keepLines w:val="0"/>
              <w:pageBreakBefore w:val="0"/>
              <w:kinsoku/>
              <w:wordWrap/>
              <w:overflowPunct/>
              <w:topLinePunct w:val="0"/>
              <w:bidi w:val="0"/>
              <w:snapToGrid/>
              <w:spacing w:after="0" w:line="240" w:lineRule="auto"/>
              <w:ind w:left="0" w:right="0"/>
              <w:jc w:val="cente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p>
        </w:tc>
        <w:tc>
          <w:tcPr>
            <w:tcW w:w="5306" w:type="dxa"/>
            <w:gridSpan w:val="6"/>
            <w:tcBorders>
              <w:left w:val="double" w:color="auto" w:sz="4" w:space="0"/>
              <w:right w:val="double" w:color="auto" w:sz="4" w:space="0"/>
            </w:tcBorders>
            <w:vAlign w:val="center"/>
          </w:tcPr>
          <w:p w14:paraId="47B0828A">
            <w:pPr>
              <w:keepNext w:val="0"/>
              <w:keepLines w:val="0"/>
              <w:pageBreakBefore w:val="0"/>
              <w:tabs>
                <w:tab w:val="center" w:pos="2959"/>
                <w:tab w:val="left" w:pos="5220"/>
              </w:tabs>
              <w:kinsoku/>
              <w:wordWrap/>
              <w:overflowPunct/>
              <w:topLinePunct w:val="0"/>
              <w:bidi w:val="0"/>
              <w:snapToGrid/>
              <w:spacing w:after="0" w:line="240" w:lineRule="auto"/>
              <w:ind w:left="0" w:right="0"/>
              <w:jc w:val="cente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t>NIVELURILE  STABILITE PRIN CODUL FISCAL PENTRU ANUL 2026</w:t>
            </w:r>
          </w:p>
        </w:tc>
        <w:tc>
          <w:tcPr>
            <w:tcW w:w="3884" w:type="dxa"/>
            <w:gridSpan w:val="6"/>
            <w:tcBorders>
              <w:left w:val="double" w:color="auto" w:sz="4" w:space="0"/>
              <w:right w:val="double" w:color="auto" w:sz="4" w:space="0"/>
            </w:tcBorders>
            <w:vAlign w:val="center"/>
          </w:tcPr>
          <w:p w14:paraId="598CC75E">
            <w:pPr>
              <w:keepNext w:val="0"/>
              <w:keepLines w:val="0"/>
              <w:pageBreakBefore w:val="0"/>
              <w:kinsoku/>
              <w:wordWrap/>
              <w:overflowPunct/>
              <w:topLinePunct w:val="0"/>
              <w:bidi w:val="0"/>
              <w:snapToGrid/>
              <w:spacing w:after="0" w:line="240" w:lineRule="auto"/>
              <w:ind w:left="0" w:right="0"/>
              <w:jc w:val="cente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t>NIVELURILE STABILITE DE CONSILIUL LOCAL PENTRU ANUL 2026</w:t>
            </w:r>
          </w:p>
        </w:tc>
      </w:tr>
      <w:tr w14:paraId="101F3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962" w:type="dxa"/>
            <w:vMerge w:val="continue"/>
            <w:tcBorders>
              <w:left w:val="double" w:color="auto" w:sz="4" w:space="0"/>
              <w:right w:val="double" w:color="auto" w:sz="4" w:space="0"/>
            </w:tcBorders>
            <w:vAlign w:val="center"/>
          </w:tcPr>
          <w:p w14:paraId="2A227682">
            <w:pPr>
              <w:keepNext w:val="0"/>
              <w:keepLines w:val="0"/>
              <w:pageBreakBefore w:val="0"/>
              <w:kinsoku/>
              <w:wordWrap/>
              <w:overflowPunct/>
              <w:topLinePunct w:val="0"/>
              <w:bidi w:val="0"/>
              <w:snapToGrid/>
              <w:spacing w:after="0" w:line="240" w:lineRule="auto"/>
              <w:ind w:left="0" w:right="0"/>
              <w:jc w:val="cente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p>
        </w:tc>
        <w:tc>
          <w:tcPr>
            <w:tcW w:w="5306" w:type="dxa"/>
            <w:gridSpan w:val="6"/>
            <w:tcBorders>
              <w:left w:val="double" w:color="auto" w:sz="4" w:space="0"/>
              <w:right w:val="double" w:color="auto" w:sz="4" w:space="0"/>
            </w:tcBorders>
          </w:tcPr>
          <w:p w14:paraId="07291C11">
            <w:pPr>
              <w:keepNext w:val="0"/>
              <w:keepLines w:val="0"/>
              <w:pageBreakBefore w:val="0"/>
              <w:kinsoku/>
              <w:wordWrap/>
              <w:overflowPunct/>
              <w:topLinePunct w:val="0"/>
              <w:bidi w:val="0"/>
              <w:snapToGrid/>
              <w:spacing w:after="0" w:line="240" w:lineRule="auto"/>
              <w:ind w:left="0" w:right="0"/>
              <w:jc w:val="cente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t>Nivelurile impozitului/taxei, pe ranguri de localități</w:t>
            </w:r>
          </w:p>
        </w:tc>
        <w:tc>
          <w:tcPr>
            <w:tcW w:w="3884" w:type="dxa"/>
            <w:gridSpan w:val="6"/>
            <w:tcBorders>
              <w:left w:val="double" w:color="auto" w:sz="4" w:space="0"/>
              <w:right w:val="double" w:color="auto" w:sz="4" w:space="0"/>
            </w:tcBorders>
          </w:tcPr>
          <w:p w14:paraId="4F266C8D">
            <w:pPr>
              <w:keepNext w:val="0"/>
              <w:keepLines w:val="0"/>
              <w:pageBreakBefore w:val="0"/>
              <w:kinsoku/>
              <w:wordWrap/>
              <w:overflowPunct/>
              <w:topLinePunct w:val="0"/>
              <w:bidi w:val="0"/>
              <w:snapToGrid/>
              <w:spacing w:after="0" w:line="240" w:lineRule="auto"/>
              <w:ind w:left="0" w:right="0"/>
              <w:jc w:val="cente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t>Nivelurile impozitului/taxei, pe ranguri de localități</w:t>
            </w:r>
          </w:p>
        </w:tc>
      </w:tr>
      <w:tr w14:paraId="70E19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962" w:type="dxa"/>
            <w:vMerge w:val="continue"/>
            <w:tcBorders>
              <w:left w:val="double" w:color="auto" w:sz="4" w:space="0"/>
              <w:right w:val="double" w:color="auto" w:sz="4" w:space="0"/>
            </w:tcBorders>
            <w:vAlign w:val="center"/>
          </w:tcPr>
          <w:p w14:paraId="185F54B0">
            <w:pPr>
              <w:keepNext w:val="0"/>
              <w:keepLines w:val="0"/>
              <w:pageBreakBefore w:val="0"/>
              <w:kinsoku/>
              <w:wordWrap/>
              <w:overflowPunct/>
              <w:topLinePunct w:val="0"/>
              <w:bidi w:val="0"/>
              <w:snapToGrid/>
              <w:spacing w:after="0" w:line="240" w:lineRule="auto"/>
              <w:ind w:left="0" w:right="0"/>
              <w:jc w:val="cente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p>
        </w:tc>
        <w:tc>
          <w:tcPr>
            <w:tcW w:w="871" w:type="dxa"/>
            <w:tcBorders>
              <w:left w:val="double" w:color="auto" w:sz="4" w:space="0"/>
            </w:tcBorders>
          </w:tcPr>
          <w:p w14:paraId="1C40904C">
            <w:pPr>
              <w:keepNext w:val="0"/>
              <w:keepLines w:val="0"/>
              <w:pageBreakBefore w:val="0"/>
              <w:kinsoku/>
              <w:wordWrap/>
              <w:overflowPunct/>
              <w:topLinePunct w:val="0"/>
              <w:bidi w:val="0"/>
              <w:snapToGrid/>
              <w:spacing w:after="0" w:line="240" w:lineRule="auto"/>
              <w:ind w:left="0" w:right="0"/>
              <w:jc w:val="cente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t>0</w:t>
            </w:r>
          </w:p>
        </w:tc>
        <w:tc>
          <w:tcPr>
            <w:tcW w:w="958" w:type="dxa"/>
          </w:tcPr>
          <w:p w14:paraId="73EC7B76">
            <w:pPr>
              <w:keepNext w:val="0"/>
              <w:keepLines w:val="0"/>
              <w:pageBreakBefore w:val="0"/>
              <w:kinsoku/>
              <w:wordWrap/>
              <w:overflowPunct/>
              <w:topLinePunct w:val="0"/>
              <w:bidi w:val="0"/>
              <w:snapToGrid/>
              <w:spacing w:after="0" w:line="240" w:lineRule="auto"/>
              <w:ind w:left="0" w:right="0"/>
              <w:jc w:val="cente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t>I</w:t>
            </w:r>
          </w:p>
        </w:tc>
        <w:tc>
          <w:tcPr>
            <w:tcW w:w="911" w:type="dxa"/>
          </w:tcPr>
          <w:p w14:paraId="5249657D">
            <w:pPr>
              <w:keepNext w:val="0"/>
              <w:keepLines w:val="0"/>
              <w:pageBreakBefore w:val="0"/>
              <w:kinsoku/>
              <w:wordWrap/>
              <w:overflowPunct/>
              <w:topLinePunct w:val="0"/>
              <w:bidi w:val="0"/>
              <w:snapToGrid/>
              <w:spacing w:after="0" w:line="240" w:lineRule="auto"/>
              <w:ind w:left="0" w:right="0"/>
              <w:jc w:val="cente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t>II</w:t>
            </w:r>
          </w:p>
        </w:tc>
        <w:tc>
          <w:tcPr>
            <w:tcW w:w="970" w:type="dxa"/>
          </w:tcPr>
          <w:p w14:paraId="64C73D8E">
            <w:pPr>
              <w:keepNext w:val="0"/>
              <w:keepLines w:val="0"/>
              <w:pageBreakBefore w:val="0"/>
              <w:kinsoku/>
              <w:wordWrap/>
              <w:overflowPunct/>
              <w:topLinePunct w:val="0"/>
              <w:bidi w:val="0"/>
              <w:snapToGrid/>
              <w:spacing w:after="0" w:line="240" w:lineRule="auto"/>
              <w:ind w:left="0" w:right="0"/>
              <w:jc w:val="cente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t>III</w:t>
            </w:r>
          </w:p>
        </w:tc>
        <w:tc>
          <w:tcPr>
            <w:tcW w:w="974" w:type="dxa"/>
          </w:tcPr>
          <w:p w14:paraId="4A9165EC">
            <w:pPr>
              <w:keepNext w:val="0"/>
              <w:keepLines w:val="0"/>
              <w:pageBreakBefore w:val="0"/>
              <w:kinsoku/>
              <w:wordWrap/>
              <w:overflowPunct/>
              <w:topLinePunct w:val="0"/>
              <w:bidi w:val="0"/>
              <w:snapToGrid/>
              <w:spacing w:after="0" w:line="240" w:lineRule="auto"/>
              <w:ind w:left="0" w:right="0"/>
              <w:jc w:val="cente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t>IV</w:t>
            </w:r>
          </w:p>
        </w:tc>
        <w:tc>
          <w:tcPr>
            <w:tcW w:w="622" w:type="dxa"/>
            <w:tcBorders>
              <w:right w:val="double" w:color="auto" w:sz="4" w:space="0"/>
            </w:tcBorders>
          </w:tcPr>
          <w:p w14:paraId="46FFF9CF">
            <w:pPr>
              <w:keepNext w:val="0"/>
              <w:keepLines w:val="0"/>
              <w:pageBreakBefore w:val="0"/>
              <w:kinsoku/>
              <w:wordWrap/>
              <w:overflowPunct/>
              <w:topLinePunct w:val="0"/>
              <w:bidi w:val="0"/>
              <w:snapToGrid/>
              <w:spacing w:after="0" w:line="240" w:lineRule="auto"/>
              <w:ind w:left="0" w:right="0"/>
              <w:jc w:val="cente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t>V</w:t>
            </w:r>
          </w:p>
        </w:tc>
        <w:tc>
          <w:tcPr>
            <w:tcW w:w="685" w:type="dxa"/>
            <w:tcBorders>
              <w:left w:val="double" w:color="auto" w:sz="4" w:space="0"/>
              <w:right w:val="single" w:color="auto" w:sz="4" w:space="0"/>
            </w:tcBorders>
          </w:tcPr>
          <w:p w14:paraId="651F4354">
            <w:pPr>
              <w:keepNext w:val="0"/>
              <w:keepLines w:val="0"/>
              <w:pageBreakBefore w:val="0"/>
              <w:kinsoku/>
              <w:wordWrap/>
              <w:overflowPunct/>
              <w:topLinePunct w:val="0"/>
              <w:bidi w:val="0"/>
              <w:snapToGrid/>
              <w:spacing w:after="0" w:line="240" w:lineRule="auto"/>
              <w:ind w:left="0" w:right="0"/>
              <w:jc w:val="cente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t>0</w:t>
            </w:r>
          </w:p>
        </w:tc>
        <w:tc>
          <w:tcPr>
            <w:tcW w:w="563" w:type="dxa"/>
            <w:tcBorders>
              <w:right w:val="single" w:color="auto" w:sz="4" w:space="0"/>
            </w:tcBorders>
          </w:tcPr>
          <w:p w14:paraId="7B66D224">
            <w:pPr>
              <w:keepNext w:val="0"/>
              <w:keepLines w:val="0"/>
              <w:pageBreakBefore w:val="0"/>
              <w:kinsoku/>
              <w:wordWrap/>
              <w:overflowPunct/>
              <w:topLinePunct w:val="0"/>
              <w:bidi w:val="0"/>
              <w:snapToGrid/>
              <w:spacing w:after="0" w:line="240" w:lineRule="auto"/>
              <w:ind w:left="0" w:right="0"/>
              <w:jc w:val="cente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t>I</w:t>
            </w:r>
          </w:p>
        </w:tc>
        <w:tc>
          <w:tcPr>
            <w:tcW w:w="497" w:type="dxa"/>
            <w:tcBorders>
              <w:right w:val="single" w:color="auto" w:sz="4" w:space="0"/>
            </w:tcBorders>
          </w:tcPr>
          <w:p w14:paraId="3298AD1C">
            <w:pPr>
              <w:keepNext w:val="0"/>
              <w:keepLines w:val="0"/>
              <w:pageBreakBefore w:val="0"/>
              <w:kinsoku/>
              <w:wordWrap/>
              <w:overflowPunct/>
              <w:topLinePunct w:val="0"/>
              <w:bidi w:val="0"/>
              <w:snapToGrid/>
              <w:spacing w:after="0" w:line="240" w:lineRule="auto"/>
              <w:ind w:left="0" w:right="0"/>
              <w:jc w:val="cente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t>II</w:t>
            </w:r>
          </w:p>
        </w:tc>
        <w:tc>
          <w:tcPr>
            <w:tcW w:w="555" w:type="dxa"/>
            <w:tcBorders>
              <w:right w:val="single" w:color="auto" w:sz="4" w:space="0"/>
            </w:tcBorders>
          </w:tcPr>
          <w:p w14:paraId="2635D2BB">
            <w:pPr>
              <w:keepNext w:val="0"/>
              <w:keepLines w:val="0"/>
              <w:pageBreakBefore w:val="0"/>
              <w:kinsoku/>
              <w:wordWrap/>
              <w:overflowPunct/>
              <w:topLinePunct w:val="0"/>
              <w:bidi w:val="0"/>
              <w:snapToGrid/>
              <w:spacing w:after="0" w:line="240" w:lineRule="auto"/>
              <w:ind w:left="0" w:right="0"/>
              <w:jc w:val="cente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t>III</w:t>
            </w:r>
          </w:p>
        </w:tc>
        <w:tc>
          <w:tcPr>
            <w:tcW w:w="873" w:type="dxa"/>
            <w:tcBorders>
              <w:right w:val="single" w:color="auto" w:sz="4" w:space="0"/>
            </w:tcBorders>
          </w:tcPr>
          <w:p w14:paraId="79E21550">
            <w:pPr>
              <w:keepNext w:val="0"/>
              <w:keepLines w:val="0"/>
              <w:pageBreakBefore w:val="0"/>
              <w:kinsoku/>
              <w:wordWrap/>
              <w:overflowPunct/>
              <w:topLinePunct w:val="0"/>
              <w:bidi w:val="0"/>
              <w:snapToGrid/>
              <w:spacing w:after="0" w:line="240" w:lineRule="auto"/>
              <w:ind w:left="0" w:right="0"/>
              <w:jc w:val="cente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t>IV</w:t>
            </w:r>
          </w:p>
        </w:tc>
        <w:tc>
          <w:tcPr>
            <w:tcW w:w="711" w:type="dxa"/>
            <w:tcBorders>
              <w:right w:val="double" w:color="auto" w:sz="4" w:space="0"/>
            </w:tcBorders>
          </w:tcPr>
          <w:p w14:paraId="7158A5E8">
            <w:pPr>
              <w:keepNext w:val="0"/>
              <w:keepLines w:val="0"/>
              <w:pageBreakBefore w:val="0"/>
              <w:kinsoku/>
              <w:wordWrap/>
              <w:overflowPunct/>
              <w:topLinePunct w:val="0"/>
              <w:bidi w:val="0"/>
              <w:snapToGrid/>
              <w:spacing w:after="0" w:line="240" w:lineRule="auto"/>
              <w:ind w:left="0" w:right="0"/>
              <w:jc w:val="cente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t>V</w:t>
            </w:r>
          </w:p>
        </w:tc>
      </w:tr>
      <w:tr w14:paraId="37EE1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962" w:type="dxa"/>
            <w:tcBorders>
              <w:left w:val="double" w:color="auto" w:sz="4" w:space="0"/>
              <w:right w:val="double" w:color="auto" w:sz="4" w:space="0"/>
            </w:tcBorders>
            <w:vAlign w:val="top"/>
          </w:tcPr>
          <w:p w14:paraId="1A0E150F">
            <w:pPr>
              <w:keepNext w:val="0"/>
              <w:keepLines w:val="0"/>
              <w:pageBreakBefore w:val="0"/>
              <w:widowControl/>
              <w:suppressLineNumbers w:val="0"/>
              <w:kinsoku/>
              <w:wordWrap/>
              <w:overflowPunct/>
              <w:topLinePunct w:val="0"/>
              <w:bidi w:val="0"/>
              <w:snapToGrid/>
              <w:spacing w:beforeAutospacing="0" w:after="0" w:afterAutospacing="0" w:line="240" w:lineRule="auto"/>
              <w:ind w:left="0" w:leftChars="0" w:right="0" w:rightChars="0"/>
              <w:jc w:val="both"/>
              <w:textAlignment w:val="baseline"/>
              <w:rPr>
                <w:rFonts w:hint="default" w:eastAsia="Times New Roman" w:cs="Arial" w:asciiTheme="minorAscii" w:hAnsiTheme="minorAscii"/>
                <w:b w:val="0"/>
                <w:bCs w:val="0"/>
                <w:strike w:val="0"/>
                <w:dstrike w:val="0"/>
                <w:color w:val="000000" w:themeColor="text1"/>
                <w:sz w:val="20"/>
                <w:szCs w:val="20"/>
                <w:lang w:val="en-US" w:eastAsia="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en-US" w:eastAsia="ro-RO"/>
                <w14:textFill>
                  <w14:solidFill>
                    <w14:schemeClr w14:val="tx1"/>
                  </w14:solidFill>
                </w14:textFill>
              </w:rPr>
              <w:t>A</w:t>
            </w:r>
          </w:p>
        </w:tc>
        <w:tc>
          <w:tcPr>
            <w:tcW w:w="871" w:type="dxa"/>
            <w:tcBorders>
              <w:left w:val="double" w:color="auto" w:sz="4" w:space="0"/>
            </w:tcBorders>
            <w:vAlign w:val="top"/>
          </w:tcPr>
          <w:p w14:paraId="318649D1">
            <w:pPr>
              <w:keepNext w:val="0"/>
              <w:keepLines w:val="0"/>
              <w:pageBreakBefore w:val="0"/>
              <w:widowControl/>
              <w:suppressLineNumbers w:val="0"/>
              <w:kinsoku/>
              <w:wordWrap/>
              <w:overflowPunct/>
              <w:topLinePunct w:val="0"/>
              <w:bidi w:val="0"/>
              <w:snapToGrid/>
              <w:spacing w:beforeAutospacing="0" w:after="0" w:afterAutospacing="0" w:line="240" w:lineRule="auto"/>
              <w:ind w:left="0" w:leftChars="0" w:right="0" w:rightChars="0"/>
              <w:jc w:val="both"/>
              <w:textAlignment w:val="baseline"/>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vertAlign w:val="baseline"/>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vertAlign w:val="baseline"/>
                <w:lang w:val="en-US" w:eastAsia="zh-CN" w:bidi="ar"/>
                <w14:textFill>
                  <w14:solidFill>
                    <w14:schemeClr w14:val="tx1"/>
                  </w14:solidFill>
                </w14:textFill>
              </w:rPr>
              <w:t>8282-20706</w:t>
            </w:r>
          </w:p>
        </w:tc>
        <w:tc>
          <w:tcPr>
            <w:tcW w:w="958" w:type="dxa"/>
            <w:vAlign w:val="top"/>
          </w:tcPr>
          <w:p w14:paraId="03FDB71F">
            <w:pPr>
              <w:keepNext w:val="0"/>
              <w:keepLines w:val="0"/>
              <w:pageBreakBefore w:val="0"/>
              <w:widowControl/>
              <w:suppressLineNumbers w:val="0"/>
              <w:kinsoku/>
              <w:wordWrap/>
              <w:overflowPunct/>
              <w:topLinePunct w:val="0"/>
              <w:bidi w:val="0"/>
              <w:snapToGrid/>
              <w:spacing w:beforeAutospacing="0" w:after="0" w:afterAutospacing="0" w:line="240" w:lineRule="auto"/>
              <w:ind w:left="0" w:leftChars="0" w:right="0" w:rightChars="0"/>
              <w:jc w:val="both"/>
              <w:textAlignment w:val="baseline"/>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vertAlign w:val="baseline"/>
                <w:lang w:val="en-US" w:eastAsia="zh-CN" w:bidi="ar"/>
                <w14:textFill>
                  <w14:solidFill>
                    <w14:schemeClr w14:val="tx1"/>
                  </w14:solidFill>
                </w14:textFill>
              </w:rPr>
              <w:t>6878-17194</w:t>
            </w:r>
          </w:p>
        </w:tc>
        <w:tc>
          <w:tcPr>
            <w:tcW w:w="911" w:type="dxa"/>
            <w:vAlign w:val="top"/>
          </w:tcPr>
          <w:p w14:paraId="0181EC8E">
            <w:pPr>
              <w:keepNext w:val="0"/>
              <w:keepLines w:val="0"/>
              <w:pageBreakBefore w:val="0"/>
              <w:widowControl/>
              <w:suppressLineNumbers w:val="0"/>
              <w:kinsoku/>
              <w:wordWrap/>
              <w:overflowPunct/>
              <w:topLinePunct w:val="0"/>
              <w:bidi w:val="0"/>
              <w:snapToGrid/>
              <w:spacing w:beforeAutospacing="0" w:after="0" w:afterAutospacing="0" w:line="240" w:lineRule="auto"/>
              <w:ind w:left="0" w:leftChars="0" w:right="0" w:rightChars="0"/>
              <w:jc w:val="both"/>
              <w:textAlignment w:val="baseline"/>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vertAlign w:val="baseline"/>
                <w:lang w:val="en-US" w:eastAsia="zh-CN" w:bidi="ar"/>
                <w14:textFill>
                  <w14:solidFill>
                    <w14:schemeClr w14:val="tx1"/>
                  </w14:solidFill>
                </w14:textFill>
              </w:rPr>
              <w:t>6042-15106</w:t>
            </w:r>
          </w:p>
        </w:tc>
        <w:tc>
          <w:tcPr>
            <w:tcW w:w="970" w:type="dxa"/>
            <w:vAlign w:val="top"/>
          </w:tcPr>
          <w:p w14:paraId="3254968D">
            <w:pPr>
              <w:keepNext w:val="0"/>
              <w:keepLines w:val="0"/>
              <w:pageBreakBefore w:val="0"/>
              <w:widowControl/>
              <w:suppressLineNumbers w:val="0"/>
              <w:kinsoku/>
              <w:wordWrap/>
              <w:overflowPunct/>
              <w:topLinePunct w:val="0"/>
              <w:bidi w:val="0"/>
              <w:snapToGrid/>
              <w:spacing w:beforeAutospacing="0" w:after="0" w:afterAutospacing="0" w:line="240" w:lineRule="auto"/>
              <w:ind w:left="0" w:leftChars="0" w:right="0" w:rightChars="0"/>
              <w:jc w:val="both"/>
              <w:textAlignment w:val="baseline"/>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vertAlign w:val="baseline"/>
                <w:lang w:val="en-US" w:eastAsia="zh-CN" w:bidi="ar"/>
                <w14:textFill>
                  <w14:solidFill>
                    <w14:schemeClr w14:val="tx1"/>
                  </w14:solidFill>
                </w14:textFill>
              </w:rPr>
              <w:t>5236-13090</w:t>
            </w:r>
          </w:p>
        </w:tc>
        <w:tc>
          <w:tcPr>
            <w:tcW w:w="974" w:type="dxa"/>
            <w:vAlign w:val="top"/>
          </w:tcPr>
          <w:p w14:paraId="634FA6CB">
            <w:pPr>
              <w:keepNext w:val="0"/>
              <w:keepLines w:val="0"/>
              <w:pageBreakBefore w:val="0"/>
              <w:widowControl/>
              <w:suppressLineNumbers w:val="0"/>
              <w:kinsoku/>
              <w:wordWrap/>
              <w:overflowPunct/>
              <w:topLinePunct w:val="0"/>
              <w:bidi w:val="0"/>
              <w:snapToGrid/>
              <w:spacing w:beforeAutospacing="0" w:after="0" w:afterAutospacing="0" w:line="240" w:lineRule="auto"/>
              <w:ind w:left="0" w:leftChars="0" w:right="0" w:rightChars="0"/>
              <w:jc w:val="both"/>
              <w:textAlignment w:val="baseline"/>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vertAlign w:val="baseline"/>
                <w:lang w:val="en-US" w:eastAsia="zh-CN" w:bidi="ar"/>
                <w14:textFill>
                  <w14:solidFill>
                    <w14:schemeClr w14:val="tx1"/>
                  </w14:solidFill>
                </w14:textFill>
              </w:rPr>
              <w:t>711-1788</w:t>
            </w:r>
          </w:p>
        </w:tc>
        <w:tc>
          <w:tcPr>
            <w:tcW w:w="622" w:type="dxa"/>
            <w:tcBorders>
              <w:right w:val="double" w:color="auto" w:sz="4" w:space="0"/>
            </w:tcBorders>
            <w:vAlign w:val="top"/>
          </w:tcPr>
          <w:p w14:paraId="08B7A194">
            <w:pPr>
              <w:keepNext w:val="0"/>
              <w:keepLines w:val="0"/>
              <w:pageBreakBefore w:val="0"/>
              <w:widowControl/>
              <w:suppressLineNumbers w:val="0"/>
              <w:kinsoku/>
              <w:wordWrap/>
              <w:overflowPunct/>
              <w:topLinePunct w:val="0"/>
              <w:bidi w:val="0"/>
              <w:snapToGrid/>
              <w:spacing w:beforeAutospacing="0" w:after="0" w:afterAutospacing="0" w:line="240" w:lineRule="auto"/>
              <w:ind w:left="0" w:leftChars="0" w:right="0" w:rightChars="0"/>
              <w:jc w:val="both"/>
              <w:textAlignment w:val="baseline"/>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vertAlign w:val="baseline"/>
                <w:lang w:val="en-US" w:eastAsia="zh-CN" w:bidi="ar"/>
                <w14:textFill>
                  <w14:solidFill>
                    <w14:schemeClr w14:val="tx1"/>
                  </w14:solidFill>
                </w14:textFill>
              </w:rPr>
              <w:t>569-1422</w:t>
            </w:r>
          </w:p>
        </w:tc>
        <w:tc>
          <w:tcPr>
            <w:tcW w:w="685" w:type="dxa"/>
            <w:tcBorders>
              <w:left w:val="double" w:color="auto" w:sz="4" w:space="0"/>
            </w:tcBorders>
          </w:tcPr>
          <w:p w14:paraId="07BE6CC9">
            <w:pPr>
              <w:keepNext w:val="0"/>
              <w:keepLines w:val="0"/>
              <w:pageBreakBefore w:val="0"/>
              <w:kinsoku/>
              <w:wordWrap/>
              <w:overflowPunct/>
              <w:topLinePunct w:val="0"/>
              <w:bidi w:val="0"/>
              <w:snapToGrid/>
              <w:spacing w:after="0" w:line="240" w:lineRule="auto"/>
              <w:ind w:left="0" w:right="0"/>
              <w:jc w:val="cente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t>X</w:t>
            </w:r>
          </w:p>
        </w:tc>
        <w:tc>
          <w:tcPr>
            <w:tcW w:w="563" w:type="dxa"/>
          </w:tcPr>
          <w:p w14:paraId="2F60001A">
            <w:pPr>
              <w:keepNext w:val="0"/>
              <w:keepLines w:val="0"/>
              <w:pageBreakBefore w:val="0"/>
              <w:kinsoku/>
              <w:wordWrap/>
              <w:overflowPunct/>
              <w:topLinePunct w:val="0"/>
              <w:bidi w:val="0"/>
              <w:snapToGrid/>
              <w:spacing w:after="0" w:line="240" w:lineRule="auto"/>
              <w:ind w:left="0" w:right="0"/>
              <w:jc w:val="cente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t>X</w:t>
            </w:r>
          </w:p>
        </w:tc>
        <w:tc>
          <w:tcPr>
            <w:tcW w:w="497" w:type="dxa"/>
          </w:tcPr>
          <w:p w14:paraId="10F0ACA9">
            <w:pPr>
              <w:keepNext w:val="0"/>
              <w:keepLines w:val="0"/>
              <w:pageBreakBefore w:val="0"/>
              <w:kinsoku/>
              <w:wordWrap/>
              <w:overflowPunct/>
              <w:topLinePunct w:val="0"/>
              <w:bidi w:val="0"/>
              <w:snapToGrid/>
              <w:spacing w:after="0" w:line="240" w:lineRule="auto"/>
              <w:ind w:left="0" w:right="0"/>
              <w:jc w:val="cente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t>X</w:t>
            </w:r>
          </w:p>
        </w:tc>
        <w:tc>
          <w:tcPr>
            <w:tcW w:w="555" w:type="dxa"/>
          </w:tcPr>
          <w:p w14:paraId="7C1C795A">
            <w:pPr>
              <w:keepNext w:val="0"/>
              <w:keepLines w:val="0"/>
              <w:pageBreakBefore w:val="0"/>
              <w:kinsoku/>
              <w:wordWrap/>
              <w:overflowPunct/>
              <w:topLinePunct w:val="0"/>
              <w:bidi w:val="0"/>
              <w:snapToGrid/>
              <w:spacing w:after="0" w:line="240" w:lineRule="auto"/>
              <w:ind w:left="0" w:right="0"/>
              <w:jc w:val="cente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t>X</w:t>
            </w:r>
          </w:p>
        </w:tc>
        <w:tc>
          <w:tcPr>
            <w:tcW w:w="873" w:type="dxa"/>
          </w:tcPr>
          <w:p w14:paraId="6B68671B">
            <w:pPr>
              <w:keepNext w:val="0"/>
              <w:keepLines w:val="0"/>
              <w:pageBreakBefore w:val="0"/>
              <w:kinsoku/>
              <w:wordWrap/>
              <w:overflowPunct/>
              <w:topLinePunct w:val="0"/>
              <w:bidi w:val="0"/>
              <w:snapToGrid/>
              <w:spacing w:after="0" w:line="240" w:lineRule="auto"/>
              <w:ind w:left="0" w:right="0"/>
              <w:jc w:val="center"/>
              <w:rPr>
                <w:rFonts w:hint="default" w:eastAsia="Times New Roman" w:cs="Arial" w:asciiTheme="minorAscii" w:hAnsiTheme="minorAscii"/>
                <w:b w:val="0"/>
                <w:bCs w:val="0"/>
                <w:strike w:val="0"/>
                <w:dstrike w:val="0"/>
                <w:color w:val="000000" w:themeColor="text1"/>
                <w:sz w:val="20"/>
                <w:szCs w:val="20"/>
                <w:lang w:val="en-US" w:eastAsia="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en-US" w:eastAsia="ro-RO"/>
                <w14:textFill>
                  <w14:solidFill>
                    <w14:schemeClr w14:val="tx1"/>
                  </w14:solidFill>
                </w14:textFill>
              </w:rPr>
              <w:t>1324</w:t>
            </w:r>
          </w:p>
        </w:tc>
        <w:tc>
          <w:tcPr>
            <w:tcW w:w="711" w:type="dxa"/>
            <w:tcBorders>
              <w:right w:val="double" w:color="auto" w:sz="4" w:space="0"/>
            </w:tcBorders>
          </w:tcPr>
          <w:p w14:paraId="1F4868ED">
            <w:pPr>
              <w:keepNext w:val="0"/>
              <w:keepLines w:val="0"/>
              <w:pageBreakBefore w:val="0"/>
              <w:kinsoku/>
              <w:wordWrap/>
              <w:overflowPunct/>
              <w:topLinePunct w:val="0"/>
              <w:bidi w:val="0"/>
              <w:snapToGrid/>
              <w:spacing w:after="0" w:line="240" w:lineRule="auto"/>
              <w:ind w:left="0" w:right="0"/>
              <w:jc w:val="center"/>
              <w:rPr>
                <w:rFonts w:hint="default" w:eastAsia="Times New Roman" w:cs="Arial" w:asciiTheme="minorAscii" w:hAnsiTheme="minorAscii"/>
                <w:b w:val="0"/>
                <w:bCs w:val="0"/>
                <w:strike w:val="0"/>
                <w:dstrike w:val="0"/>
                <w:color w:val="000000" w:themeColor="text1"/>
                <w:sz w:val="20"/>
                <w:szCs w:val="20"/>
                <w:lang w:val="en-US" w:eastAsia="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en-US" w:eastAsia="ro-RO"/>
                <w14:textFill>
                  <w14:solidFill>
                    <w14:schemeClr w14:val="tx1"/>
                  </w14:solidFill>
                </w14:textFill>
              </w:rPr>
              <w:t>1060</w:t>
            </w:r>
          </w:p>
        </w:tc>
      </w:tr>
      <w:tr w14:paraId="1531A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2" w:hRule="atLeast"/>
        </w:trPr>
        <w:tc>
          <w:tcPr>
            <w:tcW w:w="962" w:type="dxa"/>
            <w:tcBorders>
              <w:left w:val="double" w:color="auto" w:sz="4" w:space="0"/>
              <w:right w:val="double" w:color="auto" w:sz="4" w:space="0"/>
            </w:tcBorders>
            <w:vAlign w:val="top"/>
          </w:tcPr>
          <w:p w14:paraId="442151A8">
            <w:pPr>
              <w:keepNext w:val="0"/>
              <w:keepLines w:val="0"/>
              <w:pageBreakBefore w:val="0"/>
              <w:widowControl/>
              <w:suppressLineNumbers w:val="0"/>
              <w:kinsoku/>
              <w:wordWrap/>
              <w:overflowPunct/>
              <w:topLinePunct w:val="0"/>
              <w:bidi w:val="0"/>
              <w:snapToGrid/>
              <w:spacing w:beforeAutospacing="0" w:after="0" w:afterAutospacing="0" w:line="240" w:lineRule="auto"/>
              <w:ind w:left="0" w:leftChars="0" w:right="0" w:rightChars="0"/>
              <w:jc w:val="both"/>
              <w:textAlignment w:val="baseline"/>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vertAlign w:val="baseline"/>
                <w:lang w:val="en-US" w:eastAsia="zh-CN" w:bidi="ar"/>
                <w14:textFill>
                  <w14:solidFill>
                    <w14:schemeClr w14:val="tx1"/>
                  </w14:solidFill>
                </w14:textFill>
              </w:rPr>
              <w:t xml:space="preserve">B </w:t>
            </w:r>
          </w:p>
        </w:tc>
        <w:tc>
          <w:tcPr>
            <w:tcW w:w="871" w:type="dxa"/>
            <w:tcBorders>
              <w:left w:val="double" w:color="auto" w:sz="4" w:space="0"/>
            </w:tcBorders>
            <w:vAlign w:val="top"/>
          </w:tcPr>
          <w:p w14:paraId="216DD3FB">
            <w:pPr>
              <w:keepNext w:val="0"/>
              <w:keepLines w:val="0"/>
              <w:pageBreakBefore w:val="0"/>
              <w:widowControl/>
              <w:suppressLineNumbers w:val="0"/>
              <w:kinsoku/>
              <w:wordWrap/>
              <w:overflowPunct/>
              <w:topLinePunct w:val="0"/>
              <w:bidi w:val="0"/>
              <w:snapToGrid/>
              <w:spacing w:beforeAutospacing="0" w:after="0" w:afterAutospacing="0" w:line="240" w:lineRule="auto"/>
              <w:ind w:left="0" w:leftChars="0" w:right="0" w:rightChars="0"/>
              <w:jc w:val="both"/>
              <w:textAlignment w:val="baseline"/>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vertAlign w:val="baseline"/>
                <w:lang w:val="en-US" w:eastAsia="zh-CN" w:bidi="ar"/>
                <w14:textFill>
                  <w14:solidFill>
                    <w14:schemeClr w14:val="tx1"/>
                  </w14:solidFill>
                </w14:textFill>
              </w:rPr>
              <w:t>6878-17194</w:t>
            </w:r>
          </w:p>
        </w:tc>
        <w:tc>
          <w:tcPr>
            <w:tcW w:w="958" w:type="dxa"/>
            <w:vAlign w:val="top"/>
          </w:tcPr>
          <w:p w14:paraId="38513D68">
            <w:pPr>
              <w:keepNext w:val="0"/>
              <w:keepLines w:val="0"/>
              <w:pageBreakBefore w:val="0"/>
              <w:widowControl/>
              <w:suppressLineNumbers w:val="0"/>
              <w:kinsoku/>
              <w:wordWrap/>
              <w:overflowPunct/>
              <w:topLinePunct w:val="0"/>
              <w:bidi w:val="0"/>
              <w:snapToGrid/>
              <w:spacing w:beforeAutospacing="0" w:after="0" w:afterAutospacing="0" w:line="240" w:lineRule="auto"/>
              <w:ind w:left="0" w:leftChars="0" w:right="0" w:rightChars="0"/>
              <w:jc w:val="both"/>
              <w:textAlignment w:val="baseline"/>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vertAlign w:val="baseline"/>
                <w:lang w:val="en-US" w:eastAsia="zh-CN" w:bidi="ar"/>
                <w14:textFill>
                  <w14:solidFill>
                    <w14:schemeClr w14:val="tx1"/>
                  </w14:solidFill>
                </w14:textFill>
              </w:rPr>
              <w:t>5199-12998</w:t>
            </w:r>
          </w:p>
        </w:tc>
        <w:tc>
          <w:tcPr>
            <w:tcW w:w="911" w:type="dxa"/>
            <w:vAlign w:val="top"/>
          </w:tcPr>
          <w:p w14:paraId="62EA103E">
            <w:pPr>
              <w:keepNext w:val="0"/>
              <w:keepLines w:val="0"/>
              <w:pageBreakBefore w:val="0"/>
              <w:widowControl/>
              <w:suppressLineNumbers w:val="0"/>
              <w:kinsoku/>
              <w:wordWrap/>
              <w:overflowPunct/>
              <w:topLinePunct w:val="0"/>
              <w:bidi w:val="0"/>
              <w:snapToGrid/>
              <w:spacing w:beforeAutospacing="0" w:after="0" w:afterAutospacing="0" w:line="240" w:lineRule="auto"/>
              <w:ind w:left="0" w:leftChars="0" w:right="0" w:rightChars="0"/>
              <w:jc w:val="both"/>
              <w:textAlignment w:val="baseline"/>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vertAlign w:val="baseline"/>
                <w:lang w:val="en-US" w:eastAsia="zh-CN" w:bidi="ar"/>
                <w14:textFill>
                  <w14:solidFill>
                    <w14:schemeClr w14:val="tx1"/>
                  </w14:solidFill>
                </w14:textFill>
              </w:rPr>
              <w:t>4215-10538</w:t>
            </w:r>
          </w:p>
        </w:tc>
        <w:tc>
          <w:tcPr>
            <w:tcW w:w="970" w:type="dxa"/>
            <w:vAlign w:val="top"/>
          </w:tcPr>
          <w:p w14:paraId="487DF590">
            <w:pPr>
              <w:keepNext w:val="0"/>
              <w:keepLines w:val="0"/>
              <w:pageBreakBefore w:val="0"/>
              <w:widowControl/>
              <w:suppressLineNumbers w:val="0"/>
              <w:kinsoku/>
              <w:wordWrap/>
              <w:overflowPunct/>
              <w:topLinePunct w:val="0"/>
              <w:bidi w:val="0"/>
              <w:snapToGrid/>
              <w:spacing w:beforeAutospacing="0" w:after="0" w:afterAutospacing="0" w:line="240" w:lineRule="auto"/>
              <w:ind w:left="0" w:leftChars="0" w:right="0" w:rightChars="0"/>
              <w:jc w:val="both"/>
              <w:textAlignment w:val="baseline"/>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vertAlign w:val="baseline"/>
                <w:lang w:val="en-US" w:eastAsia="zh-CN" w:bidi="ar"/>
                <w14:textFill>
                  <w14:solidFill>
                    <w14:schemeClr w14:val="tx1"/>
                  </w14:solidFill>
                </w14:textFill>
              </w:rPr>
              <w:t>3558-8894</w:t>
            </w:r>
          </w:p>
        </w:tc>
        <w:tc>
          <w:tcPr>
            <w:tcW w:w="974" w:type="dxa"/>
            <w:vAlign w:val="top"/>
          </w:tcPr>
          <w:p w14:paraId="23426364">
            <w:pPr>
              <w:keepNext w:val="0"/>
              <w:keepLines w:val="0"/>
              <w:pageBreakBefore w:val="0"/>
              <w:widowControl/>
              <w:suppressLineNumbers w:val="0"/>
              <w:kinsoku/>
              <w:wordWrap/>
              <w:overflowPunct/>
              <w:topLinePunct w:val="0"/>
              <w:bidi w:val="0"/>
              <w:snapToGrid/>
              <w:spacing w:beforeAutospacing="0" w:after="0" w:afterAutospacing="0" w:line="240" w:lineRule="auto"/>
              <w:ind w:left="0" w:leftChars="0" w:right="0" w:rightChars="0"/>
              <w:jc w:val="both"/>
              <w:textAlignment w:val="baseline"/>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vertAlign w:val="baseline"/>
                <w:lang w:val="en-US" w:eastAsia="zh-CN" w:bidi="ar"/>
                <w14:textFill>
                  <w14:solidFill>
                    <w14:schemeClr w14:val="tx1"/>
                  </w14:solidFill>
                </w14:textFill>
              </w:rPr>
              <w:t>569-1422</w:t>
            </w:r>
          </w:p>
        </w:tc>
        <w:tc>
          <w:tcPr>
            <w:tcW w:w="622" w:type="dxa"/>
            <w:tcBorders>
              <w:right w:val="double" w:color="auto" w:sz="4" w:space="0"/>
            </w:tcBorders>
            <w:vAlign w:val="top"/>
          </w:tcPr>
          <w:p w14:paraId="44EBB125">
            <w:pPr>
              <w:keepNext w:val="0"/>
              <w:keepLines w:val="0"/>
              <w:pageBreakBefore w:val="0"/>
              <w:widowControl/>
              <w:suppressLineNumbers w:val="0"/>
              <w:kinsoku/>
              <w:wordWrap/>
              <w:overflowPunct/>
              <w:topLinePunct w:val="0"/>
              <w:bidi w:val="0"/>
              <w:snapToGrid/>
              <w:spacing w:beforeAutospacing="0" w:after="0" w:afterAutospacing="0" w:line="240" w:lineRule="auto"/>
              <w:ind w:left="0" w:leftChars="0" w:right="0" w:rightChars="0"/>
              <w:jc w:val="both"/>
              <w:textAlignment w:val="baseline"/>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vertAlign w:val="baseline"/>
                <w:lang w:val="en-US" w:eastAsia="zh-CN" w:bidi="ar"/>
                <w14:textFill>
                  <w14:solidFill>
                    <w14:schemeClr w14:val="tx1"/>
                  </w14:solidFill>
                </w14:textFill>
              </w:rPr>
              <w:t>427-1068</w:t>
            </w:r>
          </w:p>
        </w:tc>
        <w:tc>
          <w:tcPr>
            <w:tcW w:w="685" w:type="dxa"/>
            <w:tcBorders>
              <w:left w:val="double" w:color="auto" w:sz="4" w:space="0"/>
            </w:tcBorders>
          </w:tcPr>
          <w:p w14:paraId="20F7ACAA">
            <w:pPr>
              <w:keepNext w:val="0"/>
              <w:keepLines w:val="0"/>
              <w:pageBreakBefore w:val="0"/>
              <w:kinsoku/>
              <w:wordWrap/>
              <w:overflowPunct/>
              <w:topLinePunct w:val="0"/>
              <w:bidi w:val="0"/>
              <w:snapToGrid/>
              <w:spacing w:after="0" w:line="240" w:lineRule="auto"/>
              <w:ind w:left="0" w:right="0"/>
              <w:jc w:val="cente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t>X</w:t>
            </w:r>
          </w:p>
        </w:tc>
        <w:tc>
          <w:tcPr>
            <w:tcW w:w="563" w:type="dxa"/>
          </w:tcPr>
          <w:p w14:paraId="58A7AF87">
            <w:pPr>
              <w:keepNext w:val="0"/>
              <w:keepLines w:val="0"/>
              <w:pageBreakBefore w:val="0"/>
              <w:kinsoku/>
              <w:wordWrap/>
              <w:overflowPunct/>
              <w:topLinePunct w:val="0"/>
              <w:bidi w:val="0"/>
              <w:snapToGrid/>
              <w:spacing w:after="0" w:line="240" w:lineRule="auto"/>
              <w:ind w:left="0" w:right="0"/>
              <w:jc w:val="cente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t>X</w:t>
            </w:r>
          </w:p>
        </w:tc>
        <w:tc>
          <w:tcPr>
            <w:tcW w:w="497" w:type="dxa"/>
          </w:tcPr>
          <w:p w14:paraId="3405A99B">
            <w:pPr>
              <w:keepNext w:val="0"/>
              <w:keepLines w:val="0"/>
              <w:pageBreakBefore w:val="0"/>
              <w:kinsoku/>
              <w:wordWrap/>
              <w:overflowPunct/>
              <w:topLinePunct w:val="0"/>
              <w:bidi w:val="0"/>
              <w:snapToGrid/>
              <w:spacing w:after="0" w:line="240" w:lineRule="auto"/>
              <w:ind w:left="0" w:right="0"/>
              <w:jc w:val="cente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t>X</w:t>
            </w:r>
          </w:p>
        </w:tc>
        <w:tc>
          <w:tcPr>
            <w:tcW w:w="555" w:type="dxa"/>
          </w:tcPr>
          <w:p w14:paraId="584877CC">
            <w:pPr>
              <w:keepNext w:val="0"/>
              <w:keepLines w:val="0"/>
              <w:pageBreakBefore w:val="0"/>
              <w:kinsoku/>
              <w:wordWrap/>
              <w:overflowPunct/>
              <w:topLinePunct w:val="0"/>
              <w:bidi w:val="0"/>
              <w:snapToGrid/>
              <w:spacing w:after="0" w:line="240" w:lineRule="auto"/>
              <w:ind w:left="0" w:right="0"/>
              <w:jc w:val="cente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t>X</w:t>
            </w:r>
          </w:p>
        </w:tc>
        <w:tc>
          <w:tcPr>
            <w:tcW w:w="873" w:type="dxa"/>
          </w:tcPr>
          <w:p w14:paraId="6F28BACD">
            <w:pPr>
              <w:keepNext w:val="0"/>
              <w:keepLines w:val="0"/>
              <w:pageBreakBefore w:val="0"/>
              <w:kinsoku/>
              <w:wordWrap/>
              <w:overflowPunct/>
              <w:topLinePunct w:val="0"/>
              <w:bidi w:val="0"/>
              <w:snapToGrid/>
              <w:spacing w:after="0" w:line="240" w:lineRule="auto"/>
              <w:ind w:left="0" w:right="0"/>
              <w:jc w:val="center"/>
              <w:rPr>
                <w:rFonts w:hint="default" w:eastAsia="Times New Roman" w:cs="Arial" w:asciiTheme="minorAscii" w:hAnsiTheme="minorAscii"/>
                <w:b w:val="0"/>
                <w:bCs w:val="0"/>
                <w:strike w:val="0"/>
                <w:dstrike w:val="0"/>
                <w:color w:val="000000" w:themeColor="text1"/>
                <w:sz w:val="20"/>
                <w:szCs w:val="20"/>
                <w:lang w:val="en-US" w:eastAsia="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en-US" w:eastAsia="ro-RO"/>
                <w14:textFill>
                  <w14:solidFill>
                    <w14:schemeClr w14:val="tx1"/>
                  </w14:solidFill>
                </w14:textFill>
              </w:rPr>
              <w:t>1060</w:t>
            </w:r>
          </w:p>
        </w:tc>
        <w:tc>
          <w:tcPr>
            <w:tcW w:w="711" w:type="dxa"/>
            <w:tcBorders>
              <w:right w:val="double" w:color="auto" w:sz="4" w:space="0"/>
            </w:tcBorders>
          </w:tcPr>
          <w:p w14:paraId="089347AE">
            <w:pPr>
              <w:keepNext w:val="0"/>
              <w:keepLines w:val="0"/>
              <w:pageBreakBefore w:val="0"/>
              <w:kinsoku/>
              <w:wordWrap/>
              <w:overflowPunct/>
              <w:topLinePunct w:val="0"/>
              <w:bidi w:val="0"/>
              <w:snapToGrid/>
              <w:spacing w:after="0" w:line="240" w:lineRule="auto"/>
              <w:ind w:left="0" w:right="0"/>
              <w:jc w:val="center"/>
              <w:rPr>
                <w:rFonts w:hint="default" w:eastAsia="Times New Roman" w:cs="Arial" w:asciiTheme="minorAscii" w:hAnsiTheme="minorAscii"/>
                <w:b w:val="0"/>
                <w:bCs w:val="0"/>
                <w:strike w:val="0"/>
                <w:dstrike w:val="0"/>
                <w:color w:val="000000" w:themeColor="text1"/>
                <w:sz w:val="20"/>
                <w:szCs w:val="20"/>
                <w:lang w:val="en-US" w:eastAsia="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en-US" w:eastAsia="ro-RO"/>
                <w14:textFill>
                  <w14:solidFill>
                    <w14:schemeClr w14:val="tx1"/>
                  </w14:solidFill>
                </w14:textFill>
              </w:rPr>
              <w:t>796</w:t>
            </w:r>
          </w:p>
        </w:tc>
      </w:tr>
      <w:tr w14:paraId="6B0A9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7" w:hRule="atLeast"/>
        </w:trPr>
        <w:tc>
          <w:tcPr>
            <w:tcW w:w="962" w:type="dxa"/>
            <w:tcBorders>
              <w:left w:val="double" w:color="auto" w:sz="4" w:space="0"/>
              <w:right w:val="double" w:color="auto" w:sz="4" w:space="0"/>
            </w:tcBorders>
            <w:vAlign w:val="top"/>
          </w:tcPr>
          <w:p w14:paraId="2CB13BF4">
            <w:pPr>
              <w:keepNext w:val="0"/>
              <w:keepLines w:val="0"/>
              <w:pageBreakBefore w:val="0"/>
              <w:widowControl/>
              <w:suppressLineNumbers w:val="0"/>
              <w:kinsoku/>
              <w:wordWrap/>
              <w:overflowPunct/>
              <w:topLinePunct w:val="0"/>
              <w:bidi w:val="0"/>
              <w:snapToGrid/>
              <w:spacing w:beforeAutospacing="0" w:after="0" w:afterAutospacing="0" w:line="240" w:lineRule="auto"/>
              <w:ind w:left="0" w:leftChars="0" w:right="0" w:rightChars="0"/>
              <w:jc w:val="both"/>
              <w:textAlignment w:val="baseline"/>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vertAlign w:val="baseline"/>
                <w:lang w:val="en-US" w:eastAsia="zh-CN" w:bidi="ar"/>
                <w14:textFill>
                  <w14:solidFill>
                    <w14:schemeClr w14:val="tx1"/>
                  </w14:solidFill>
                </w14:textFill>
              </w:rPr>
              <w:t xml:space="preserve">C </w:t>
            </w:r>
          </w:p>
        </w:tc>
        <w:tc>
          <w:tcPr>
            <w:tcW w:w="871" w:type="dxa"/>
            <w:tcBorders>
              <w:left w:val="double" w:color="auto" w:sz="4" w:space="0"/>
            </w:tcBorders>
            <w:vAlign w:val="top"/>
          </w:tcPr>
          <w:p w14:paraId="2655BAC3">
            <w:pPr>
              <w:keepNext w:val="0"/>
              <w:keepLines w:val="0"/>
              <w:pageBreakBefore w:val="0"/>
              <w:widowControl/>
              <w:suppressLineNumbers w:val="0"/>
              <w:kinsoku/>
              <w:wordWrap/>
              <w:overflowPunct/>
              <w:topLinePunct w:val="0"/>
              <w:bidi w:val="0"/>
              <w:snapToGrid/>
              <w:spacing w:beforeAutospacing="0" w:after="0" w:afterAutospacing="0" w:line="240" w:lineRule="auto"/>
              <w:ind w:left="0" w:leftChars="0" w:right="0" w:rightChars="0"/>
              <w:jc w:val="both"/>
              <w:textAlignment w:val="baseline"/>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vertAlign w:val="baseline"/>
                <w:lang w:val="en-US" w:eastAsia="zh-CN" w:bidi="ar"/>
                <w14:textFill>
                  <w14:solidFill>
                    <w14:schemeClr w14:val="tx1"/>
                  </w14:solidFill>
                </w14:textFill>
              </w:rPr>
              <w:t>5199-12998</w:t>
            </w:r>
          </w:p>
        </w:tc>
        <w:tc>
          <w:tcPr>
            <w:tcW w:w="958" w:type="dxa"/>
            <w:vAlign w:val="top"/>
          </w:tcPr>
          <w:p w14:paraId="5DCB8646">
            <w:pPr>
              <w:keepNext w:val="0"/>
              <w:keepLines w:val="0"/>
              <w:pageBreakBefore w:val="0"/>
              <w:widowControl/>
              <w:suppressLineNumbers w:val="0"/>
              <w:kinsoku/>
              <w:wordWrap/>
              <w:overflowPunct/>
              <w:topLinePunct w:val="0"/>
              <w:bidi w:val="0"/>
              <w:snapToGrid/>
              <w:spacing w:beforeAutospacing="0" w:after="0" w:afterAutospacing="0" w:line="240" w:lineRule="auto"/>
              <w:ind w:left="0" w:leftChars="0" w:right="0" w:rightChars="0"/>
              <w:jc w:val="both"/>
              <w:textAlignment w:val="baseline"/>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vertAlign w:val="baseline"/>
                <w:lang w:val="en-US" w:eastAsia="zh-CN" w:bidi="ar"/>
                <w14:textFill>
                  <w14:solidFill>
                    <w14:schemeClr w14:val="tx1"/>
                  </w14:solidFill>
                </w14:textFill>
              </w:rPr>
              <w:t>3558-8894</w:t>
            </w:r>
          </w:p>
        </w:tc>
        <w:tc>
          <w:tcPr>
            <w:tcW w:w="911" w:type="dxa"/>
            <w:vAlign w:val="top"/>
          </w:tcPr>
          <w:p w14:paraId="63EB1FDE">
            <w:pPr>
              <w:keepNext w:val="0"/>
              <w:keepLines w:val="0"/>
              <w:pageBreakBefore w:val="0"/>
              <w:widowControl/>
              <w:suppressLineNumbers w:val="0"/>
              <w:kinsoku/>
              <w:wordWrap/>
              <w:overflowPunct/>
              <w:topLinePunct w:val="0"/>
              <w:bidi w:val="0"/>
              <w:snapToGrid/>
              <w:spacing w:beforeAutospacing="0" w:after="0" w:afterAutospacing="0" w:line="240" w:lineRule="auto"/>
              <w:ind w:left="0" w:leftChars="0" w:right="0" w:rightChars="0"/>
              <w:jc w:val="both"/>
              <w:textAlignment w:val="baseline"/>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vertAlign w:val="baseline"/>
                <w:lang w:val="en-US" w:eastAsia="zh-CN" w:bidi="ar"/>
                <w14:textFill>
                  <w14:solidFill>
                    <w14:schemeClr w14:val="tx1"/>
                  </w14:solidFill>
                </w14:textFill>
              </w:rPr>
              <w:t>2668-6670</w:t>
            </w:r>
          </w:p>
        </w:tc>
        <w:tc>
          <w:tcPr>
            <w:tcW w:w="970" w:type="dxa"/>
            <w:vAlign w:val="top"/>
          </w:tcPr>
          <w:p w14:paraId="7F5F783B">
            <w:pPr>
              <w:keepNext w:val="0"/>
              <w:keepLines w:val="0"/>
              <w:pageBreakBefore w:val="0"/>
              <w:widowControl/>
              <w:suppressLineNumbers w:val="0"/>
              <w:kinsoku/>
              <w:wordWrap/>
              <w:overflowPunct/>
              <w:topLinePunct w:val="0"/>
              <w:bidi w:val="0"/>
              <w:snapToGrid/>
              <w:spacing w:beforeAutospacing="0" w:after="0" w:afterAutospacing="0" w:line="240" w:lineRule="auto"/>
              <w:ind w:left="0" w:leftChars="0" w:right="0" w:rightChars="0"/>
              <w:jc w:val="both"/>
              <w:textAlignment w:val="baseline"/>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vertAlign w:val="baseline"/>
                <w:lang w:val="en-US" w:eastAsia="zh-CN" w:bidi="ar"/>
                <w14:textFill>
                  <w14:solidFill>
                    <w14:schemeClr w14:val="tx1"/>
                  </w14:solidFill>
                </w14:textFill>
              </w:rPr>
              <w:t>1690-4226</w:t>
            </w:r>
          </w:p>
        </w:tc>
        <w:tc>
          <w:tcPr>
            <w:tcW w:w="974" w:type="dxa"/>
            <w:vAlign w:val="top"/>
          </w:tcPr>
          <w:p w14:paraId="0C9475EF">
            <w:pPr>
              <w:keepNext w:val="0"/>
              <w:keepLines w:val="0"/>
              <w:pageBreakBefore w:val="0"/>
              <w:widowControl/>
              <w:suppressLineNumbers w:val="0"/>
              <w:kinsoku/>
              <w:wordWrap/>
              <w:overflowPunct/>
              <w:topLinePunct w:val="0"/>
              <w:bidi w:val="0"/>
              <w:snapToGrid/>
              <w:spacing w:beforeAutospacing="0" w:after="0" w:afterAutospacing="0" w:line="240" w:lineRule="auto"/>
              <w:ind w:left="0" w:leftChars="0" w:right="0" w:rightChars="0"/>
              <w:jc w:val="both"/>
              <w:textAlignment w:val="baseline"/>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vertAlign w:val="baseline"/>
                <w:lang w:val="en-US" w:eastAsia="zh-CN" w:bidi="ar"/>
                <w14:textFill>
                  <w14:solidFill>
                    <w14:schemeClr w14:val="tx1"/>
                  </w14:solidFill>
                </w14:textFill>
              </w:rPr>
              <w:t>427-1068</w:t>
            </w:r>
          </w:p>
        </w:tc>
        <w:tc>
          <w:tcPr>
            <w:tcW w:w="622" w:type="dxa"/>
            <w:tcBorders>
              <w:right w:val="double" w:color="auto" w:sz="4" w:space="0"/>
            </w:tcBorders>
            <w:vAlign w:val="top"/>
          </w:tcPr>
          <w:p w14:paraId="7586298A">
            <w:pPr>
              <w:keepNext w:val="0"/>
              <w:keepLines w:val="0"/>
              <w:pageBreakBefore w:val="0"/>
              <w:widowControl/>
              <w:suppressLineNumbers w:val="0"/>
              <w:kinsoku/>
              <w:wordWrap/>
              <w:overflowPunct/>
              <w:topLinePunct w:val="0"/>
              <w:bidi w:val="0"/>
              <w:snapToGrid/>
              <w:spacing w:beforeAutospacing="0" w:after="0" w:afterAutospacing="0" w:line="240" w:lineRule="auto"/>
              <w:ind w:left="0" w:leftChars="0" w:right="0" w:rightChars="0"/>
              <w:jc w:val="both"/>
              <w:textAlignment w:val="baseline"/>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vertAlign w:val="baseline"/>
                <w:lang w:val="en-US" w:eastAsia="zh-CN" w:bidi="ar"/>
                <w14:textFill>
                  <w14:solidFill>
                    <w14:schemeClr w14:val="tx1"/>
                  </w14:solidFill>
                </w14:textFill>
              </w:rPr>
              <w:t>284-710</w:t>
            </w:r>
          </w:p>
        </w:tc>
        <w:tc>
          <w:tcPr>
            <w:tcW w:w="685" w:type="dxa"/>
            <w:tcBorders>
              <w:left w:val="double" w:color="auto" w:sz="4" w:space="0"/>
            </w:tcBorders>
          </w:tcPr>
          <w:p w14:paraId="36F47CB5">
            <w:pPr>
              <w:keepNext w:val="0"/>
              <w:keepLines w:val="0"/>
              <w:pageBreakBefore w:val="0"/>
              <w:kinsoku/>
              <w:wordWrap/>
              <w:overflowPunct/>
              <w:topLinePunct w:val="0"/>
              <w:bidi w:val="0"/>
              <w:snapToGrid/>
              <w:spacing w:after="0" w:line="240" w:lineRule="auto"/>
              <w:ind w:left="0" w:right="0"/>
              <w:jc w:val="cente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t>X</w:t>
            </w:r>
          </w:p>
        </w:tc>
        <w:tc>
          <w:tcPr>
            <w:tcW w:w="563" w:type="dxa"/>
          </w:tcPr>
          <w:p w14:paraId="5C61030B">
            <w:pPr>
              <w:keepNext w:val="0"/>
              <w:keepLines w:val="0"/>
              <w:pageBreakBefore w:val="0"/>
              <w:kinsoku/>
              <w:wordWrap/>
              <w:overflowPunct/>
              <w:topLinePunct w:val="0"/>
              <w:bidi w:val="0"/>
              <w:snapToGrid/>
              <w:spacing w:after="0" w:line="240" w:lineRule="auto"/>
              <w:ind w:left="0" w:right="0"/>
              <w:jc w:val="cente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t>X</w:t>
            </w:r>
          </w:p>
        </w:tc>
        <w:tc>
          <w:tcPr>
            <w:tcW w:w="497" w:type="dxa"/>
          </w:tcPr>
          <w:p w14:paraId="10BEAE4A">
            <w:pPr>
              <w:keepNext w:val="0"/>
              <w:keepLines w:val="0"/>
              <w:pageBreakBefore w:val="0"/>
              <w:kinsoku/>
              <w:wordWrap/>
              <w:overflowPunct/>
              <w:topLinePunct w:val="0"/>
              <w:bidi w:val="0"/>
              <w:snapToGrid/>
              <w:spacing w:after="0" w:line="240" w:lineRule="auto"/>
              <w:ind w:left="0" w:right="0"/>
              <w:jc w:val="cente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p>
        </w:tc>
        <w:tc>
          <w:tcPr>
            <w:tcW w:w="555" w:type="dxa"/>
          </w:tcPr>
          <w:p w14:paraId="7E3118EE">
            <w:pPr>
              <w:keepNext w:val="0"/>
              <w:keepLines w:val="0"/>
              <w:pageBreakBefore w:val="0"/>
              <w:kinsoku/>
              <w:wordWrap/>
              <w:overflowPunct/>
              <w:topLinePunct w:val="0"/>
              <w:bidi w:val="0"/>
              <w:snapToGrid/>
              <w:spacing w:after="0" w:line="240" w:lineRule="auto"/>
              <w:ind w:left="0" w:right="0"/>
              <w:jc w:val="cente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t>X</w:t>
            </w:r>
          </w:p>
        </w:tc>
        <w:tc>
          <w:tcPr>
            <w:tcW w:w="873" w:type="dxa"/>
          </w:tcPr>
          <w:p w14:paraId="3C9670AD">
            <w:pPr>
              <w:keepNext w:val="0"/>
              <w:keepLines w:val="0"/>
              <w:pageBreakBefore w:val="0"/>
              <w:kinsoku/>
              <w:wordWrap/>
              <w:overflowPunct/>
              <w:topLinePunct w:val="0"/>
              <w:bidi w:val="0"/>
              <w:snapToGrid/>
              <w:spacing w:after="0" w:line="240" w:lineRule="auto"/>
              <w:ind w:left="0" w:right="0"/>
              <w:jc w:val="center"/>
              <w:rPr>
                <w:rFonts w:hint="default" w:eastAsia="Times New Roman" w:cs="Arial" w:asciiTheme="minorAscii" w:hAnsiTheme="minorAscii"/>
                <w:b w:val="0"/>
                <w:bCs w:val="0"/>
                <w:strike w:val="0"/>
                <w:dstrike w:val="0"/>
                <w:color w:val="000000" w:themeColor="text1"/>
                <w:sz w:val="20"/>
                <w:szCs w:val="20"/>
                <w:lang w:val="en-US" w:eastAsia="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en-US" w:eastAsia="ro-RO"/>
                <w14:textFill>
                  <w14:solidFill>
                    <w14:schemeClr w14:val="tx1"/>
                  </w14:solidFill>
                </w14:textFill>
              </w:rPr>
              <w:t>796</w:t>
            </w:r>
          </w:p>
        </w:tc>
        <w:tc>
          <w:tcPr>
            <w:tcW w:w="711" w:type="dxa"/>
            <w:tcBorders>
              <w:right w:val="double" w:color="auto" w:sz="4" w:space="0"/>
            </w:tcBorders>
          </w:tcPr>
          <w:p w14:paraId="726D6D65">
            <w:pPr>
              <w:keepNext w:val="0"/>
              <w:keepLines w:val="0"/>
              <w:pageBreakBefore w:val="0"/>
              <w:kinsoku/>
              <w:wordWrap/>
              <w:overflowPunct/>
              <w:topLinePunct w:val="0"/>
              <w:bidi w:val="0"/>
              <w:snapToGrid/>
              <w:spacing w:after="0" w:line="240" w:lineRule="auto"/>
              <w:ind w:left="0" w:right="0"/>
              <w:jc w:val="center"/>
              <w:rPr>
                <w:rFonts w:hint="default" w:eastAsia="Times New Roman" w:cs="Arial" w:asciiTheme="minorAscii" w:hAnsiTheme="minorAscii"/>
                <w:b w:val="0"/>
                <w:bCs w:val="0"/>
                <w:strike w:val="0"/>
                <w:dstrike w:val="0"/>
                <w:color w:val="000000" w:themeColor="text1"/>
                <w:sz w:val="20"/>
                <w:szCs w:val="20"/>
                <w:lang w:val="en-US" w:eastAsia="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en-US" w:eastAsia="ro-RO"/>
                <w14:textFill>
                  <w14:solidFill>
                    <w14:schemeClr w14:val="tx1"/>
                  </w14:solidFill>
                </w14:textFill>
              </w:rPr>
              <w:t>528</w:t>
            </w:r>
          </w:p>
        </w:tc>
      </w:tr>
      <w:tr w14:paraId="02CFB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7" w:hRule="atLeast"/>
        </w:trPr>
        <w:tc>
          <w:tcPr>
            <w:tcW w:w="962" w:type="dxa"/>
            <w:tcBorders>
              <w:left w:val="double" w:color="auto" w:sz="4" w:space="0"/>
              <w:right w:val="double" w:color="auto" w:sz="4" w:space="0"/>
            </w:tcBorders>
            <w:vAlign w:val="top"/>
          </w:tcPr>
          <w:p w14:paraId="119B62C6">
            <w:pPr>
              <w:keepNext w:val="0"/>
              <w:keepLines w:val="0"/>
              <w:pageBreakBefore w:val="0"/>
              <w:widowControl/>
              <w:suppressLineNumbers w:val="0"/>
              <w:kinsoku/>
              <w:wordWrap/>
              <w:overflowPunct/>
              <w:topLinePunct w:val="0"/>
              <w:bidi w:val="0"/>
              <w:snapToGrid/>
              <w:spacing w:beforeAutospacing="0" w:after="0" w:afterAutospacing="0" w:line="240" w:lineRule="auto"/>
              <w:ind w:left="0" w:leftChars="0" w:right="0" w:rightChars="0"/>
              <w:jc w:val="both"/>
              <w:textAlignment w:val="baseline"/>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vertAlign w:val="baseline"/>
                <w:lang w:val="en-US" w:eastAsia="zh-CN" w:bidi="ar"/>
                <w14:textFill>
                  <w14:solidFill>
                    <w14:schemeClr w14:val="tx1"/>
                  </w14:solidFill>
                </w14:textFill>
              </w:rPr>
              <w:t xml:space="preserve">D </w:t>
            </w:r>
          </w:p>
        </w:tc>
        <w:tc>
          <w:tcPr>
            <w:tcW w:w="871" w:type="dxa"/>
            <w:tcBorders>
              <w:left w:val="double" w:color="auto" w:sz="4" w:space="0"/>
            </w:tcBorders>
            <w:vAlign w:val="top"/>
          </w:tcPr>
          <w:p w14:paraId="6B1A6648">
            <w:pPr>
              <w:keepNext w:val="0"/>
              <w:keepLines w:val="0"/>
              <w:pageBreakBefore w:val="0"/>
              <w:widowControl/>
              <w:suppressLineNumbers w:val="0"/>
              <w:kinsoku/>
              <w:wordWrap/>
              <w:overflowPunct/>
              <w:topLinePunct w:val="0"/>
              <w:bidi w:val="0"/>
              <w:snapToGrid/>
              <w:spacing w:beforeAutospacing="0" w:after="0" w:afterAutospacing="0" w:line="240" w:lineRule="auto"/>
              <w:ind w:left="0" w:leftChars="0" w:right="0" w:rightChars="0"/>
              <w:jc w:val="both"/>
              <w:textAlignment w:val="baseline"/>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vertAlign w:val="baseline"/>
                <w:lang w:val="en-US" w:eastAsia="zh-CN" w:bidi="ar"/>
                <w14:textFill>
                  <w14:solidFill>
                    <w14:schemeClr w14:val="tx1"/>
                  </w14:solidFill>
                </w14:textFill>
              </w:rPr>
              <w:t>3558-8894</w:t>
            </w:r>
          </w:p>
        </w:tc>
        <w:tc>
          <w:tcPr>
            <w:tcW w:w="958" w:type="dxa"/>
            <w:vAlign w:val="top"/>
          </w:tcPr>
          <w:p w14:paraId="24E38B4C">
            <w:pPr>
              <w:keepNext w:val="0"/>
              <w:keepLines w:val="0"/>
              <w:pageBreakBefore w:val="0"/>
              <w:widowControl/>
              <w:suppressLineNumbers w:val="0"/>
              <w:kinsoku/>
              <w:wordWrap/>
              <w:overflowPunct/>
              <w:topLinePunct w:val="0"/>
              <w:bidi w:val="0"/>
              <w:snapToGrid/>
              <w:spacing w:beforeAutospacing="0" w:after="0" w:afterAutospacing="0" w:line="240" w:lineRule="auto"/>
              <w:ind w:left="0" w:leftChars="0" w:right="0" w:rightChars="0"/>
              <w:jc w:val="both"/>
              <w:textAlignment w:val="baseline"/>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vertAlign w:val="baseline"/>
                <w:lang w:val="en-US" w:eastAsia="zh-CN" w:bidi="ar"/>
                <w14:textFill>
                  <w14:solidFill>
                    <w14:schemeClr w14:val="tx1"/>
                  </w14:solidFill>
                </w14:textFill>
              </w:rPr>
              <w:t>1690-4226</w:t>
            </w:r>
          </w:p>
        </w:tc>
        <w:tc>
          <w:tcPr>
            <w:tcW w:w="911" w:type="dxa"/>
            <w:vAlign w:val="top"/>
          </w:tcPr>
          <w:p w14:paraId="3410A729">
            <w:pPr>
              <w:keepNext w:val="0"/>
              <w:keepLines w:val="0"/>
              <w:pageBreakBefore w:val="0"/>
              <w:widowControl/>
              <w:suppressLineNumbers w:val="0"/>
              <w:kinsoku/>
              <w:wordWrap/>
              <w:overflowPunct/>
              <w:topLinePunct w:val="0"/>
              <w:bidi w:val="0"/>
              <w:snapToGrid/>
              <w:spacing w:beforeAutospacing="0" w:after="0" w:afterAutospacing="0" w:line="240" w:lineRule="auto"/>
              <w:ind w:left="0" w:leftChars="0" w:right="0" w:rightChars="0"/>
              <w:jc w:val="both"/>
              <w:textAlignment w:val="baseline"/>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vertAlign w:val="baseline"/>
                <w:lang w:val="en-US" w:eastAsia="zh-CN" w:bidi="ar"/>
                <w14:textFill>
                  <w14:solidFill>
                    <w14:schemeClr w14:val="tx1"/>
                  </w14:solidFill>
                </w14:textFill>
              </w:rPr>
              <w:t>1410-3526</w:t>
            </w:r>
          </w:p>
        </w:tc>
        <w:tc>
          <w:tcPr>
            <w:tcW w:w="970" w:type="dxa"/>
            <w:vAlign w:val="top"/>
          </w:tcPr>
          <w:p w14:paraId="04898C5B">
            <w:pPr>
              <w:keepNext w:val="0"/>
              <w:keepLines w:val="0"/>
              <w:pageBreakBefore w:val="0"/>
              <w:widowControl/>
              <w:suppressLineNumbers w:val="0"/>
              <w:kinsoku/>
              <w:wordWrap/>
              <w:overflowPunct/>
              <w:topLinePunct w:val="0"/>
              <w:bidi w:val="0"/>
              <w:snapToGrid/>
              <w:spacing w:beforeAutospacing="0" w:after="0" w:afterAutospacing="0" w:line="240" w:lineRule="auto"/>
              <w:ind w:left="0" w:leftChars="0" w:right="0" w:rightChars="0"/>
              <w:jc w:val="both"/>
              <w:textAlignment w:val="baseline"/>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vertAlign w:val="baseline"/>
                <w:lang w:val="en-US" w:eastAsia="zh-CN" w:bidi="ar"/>
                <w14:textFill>
                  <w14:solidFill>
                    <w14:schemeClr w14:val="tx1"/>
                  </w14:solidFill>
                </w14:textFill>
              </w:rPr>
              <w:t>984-2439</w:t>
            </w:r>
          </w:p>
        </w:tc>
        <w:tc>
          <w:tcPr>
            <w:tcW w:w="974" w:type="dxa"/>
            <w:vAlign w:val="top"/>
          </w:tcPr>
          <w:p w14:paraId="6EEDEB20">
            <w:pPr>
              <w:keepNext w:val="0"/>
              <w:keepLines w:val="0"/>
              <w:pageBreakBefore w:val="0"/>
              <w:widowControl/>
              <w:suppressLineNumbers w:val="0"/>
              <w:kinsoku/>
              <w:wordWrap/>
              <w:overflowPunct/>
              <w:topLinePunct w:val="0"/>
              <w:bidi w:val="0"/>
              <w:snapToGrid/>
              <w:spacing w:beforeAutospacing="0" w:after="0" w:afterAutospacing="0" w:line="240" w:lineRule="auto"/>
              <w:ind w:left="0" w:leftChars="0" w:right="0" w:rightChars="0"/>
              <w:jc w:val="both"/>
              <w:textAlignment w:val="baseline"/>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vertAlign w:val="baseline"/>
                <w:lang w:val="en-US" w:eastAsia="zh-CN" w:bidi="ar"/>
                <w14:textFill>
                  <w14:solidFill>
                    <w14:schemeClr w14:val="tx1"/>
                  </w14:solidFill>
                </w14:textFill>
              </w:rPr>
              <w:t>278-696</w:t>
            </w:r>
          </w:p>
        </w:tc>
        <w:tc>
          <w:tcPr>
            <w:tcW w:w="622" w:type="dxa"/>
            <w:tcBorders>
              <w:right w:val="double" w:color="auto" w:sz="4" w:space="0"/>
            </w:tcBorders>
            <w:vAlign w:val="top"/>
          </w:tcPr>
          <w:p w14:paraId="27E12679">
            <w:pPr>
              <w:keepNext w:val="0"/>
              <w:keepLines w:val="0"/>
              <w:pageBreakBefore w:val="0"/>
              <w:widowControl/>
              <w:suppressLineNumbers w:val="0"/>
              <w:kinsoku/>
              <w:wordWrap/>
              <w:overflowPunct/>
              <w:topLinePunct w:val="0"/>
              <w:bidi w:val="0"/>
              <w:snapToGrid/>
              <w:spacing w:beforeAutospacing="0" w:after="0" w:afterAutospacing="0" w:line="240" w:lineRule="auto"/>
              <w:ind w:left="0" w:leftChars="0" w:right="0" w:rightChars="0"/>
              <w:jc w:val="both"/>
              <w:textAlignment w:val="baseline"/>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vertAlign w:val="baseline"/>
                <w:lang w:val="en-US" w:eastAsia="zh-CN" w:bidi="ar"/>
                <w14:textFill>
                  <w14:solidFill>
                    <w14:schemeClr w14:val="tx1"/>
                  </w14:solidFill>
                </w14:textFill>
              </w:rPr>
              <w:t>142-356</w:t>
            </w:r>
          </w:p>
        </w:tc>
        <w:tc>
          <w:tcPr>
            <w:tcW w:w="685" w:type="dxa"/>
            <w:tcBorders>
              <w:left w:val="double" w:color="auto" w:sz="4" w:space="0"/>
            </w:tcBorders>
          </w:tcPr>
          <w:p w14:paraId="038DB8CB">
            <w:pPr>
              <w:keepNext w:val="0"/>
              <w:keepLines w:val="0"/>
              <w:pageBreakBefore w:val="0"/>
              <w:kinsoku/>
              <w:wordWrap/>
              <w:overflowPunct/>
              <w:topLinePunct w:val="0"/>
              <w:bidi w:val="0"/>
              <w:snapToGrid/>
              <w:spacing w:after="0" w:line="240" w:lineRule="auto"/>
              <w:ind w:left="0" w:right="0"/>
              <w:jc w:val="cente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t>X</w:t>
            </w:r>
          </w:p>
        </w:tc>
        <w:tc>
          <w:tcPr>
            <w:tcW w:w="563" w:type="dxa"/>
          </w:tcPr>
          <w:p w14:paraId="6EF6E623">
            <w:pPr>
              <w:keepNext w:val="0"/>
              <w:keepLines w:val="0"/>
              <w:pageBreakBefore w:val="0"/>
              <w:kinsoku/>
              <w:wordWrap/>
              <w:overflowPunct/>
              <w:topLinePunct w:val="0"/>
              <w:bidi w:val="0"/>
              <w:snapToGrid/>
              <w:spacing w:after="0" w:line="240" w:lineRule="auto"/>
              <w:ind w:left="0" w:right="0"/>
              <w:jc w:val="cente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t xml:space="preserve">X </w:t>
            </w:r>
          </w:p>
        </w:tc>
        <w:tc>
          <w:tcPr>
            <w:tcW w:w="497" w:type="dxa"/>
          </w:tcPr>
          <w:p w14:paraId="10E7B4DE">
            <w:pPr>
              <w:keepNext w:val="0"/>
              <w:keepLines w:val="0"/>
              <w:pageBreakBefore w:val="0"/>
              <w:kinsoku/>
              <w:wordWrap/>
              <w:overflowPunct/>
              <w:topLinePunct w:val="0"/>
              <w:bidi w:val="0"/>
              <w:snapToGrid/>
              <w:spacing w:after="0" w:line="240" w:lineRule="auto"/>
              <w:ind w:left="0" w:right="0"/>
              <w:jc w:val="cente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t>X</w:t>
            </w:r>
          </w:p>
        </w:tc>
        <w:tc>
          <w:tcPr>
            <w:tcW w:w="555" w:type="dxa"/>
          </w:tcPr>
          <w:p w14:paraId="24126EB5">
            <w:pPr>
              <w:keepNext w:val="0"/>
              <w:keepLines w:val="0"/>
              <w:pageBreakBefore w:val="0"/>
              <w:kinsoku/>
              <w:wordWrap/>
              <w:overflowPunct/>
              <w:topLinePunct w:val="0"/>
              <w:bidi w:val="0"/>
              <w:snapToGrid/>
              <w:spacing w:after="0" w:line="240" w:lineRule="auto"/>
              <w:ind w:left="0" w:right="0"/>
              <w:jc w:val="cente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t>X</w:t>
            </w:r>
          </w:p>
        </w:tc>
        <w:tc>
          <w:tcPr>
            <w:tcW w:w="873" w:type="dxa"/>
          </w:tcPr>
          <w:p w14:paraId="722DE939">
            <w:pPr>
              <w:keepNext w:val="0"/>
              <w:keepLines w:val="0"/>
              <w:pageBreakBefore w:val="0"/>
              <w:kinsoku/>
              <w:wordWrap/>
              <w:overflowPunct/>
              <w:topLinePunct w:val="0"/>
              <w:bidi w:val="0"/>
              <w:snapToGrid/>
              <w:spacing w:after="0" w:line="240" w:lineRule="auto"/>
              <w:ind w:left="0" w:right="0"/>
              <w:jc w:val="center"/>
              <w:rPr>
                <w:rFonts w:hint="default" w:eastAsia="Times New Roman" w:cs="Arial" w:asciiTheme="minorAscii" w:hAnsiTheme="minorAscii"/>
                <w:b w:val="0"/>
                <w:bCs w:val="0"/>
                <w:strike w:val="0"/>
                <w:dstrike w:val="0"/>
                <w:color w:val="000000" w:themeColor="text1"/>
                <w:sz w:val="20"/>
                <w:szCs w:val="20"/>
                <w:lang w:val="en-US" w:eastAsia="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en-US" w:eastAsia="ro-RO"/>
                <w14:textFill>
                  <w14:solidFill>
                    <w14:schemeClr w14:val="tx1"/>
                  </w14:solidFill>
                </w14:textFill>
              </w:rPr>
              <w:t>519</w:t>
            </w:r>
          </w:p>
        </w:tc>
        <w:tc>
          <w:tcPr>
            <w:tcW w:w="711" w:type="dxa"/>
            <w:tcBorders>
              <w:right w:val="double" w:color="auto" w:sz="4" w:space="0"/>
            </w:tcBorders>
          </w:tcPr>
          <w:p w14:paraId="665916E2">
            <w:pPr>
              <w:keepNext w:val="0"/>
              <w:keepLines w:val="0"/>
              <w:pageBreakBefore w:val="0"/>
              <w:kinsoku/>
              <w:wordWrap/>
              <w:overflowPunct/>
              <w:topLinePunct w:val="0"/>
              <w:bidi w:val="0"/>
              <w:snapToGrid/>
              <w:spacing w:after="0" w:line="240" w:lineRule="auto"/>
              <w:ind w:left="0" w:right="0"/>
              <w:jc w:val="center"/>
              <w:rPr>
                <w:rFonts w:hint="default" w:eastAsia="Times New Roman" w:cs="Arial" w:asciiTheme="minorAscii" w:hAnsiTheme="minorAscii"/>
                <w:b w:val="0"/>
                <w:bCs w:val="0"/>
                <w:strike w:val="0"/>
                <w:dstrike w:val="0"/>
                <w:color w:val="000000" w:themeColor="text1"/>
                <w:sz w:val="20"/>
                <w:szCs w:val="20"/>
                <w:lang w:val="en-US" w:eastAsia="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en-US" w:eastAsia="ro-RO"/>
                <w14:textFill>
                  <w14:solidFill>
                    <w14:schemeClr w14:val="tx1"/>
                  </w14:solidFill>
                </w14:textFill>
              </w:rPr>
              <w:t>265</w:t>
            </w:r>
          </w:p>
        </w:tc>
      </w:tr>
      <w:tr w14:paraId="60508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18" w:hRule="atLeast"/>
        </w:trPr>
        <w:tc>
          <w:tcPr>
            <w:tcW w:w="10152" w:type="dxa"/>
            <w:gridSpan w:val="13"/>
            <w:tcBorders>
              <w:left w:val="double" w:color="auto" w:sz="4" w:space="0"/>
              <w:bottom w:val="double" w:color="auto" w:sz="4" w:space="0"/>
              <w:right w:val="double" w:color="auto" w:sz="4" w:space="0"/>
            </w:tcBorders>
            <w:vAlign w:val="center"/>
          </w:tcPr>
          <w:p w14:paraId="6B2270A0">
            <w:pPr>
              <w:keepNext w:val="0"/>
              <w:keepLines w:val="0"/>
              <w:pageBreakBefore w:val="0"/>
              <w:kinsoku/>
              <w:wordWrap/>
              <w:overflowPunct/>
              <w:topLinePunct w:val="0"/>
              <w:bidi w:val="0"/>
              <w:snapToGrid/>
              <w:spacing w:after="0" w:line="240" w:lineRule="auto"/>
              <w:ind w:left="0" w:right="0"/>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t>Pentru anul 2026 suma corespunzătoare din tabele se înmulțește cu coeficientul de corecție aferent rangului localității, resectiv: -</w:t>
            </w:r>
            <w: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tab/>
            </w:r>
            <w: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t xml:space="preserve">Rang IV – satul </w:t>
            </w:r>
            <w:r>
              <w:rPr>
                <w:rFonts w:hint="default" w:eastAsia="Times New Roman" w:cs="Arial" w:asciiTheme="minorAscii" w:hAnsiTheme="minorAscii"/>
                <w:b w:val="0"/>
                <w:bCs w:val="0"/>
                <w:strike w:val="0"/>
                <w:dstrike w:val="0"/>
                <w:color w:val="000000" w:themeColor="text1"/>
                <w:sz w:val="20"/>
                <w:szCs w:val="20"/>
                <w:lang w:val="en-US" w:eastAsia="ro-RO"/>
                <w14:textFill>
                  <w14:solidFill>
                    <w14:schemeClr w14:val="tx1"/>
                  </w14:solidFill>
                </w14:textFill>
              </w:rPr>
              <w:t>Bucoșnița</w:t>
            </w:r>
            <w: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t>; -</w:t>
            </w:r>
            <w: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tab/>
            </w:r>
            <w: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t>Rang V – sat</w:t>
            </w:r>
            <w:r>
              <w:rPr>
                <w:rFonts w:hint="default" w:eastAsia="Times New Roman" w:cs="Arial" w:asciiTheme="minorAscii" w:hAnsiTheme="minorAscii"/>
                <w:b w:val="0"/>
                <w:bCs w:val="0"/>
                <w:strike w:val="0"/>
                <w:dstrike w:val="0"/>
                <w:color w:val="000000" w:themeColor="text1"/>
                <w:sz w:val="20"/>
                <w:szCs w:val="20"/>
                <w:lang w:val="en-US" w:eastAsia="ro-RO"/>
                <w14:textFill>
                  <w14:solidFill>
                    <w14:schemeClr w14:val="tx1"/>
                  </w14:solidFill>
                </w14:textFill>
              </w:rPr>
              <w:t>ele Goleț, Vălișoara, Petroșnița</w:t>
            </w:r>
            <w: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t>.</w:t>
            </w:r>
          </w:p>
          <w:p w14:paraId="234791C1">
            <w:pPr>
              <w:keepNext w:val="0"/>
              <w:keepLines w:val="0"/>
              <w:pageBreakBefore w:val="0"/>
              <w:kinsoku/>
              <w:wordWrap/>
              <w:overflowPunct/>
              <w:topLinePunct w:val="0"/>
              <w:bidi w:val="0"/>
              <w:snapToGrid/>
              <w:spacing w:after="0" w:line="240" w:lineRule="auto"/>
              <w:ind w:left="0" w:right="0"/>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t>-</w:t>
            </w:r>
            <w: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tab/>
            </w:r>
            <w: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t xml:space="preserve">Rang IV - coeficienții de corecție: zona A - 1,10 ,  zona B - 1.05, zona C – 1,00, zona D – 0,95 </w:t>
            </w:r>
          </w:p>
          <w:p w14:paraId="0BAF54AF">
            <w:pPr>
              <w:keepNext w:val="0"/>
              <w:keepLines w:val="0"/>
              <w:pageBreakBefore w:val="0"/>
              <w:kinsoku/>
              <w:wordWrap/>
              <w:overflowPunct/>
              <w:topLinePunct w:val="0"/>
              <w:bidi w:val="0"/>
              <w:snapToGrid/>
              <w:spacing w:after="0" w:line="240" w:lineRule="auto"/>
              <w:ind w:left="0" w:right="0"/>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t>-</w:t>
            </w:r>
            <w: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tab/>
            </w:r>
            <w: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t>Rang V  - coeficienții de corecție: zona A - 1,05,  zona B – 1,00, zona C – 0,95, zona D – 0,90</w:t>
            </w:r>
          </w:p>
        </w:tc>
      </w:tr>
    </w:tbl>
    <w:p w14:paraId="06C30029">
      <w:pPr>
        <w:keepNext w:val="0"/>
        <w:keepLines w:val="0"/>
        <w:pageBreakBefore w:val="0"/>
        <w:widowControl w:val="0"/>
        <w:shd w:val="clear" w:color="auto" w:fill="FFFFFF"/>
        <w:kinsoku/>
        <w:wordWrap/>
        <w:overflowPunct/>
        <w:topLinePunct w:val="0"/>
        <w:autoSpaceDE w:val="0"/>
        <w:autoSpaceDN w:val="0"/>
        <w:bidi w:val="0"/>
        <w:adjustRightInd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p>
    <w:p w14:paraId="1F661708">
      <w:pPr>
        <w:keepNext w:val="0"/>
        <w:keepLines w:val="0"/>
        <w:pageBreakBefore w:val="0"/>
        <w:kinsoku/>
        <w:wordWrap/>
        <w:overflowPunct/>
        <w:topLinePunct w:val="0"/>
        <w:autoSpaceDE w:val="0"/>
        <w:autoSpaceDN w:val="0"/>
        <w:bidi w:val="0"/>
        <w:adjustRightInd w:val="0"/>
        <w:snapToGrid/>
        <w:spacing w:after="0" w:line="240" w:lineRule="auto"/>
        <w:ind w:left="0" w:right="0" w:firstLine="720"/>
        <w:jc w:val="both"/>
        <w:outlineLvl w:val="0"/>
        <w:rPr>
          <w:rFonts w:hint="default" w:eastAsia="Times New Roman" w:cs="Arial" w:asciiTheme="minorAscii" w:hAnsiTheme="minorAscii"/>
          <w:b w:val="0"/>
          <w:bCs w:val="0"/>
          <w:strike w:val="0"/>
          <w:dstrike w:val="0"/>
          <w:color w:val="000000" w:themeColor="text1"/>
          <w:sz w:val="20"/>
          <w:szCs w:val="20"/>
          <w:u w:val="single"/>
          <w:lang w:val="fr-FR" w:eastAsia="ro-RO"/>
          <w14:textFill>
            <w14:solidFill>
              <w14:schemeClr w14:val="tx1"/>
            </w14:solidFill>
          </w14:textFill>
        </w:rPr>
      </w:pPr>
    </w:p>
    <w:p w14:paraId="11AF8CAC">
      <w:pPr>
        <w:keepNext w:val="0"/>
        <w:keepLines w:val="0"/>
        <w:pageBreakBefore w:val="0"/>
        <w:kinsoku/>
        <w:wordWrap/>
        <w:overflowPunct/>
        <w:topLinePunct w:val="0"/>
        <w:autoSpaceDE w:val="0"/>
        <w:autoSpaceDN w:val="0"/>
        <w:bidi w:val="0"/>
        <w:adjustRightInd w:val="0"/>
        <w:snapToGrid/>
        <w:spacing w:after="0" w:line="240" w:lineRule="auto"/>
        <w:ind w:left="0" w:right="0" w:firstLine="720"/>
        <w:jc w:val="both"/>
        <w:outlineLvl w:val="0"/>
        <w:rPr>
          <w:rFonts w:hint="default" w:eastAsia="Times New Roman" w:cs="Arial" w:asciiTheme="minorAscii" w:hAnsiTheme="minorAscii"/>
          <w:b w:val="0"/>
          <w:bCs w:val="0"/>
          <w:strike w:val="0"/>
          <w:dstrike w:val="0"/>
          <w:color w:val="000000" w:themeColor="text1"/>
          <w:sz w:val="20"/>
          <w:szCs w:val="20"/>
          <w:u w:val="single"/>
          <w:lang w:val="fr-FR" w:eastAsia="ro-RO"/>
          <w14:textFill>
            <w14:solidFill>
              <w14:schemeClr w14:val="tx1"/>
            </w14:solidFill>
          </w14:textFill>
        </w:rPr>
      </w:pPr>
    </w:p>
    <w:p w14:paraId="45F7F260">
      <w:pPr>
        <w:keepNext w:val="0"/>
        <w:keepLines w:val="0"/>
        <w:pageBreakBefore w:val="0"/>
        <w:kinsoku/>
        <w:wordWrap/>
        <w:overflowPunct/>
        <w:topLinePunct w:val="0"/>
        <w:autoSpaceDE w:val="0"/>
        <w:autoSpaceDN w:val="0"/>
        <w:bidi w:val="0"/>
        <w:adjustRightInd w:val="0"/>
        <w:snapToGrid/>
        <w:spacing w:after="0" w:line="240" w:lineRule="auto"/>
        <w:ind w:left="0" w:right="0" w:firstLine="720"/>
        <w:jc w:val="both"/>
        <w:outlineLvl w:val="0"/>
        <w:rPr>
          <w:rFonts w:hint="default" w:eastAsia="Times New Roman" w:cs="Arial" w:asciiTheme="minorAscii" w:hAnsiTheme="minorAscii"/>
          <w:b w:val="0"/>
          <w:bCs w:val="0"/>
          <w:strike w:val="0"/>
          <w:dstrike w:val="0"/>
          <w:color w:val="000000" w:themeColor="text1"/>
          <w:sz w:val="20"/>
          <w:szCs w:val="20"/>
          <w:u w:val="single"/>
          <w:lang w:val="fr-FR" w:eastAsia="ro-RO"/>
          <w14:textFill>
            <w14:solidFill>
              <w14:schemeClr w14:val="tx1"/>
            </w14:solidFill>
          </w14:textFill>
        </w:rPr>
      </w:pPr>
    </w:p>
    <w:p w14:paraId="578883D2">
      <w:pPr>
        <w:keepNext w:val="0"/>
        <w:keepLines w:val="0"/>
        <w:pageBreakBefore w:val="0"/>
        <w:kinsoku/>
        <w:wordWrap/>
        <w:overflowPunct/>
        <w:topLinePunct w:val="0"/>
        <w:autoSpaceDE w:val="0"/>
        <w:autoSpaceDN w:val="0"/>
        <w:bidi w:val="0"/>
        <w:adjustRightInd w:val="0"/>
        <w:snapToGrid/>
        <w:spacing w:after="0" w:line="240" w:lineRule="auto"/>
        <w:ind w:left="0" w:right="0" w:firstLine="720"/>
        <w:jc w:val="both"/>
        <w:outlineLvl w:val="0"/>
        <w:rPr>
          <w:rFonts w:hint="default" w:eastAsia="Times New Roman" w:cs="Arial" w:asciiTheme="minorAscii" w:hAnsiTheme="minorAscii"/>
          <w:b w:val="0"/>
          <w:bCs w:val="0"/>
          <w:strike w:val="0"/>
          <w:dstrike w:val="0"/>
          <w:color w:val="000000" w:themeColor="text1"/>
          <w:sz w:val="20"/>
          <w:szCs w:val="20"/>
          <w:u w:val="single"/>
          <w:lang w:val="fr-FR" w:eastAsia="ro-RO"/>
          <w14:textFill>
            <w14:solidFill>
              <w14:schemeClr w14:val="tx1"/>
            </w14:solidFill>
          </w14:textFill>
        </w:rPr>
      </w:pPr>
    </w:p>
    <w:p w14:paraId="3C2009E4">
      <w:pPr>
        <w:keepNext w:val="0"/>
        <w:keepLines w:val="0"/>
        <w:pageBreakBefore w:val="0"/>
        <w:kinsoku/>
        <w:wordWrap/>
        <w:overflowPunct/>
        <w:topLinePunct w:val="0"/>
        <w:autoSpaceDE w:val="0"/>
        <w:autoSpaceDN w:val="0"/>
        <w:bidi w:val="0"/>
        <w:adjustRightInd w:val="0"/>
        <w:snapToGrid/>
        <w:spacing w:after="0" w:line="240" w:lineRule="auto"/>
        <w:ind w:left="0" w:right="0" w:firstLine="720"/>
        <w:jc w:val="both"/>
        <w:outlineLvl w:val="0"/>
        <w:rPr>
          <w:rFonts w:hint="default" w:eastAsia="Times New Roman" w:cs="Arial" w:asciiTheme="minorAscii" w:hAnsiTheme="minorAscii"/>
          <w:b w:val="0"/>
          <w:bCs w:val="0"/>
          <w:strike w:val="0"/>
          <w:dstrike w:val="0"/>
          <w:color w:val="000000" w:themeColor="text1"/>
          <w:sz w:val="20"/>
          <w:szCs w:val="20"/>
          <w:u w:val="single"/>
          <w:lang w:val="fr-FR" w:eastAsia="ro-RO"/>
          <w14:textFill>
            <w14:solidFill>
              <w14:schemeClr w14:val="tx1"/>
            </w14:solidFill>
          </w14:textFill>
        </w:rPr>
      </w:pPr>
    </w:p>
    <w:p w14:paraId="1527B206">
      <w:pPr>
        <w:keepNext w:val="0"/>
        <w:keepLines w:val="0"/>
        <w:pageBreakBefore w:val="0"/>
        <w:kinsoku/>
        <w:wordWrap/>
        <w:overflowPunct/>
        <w:topLinePunct w:val="0"/>
        <w:autoSpaceDE w:val="0"/>
        <w:autoSpaceDN w:val="0"/>
        <w:bidi w:val="0"/>
        <w:adjustRightInd w:val="0"/>
        <w:snapToGrid/>
        <w:spacing w:after="0" w:line="240" w:lineRule="auto"/>
        <w:ind w:left="0" w:right="0" w:firstLine="720"/>
        <w:jc w:val="both"/>
        <w:outlineLvl w:val="0"/>
        <w:rPr>
          <w:rFonts w:hint="default" w:eastAsia="Times New Roman" w:cs="Arial" w:asciiTheme="minorAscii" w:hAnsiTheme="minorAscii"/>
          <w:b w:val="0"/>
          <w:bCs w:val="0"/>
          <w:strike w:val="0"/>
          <w:dstrike w:val="0"/>
          <w:color w:val="000000" w:themeColor="text1"/>
          <w:sz w:val="20"/>
          <w:szCs w:val="20"/>
          <w:u w:val="single"/>
          <w:lang w:val="fr-FR" w:eastAsia="ro-RO"/>
          <w14:textFill>
            <w14:solidFill>
              <w14:schemeClr w14:val="tx1"/>
            </w14:solidFill>
          </w14:textFill>
        </w:rPr>
      </w:pPr>
    </w:p>
    <w:p w14:paraId="18C695F0">
      <w:pPr>
        <w:keepNext w:val="0"/>
        <w:keepLines w:val="0"/>
        <w:pageBreakBefore w:val="0"/>
        <w:kinsoku/>
        <w:wordWrap/>
        <w:overflowPunct/>
        <w:topLinePunct w:val="0"/>
        <w:autoSpaceDE w:val="0"/>
        <w:autoSpaceDN w:val="0"/>
        <w:bidi w:val="0"/>
        <w:adjustRightInd w:val="0"/>
        <w:snapToGrid/>
        <w:spacing w:after="0" w:line="240" w:lineRule="auto"/>
        <w:ind w:left="0" w:right="0" w:firstLine="720"/>
        <w:jc w:val="both"/>
        <w:outlineLvl w:val="0"/>
        <w:rPr>
          <w:rFonts w:hint="default" w:eastAsia="Times New Roman" w:cs="Arial" w:asciiTheme="minorAscii" w:hAnsiTheme="minorAscii"/>
          <w:b w:val="0"/>
          <w:bCs w:val="0"/>
          <w:strike w:val="0"/>
          <w:dstrike w:val="0"/>
          <w:color w:val="000000" w:themeColor="text1"/>
          <w:sz w:val="20"/>
          <w:szCs w:val="20"/>
          <w:u w:val="single"/>
          <w:lang w:val="fr-FR" w:eastAsia="ro-RO"/>
          <w14:textFill>
            <w14:solidFill>
              <w14:schemeClr w14:val="tx1"/>
            </w14:solidFill>
          </w14:textFill>
        </w:rPr>
      </w:pPr>
    </w:p>
    <w:p w14:paraId="515DE959">
      <w:pPr>
        <w:keepNext w:val="0"/>
        <w:keepLines w:val="0"/>
        <w:pageBreakBefore w:val="0"/>
        <w:kinsoku/>
        <w:wordWrap/>
        <w:overflowPunct/>
        <w:topLinePunct w:val="0"/>
        <w:autoSpaceDE w:val="0"/>
        <w:autoSpaceDN w:val="0"/>
        <w:bidi w:val="0"/>
        <w:adjustRightInd w:val="0"/>
        <w:snapToGrid/>
        <w:spacing w:after="0" w:line="240" w:lineRule="auto"/>
        <w:ind w:left="0" w:right="0" w:firstLine="720"/>
        <w:jc w:val="both"/>
        <w:outlineLvl w:val="0"/>
        <w:rPr>
          <w:rFonts w:hint="default" w:eastAsia="Times New Roman" w:cs="Arial" w:asciiTheme="minorAscii" w:hAnsiTheme="minorAscii"/>
          <w:b w:val="0"/>
          <w:bCs w:val="0"/>
          <w:strike w:val="0"/>
          <w:dstrike w:val="0"/>
          <w:color w:val="000000" w:themeColor="text1"/>
          <w:sz w:val="20"/>
          <w:szCs w:val="20"/>
          <w:u w:val="single"/>
          <w:lang w:val="fr-FR" w:eastAsia="ro-RO"/>
          <w14:textFill>
            <w14:solidFill>
              <w14:schemeClr w14:val="tx1"/>
            </w14:solidFill>
          </w14:textFill>
        </w:rPr>
      </w:pPr>
    </w:p>
    <w:p w14:paraId="305EF3A7">
      <w:pPr>
        <w:keepNext w:val="0"/>
        <w:keepLines w:val="0"/>
        <w:pageBreakBefore w:val="0"/>
        <w:kinsoku/>
        <w:wordWrap/>
        <w:overflowPunct/>
        <w:topLinePunct w:val="0"/>
        <w:autoSpaceDE w:val="0"/>
        <w:autoSpaceDN w:val="0"/>
        <w:bidi w:val="0"/>
        <w:adjustRightInd w:val="0"/>
        <w:snapToGrid/>
        <w:spacing w:after="0" w:line="240" w:lineRule="auto"/>
        <w:ind w:left="0" w:right="0" w:firstLine="720"/>
        <w:jc w:val="both"/>
        <w:outlineLvl w:val="0"/>
        <w:rPr>
          <w:rFonts w:hint="default" w:eastAsia="Times New Roman" w:cs="Arial" w:asciiTheme="minorAscii" w:hAnsiTheme="minorAscii"/>
          <w:b w:val="0"/>
          <w:bCs w:val="0"/>
          <w:strike w:val="0"/>
          <w:dstrike w:val="0"/>
          <w:color w:val="000000" w:themeColor="text1"/>
          <w:sz w:val="20"/>
          <w:szCs w:val="20"/>
          <w:u w:val="single"/>
          <w:lang w:val="fr-FR" w:eastAsia="ro-RO"/>
          <w14:textFill>
            <w14:solidFill>
              <w14:schemeClr w14:val="tx1"/>
            </w14:solidFill>
          </w14:textFill>
        </w:rPr>
      </w:pPr>
    </w:p>
    <w:p w14:paraId="5C2BCE53">
      <w:pPr>
        <w:keepNext w:val="0"/>
        <w:keepLines w:val="0"/>
        <w:pageBreakBefore w:val="0"/>
        <w:kinsoku/>
        <w:wordWrap/>
        <w:overflowPunct/>
        <w:topLinePunct w:val="0"/>
        <w:autoSpaceDE w:val="0"/>
        <w:autoSpaceDN w:val="0"/>
        <w:bidi w:val="0"/>
        <w:adjustRightInd w:val="0"/>
        <w:snapToGrid/>
        <w:spacing w:after="0" w:line="240" w:lineRule="auto"/>
        <w:ind w:left="0" w:right="0" w:firstLine="720"/>
        <w:jc w:val="both"/>
        <w:outlineLvl w:val="0"/>
        <w:rPr>
          <w:rFonts w:hint="default" w:eastAsia="Times New Roman" w:cs="Arial" w:asciiTheme="minorAscii" w:hAnsiTheme="minorAscii"/>
          <w:b w:val="0"/>
          <w:bCs w:val="0"/>
          <w:strike w:val="0"/>
          <w:dstrike w:val="0"/>
          <w:color w:val="000000" w:themeColor="text1"/>
          <w:sz w:val="20"/>
          <w:szCs w:val="20"/>
          <w:u w:val="single"/>
          <w:lang w:val="fr-FR" w:eastAsia="ro-RO"/>
          <w14:textFill>
            <w14:solidFill>
              <w14:schemeClr w14:val="tx1"/>
            </w14:solidFill>
          </w14:textFill>
        </w:rPr>
      </w:pPr>
    </w:p>
    <w:p w14:paraId="41A15991">
      <w:pPr>
        <w:keepNext w:val="0"/>
        <w:keepLines w:val="0"/>
        <w:pageBreakBefore w:val="0"/>
        <w:kinsoku/>
        <w:wordWrap/>
        <w:overflowPunct/>
        <w:topLinePunct w:val="0"/>
        <w:autoSpaceDE w:val="0"/>
        <w:autoSpaceDN w:val="0"/>
        <w:bidi w:val="0"/>
        <w:adjustRightInd w:val="0"/>
        <w:snapToGrid/>
        <w:spacing w:after="0" w:line="240" w:lineRule="auto"/>
        <w:ind w:left="0" w:right="0" w:firstLine="720"/>
        <w:jc w:val="both"/>
        <w:outlineLvl w:val="0"/>
        <w:rPr>
          <w:rFonts w:hint="default" w:eastAsia="Times New Roman" w:cs="Arial" w:asciiTheme="minorAscii" w:hAnsiTheme="minorAscii"/>
          <w:b w:val="0"/>
          <w:bCs w:val="0"/>
          <w:strike w:val="0"/>
          <w:dstrike w:val="0"/>
          <w:color w:val="000000" w:themeColor="text1"/>
          <w:sz w:val="20"/>
          <w:szCs w:val="20"/>
          <w:u w:val="single"/>
          <w:lang w:val="fr-FR" w:eastAsia="ro-RO"/>
          <w14:textFill>
            <w14:solidFill>
              <w14:schemeClr w14:val="tx1"/>
            </w14:solidFill>
          </w14:textFill>
        </w:rPr>
      </w:pPr>
    </w:p>
    <w:p w14:paraId="670CCA77">
      <w:pPr>
        <w:keepNext w:val="0"/>
        <w:keepLines w:val="0"/>
        <w:pageBreakBefore w:val="0"/>
        <w:kinsoku/>
        <w:wordWrap/>
        <w:overflowPunct/>
        <w:topLinePunct w:val="0"/>
        <w:autoSpaceDE w:val="0"/>
        <w:autoSpaceDN w:val="0"/>
        <w:bidi w:val="0"/>
        <w:adjustRightInd w:val="0"/>
        <w:snapToGrid/>
        <w:spacing w:after="0" w:line="240" w:lineRule="auto"/>
        <w:ind w:left="0" w:right="0" w:firstLine="720"/>
        <w:jc w:val="both"/>
        <w:outlineLvl w:val="0"/>
        <w:rPr>
          <w:rFonts w:hint="default" w:eastAsia="Times New Roman" w:cs="Arial" w:asciiTheme="minorAscii" w:hAnsiTheme="minorAscii"/>
          <w:b w:val="0"/>
          <w:bCs w:val="0"/>
          <w:strike w:val="0"/>
          <w:dstrike w:val="0"/>
          <w:color w:val="000000" w:themeColor="text1"/>
          <w:sz w:val="20"/>
          <w:szCs w:val="20"/>
          <w:u w:val="single"/>
          <w:lang w:val="fr-FR" w:eastAsia="ro-RO"/>
          <w14:textFill>
            <w14:solidFill>
              <w14:schemeClr w14:val="tx1"/>
            </w14:solidFill>
          </w14:textFill>
        </w:rPr>
      </w:pPr>
    </w:p>
    <w:p w14:paraId="6D96E363">
      <w:pPr>
        <w:keepNext w:val="0"/>
        <w:keepLines w:val="0"/>
        <w:pageBreakBefore w:val="0"/>
        <w:kinsoku/>
        <w:wordWrap/>
        <w:overflowPunct/>
        <w:topLinePunct w:val="0"/>
        <w:autoSpaceDE w:val="0"/>
        <w:autoSpaceDN w:val="0"/>
        <w:bidi w:val="0"/>
        <w:adjustRightInd w:val="0"/>
        <w:snapToGrid/>
        <w:spacing w:after="0" w:line="240" w:lineRule="auto"/>
        <w:ind w:left="0" w:right="0" w:firstLine="720"/>
        <w:jc w:val="both"/>
        <w:outlineLvl w:val="0"/>
        <w:rPr>
          <w:rFonts w:hint="default" w:eastAsia="Times New Roman" w:cs="Arial" w:asciiTheme="minorAscii" w:hAnsiTheme="minorAscii"/>
          <w:b w:val="0"/>
          <w:bCs w:val="0"/>
          <w:strike w:val="0"/>
          <w:dstrike w:val="0"/>
          <w:color w:val="000000" w:themeColor="text1"/>
          <w:sz w:val="20"/>
          <w:szCs w:val="20"/>
          <w:u w:val="single"/>
          <w:lang w:val="fr-FR" w:eastAsia="ro-RO"/>
          <w14:textFill>
            <w14:solidFill>
              <w14:schemeClr w14:val="tx1"/>
            </w14:solidFill>
          </w14:textFill>
        </w:rPr>
      </w:pPr>
    </w:p>
    <w:p w14:paraId="5A875C78">
      <w:pPr>
        <w:keepNext w:val="0"/>
        <w:keepLines w:val="0"/>
        <w:pageBreakBefore w:val="0"/>
        <w:kinsoku/>
        <w:wordWrap/>
        <w:overflowPunct/>
        <w:topLinePunct w:val="0"/>
        <w:autoSpaceDE w:val="0"/>
        <w:autoSpaceDN w:val="0"/>
        <w:bidi w:val="0"/>
        <w:adjustRightInd w:val="0"/>
        <w:snapToGrid/>
        <w:spacing w:after="0" w:line="240" w:lineRule="auto"/>
        <w:ind w:left="0" w:right="0" w:firstLine="720"/>
        <w:jc w:val="both"/>
        <w:outlineLvl w:val="0"/>
        <w:rPr>
          <w:rFonts w:hint="default" w:eastAsia="Times New Roman" w:cs="Arial" w:asciiTheme="minorAscii" w:hAnsiTheme="minorAscii"/>
          <w:b w:val="0"/>
          <w:bCs w:val="0"/>
          <w:strike w:val="0"/>
          <w:dstrike w:val="0"/>
          <w:color w:val="000000" w:themeColor="text1"/>
          <w:sz w:val="20"/>
          <w:szCs w:val="20"/>
          <w:u w:val="single"/>
          <w:lang w:val="fr-FR" w:eastAsia="ro-RO"/>
          <w14:textFill>
            <w14:solidFill>
              <w14:schemeClr w14:val="tx1"/>
            </w14:solidFill>
          </w14:textFill>
        </w:rPr>
      </w:pPr>
    </w:p>
    <w:p w14:paraId="54080998">
      <w:pPr>
        <w:keepNext w:val="0"/>
        <w:keepLines w:val="0"/>
        <w:pageBreakBefore w:val="0"/>
        <w:kinsoku/>
        <w:wordWrap/>
        <w:overflowPunct/>
        <w:topLinePunct w:val="0"/>
        <w:autoSpaceDE w:val="0"/>
        <w:autoSpaceDN w:val="0"/>
        <w:bidi w:val="0"/>
        <w:adjustRightInd w:val="0"/>
        <w:snapToGrid/>
        <w:spacing w:after="0" w:line="240" w:lineRule="auto"/>
        <w:ind w:left="0" w:right="0" w:firstLine="720"/>
        <w:jc w:val="both"/>
        <w:outlineLvl w:val="0"/>
        <w:rPr>
          <w:rFonts w:hint="default" w:eastAsia="Times New Roman" w:cs="Arial" w:asciiTheme="minorAscii" w:hAnsiTheme="minorAscii"/>
          <w:b w:val="0"/>
          <w:bCs w:val="0"/>
          <w:strike w:val="0"/>
          <w:dstrike w:val="0"/>
          <w:color w:val="000000" w:themeColor="text1"/>
          <w:sz w:val="20"/>
          <w:szCs w:val="20"/>
          <w:u w:val="single"/>
          <w:lang w:val="fr-FR" w:eastAsia="ro-RO"/>
          <w14:textFill>
            <w14:solidFill>
              <w14:schemeClr w14:val="tx1"/>
            </w14:solidFill>
          </w14:textFill>
        </w:rPr>
      </w:pPr>
    </w:p>
    <w:p w14:paraId="1D168873">
      <w:pPr>
        <w:keepNext w:val="0"/>
        <w:keepLines w:val="0"/>
        <w:pageBreakBefore w:val="0"/>
        <w:kinsoku/>
        <w:wordWrap/>
        <w:overflowPunct/>
        <w:topLinePunct w:val="0"/>
        <w:autoSpaceDE w:val="0"/>
        <w:autoSpaceDN w:val="0"/>
        <w:bidi w:val="0"/>
        <w:adjustRightInd w:val="0"/>
        <w:snapToGrid/>
        <w:spacing w:after="0" w:line="240" w:lineRule="auto"/>
        <w:ind w:left="0" w:right="0" w:firstLine="720"/>
        <w:jc w:val="both"/>
        <w:outlineLvl w:val="0"/>
        <w:rPr>
          <w:rFonts w:hint="default" w:eastAsia="Times New Roman" w:cs="Arial" w:asciiTheme="minorAscii" w:hAnsiTheme="minorAscii"/>
          <w:b w:val="0"/>
          <w:bCs w:val="0"/>
          <w:strike w:val="0"/>
          <w:dstrike w:val="0"/>
          <w:color w:val="000000" w:themeColor="text1"/>
          <w:sz w:val="20"/>
          <w:szCs w:val="20"/>
          <w:u w:val="single"/>
          <w:lang w:val="en-US" w:eastAsia="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u w:val="single"/>
          <w:lang w:val="fr-FR" w:eastAsia="ro-RO"/>
          <w14:textFill>
            <w14:solidFill>
              <w14:schemeClr w14:val="tx1"/>
            </w14:solidFill>
          </w14:textFill>
        </w:rPr>
        <w:t>B. Impozit teren intravilan –alte categorii</w:t>
      </w:r>
      <w:r>
        <w:rPr>
          <w:rFonts w:hint="default" w:eastAsia="Times New Roman" w:cs="Arial" w:asciiTheme="minorAscii" w:hAnsiTheme="minorAscii"/>
          <w:b w:val="0"/>
          <w:bCs w:val="0"/>
          <w:strike w:val="0"/>
          <w:dstrike w:val="0"/>
          <w:color w:val="000000" w:themeColor="text1"/>
          <w:sz w:val="20"/>
          <w:szCs w:val="20"/>
          <w:u w:val="single"/>
          <w:lang w:val="en-US" w:eastAsia="ro-RO"/>
          <w14:textFill>
            <w14:solidFill>
              <w14:schemeClr w14:val="tx1"/>
            </w14:solidFill>
          </w14:textFill>
        </w:rPr>
        <w:t xml:space="preserve"> art.465 alin.(3-4) Cod Fiscal</w:t>
      </w:r>
    </w:p>
    <w:p w14:paraId="0000013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t xml:space="preserve">  </w:t>
      </w:r>
      <w:r>
        <w:rPr>
          <w:rFonts w:hint="default" w:eastAsia="Times New Roman" w:cs="Arial" w:asciiTheme="minorAscii" w:hAnsiTheme="minorAscii"/>
          <w:b w:val="0"/>
          <w:bCs w:val="0"/>
          <w:strike w:val="0"/>
          <w:dstrike w:val="0"/>
          <w:color w:val="000000" w:themeColor="text1"/>
          <w:sz w:val="20"/>
          <w:szCs w:val="20"/>
          <w:lang w:val="en-US" w:eastAsia="ro-RO"/>
          <w14:textFill>
            <w14:solidFill>
              <w14:schemeClr w14:val="tx1"/>
            </w14:solidFill>
          </w14:textFill>
        </w:rPr>
        <w:t>(3</w:t>
      </w:r>
      <w: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t>)</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În cazul unui teren amplasat în intravilan, înregistrat în registrul agricol la altă categorie  de folosinţă decât cea de terenuri cu construcţii, impozitul/taxa pe teren se stabileşte prin  înmulţirea suprafeţei terenului, exprimată în hectare, cu suma corespunzătoare prevăzută la alin.  (4), iar acest rezultat se înmulţeşte cu coeficientul de corecţie corespunzător prevăzut la alin.  (5). </w:t>
      </w:r>
    </w:p>
    <w:p w14:paraId="0000013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t>4</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Pentru stabilirea impozitului/taxei pe teren, potrivit alin. (3), se folosesc sumele din tabelul  următor, exprimate în lei pe hectar:  </w:t>
      </w:r>
    </w:p>
    <w:tbl>
      <w:tblPr>
        <w:tblStyle w:val="59"/>
        <w:tblpPr w:leftFromText="180" w:rightFromText="180" w:vertAnchor="text" w:horzAnchor="margin" w:tblpX="2350" w:tblpY="140"/>
        <w:tblOverlap w:val="never"/>
        <w:tblW w:w="726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503"/>
        <w:gridCol w:w="3157"/>
        <w:gridCol w:w="1211"/>
        <w:gridCol w:w="889"/>
        <w:gridCol w:w="484"/>
        <w:gridCol w:w="1016"/>
      </w:tblGrid>
      <w:tr w14:paraId="268683C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380" w:hRule="atLeast"/>
        </w:trPr>
        <w:tc>
          <w:tcPr>
            <w:tcW w:w="503" w:type="dxa"/>
            <w:shd w:val="clear" w:color="auto" w:fill="auto"/>
            <w:tcMar>
              <w:top w:w="100" w:type="dxa"/>
              <w:left w:w="100" w:type="dxa"/>
              <w:bottom w:w="100" w:type="dxa"/>
              <w:right w:w="100" w:type="dxa"/>
            </w:tcMar>
            <w:vAlign w:val="top"/>
          </w:tcPr>
          <w:p w14:paraId="4C84C74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Nr.  </w:t>
            </w:r>
          </w:p>
          <w:p w14:paraId="4C38EFD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crt. </w:t>
            </w:r>
          </w:p>
        </w:tc>
        <w:tc>
          <w:tcPr>
            <w:tcW w:w="3157" w:type="dxa"/>
            <w:shd w:val="clear" w:color="auto" w:fill="auto"/>
            <w:tcMar>
              <w:top w:w="100" w:type="dxa"/>
              <w:left w:w="100" w:type="dxa"/>
              <w:bottom w:w="100" w:type="dxa"/>
              <w:right w:w="100" w:type="dxa"/>
            </w:tcMar>
            <w:vAlign w:val="top"/>
          </w:tcPr>
          <w:p w14:paraId="2093B42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Zona Categoria de folosinţă </w:t>
            </w:r>
          </w:p>
        </w:tc>
        <w:tc>
          <w:tcPr>
            <w:tcW w:w="1211" w:type="dxa"/>
            <w:shd w:val="clear" w:color="auto" w:fill="auto"/>
            <w:tcMar>
              <w:top w:w="100" w:type="dxa"/>
              <w:left w:w="100" w:type="dxa"/>
              <w:bottom w:w="100" w:type="dxa"/>
              <w:right w:w="100" w:type="dxa"/>
            </w:tcMar>
            <w:vAlign w:val="top"/>
          </w:tcPr>
          <w:p w14:paraId="5D96206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A </w:t>
            </w:r>
          </w:p>
        </w:tc>
        <w:tc>
          <w:tcPr>
            <w:tcW w:w="889" w:type="dxa"/>
            <w:shd w:val="clear" w:color="auto" w:fill="auto"/>
            <w:tcMar>
              <w:top w:w="100" w:type="dxa"/>
              <w:left w:w="100" w:type="dxa"/>
              <w:bottom w:w="100" w:type="dxa"/>
              <w:right w:w="100" w:type="dxa"/>
            </w:tcMar>
            <w:vAlign w:val="top"/>
          </w:tcPr>
          <w:p w14:paraId="7CC9C95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B </w:t>
            </w:r>
          </w:p>
        </w:tc>
        <w:tc>
          <w:tcPr>
            <w:tcW w:w="484" w:type="dxa"/>
            <w:shd w:val="clear" w:color="auto" w:fill="auto"/>
            <w:tcMar>
              <w:top w:w="100" w:type="dxa"/>
              <w:left w:w="100" w:type="dxa"/>
              <w:bottom w:w="100" w:type="dxa"/>
              <w:right w:w="100" w:type="dxa"/>
            </w:tcMar>
            <w:vAlign w:val="top"/>
          </w:tcPr>
          <w:p w14:paraId="7232C3E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C </w:t>
            </w:r>
          </w:p>
        </w:tc>
        <w:tc>
          <w:tcPr>
            <w:tcW w:w="1016" w:type="dxa"/>
            <w:shd w:val="clear" w:color="auto" w:fill="auto"/>
            <w:tcMar>
              <w:top w:w="100" w:type="dxa"/>
              <w:left w:w="100" w:type="dxa"/>
              <w:bottom w:w="100" w:type="dxa"/>
              <w:right w:w="100" w:type="dxa"/>
            </w:tcMar>
            <w:vAlign w:val="top"/>
          </w:tcPr>
          <w:p w14:paraId="2FD1D28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D</w:t>
            </w:r>
          </w:p>
        </w:tc>
      </w:tr>
      <w:tr w14:paraId="04F9800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390" w:hRule="atLeast"/>
        </w:trPr>
        <w:tc>
          <w:tcPr>
            <w:tcW w:w="503" w:type="dxa"/>
            <w:shd w:val="clear" w:color="auto" w:fill="auto"/>
            <w:tcMar>
              <w:top w:w="100" w:type="dxa"/>
              <w:left w:w="100" w:type="dxa"/>
              <w:bottom w:w="100" w:type="dxa"/>
              <w:right w:w="100" w:type="dxa"/>
            </w:tcMar>
            <w:vAlign w:val="top"/>
          </w:tcPr>
          <w:p w14:paraId="737E497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1 </w:t>
            </w:r>
          </w:p>
        </w:tc>
        <w:tc>
          <w:tcPr>
            <w:tcW w:w="3157" w:type="dxa"/>
            <w:shd w:val="clear" w:color="auto" w:fill="auto"/>
            <w:tcMar>
              <w:top w:w="100" w:type="dxa"/>
              <w:left w:w="100" w:type="dxa"/>
              <w:bottom w:w="100" w:type="dxa"/>
              <w:right w:w="100" w:type="dxa"/>
            </w:tcMar>
            <w:vAlign w:val="top"/>
          </w:tcPr>
          <w:p w14:paraId="7CF5F73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Teren arabil </w:t>
            </w:r>
          </w:p>
        </w:tc>
        <w:tc>
          <w:tcPr>
            <w:tcW w:w="1211" w:type="dxa"/>
            <w:shd w:val="clear" w:color="auto" w:fill="auto"/>
            <w:tcMar>
              <w:top w:w="100" w:type="dxa"/>
              <w:left w:w="100" w:type="dxa"/>
              <w:bottom w:w="100" w:type="dxa"/>
              <w:right w:w="100" w:type="dxa"/>
            </w:tcMar>
            <w:vAlign w:val="top"/>
          </w:tcPr>
          <w:p w14:paraId="05B48BD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75 </w:t>
            </w:r>
          </w:p>
        </w:tc>
        <w:tc>
          <w:tcPr>
            <w:tcW w:w="889" w:type="dxa"/>
            <w:shd w:val="clear" w:color="auto" w:fill="auto"/>
            <w:tcMar>
              <w:top w:w="100" w:type="dxa"/>
              <w:left w:w="100" w:type="dxa"/>
              <w:bottom w:w="100" w:type="dxa"/>
              <w:right w:w="100" w:type="dxa"/>
            </w:tcMar>
            <w:vAlign w:val="top"/>
          </w:tcPr>
          <w:p w14:paraId="53F6165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56 </w:t>
            </w:r>
          </w:p>
        </w:tc>
        <w:tc>
          <w:tcPr>
            <w:tcW w:w="484" w:type="dxa"/>
            <w:shd w:val="clear" w:color="auto" w:fill="auto"/>
            <w:tcMar>
              <w:top w:w="100" w:type="dxa"/>
              <w:left w:w="100" w:type="dxa"/>
              <w:bottom w:w="100" w:type="dxa"/>
              <w:right w:w="100" w:type="dxa"/>
            </w:tcMar>
            <w:vAlign w:val="top"/>
          </w:tcPr>
          <w:p w14:paraId="1A825EB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51 </w:t>
            </w:r>
          </w:p>
        </w:tc>
        <w:tc>
          <w:tcPr>
            <w:tcW w:w="1016" w:type="dxa"/>
            <w:shd w:val="clear" w:color="auto" w:fill="auto"/>
            <w:tcMar>
              <w:top w:w="100" w:type="dxa"/>
              <w:left w:w="100" w:type="dxa"/>
              <w:bottom w:w="100" w:type="dxa"/>
              <w:right w:w="100" w:type="dxa"/>
            </w:tcMar>
            <w:vAlign w:val="top"/>
          </w:tcPr>
          <w:p w14:paraId="27DDEA4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41</w:t>
            </w:r>
          </w:p>
        </w:tc>
      </w:tr>
      <w:tr w14:paraId="560449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390" w:hRule="atLeast"/>
        </w:trPr>
        <w:tc>
          <w:tcPr>
            <w:tcW w:w="503" w:type="dxa"/>
            <w:shd w:val="clear" w:color="auto" w:fill="auto"/>
            <w:tcMar>
              <w:top w:w="100" w:type="dxa"/>
              <w:left w:w="100" w:type="dxa"/>
              <w:bottom w:w="100" w:type="dxa"/>
              <w:right w:w="100" w:type="dxa"/>
            </w:tcMar>
            <w:vAlign w:val="top"/>
          </w:tcPr>
          <w:p w14:paraId="61876C6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2 </w:t>
            </w:r>
          </w:p>
        </w:tc>
        <w:tc>
          <w:tcPr>
            <w:tcW w:w="3157" w:type="dxa"/>
            <w:shd w:val="clear" w:color="auto" w:fill="auto"/>
            <w:tcMar>
              <w:top w:w="100" w:type="dxa"/>
              <w:left w:w="100" w:type="dxa"/>
              <w:bottom w:w="100" w:type="dxa"/>
              <w:right w:w="100" w:type="dxa"/>
            </w:tcMar>
            <w:vAlign w:val="top"/>
          </w:tcPr>
          <w:p w14:paraId="1C7AA1D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Păşune </w:t>
            </w:r>
          </w:p>
        </w:tc>
        <w:tc>
          <w:tcPr>
            <w:tcW w:w="1211" w:type="dxa"/>
            <w:shd w:val="clear" w:color="auto" w:fill="auto"/>
            <w:tcMar>
              <w:top w:w="100" w:type="dxa"/>
              <w:left w:w="100" w:type="dxa"/>
              <w:bottom w:w="100" w:type="dxa"/>
              <w:right w:w="100" w:type="dxa"/>
            </w:tcMar>
            <w:vAlign w:val="top"/>
          </w:tcPr>
          <w:p w14:paraId="07B0283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56 </w:t>
            </w:r>
          </w:p>
        </w:tc>
        <w:tc>
          <w:tcPr>
            <w:tcW w:w="889" w:type="dxa"/>
            <w:shd w:val="clear" w:color="auto" w:fill="auto"/>
            <w:tcMar>
              <w:top w:w="100" w:type="dxa"/>
              <w:left w:w="100" w:type="dxa"/>
              <w:bottom w:w="100" w:type="dxa"/>
              <w:right w:w="100" w:type="dxa"/>
            </w:tcMar>
            <w:vAlign w:val="top"/>
          </w:tcPr>
          <w:p w14:paraId="59DA6A8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51 </w:t>
            </w:r>
          </w:p>
        </w:tc>
        <w:tc>
          <w:tcPr>
            <w:tcW w:w="484" w:type="dxa"/>
            <w:shd w:val="clear" w:color="auto" w:fill="auto"/>
            <w:tcMar>
              <w:top w:w="100" w:type="dxa"/>
              <w:left w:w="100" w:type="dxa"/>
              <w:bottom w:w="100" w:type="dxa"/>
              <w:right w:w="100" w:type="dxa"/>
            </w:tcMar>
            <w:vAlign w:val="top"/>
          </w:tcPr>
          <w:p w14:paraId="5485DFE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41 </w:t>
            </w:r>
          </w:p>
        </w:tc>
        <w:tc>
          <w:tcPr>
            <w:tcW w:w="1016" w:type="dxa"/>
            <w:shd w:val="clear" w:color="auto" w:fill="auto"/>
            <w:tcMar>
              <w:top w:w="100" w:type="dxa"/>
              <w:left w:w="100" w:type="dxa"/>
              <w:bottom w:w="100" w:type="dxa"/>
              <w:right w:w="100" w:type="dxa"/>
            </w:tcMar>
            <w:vAlign w:val="top"/>
          </w:tcPr>
          <w:p w14:paraId="19581FE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36</w:t>
            </w:r>
          </w:p>
        </w:tc>
      </w:tr>
      <w:tr w14:paraId="11165F9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390" w:hRule="atLeast"/>
        </w:trPr>
        <w:tc>
          <w:tcPr>
            <w:tcW w:w="503" w:type="dxa"/>
            <w:shd w:val="clear" w:color="auto" w:fill="auto"/>
            <w:tcMar>
              <w:top w:w="100" w:type="dxa"/>
              <w:left w:w="100" w:type="dxa"/>
              <w:bottom w:w="100" w:type="dxa"/>
              <w:right w:w="100" w:type="dxa"/>
            </w:tcMar>
            <w:vAlign w:val="top"/>
          </w:tcPr>
          <w:p w14:paraId="3827D44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3 </w:t>
            </w:r>
          </w:p>
        </w:tc>
        <w:tc>
          <w:tcPr>
            <w:tcW w:w="3157" w:type="dxa"/>
            <w:shd w:val="clear" w:color="auto" w:fill="auto"/>
            <w:tcMar>
              <w:top w:w="100" w:type="dxa"/>
              <w:left w:w="100" w:type="dxa"/>
              <w:bottom w:w="100" w:type="dxa"/>
              <w:right w:w="100" w:type="dxa"/>
            </w:tcMar>
            <w:vAlign w:val="top"/>
          </w:tcPr>
          <w:p w14:paraId="175639B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Fâneaţă </w:t>
            </w:r>
          </w:p>
        </w:tc>
        <w:tc>
          <w:tcPr>
            <w:tcW w:w="1211" w:type="dxa"/>
            <w:shd w:val="clear" w:color="auto" w:fill="auto"/>
            <w:tcMar>
              <w:top w:w="100" w:type="dxa"/>
              <w:left w:w="100" w:type="dxa"/>
              <w:bottom w:w="100" w:type="dxa"/>
              <w:right w:w="100" w:type="dxa"/>
            </w:tcMar>
            <w:vAlign w:val="top"/>
          </w:tcPr>
          <w:p w14:paraId="7E83EC9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56 </w:t>
            </w:r>
          </w:p>
        </w:tc>
        <w:tc>
          <w:tcPr>
            <w:tcW w:w="889" w:type="dxa"/>
            <w:shd w:val="clear" w:color="auto" w:fill="auto"/>
            <w:tcMar>
              <w:top w:w="100" w:type="dxa"/>
              <w:left w:w="100" w:type="dxa"/>
              <w:bottom w:w="100" w:type="dxa"/>
              <w:right w:w="100" w:type="dxa"/>
            </w:tcMar>
            <w:vAlign w:val="top"/>
          </w:tcPr>
          <w:p w14:paraId="29525E4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51 </w:t>
            </w:r>
          </w:p>
        </w:tc>
        <w:tc>
          <w:tcPr>
            <w:tcW w:w="484" w:type="dxa"/>
            <w:shd w:val="clear" w:color="auto" w:fill="auto"/>
            <w:tcMar>
              <w:top w:w="100" w:type="dxa"/>
              <w:left w:w="100" w:type="dxa"/>
              <w:bottom w:w="100" w:type="dxa"/>
              <w:right w:w="100" w:type="dxa"/>
            </w:tcMar>
            <w:vAlign w:val="top"/>
          </w:tcPr>
          <w:p w14:paraId="687C3C6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41 </w:t>
            </w:r>
          </w:p>
        </w:tc>
        <w:tc>
          <w:tcPr>
            <w:tcW w:w="1016" w:type="dxa"/>
            <w:shd w:val="clear" w:color="auto" w:fill="auto"/>
            <w:tcMar>
              <w:top w:w="100" w:type="dxa"/>
              <w:left w:w="100" w:type="dxa"/>
              <w:bottom w:w="100" w:type="dxa"/>
              <w:right w:w="100" w:type="dxa"/>
            </w:tcMar>
            <w:vAlign w:val="top"/>
          </w:tcPr>
          <w:p w14:paraId="7BF9D0F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36</w:t>
            </w:r>
          </w:p>
        </w:tc>
      </w:tr>
      <w:tr w14:paraId="7B535A0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390" w:hRule="atLeast"/>
        </w:trPr>
        <w:tc>
          <w:tcPr>
            <w:tcW w:w="503" w:type="dxa"/>
            <w:shd w:val="clear" w:color="auto" w:fill="auto"/>
            <w:tcMar>
              <w:top w:w="100" w:type="dxa"/>
              <w:left w:w="100" w:type="dxa"/>
              <w:bottom w:w="100" w:type="dxa"/>
              <w:right w:w="100" w:type="dxa"/>
            </w:tcMar>
            <w:vAlign w:val="top"/>
          </w:tcPr>
          <w:p w14:paraId="31AF2C7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4 </w:t>
            </w:r>
          </w:p>
        </w:tc>
        <w:tc>
          <w:tcPr>
            <w:tcW w:w="3157" w:type="dxa"/>
            <w:shd w:val="clear" w:color="auto" w:fill="auto"/>
            <w:tcMar>
              <w:top w:w="100" w:type="dxa"/>
              <w:left w:w="100" w:type="dxa"/>
              <w:bottom w:w="100" w:type="dxa"/>
              <w:right w:w="100" w:type="dxa"/>
            </w:tcMar>
            <w:vAlign w:val="top"/>
          </w:tcPr>
          <w:p w14:paraId="2368839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Vie </w:t>
            </w:r>
          </w:p>
        </w:tc>
        <w:tc>
          <w:tcPr>
            <w:tcW w:w="1211" w:type="dxa"/>
            <w:shd w:val="clear" w:color="auto" w:fill="auto"/>
            <w:tcMar>
              <w:top w:w="100" w:type="dxa"/>
              <w:left w:w="100" w:type="dxa"/>
              <w:bottom w:w="100" w:type="dxa"/>
              <w:right w:w="100" w:type="dxa"/>
            </w:tcMar>
            <w:vAlign w:val="top"/>
          </w:tcPr>
          <w:p w14:paraId="7DAD3C6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122 </w:t>
            </w:r>
          </w:p>
        </w:tc>
        <w:tc>
          <w:tcPr>
            <w:tcW w:w="889" w:type="dxa"/>
            <w:shd w:val="clear" w:color="auto" w:fill="auto"/>
            <w:tcMar>
              <w:top w:w="100" w:type="dxa"/>
              <w:left w:w="100" w:type="dxa"/>
              <w:bottom w:w="100" w:type="dxa"/>
              <w:right w:w="100" w:type="dxa"/>
            </w:tcMar>
            <w:vAlign w:val="top"/>
          </w:tcPr>
          <w:p w14:paraId="37F2102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94 </w:t>
            </w:r>
          </w:p>
        </w:tc>
        <w:tc>
          <w:tcPr>
            <w:tcW w:w="484" w:type="dxa"/>
            <w:shd w:val="clear" w:color="auto" w:fill="auto"/>
            <w:tcMar>
              <w:top w:w="100" w:type="dxa"/>
              <w:left w:w="100" w:type="dxa"/>
              <w:bottom w:w="100" w:type="dxa"/>
              <w:right w:w="100" w:type="dxa"/>
            </w:tcMar>
            <w:vAlign w:val="top"/>
          </w:tcPr>
          <w:p w14:paraId="5506622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75 </w:t>
            </w:r>
          </w:p>
        </w:tc>
        <w:tc>
          <w:tcPr>
            <w:tcW w:w="1016" w:type="dxa"/>
            <w:shd w:val="clear" w:color="auto" w:fill="auto"/>
            <w:tcMar>
              <w:top w:w="100" w:type="dxa"/>
              <w:left w:w="100" w:type="dxa"/>
              <w:bottom w:w="100" w:type="dxa"/>
              <w:right w:w="100" w:type="dxa"/>
            </w:tcMar>
            <w:vAlign w:val="top"/>
          </w:tcPr>
          <w:p w14:paraId="5A8A9F7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51</w:t>
            </w:r>
          </w:p>
        </w:tc>
      </w:tr>
      <w:tr w14:paraId="569D86E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390" w:hRule="atLeast"/>
        </w:trPr>
        <w:tc>
          <w:tcPr>
            <w:tcW w:w="503" w:type="dxa"/>
            <w:shd w:val="clear" w:color="auto" w:fill="auto"/>
            <w:tcMar>
              <w:top w:w="100" w:type="dxa"/>
              <w:left w:w="100" w:type="dxa"/>
              <w:bottom w:w="100" w:type="dxa"/>
              <w:right w:w="100" w:type="dxa"/>
            </w:tcMar>
            <w:vAlign w:val="top"/>
          </w:tcPr>
          <w:p w14:paraId="716470C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5 </w:t>
            </w:r>
          </w:p>
        </w:tc>
        <w:tc>
          <w:tcPr>
            <w:tcW w:w="3157" w:type="dxa"/>
            <w:shd w:val="clear" w:color="auto" w:fill="auto"/>
            <w:tcMar>
              <w:top w:w="100" w:type="dxa"/>
              <w:left w:w="100" w:type="dxa"/>
              <w:bottom w:w="100" w:type="dxa"/>
              <w:right w:w="100" w:type="dxa"/>
            </w:tcMar>
            <w:vAlign w:val="top"/>
          </w:tcPr>
          <w:p w14:paraId="2450FF3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Livadă </w:t>
            </w:r>
          </w:p>
        </w:tc>
        <w:tc>
          <w:tcPr>
            <w:tcW w:w="1211" w:type="dxa"/>
            <w:shd w:val="clear" w:color="auto" w:fill="auto"/>
            <w:tcMar>
              <w:top w:w="100" w:type="dxa"/>
              <w:left w:w="100" w:type="dxa"/>
              <w:bottom w:w="100" w:type="dxa"/>
              <w:right w:w="100" w:type="dxa"/>
            </w:tcMar>
            <w:vAlign w:val="top"/>
          </w:tcPr>
          <w:p w14:paraId="7A0A001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143 </w:t>
            </w:r>
          </w:p>
        </w:tc>
        <w:tc>
          <w:tcPr>
            <w:tcW w:w="889" w:type="dxa"/>
            <w:shd w:val="clear" w:color="auto" w:fill="auto"/>
            <w:tcMar>
              <w:top w:w="100" w:type="dxa"/>
              <w:left w:w="100" w:type="dxa"/>
              <w:bottom w:w="100" w:type="dxa"/>
              <w:right w:w="100" w:type="dxa"/>
            </w:tcMar>
            <w:vAlign w:val="top"/>
          </w:tcPr>
          <w:p w14:paraId="48DC7B5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122 </w:t>
            </w:r>
          </w:p>
        </w:tc>
        <w:tc>
          <w:tcPr>
            <w:tcW w:w="484" w:type="dxa"/>
            <w:shd w:val="clear" w:color="auto" w:fill="auto"/>
            <w:tcMar>
              <w:top w:w="100" w:type="dxa"/>
              <w:left w:w="100" w:type="dxa"/>
              <w:bottom w:w="100" w:type="dxa"/>
              <w:right w:w="100" w:type="dxa"/>
            </w:tcMar>
            <w:vAlign w:val="top"/>
          </w:tcPr>
          <w:p w14:paraId="6DF5526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94 </w:t>
            </w:r>
          </w:p>
        </w:tc>
        <w:tc>
          <w:tcPr>
            <w:tcW w:w="1016" w:type="dxa"/>
            <w:shd w:val="clear" w:color="auto" w:fill="auto"/>
            <w:tcMar>
              <w:top w:w="100" w:type="dxa"/>
              <w:left w:w="100" w:type="dxa"/>
              <w:bottom w:w="100" w:type="dxa"/>
              <w:right w:w="100" w:type="dxa"/>
            </w:tcMar>
            <w:vAlign w:val="top"/>
          </w:tcPr>
          <w:p w14:paraId="1B34A54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75</w:t>
            </w:r>
          </w:p>
        </w:tc>
      </w:tr>
      <w:tr w14:paraId="314A3A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505" w:hRule="atLeast"/>
        </w:trPr>
        <w:tc>
          <w:tcPr>
            <w:tcW w:w="503" w:type="dxa"/>
            <w:shd w:val="clear" w:color="auto" w:fill="auto"/>
            <w:tcMar>
              <w:top w:w="100" w:type="dxa"/>
              <w:left w:w="100" w:type="dxa"/>
              <w:bottom w:w="100" w:type="dxa"/>
              <w:right w:w="100" w:type="dxa"/>
            </w:tcMar>
            <w:vAlign w:val="top"/>
          </w:tcPr>
          <w:p w14:paraId="34A3A6C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6 </w:t>
            </w:r>
          </w:p>
        </w:tc>
        <w:tc>
          <w:tcPr>
            <w:tcW w:w="3157" w:type="dxa"/>
            <w:shd w:val="clear" w:color="auto" w:fill="auto"/>
            <w:tcMar>
              <w:top w:w="100" w:type="dxa"/>
              <w:left w:w="100" w:type="dxa"/>
              <w:bottom w:w="100" w:type="dxa"/>
              <w:right w:w="100" w:type="dxa"/>
            </w:tcMar>
            <w:vAlign w:val="top"/>
          </w:tcPr>
          <w:p w14:paraId="5C4EBAC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12"/>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Pădure sau alt teren cu vegetaţie  forestieră</w:t>
            </w:r>
          </w:p>
        </w:tc>
        <w:tc>
          <w:tcPr>
            <w:tcW w:w="1211" w:type="dxa"/>
            <w:shd w:val="clear" w:color="auto" w:fill="auto"/>
            <w:tcMar>
              <w:top w:w="100" w:type="dxa"/>
              <w:left w:w="100" w:type="dxa"/>
              <w:bottom w:w="100" w:type="dxa"/>
              <w:right w:w="100" w:type="dxa"/>
            </w:tcMar>
            <w:vAlign w:val="top"/>
          </w:tcPr>
          <w:p w14:paraId="217C712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75 </w:t>
            </w:r>
          </w:p>
        </w:tc>
        <w:tc>
          <w:tcPr>
            <w:tcW w:w="889" w:type="dxa"/>
            <w:shd w:val="clear" w:color="auto" w:fill="auto"/>
            <w:tcMar>
              <w:top w:w="100" w:type="dxa"/>
              <w:left w:w="100" w:type="dxa"/>
              <w:bottom w:w="100" w:type="dxa"/>
              <w:right w:w="100" w:type="dxa"/>
            </w:tcMar>
            <w:vAlign w:val="top"/>
          </w:tcPr>
          <w:p w14:paraId="064905A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56 </w:t>
            </w:r>
          </w:p>
        </w:tc>
        <w:tc>
          <w:tcPr>
            <w:tcW w:w="484" w:type="dxa"/>
            <w:shd w:val="clear" w:color="auto" w:fill="auto"/>
            <w:tcMar>
              <w:top w:w="100" w:type="dxa"/>
              <w:left w:w="100" w:type="dxa"/>
              <w:bottom w:w="100" w:type="dxa"/>
              <w:right w:w="100" w:type="dxa"/>
            </w:tcMar>
            <w:vAlign w:val="top"/>
          </w:tcPr>
          <w:p w14:paraId="6D89F74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51 </w:t>
            </w:r>
          </w:p>
        </w:tc>
        <w:tc>
          <w:tcPr>
            <w:tcW w:w="1016" w:type="dxa"/>
            <w:shd w:val="clear" w:color="auto" w:fill="auto"/>
            <w:tcMar>
              <w:top w:w="100" w:type="dxa"/>
              <w:left w:w="100" w:type="dxa"/>
              <w:bottom w:w="100" w:type="dxa"/>
              <w:right w:w="100" w:type="dxa"/>
            </w:tcMar>
            <w:vAlign w:val="top"/>
          </w:tcPr>
          <w:p w14:paraId="5776FE7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41</w:t>
            </w:r>
          </w:p>
        </w:tc>
      </w:tr>
      <w:tr w14:paraId="7EDACA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390" w:hRule="atLeast"/>
        </w:trPr>
        <w:tc>
          <w:tcPr>
            <w:tcW w:w="503" w:type="dxa"/>
            <w:shd w:val="clear" w:color="auto" w:fill="auto"/>
            <w:tcMar>
              <w:top w:w="100" w:type="dxa"/>
              <w:left w:w="100" w:type="dxa"/>
              <w:bottom w:w="100" w:type="dxa"/>
              <w:right w:w="100" w:type="dxa"/>
            </w:tcMar>
            <w:vAlign w:val="top"/>
          </w:tcPr>
          <w:p w14:paraId="1B30964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7 </w:t>
            </w:r>
          </w:p>
        </w:tc>
        <w:tc>
          <w:tcPr>
            <w:tcW w:w="3157" w:type="dxa"/>
            <w:shd w:val="clear" w:color="auto" w:fill="auto"/>
            <w:tcMar>
              <w:top w:w="100" w:type="dxa"/>
              <w:left w:w="100" w:type="dxa"/>
              <w:bottom w:w="100" w:type="dxa"/>
              <w:right w:w="100" w:type="dxa"/>
            </w:tcMar>
            <w:vAlign w:val="top"/>
          </w:tcPr>
          <w:p w14:paraId="47CFD2A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Teren cu ape </w:t>
            </w:r>
          </w:p>
        </w:tc>
        <w:tc>
          <w:tcPr>
            <w:tcW w:w="1211" w:type="dxa"/>
            <w:shd w:val="clear" w:color="auto" w:fill="auto"/>
            <w:tcMar>
              <w:top w:w="100" w:type="dxa"/>
              <w:left w:w="100" w:type="dxa"/>
              <w:bottom w:w="100" w:type="dxa"/>
              <w:right w:w="100" w:type="dxa"/>
            </w:tcMar>
            <w:vAlign w:val="top"/>
          </w:tcPr>
          <w:p w14:paraId="61A31CA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41 </w:t>
            </w:r>
          </w:p>
        </w:tc>
        <w:tc>
          <w:tcPr>
            <w:tcW w:w="889" w:type="dxa"/>
            <w:shd w:val="clear" w:color="auto" w:fill="auto"/>
            <w:tcMar>
              <w:top w:w="100" w:type="dxa"/>
              <w:left w:w="100" w:type="dxa"/>
              <w:bottom w:w="100" w:type="dxa"/>
              <w:right w:w="100" w:type="dxa"/>
            </w:tcMar>
            <w:vAlign w:val="top"/>
          </w:tcPr>
          <w:p w14:paraId="15AD4D6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36 </w:t>
            </w:r>
          </w:p>
        </w:tc>
        <w:tc>
          <w:tcPr>
            <w:tcW w:w="484" w:type="dxa"/>
            <w:shd w:val="clear" w:color="auto" w:fill="auto"/>
            <w:tcMar>
              <w:top w:w="100" w:type="dxa"/>
              <w:left w:w="100" w:type="dxa"/>
              <w:bottom w:w="100" w:type="dxa"/>
              <w:right w:w="100" w:type="dxa"/>
            </w:tcMar>
            <w:vAlign w:val="top"/>
          </w:tcPr>
          <w:p w14:paraId="5626197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22 </w:t>
            </w:r>
          </w:p>
        </w:tc>
        <w:tc>
          <w:tcPr>
            <w:tcW w:w="1016" w:type="dxa"/>
            <w:shd w:val="clear" w:color="auto" w:fill="auto"/>
            <w:tcMar>
              <w:top w:w="100" w:type="dxa"/>
              <w:left w:w="100" w:type="dxa"/>
              <w:bottom w:w="100" w:type="dxa"/>
              <w:right w:w="100" w:type="dxa"/>
            </w:tcMar>
            <w:vAlign w:val="top"/>
          </w:tcPr>
          <w:p w14:paraId="704B285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0</w:t>
            </w:r>
          </w:p>
        </w:tc>
      </w:tr>
      <w:tr w14:paraId="4E6E32B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390" w:hRule="atLeast"/>
        </w:trPr>
        <w:tc>
          <w:tcPr>
            <w:tcW w:w="503" w:type="dxa"/>
            <w:shd w:val="clear" w:color="auto" w:fill="auto"/>
            <w:tcMar>
              <w:top w:w="100" w:type="dxa"/>
              <w:left w:w="100" w:type="dxa"/>
              <w:bottom w:w="100" w:type="dxa"/>
              <w:right w:w="100" w:type="dxa"/>
            </w:tcMar>
            <w:vAlign w:val="top"/>
          </w:tcPr>
          <w:p w14:paraId="34666E0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8 </w:t>
            </w:r>
          </w:p>
        </w:tc>
        <w:tc>
          <w:tcPr>
            <w:tcW w:w="3157" w:type="dxa"/>
            <w:shd w:val="clear" w:color="auto" w:fill="auto"/>
            <w:tcMar>
              <w:top w:w="100" w:type="dxa"/>
              <w:left w:w="100" w:type="dxa"/>
              <w:bottom w:w="100" w:type="dxa"/>
              <w:right w:w="100" w:type="dxa"/>
            </w:tcMar>
            <w:vAlign w:val="top"/>
          </w:tcPr>
          <w:p w14:paraId="1A4C13E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Drumuri şi căi ferate </w:t>
            </w:r>
          </w:p>
        </w:tc>
        <w:tc>
          <w:tcPr>
            <w:tcW w:w="1211" w:type="dxa"/>
            <w:shd w:val="clear" w:color="auto" w:fill="auto"/>
            <w:tcMar>
              <w:top w:w="100" w:type="dxa"/>
              <w:left w:w="100" w:type="dxa"/>
              <w:bottom w:w="100" w:type="dxa"/>
              <w:right w:w="100" w:type="dxa"/>
            </w:tcMar>
            <w:vAlign w:val="top"/>
          </w:tcPr>
          <w:p w14:paraId="408E255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0 </w:t>
            </w:r>
          </w:p>
        </w:tc>
        <w:tc>
          <w:tcPr>
            <w:tcW w:w="889" w:type="dxa"/>
            <w:shd w:val="clear" w:color="auto" w:fill="auto"/>
            <w:tcMar>
              <w:top w:w="100" w:type="dxa"/>
              <w:left w:w="100" w:type="dxa"/>
              <w:bottom w:w="100" w:type="dxa"/>
              <w:right w:w="100" w:type="dxa"/>
            </w:tcMar>
            <w:vAlign w:val="top"/>
          </w:tcPr>
          <w:p w14:paraId="5342EE5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0 </w:t>
            </w:r>
          </w:p>
        </w:tc>
        <w:tc>
          <w:tcPr>
            <w:tcW w:w="484" w:type="dxa"/>
            <w:shd w:val="clear" w:color="auto" w:fill="auto"/>
            <w:tcMar>
              <w:top w:w="100" w:type="dxa"/>
              <w:left w:w="100" w:type="dxa"/>
              <w:bottom w:w="100" w:type="dxa"/>
              <w:right w:w="100" w:type="dxa"/>
            </w:tcMar>
            <w:vAlign w:val="top"/>
          </w:tcPr>
          <w:p w14:paraId="6914C58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0 </w:t>
            </w:r>
          </w:p>
        </w:tc>
        <w:tc>
          <w:tcPr>
            <w:tcW w:w="1016" w:type="dxa"/>
            <w:shd w:val="clear" w:color="auto" w:fill="auto"/>
            <w:tcMar>
              <w:top w:w="100" w:type="dxa"/>
              <w:left w:w="100" w:type="dxa"/>
              <w:bottom w:w="100" w:type="dxa"/>
              <w:right w:w="100" w:type="dxa"/>
            </w:tcMar>
            <w:vAlign w:val="top"/>
          </w:tcPr>
          <w:p w14:paraId="30E4663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0</w:t>
            </w:r>
          </w:p>
        </w:tc>
      </w:tr>
      <w:tr w14:paraId="220104A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505" w:hRule="atLeast"/>
        </w:trPr>
        <w:tc>
          <w:tcPr>
            <w:tcW w:w="503" w:type="dxa"/>
            <w:shd w:val="clear" w:color="auto" w:fill="auto"/>
            <w:tcMar>
              <w:top w:w="100" w:type="dxa"/>
              <w:left w:w="100" w:type="dxa"/>
              <w:bottom w:w="100" w:type="dxa"/>
              <w:right w:w="100" w:type="dxa"/>
            </w:tcMar>
            <w:vAlign w:val="top"/>
          </w:tcPr>
          <w:p w14:paraId="61F968B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9 </w:t>
            </w:r>
          </w:p>
        </w:tc>
        <w:tc>
          <w:tcPr>
            <w:tcW w:w="3157" w:type="dxa"/>
            <w:shd w:val="clear" w:color="auto" w:fill="auto"/>
            <w:tcMar>
              <w:top w:w="100" w:type="dxa"/>
              <w:left w:w="100" w:type="dxa"/>
              <w:bottom w:w="100" w:type="dxa"/>
              <w:right w:w="100" w:type="dxa"/>
            </w:tcMar>
            <w:vAlign w:val="top"/>
          </w:tcPr>
          <w:p w14:paraId="51A1E9D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4"/>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Teren neproductiv, cu excepția  celor de la pct. 10</w:t>
            </w:r>
          </w:p>
        </w:tc>
        <w:tc>
          <w:tcPr>
            <w:tcW w:w="1211" w:type="dxa"/>
            <w:shd w:val="clear" w:color="auto" w:fill="auto"/>
            <w:tcMar>
              <w:top w:w="100" w:type="dxa"/>
              <w:left w:w="100" w:type="dxa"/>
              <w:bottom w:w="100" w:type="dxa"/>
              <w:right w:w="100" w:type="dxa"/>
            </w:tcMar>
            <w:vAlign w:val="top"/>
          </w:tcPr>
          <w:p w14:paraId="00674DA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0 </w:t>
            </w:r>
          </w:p>
        </w:tc>
        <w:tc>
          <w:tcPr>
            <w:tcW w:w="889" w:type="dxa"/>
            <w:shd w:val="clear" w:color="auto" w:fill="auto"/>
            <w:tcMar>
              <w:top w:w="100" w:type="dxa"/>
              <w:left w:w="100" w:type="dxa"/>
              <w:bottom w:w="100" w:type="dxa"/>
              <w:right w:w="100" w:type="dxa"/>
            </w:tcMar>
            <w:vAlign w:val="top"/>
          </w:tcPr>
          <w:p w14:paraId="54EF6F0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0 </w:t>
            </w:r>
          </w:p>
        </w:tc>
        <w:tc>
          <w:tcPr>
            <w:tcW w:w="484" w:type="dxa"/>
            <w:shd w:val="clear" w:color="auto" w:fill="auto"/>
            <w:tcMar>
              <w:top w:w="100" w:type="dxa"/>
              <w:left w:w="100" w:type="dxa"/>
              <w:bottom w:w="100" w:type="dxa"/>
              <w:right w:w="100" w:type="dxa"/>
            </w:tcMar>
            <w:vAlign w:val="top"/>
          </w:tcPr>
          <w:p w14:paraId="6426D96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0 </w:t>
            </w:r>
          </w:p>
        </w:tc>
        <w:tc>
          <w:tcPr>
            <w:tcW w:w="1016" w:type="dxa"/>
            <w:shd w:val="clear" w:color="auto" w:fill="auto"/>
            <w:tcMar>
              <w:top w:w="100" w:type="dxa"/>
              <w:left w:w="100" w:type="dxa"/>
              <w:bottom w:w="100" w:type="dxa"/>
              <w:right w:w="100" w:type="dxa"/>
            </w:tcMar>
            <w:vAlign w:val="top"/>
          </w:tcPr>
          <w:p w14:paraId="63F4661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0</w:t>
            </w:r>
          </w:p>
        </w:tc>
      </w:tr>
      <w:tr w14:paraId="00FC485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505" w:hRule="atLeast"/>
        </w:trPr>
        <w:tc>
          <w:tcPr>
            <w:tcW w:w="503" w:type="dxa"/>
            <w:shd w:val="clear" w:color="auto" w:fill="auto"/>
            <w:tcMar>
              <w:top w:w="100" w:type="dxa"/>
              <w:left w:w="100" w:type="dxa"/>
              <w:bottom w:w="100" w:type="dxa"/>
              <w:right w:w="100" w:type="dxa"/>
            </w:tcMar>
            <w:vAlign w:val="top"/>
          </w:tcPr>
          <w:p w14:paraId="2274199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t>10</w:t>
            </w:r>
          </w:p>
        </w:tc>
        <w:tc>
          <w:tcPr>
            <w:tcW w:w="3157" w:type="dxa"/>
            <w:shd w:val="clear" w:color="auto" w:fill="auto"/>
            <w:tcMar>
              <w:top w:w="100" w:type="dxa"/>
              <w:left w:w="100" w:type="dxa"/>
              <w:bottom w:w="100" w:type="dxa"/>
              <w:right w:w="100" w:type="dxa"/>
            </w:tcMar>
            <w:vAlign w:val="top"/>
          </w:tcPr>
          <w:p w14:paraId="2C410DF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4"/>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Plaja folosită pentru activități  economice</w:t>
            </w:r>
          </w:p>
        </w:tc>
        <w:tc>
          <w:tcPr>
            <w:tcW w:w="1211" w:type="dxa"/>
            <w:shd w:val="clear" w:color="auto" w:fill="auto"/>
            <w:tcMar>
              <w:top w:w="100" w:type="dxa"/>
              <w:left w:w="100" w:type="dxa"/>
              <w:bottom w:w="100" w:type="dxa"/>
              <w:right w:w="100" w:type="dxa"/>
            </w:tcMar>
            <w:vAlign w:val="top"/>
          </w:tcPr>
          <w:p w14:paraId="46851C0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leftChars="0" w:right="0" w:rightChars="0" w:firstLine="0" w:firstLineChars="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41 </w:t>
            </w:r>
          </w:p>
        </w:tc>
        <w:tc>
          <w:tcPr>
            <w:tcW w:w="889" w:type="dxa"/>
            <w:shd w:val="clear" w:color="auto" w:fill="auto"/>
            <w:tcMar>
              <w:top w:w="100" w:type="dxa"/>
              <w:left w:w="100" w:type="dxa"/>
              <w:bottom w:w="100" w:type="dxa"/>
              <w:right w:w="100" w:type="dxa"/>
            </w:tcMar>
            <w:vAlign w:val="top"/>
          </w:tcPr>
          <w:p w14:paraId="5BD3321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leftChars="0" w:right="0" w:rightChars="0" w:firstLine="0" w:firstLineChars="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36 </w:t>
            </w:r>
          </w:p>
        </w:tc>
        <w:tc>
          <w:tcPr>
            <w:tcW w:w="484" w:type="dxa"/>
            <w:shd w:val="clear" w:color="auto" w:fill="auto"/>
            <w:tcMar>
              <w:top w:w="100" w:type="dxa"/>
              <w:left w:w="100" w:type="dxa"/>
              <w:bottom w:w="100" w:type="dxa"/>
              <w:right w:w="100" w:type="dxa"/>
            </w:tcMar>
            <w:vAlign w:val="top"/>
          </w:tcPr>
          <w:p w14:paraId="6010FE2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leftChars="0" w:right="0" w:rightChars="0" w:firstLine="0" w:firstLineChars="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22 </w:t>
            </w:r>
          </w:p>
        </w:tc>
        <w:tc>
          <w:tcPr>
            <w:tcW w:w="1016" w:type="dxa"/>
            <w:shd w:val="clear" w:color="auto" w:fill="auto"/>
            <w:tcMar>
              <w:top w:w="100" w:type="dxa"/>
              <w:left w:w="100" w:type="dxa"/>
              <w:bottom w:w="100" w:type="dxa"/>
              <w:right w:w="100" w:type="dxa"/>
            </w:tcMar>
            <w:vAlign w:val="top"/>
          </w:tcPr>
          <w:p w14:paraId="0E5638D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leftChars="0" w:right="0" w:rightChars="0" w:firstLine="0" w:firstLineChars="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0</w:t>
            </w:r>
          </w:p>
        </w:tc>
      </w:tr>
    </w:tbl>
    <w:p w14:paraId="0000013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righ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w:t>
      </w:r>
    </w:p>
    <w:p w14:paraId="0000017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right"/>
        <w:rPr>
          <w:rFonts w:hint="default" w:eastAsia="Verdana"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25FCA57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w:t>
      </w:r>
    </w:p>
    <w:p w14:paraId="7CC359F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5AA9513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75D8FF7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234A659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507124B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3207574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61B3F74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761340B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37A468D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5150A65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473E5F7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3F0CF01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2519FD9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2383B52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680DF44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4A6BB2E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346C6A5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64C6868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75F1D38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75BA5C2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5A51568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25F91FE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3764E7D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51F6DBB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2B50FCB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7227969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62B0003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0000018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(5) Suma stabilită conform alin. (4) se înmulţeşte cu coeficientul de corecţie corespunzător  prevăzut în următorul tabel:  </w:t>
      </w:r>
    </w:p>
    <w:tbl>
      <w:tblPr>
        <w:tblStyle w:val="61"/>
        <w:tblpPr w:leftFromText="180" w:rightFromText="180" w:vertAnchor="text" w:horzAnchor="margin" w:tblpX="1865" w:tblpY="218"/>
        <w:tblOverlap w:val="never"/>
        <w:tblW w:w="3661"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1525"/>
        <w:gridCol w:w="2136"/>
      </w:tblGrid>
      <w:tr w14:paraId="4FD5032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600" w:hRule="atLeast"/>
        </w:trPr>
        <w:tc>
          <w:tcPr>
            <w:shd w:val="clear" w:color="auto" w:fill="auto"/>
            <w:tcMar>
              <w:top w:w="100" w:type="dxa"/>
              <w:left w:w="100" w:type="dxa"/>
              <w:bottom w:w="100" w:type="dxa"/>
              <w:right w:w="100" w:type="dxa"/>
            </w:tcMar>
            <w:vAlign w:val="top"/>
          </w:tcPr>
          <w:p w14:paraId="189A750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Rangul localităţii </w:t>
            </w:r>
          </w:p>
        </w:tc>
        <w:tc>
          <w:tcPr>
            <w:shd w:val="clear" w:color="auto" w:fill="auto"/>
            <w:tcMar>
              <w:top w:w="100" w:type="dxa"/>
              <w:left w:w="100" w:type="dxa"/>
              <w:bottom w:w="100" w:type="dxa"/>
              <w:right w:w="100" w:type="dxa"/>
            </w:tcMar>
            <w:vAlign w:val="top"/>
          </w:tcPr>
          <w:p w14:paraId="22DCE46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Coeficientul de  corecţie</w:t>
            </w:r>
          </w:p>
        </w:tc>
      </w:tr>
      <w:tr w14:paraId="7B21C2E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374" w:hRule="atLeast"/>
        </w:trPr>
        <w:tc>
          <w:tcPr>
            <w:shd w:val="clear" w:color="auto" w:fill="auto"/>
            <w:tcMar>
              <w:top w:w="100" w:type="dxa"/>
              <w:left w:w="100" w:type="dxa"/>
              <w:bottom w:w="100" w:type="dxa"/>
              <w:right w:w="100" w:type="dxa"/>
            </w:tcMar>
            <w:vAlign w:val="top"/>
          </w:tcPr>
          <w:p w14:paraId="011BC08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0 </w:t>
            </w:r>
          </w:p>
        </w:tc>
        <w:tc>
          <w:tcPr>
            <w:shd w:val="clear" w:color="auto" w:fill="auto"/>
            <w:tcMar>
              <w:top w:w="100" w:type="dxa"/>
              <w:left w:w="100" w:type="dxa"/>
              <w:bottom w:w="100" w:type="dxa"/>
              <w:right w:w="100" w:type="dxa"/>
            </w:tcMar>
            <w:vAlign w:val="top"/>
          </w:tcPr>
          <w:p w14:paraId="5D14DA3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8,00</w:t>
            </w:r>
          </w:p>
        </w:tc>
      </w:tr>
      <w:tr w14:paraId="148FBB7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281" w:hRule="atLeast"/>
        </w:trPr>
        <w:tc>
          <w:tcPr>
            <w:shd w:val="clear" w:color="auto" w:fill="auto"/>
            <w:tcMar>
              <w:top w:w="100" w:type="dxa"/>
              <w:left w:w="100" w:type="dxa"/>
              <w:bottom w:w="100" w:type="dxa"/>
              <w:right w:w="100" w:type="dxa"/>
            </w:tcMar>
            <w:vAlign w:val="top"/>
          </w:tcPr>
          <w:p w14:paraId="2BF54BA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I </w:t>
            </w:r>
          </w:p>
        </w:tc>
        <w:tc>
          <w:tcPr>
            <w:shd w:val="clear" w:color="auto" w:fill="auto"/>
            <w:tcMar>
              <w:top w:w="100" w:type="dxa"/>
              <w:left w:w="100" w:type="dxa"/>
              <w:bottom w:w="100" w:type="dxa"/>
              <w:right w:w="100" w:type="dxa"/>
            </w:tcMar>
            <w:vAlign w:val="top"/>
          </w:tcPr>
          <w:p w14:paraId="323D087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5,00</w:t>
            </w:r>
          </w:p>
        </w:tc>
      </w:tr>
      <w:tr w14:paraId="52C381E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304" w:hRule="atLeast"/>
        </w:trPr>
        <w:tc>
          <w:tcPr>
            <w:shd w:val="clear" w:color="auto" w:fill="auto"/>
            <w:tcMar>
              <w:top w:w="100" w:type="dxa"/>
              <w:left w:w="100" w:type="dxa"/>
              <w:bottom w:w="100" w:type="dxa"/>
              <w:right w:w="100" w:type="dxa"/>
            </w:tcMar>
            <w:vAlign w:val="top"/>
          </w:tcPr>
          <w:p w14:paraId="3701D6B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II </w:t>
            </w:r>
          </w:p>
        </w:tc>
        <w:tc>
          <w:tcPr>
            <w:shd w:val="clear" w:color="auto" w:fill="auto"/>
            <w:tcMar>
              <w:top w:w="100" w:type="dxa"/>
              <w:left w:w="100" w:type="dxa"/>
              <w:bottom w:w="100" w:type="dxa"/>
              <w:right w:w="100" w:type="dxa"/>
            </w:tcMar>
            <w:vAlign w:val="top"/>
          </w:tcPr>
          <w:p w14:paraId="7F98417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4,00</w:t>
            </w:r>
          </w:p>
        </w:tc>
      </w:tr>
      <w:tr w14:paraId="0EA0EB1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351" w:hRule="atLeast"/>
        </w:trPr>
        <w:tc>
          <w:tcPr>
            <w:shd w:val="clear" w:color="auto" w:fill="auto"/>
            <w:tcMar>
              <w:top w:w="100" w:type="dxa"/>
              <w:left w:w="100" w:type="dxa"/>
              <w:bottom w:w="100" w:type="dxa"/>
              <w:right w:w="100" w:type="dxa"/>
            </w:tcMar>
            <w:vAlign w:val="top"/>
          </w:tcPr>
          <w:p w14:paraId="14FED3D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III </w:t>
            </w:r>
          </w:p>
        </w:tc>
        <w:tc>
          <w:tcPr>
            <w:shd w:val="clear" w:color="auto" w:fill="auto"/>
            <w:tcMar>
              <w:top w:w="100" w:type="dxa"/>
              <w:left w:w="100" w:type="dxa"/>
              <w:bottom w:w="100" w:type="dxa"/>
              <w:right w:w="100" w:type="dxa"/>
            </w:tcMar>
            <w:vAlign w:val="top"/>
          </w:tcPr>
          <w:p w14:paraId="39F89D8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3,00</w:t>
            </w:r>
          </w:p>
        </w:tc>
      </w:tr>
      <w:tr w14:paraId="008614B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213" w:hRule="atLeast"/>
        </w:trPr>
        <w:tc>
          <w:tcPr>
            <w:shd w:val="clear" w:color="auto" w:fill="auto"/>
            <w:tcMar>
              <w:top w:w="100" w:type="dxa"/>
              <w:left w:w="100" w:type="dxa"/>
              <w:bottom w:w="100" w:type="dxa"/>
              <w:right w:w="100" w:type="dxa"/>
            </w:tcMar>
            <w:vAlign w:val="top"/>
          </w:tcPr>
          <w:p w14:paraId="6F0065A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IV </w:t>
            </w:r>
          </w:p>
        </w:tc>
        <w:tc>
          <w:tcPr>
            <w:shd w:val="clear" w:color="auto" w:fill="auto"/>
            <w:tcMar>
              <w:top w:w="100" w:type="dxa"/>
              <w:left w:w="100" w:type="dxa"/>
              <w:bottom w:w="100" w:type="dxa"/>
              <w:right w:w="100" w:type="dxa"/>
            </w:tcMar>
            <w:vAlign w:val="top"/>
          </w:tcPr>
          <w:p w14:paraId="0F325D7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1,10</w:t>
            </w:r>
          </w:p>
        </w:tc>
      </w:tr>
      <w:tr w14:paraId="3710687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240" w:hRule="atLeast"/>
        </w:trPr>
        <w:tc>
          <w:tcPr>
            <w:shd w:val="clear" w:color="auto" w:fill="auto"/>
            <w:tcMar>
              <w:top w:w="100" w:type="dxa"/>
              <w:left w:w="100" w:type="dxa"/>
              <w:bottom w:w="100" w:type="dxa"/>
              <w:right w:w="100" w:type="dxa"/>
            </w:tcMar>
            <w:vAlign w:val="top"/>
          </w:tcPr>
          <w:p w14:paraId="279E33A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V </w:t>
            </w:r>
          </w:p>
        </w:tc>
        <w:tc>
          <w:tcPr>
            <w:shd w:val="clear" w:color="auto" w:fill="auto"/>
            <w:tcMar>
              <w:top w:w="100" w:type="dxa"/>
              <w:left w:w="100" w:type="dxa"/>
              <w:bottom w:w="100" w:type="dxa"/>
              <w:right w:w="100" w:type="dxa"/>
            </w:tcMar>
            <w:vAlign w:val="top"/>
          </w:tcPr>
          <w:p w14:paraId="066901D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1,00</w:t>
            </w:r>
          </w:p>
        </w:tc>
      </w:tr>
    </w:tbl>
    <w:p w14:paraId="0000018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righ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w:t>
      </w:r>
    </w:p>
    <w:p w14:paraId="0000019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176795D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both"/>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580C2B5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both"/>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5E79DF6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both"/>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09264B9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both"/>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36E3FD0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both"/>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20F5806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both"/>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0BC0D9B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both"/>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6424367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both"/>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68D7C18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both"/>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0145FBC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both"/>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54C9A67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both"/>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3239823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both"/>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31614E9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both"/>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33CF8ED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both"/>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4DD72D8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both"/>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0000019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(6) Ca excepţie de la prevederile alin. (3) - (5), în cazul contribuabililor persoane juridice,  pentru terenul amplasat în intravilan, înregistrat în registrul agricol la altă categorie de folosinţă  decât cea de terenuri cu construcţii, impozitul/taxa pe teren se calculează conform prevederilor  alin. (7) numai dacă îndeplinesc cumulativ următoarele condiţii: </w:t>
      </w:r>
    </w:p>
    <w:p w14:paraId="0000019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a) au prevăzut în statut, ca obiect de activitate, agricultură;  </w:t>
      </w:r>
    </w:p>
    <w:p w14:paraId="0000019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7"/>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b) au înregistrate în evidenţa contabilă, pentru anul fiscal respectiv, venituri şi cheltuieli din  desfăşurarea obiectului de activitate prevăzut la lit. a).  </w:t>
      </w:r>
    </w:p>
    <w:tbl>
      <w:tblPr>
        <w:tblStyle w:val="62"/>
        <w:tblpPr w:leftFromText="180" w:rightFromText="180" w:vertAnchor="text" w:horzAnchor="margin" w:tblpX="1231" w:tblpY="483"/>
        <w:tblOverlap w:val="never"/>
        <w:tblW w:w="9064"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542"/>
        <w:gridCol w:w="4826"/>
        <w:gridCol w:w="1345"/>
        <w:gridCol w:w="2351"/>
      </w:tblGrid>
      <w:tr w14:paraId="1BE465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600" w:hRule="atLeast"/>
        </w:trPr>
        <w:tc>
          <w:tcPr>
            <w:shd w:val="clear" w:color="auto" w:fill="auto"/>
            <w:tcMar>
              <w:top w:w="100" w:type="dxa"/>
              <w:left w:w="100" w:type="dxa"/>
              <w:bottom w:w="100" w:type="dxa"/>
              <w:right w:w="100" w:type="dxa"/>
            </w:tcMar>
            <w:vAlign w:val="top"/>
          </w:tcPr>
          <w:p w14:paraId="156D51A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righ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Nr.  </w:t>
            </w:r>
          </w:p>
          <w:p w14:paraId="544F40C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crt. </w:t>
            </w:r>
          </w:p>
        </w:tc>
        <w:tc>
          <w:tcPr>
            <w:shd w:val="clear" w:color="auto" w:fill="auto"/>
            <w:tcMar>
              <w:top w:w="100" w:type="dxa"/>
              <w:left w:w="100" w:type="dxa"/>
              <w:bottom w:w="100" w:type="dxa"/>
              <w:right w:w="100" w:type="dxa"/>
            </w:tcMar>
            <w:vAlign w:val="top"/>
          </w:tcPr>
          <w:p w14:paraId="4FAE949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Categoria de folosinţă </w:t>
            </w:r>
          </w:p>
        </w:tc>
        <w:tc>
          <w:tcPr>
            <w:shd w:val="clear" w:color="auto" w:fill="auto"/>
            <w:tcMar>
              <w:top w:w="100" w:type="dxa"/>
              <w:left w:w="100" w:type="dxa"/>
              <w:bottom w:w="100" w:type="dxa"/>
              <w:right w:w="100" w:type="dxa"/>
            </w:tcMar>
            <w:vAlign w:val="top"/>
          </w:tcPr>
          <w:p w14:paraId="497C2F3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Impozit (lei)</w:t>
            </w:r>
          </w:p>
          <w:p w14:paraId="35B67F9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pPr>
            <w:r>
              <w:rPr>
                <w:rFonts w:hint="default" w:eastAsia="Arial" w:cs="Arial" w:asciiTheme="minorAscii" w:hAnsiTheme="minorAscii"/>
                <w:b w:val="0"/>
                <w:bCs w:val="0"/>
                <w:i w:val="0"/>
                <w:iCs w:val="0"/>
                <w:strike w:val="0"/>
                <w:dstrike w:val="0"/>
                <w:color w:val="000000" w:themeColor="text1"/>
                <w:sz w:val="20"/>
                <w:szCs w:val="20"/>
                <w:u w:val="none"/>
                <w:shd w:val="clear" w:fill="auto"/>
                <w:vertAlign w:val="baseline"/>
                <w:rtl w:val="0"/>
                <w:lang w:val="ro-RO"/>
                <w14:textFill>
                  <w14:solidFill>
                    <w14:schemeClr w14:val="tx1"/>
                  </w14:solidFill>
                </w14:textFill>
              </w:rPr>
              <w:t>C</w:t>
            </w: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t>od Fiscal</w:t>
            </w:r>
          </w:p>
        </w:tc>
        <w:tc>
          <w:tcPr>
            <w:shd w:val="clear" w:color="auto" w:fill="auto"/>
            <w:tcMar>
              <w:top w:w="100" w:type="dxa"/>
              <w:left w:w="100" w:type="dxa"/>
              <w:bottom w:w="100" w:type="dxa"/>
              <w:right w:w="100" w:type="dxa"/>
            </w:tcMar>
            <w:vAlign w:val="top"/>
          </w:tcPr>
          <w:p w14:paraId="3F4F0C6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Nivel stabilit</w:t>
            </w:r>
          </w:p>
          <w:p w14:paraId="397713E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t xml:space="preserve">2026 de Consiliul Local </w:t>
            </w:r>
          </w:p>
        </w:tc>
      </w:tr>
      <w:tr w14:paraId="3CBA74E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312" w:hRule="atLeast"/>
        </w:trPr>
        <w:tc>
          <w:tcPr>
            <w:shd w:val="clear" w:color="auto" w:fill="auto"/>
            <w:tcMar>
              <w:top w:w="100" w:type="dxa"/>
              <w:left w:w="100" w:type="dxa"/>
              <w:bottom w:w="100" w:type="dxa"/>
              <w:right w:w="100" w:type="dxa"/>
            </w:tcMar>
            <w:vAlign w:val="top"/>
          </w:tcPr>
          <w:p w14:paraId="26074DA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1 </w:t>
            </w:r>
          </w:p>
        </w:tc>
        <w:tc>
          <w:tcPr>
            <w:shd w:val="clear" w:color="auto" w:fill="auto"/>
            <w:tcMar>
              <w:top w:w="100" w:type="dxa"/>
              <w:left w:w="100" w:type="dxa"/>
              <w:bottom w:w="100" w:type="dxa"/>
              <w:right w:w="100" w:type="dxa"/>
            </w:tcMar>
            <w:vAlign w:val="top"/>
          </w:tcPr>
          <w:p w14:paraId="5FB00F8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Teren cu construcţii </w:t>
            </w:r>
          </w:p>
        </w:tc>
        <w:tc>
          <w:tcPr>
            <w:shd w:val="clear" w:color="auto" w:fill="auto"/>
            <w:tcMar>
              <w:top w:w="100" w:type="dxa"/>
              <w:left w:w="100" w:type="dxa"/>
              <w:bottom w:w="100" w:type="dxa"/>
              <w:right w:w="100" w:type="dxa"/>
            </w:tcMar>
            <w:vAlign w:val="top"/>
          </w:tcPr>
          <w:p w14:paraId="3F1E7C9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60-83 </w:t>
            </w:r>
          </w:p>
        </w:tc>
        <w:tc>
          <w:tcPr>
            <w:shd w:val="clear" w:color="auto" w:fill="auto"/>
            <w:tcMar>
              <w:top w:w="100" w:type="dxa"/>
              <w:left w:w="100" w:type="dxa"/>
              <w:bottom w:w="100" w:type="dxa"/>
              <w:right w:w="100" w:type="dxa"/>
            </w:tcMar>
            <w:vAlign w:val="top"/>
          </w:tcPr>
          <w:p w14:paraId="7C9F3DE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60</w:t>
            </w:r>
          </w:p>
        </w:tc>
      </w:tr>
      <w:tr w14:paraId="36DA3F7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246" w:hRule="atLeast"/>
        </w:trPr>
        <w:tc>
          <w:tcPr>
            <w:shd w:val="clear" w:color="auto" w:fill="auto"/>
            <w:tcMar>
              <w:top w:w="100" w:type="dxa"/>
              <w:left w:w="100" w:type="dxa"/>
              <w:bottom w:w="100" w:type="dxa"/>
              <w:right w:w="100" w:type="dxa"/>
            </w:tcMar>
            <w:vAlign w:val="top"/>
          </w:tcPr>
          <w:p w14:paraId="6FCF47D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2 </w:t>
            </w:r>
          </w:p>
        </w:tc>
        <w:tc>
          <w:tcPr>
            <w:shd w:val="clear" w:color="auto" w:fill="auto"/>
            <w:tcMar>
              <w:top w:w="100" w:type="dxa"/>
              <w:left w:w="100" w:type="dxa"/>
              <w:bottom w:w="100" w:type="dxa"/>
              <w:right w:w="100" w:type="dxa"/>
            </w:tcMar>
            <w:vAlign w:val="top"/>
          </w:tcPr>
          <w:p w14:paraId="22D7218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Teren arabil </w:t>
            </w:r>
          </w:p>
        </w:tc>
        <w:tc>
          <w:tcPr>
            <w:shd w:val="clear" w:color="auto" w:fill="auto"/>
            <w:tcMar>
              <w:top w:w="100" w:type="dxa"/>
              <w:left w:w="100" w:type="dxa"/>
              <w:bottom w:w="100" w:type="dxa"/>
              <w:right w:w="100" w:type="dxa"/>
            </w:tcMar>
            <w:vAlign w:val="top"/>
          </w:tcPr>
          <w:p w14:paraId="2D63A3E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112-134 </w:t>
            </w:r>
          </w:p>
        </w:tc>
        <w:tc>
          <w:tcPr>
            <w:shd w:val="clear" w:color="auto" w:fill="auto"/>
            <w:tcMar>
              <w:top w:w="100" w:type="dxa"/>
              <w:left w:w="100" w:type="dxa"/>
              <w:bottom w:w="100" w:type="dxa"/>
              <w:right w:w="100" w:type="dxa"/>
            </w:tcMar>
            <w:vAlign w:val="top"/>
          </w:tcPr>
          <w:p w14:paraId="54AF8F1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112</w:t>
            </w:r>
          </w:p>
        </w:tc>
      </w:tr>
      <w:tr w14:paraId="365F87D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293" w:hRule="atLeast"/>
        </w:trPr>
        <w:tc>
          <w:tcPr>
            <w:shd w:val="clear" w:color="auto" w:fill="auto"/>
            <w:tcMar>
              <w:top w:w="100" w:type="dxa"/>
              <w:left w:w="100" w:type="dxa"/>
              <w:bottom w:w="100" w:type="dxa"/>
              <w:right w:w="100" w:type="dxa"/>
            </w:tcMar>
            <w:vAlign w:val="top"/>
          </w:tcPr>
          <w:p w14:paraId="5C3A7EC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3 </w:t>
            </w:r>
          </w:p>
        </w:tc>
        <w:tc>
          <w:tcPr>
            <w:shd w:val="clear" w:color="auto" w:fill="auto"/>
            <w:tcMar>
              <w:top w:w="100" w:type="dxa"/>
              <w:left w:w="100" w:type="dxa"/>
              <w:bottom w:w="100" w:type="dxa"/>
              <w:right w:w="100" w:type="dxa"/>
            </w:tcMar>
            <w:vAlign w:val="top"/>
          </w:tcPr>
          <w:p w14:paraId="3379439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Păşune </w:t>
            </w:r>
          </w:p>
        </w:tc>
        <w:tc>
          <w:tcPr>
            <w:shd w:val="clear" w:color="auto" w:fill="auto"/>
            <w:tcMar>
              <w:top w:w="100" w:type="dxa"/>
              <w:left w:w="100" w:type="dxa"/>
              <w:bottom w:w="100" w:type="dxa"/>
              <w:right w:w="100" w:type="dxa"/>
            </w:tcMar>
            <w:vAlign w:val="top"/>
          </w:tcPr>
          <w:p w14:paraId="5B54DD0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54-75 </w:t>
            </w:r>
          </w:p>
        </w:tc>
        <w:tc>
          <w:tcPr>
            <w:shd w:val="clear" w:color="auto" w:fill="auto"/>
            <w:tcMar>
              <w:top w:w="100" w:type="dxa"/>
              <w:left w:w="100" w:type="dxa"/>
              <w:bottom w:w="100" w:type="dxa"/>
              <w:right w:w="100" w:type="dxa"/>
            </w:tcMar>
            <w:vAlign w:val="top"/>
          </w:tcPr>
          <w:p w14:paraId="61D7865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54</w:t>
            </w:r>
          </w:p>
        </w:tc>
      </w:tr>
      <w:tr w14:paraId="237E726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363" w:hRule="atLeast"/>
        </w:trPr>
        <w:tc>
          <w:tcPr>
            <w:shd w:val="clear" w:color="auto" w:fill="auto"/>
            <w:tcMar>
              <w:top w:w="100" w:type="dxa"/>
              <w:left w:w="100" w:type="dxa"/>
              <w:bottom w:w="100" w:type="dxa"/>
              <w:right w:w="100" w:type="dxa"/>
            </w:tcMar>
            <w:vAlign w:val="top"/>
          </w:tcPr>
          <w:p w14:paraId="376A9A4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4 </w:t>
            </w:r>
          </w:p>
        </w:tc>
        <w:tc>
          <w:tcPr>
            <w:shd w:val="clear" w:color="auto" w:fill="auto"/>
            <w:tcMar>
              <w:top w:w="100" w:type="dxa"/>
              <w:left w:w="100" w:type="dxa"/>
              <w:bottom w:w="100" w:type="dxa"/>
              <w:right w:w="100" w:type="dxa"/>
            </w:tcMar>
            <w:vAlign w:val="top"/>
          </w:tcPr>
          <w:p w14:paraId="7B224CC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Fâneaţă </w:t>
            </w:r>
          </w:p>
        </w:tc>
        <w:tc>
          <w:tcPr>
            <w:shd w:val="clear" w:color="auto" w:fill="auto"/>
            <w:tcMar>
              <w:top w:w="100" w:type="dxa"/>
              <w:left w:w="100" w:type="dxa"/>
              <w:bottom w:w="100" w:type="dxa"/>
              <w:right w:w="100" w:type="dxa"/>
            </w:tcMar>
            <w:vAlign w:val="top"/>
          </w:tcPr>
          <w:p w14:paraId="78A8F06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54-75 </w:t>
            </w:r>
          </w:p>
        </w:tc>
        <w:tc>
          <w:tcPr>
            <w:shd w:val="clear" w:color="auto" w:fill="auto"/>
            <w:tcMar>
              <w:top w:w="100" w:type="dxa"/>
              <w:left w:w="100" w:type="dxa"/>
              <w:bottom w:w="100" w:type="dxa"/>
              <w:right w:w="100" w:type="dxa"/>
            </w:tcMar>
            <w:vAlign w:val="top"/>
          </w:tcPr>
          <w:p w14:paraId="2B67192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54</w:t>
            </w:r>
          </w:p>
        </w:tc>
      </w:tr>
      <w:tr w14:paraId="65E58E2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247" w:hRule="atLeast"/>
        </w:trPr>
        <w:tc>
          <w:tcPr>
            <w:shd w:val="clear" w:color="auto" w:fill="auto"/>
            <w:tcMar>
              <w:top w:w="100" w:type="dxa"/>
              <w:left w:w="100" w:type="dxa"/>
              <w:bottom w:w="100" w:type="dxa"/>
              <w:right w:w="100" w:type="dxa"/>
            </w:tcMar>
            <w:vAlign w:val="top"/>
          </w:tcPr>
          <w:p w14:paraId="0A443D5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5 </w:t>
            </w:r>
          </w:p>
        </w:tc>
        <w:tc>
          <w:tcPr>
            <w:shd w:val="clear" w:color="auto" w:fill="auto"/>
            <w:tcMar>
              <w:top w:w="100" w:type="dxa"/>
              <w:left w:w="100" w:type="dxa"/>
              <w:bottom w:w="100" w:type="dxa"/>
              <w:right w:w="100" w:type="dxa"/>
            </w:tcMar>
            <w:vAlign w:val="top"/>
          </w:tcPr>
          <w:p w14:paraId="18233D4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Vie </w:t>
            </w:r>
          </w:p>
        </w:tc>
        <w:tc>
          <w:tcPr>
            <w:shd w:val="clear" w:color="auto" w:fill="auto"/>
            <w:tcMar>
              <w:top w:w="100" w:type="dxa"/>
              <w:left w:w="100" w:type="dxa"/>
              <w:bottom w:w="100" w:type="dxa"/>
              <w:right w:w="100" w:type="dxa"/>
            </w:tcMar>
            <w:vAlign w:val="top"/>
          </w:tcPr>
          <w:p w14:paraId="7E1E2EE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129-148 </w:t>
            </w:r>
          </w:p>
        </w:tc>
        <w:tc>
          <w:tcPr>
            <w:shd w:val="clear" w:color="auto" w:fill="auto"/>
            <w:tcMar>
              <w:top w:w="100" w:type="dxa"/>
              <w:left w:w="100" w:type="dxa"/>
              <w:bottom w:w="100" w:type="dxa"/>
              <w:right w:w="100" w:type="dxa"/>
            </w:tcMar>
            <w:vAlign w:val="top"/>
          </w:tcPr>
          <w:p w14:paraId="15EADC7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129</w:t>
            </w:r>
          </w:p>
        </w:tc>
      </w:tr>
      <w:tr w14:paraId="47AFF74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246" w:hRule="atLeast"/>
        </w:trPr>
        <w:tc>
          <w:tcPr>
            <w:shd w:val="clear" w:color="auto" w:fill="auto"/>
            <w:tcMar>
              <w:top w:w="100" w:type="dxa"/>
              <w:left w:w="100" w:type="dxa"/>
              <w:bottom w:w="100" w:type="dxa"/>
              <w:right w:w="100" w:type="dxa"/>
            </w:tcMar>
            <w:vAlign w:val="top"/>
          </w:tcPr>
          <w:p w14:paraId="688AF2C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6 </w:t>
            </w:r>
          </w:p>
        </w:tc>
        <w:tc>
          <w:tcPr>
            <w:shd w:val="clear" w:color="auto" w:fill="auto"/>
            <w:tcMar>
              <w:top w:w="100" w:type="dxa"/>
              <w:left w:w="100" w:type="dxa"/>
              <w:bottom w:w="100" w:type="dxa"/>
              <w:right w:w="100" w:type="dxa"/>
            </w:tcMar>
            <w:vAlign w:val="top"/>
          </w:tcPr>
          <w:p w14:paraId="3A32802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Livadă </w:t>
            </w:r>
          </w:p>
        </w:tc>
        <w:tc>
          <w:tcPr>
            <w:shd w:val="clear" w:color="auto" w:fill="auto"/>
            <w:tcMar>
              <w:top w:w="100" w:type="dxa"/>
              <w:left w:w="100" w:type="dxa"/>
              <w:bottom w:w="100" w:type="dxa"/>
              <w:right w:w="100" w:type="dxa"/>
            </w:tcMar>
            <w:vAlign w:val="top"/>
          </w:tcPr>
          <w:p w14:paraId="61BE8EC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129-150 </w:t>
            </w:r>
          </w:p>
        </w:tc>
        <w:tc>
          <w:tcPr>
            <w:shd w:val="clear" w:color="auto" w:fill="auto"/>
            <w:tcMar>
              <w:top w:w="100" w:type="dxa"/>
              <w:left w:w="100" w:type="dxa"/>
              <w:bottom w:w="100" w:type="dxa"/>
              <w:right w:w="100" w:type="dxa"/>
            </w:tcMar>
            <w:vAlign w:val="top"/>
          </w:tcPr>
          <w:p w14:paraId="14D081E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129</w:t>
            </w:r>
          </w:p>
        </w:tc>
      </w:tr>
      <w:tr w14:paraId="22E88EC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362" w:hRule="atLeast"/>
        </w:trPr>
        <w:tc>
          <w:tcPr>
            <w:shd w:val="clear" w:color="auto" w:fill="auto"/>
            <w:tcMar>
              <w:top w:w="100" w:type="dxa"/>
              <w:left w:w="100" w:type="dxa"/>
              <w:bottom w:w="100" w:type="dxa"/>
              <w:right w:w="100" w:type="dxa"/>
            </w:tcMar>
            <w:vAlign w:val="top"/>
          </w:tcPr>
          <w:p w14:paraId="34991CD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7 </w:t>
            </w:r>
          </w:p>
        </w:tc>
        <w:tc>
          <w:tcPr>
            <w:shd w:val="clear" w:color="auto" w:fill="auto"/>
            <w:tcMar>
              <w:top w:w="100" w:type="dxa"/>
              <w:left w:w="100" w:type="dxa"/>
              <w:bottom w:w="100" w:type="dxa"/>
              <w:right w:w="100" w:type="dxa"/>
            </w:tcMar>
            <w:vAlign w:val="top"/>
          </w:tcPr>
          <w:p w14:paraId="0CE9646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Pădure sau alt teren cu vegetaţie forestieră </w:t>
            </w:r>
          </w:p>
        </w:tc>
        <w:tc>
          <w:tcPr>
            <w:shd w:val="clear" w:color="auto" w:fill="auto"/>
            <w:tcMar>
              <w:top w:w="100" w:type="dxa"/>
              <w:left w:w="100" w:type="dxa"/>
              <w:bottom w:w="100" w:type="dxa"/>
              <w:right w:w="100" w:type="dxa"/>
            </w:tcMar>
            <w:vAlign w:val="top"/>
          </w:tcPr>
          <w:p w14:paraId="01D7BC6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22-43 </w:t>
            </w:r>
          </w:p>
        </w:tc>
        <w:tc>
          <w:tcPr>
            <w:shd w:val="clear" w:color="auto" w:fill="auto"/>
            <w:tcMar>
              <w:top w:w="100" w:type="dxa"/>
              <w:left w:w="100" w:type="dxa"/>
              <w:bottom w:w="100" w:type="dxa"/>
              <w:right w:w="100" w:type="dxa"/>
            </w:tcMar>
            <w:vAlign w:val="top"/>
          </w:tcPr>
          <w:p w14:paraId="4475A44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lang w:val="ro-RO"/>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t>43</w:t>
            </w:r>
          </w:p>
        </w:tc>
      </w:tr>
      <w:tr w14:paraId="54D710F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316" w:hRule="atLeast"/>
        </w:trPr>
        <w:tc>
          <w:tcPr>
            <w:shd w:val="clear" w:color="auto" w:fill="auto"/>
            <w:tcMar>
              <w:top w:w="100" w:type="dxa"/>
              <w:left w:w="100" w:type="dxa"/>
              <w:bottom w:w="100" w:type="dxa"/>
              <w:right w:w="100" w:type="dxa"/>
            </w:tcMar>
            <w:vAlign w:val="top"/>
          </w:tcPr>
          <w:p w14:paraId="0D1B922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8 </w:t>
            </w:r>
          </w:p>
        </w:tc>
        <w:tc>
          <w:tcPr>
            <w:shd w:val="clear" w:color="auto" w:fill="auto"/>
            <w:tcMar>
              <w:top w:w="100" w:type="dxa"/>
              <w:left w:w="100" w:type="dxa"/>
              <w:bottom w:w="100" w:type="dxa"/>
              <w:right w:w="100" w:type="dxa"/>
            </w:tcMar>
            <w:vAlign w:val="top"/>
          </w:tcPr>
          <w:p w14:paraId="6A16FC1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Teren cu apă </w:t>
            </w:r>
          </w:p>
        </w:tc>
        <w:tc>
          <w:tcPr>
            <w:shd w:val="clear" w:color="auto" w:fill="auto"/>
            <w:tcMar>
              <w:top w:w="100" w:type="dxa"/>
              <w:left w:w="100" w:type="dxa"/>
              <w:bottom w:w="100" w:type="dxa"/>
              <w:right w:w="100" w:type="dxa"/>
            </w:tcMar>
            <w:vAlign w:val="top"/>
          </w:tcPr>
          <w:p w14:paraId="42B54DC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3-15 </w:t>
            </w:r>
          </w:p>
        </w:tc>
        <w:tc>
          <w:tcPr>
            <w:shd w:val="clear" w:color="auto" w:fill="auto"/>
            <w:tcMar>
              <w:top w:w="100" w:type="dxa"/>
              <w:left w:w="100" w:type="dxa"/>
              <w:bottom w:w="100" w:type="dxa"/>
              <w:right w:w="100" w:type="dxa"/>
            </w:tcMar>
            <w:vAlign w:val="top"/>
          </w:tcPr>
          <w:p w14:paraId="3AFA875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10</w:t>
            </w:r>
          </w:p>
        </w:tc>
      </w:tr>
      <w:tr w14:paraId="7C17F20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247" w:hRule="atLeast"/>
        </w:trPr>
        <w:tc>
          <w:tcPr>
            <w:shd w:val="clear" w:color="auto" w:fill="auto"/>
            <w:tcMar>
              <w:top w:w="100" w:type="dxa"/>
              <w:left w:w="100" w:type="dxa"/>
              <w:bottom w:w="100" w:type="dxa"/>
              <w:right w:w="100" w:type="dxa"/>
            </w:tcMar>
            <w:vAlign w:val="top"/>
          </w:tcPr>
          <w:p w14:paraId="3F1B9A1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9 </w:t>
            </w:r>
          </w:p>
        </w:tc>
        <w:tc>
          <w:tcPr>
            <w:shd w:val="clear" w:color="auto" w:fill="auto"/>
            <w:tcMar>
              <w:top w:w="100" w:type="dxa"/>
              <w:left w:w="100" w:type="dxa"/>
              <w:bottom w:w="100" w:type="dxa"/>
              <w:right w:w="100" w:type="dxa"/>
            </w:tcMar>
            <w:vAlign w:val="top"/>
          </w:tcPr>
          <w:p w14:paraId="3F37323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Drumuri şi căi ferate </w:t>
            </w:r>
          </w:p>
        </w:tc>
        <w:tc>
          <w:tcPr>
            <w:shd w:val="clear" w:color="auto" w:fill="auto"/>
            <w:tcMar>
              <w:top w:w="100" w:type="dxa"/>
              <w:left w:w="100" w:type="dxa"/>
              <w:bottom w:w="100" w:type="dxa"/>
              <w:right w:w="100" w:type="dxa"/>
            </w:tcMar>
            <w:vAlign w:val="top"/>
          </w:tcPr>
          <w:p w14:paraId="7654AD9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0 </w:t>
            </w:r>
          </w:p>
        </w:tc>
        <w:tc>
          <w:tcPr>
            <w:shd w:val="clear" w:color="auto" w:fill="auto"/>
            <w:tcMar>
              <w:top w:w="100" w:type="dxa"/>
              <w:left w:w="100" w:type="dxa"/>
              <w:bottom w:w="100" w:type="dxa"/>
              <w:right w:w="100" w:type="dxa"/>
            </w:tcMar>
            <w:vAlign w:val="top"/>
          </w:tcPr>
          <w:p w14:paraId="5335A03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0</w:t>
            </w:r>
          </w:p>
        </w:tc>
      </w:tr>
      <w:tr w14:paraId="4E058C8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262" w:hRule="atLeast"/>
        </w:trPr>
        <w:tc>
          <w:tcPr>
            <w:shd w:val="clear" w:color="auto" w:fill="auto"/>
            <w:tcMar>
              <w:top w:w="100" w:type="dxa"/>
              <w:left w:w="100" w:type="dxa"/>
              <w:bottom w:w="100" w:type="dxa"/>
              <w:right w:w="100" w:type="dxa"/>
            </w:tcMar>
            <w:vAlign w:val="top"/>
          </w:tcPr>
          <w:p w14:paraId="10BC702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10 </w:t>
            </w:r>
          </w:p>
        </w:tc>
        <w:tc>
          <w:tcPr>
            <w:shd w:val="clear" w:color="auto" w:fill="auto"/>
            <w:tcMar>
              <w:top w:w="100" w:type="dxa"/>
              <w:left w:w="100" w:type="dxa"/>
              <w:bottom w:w="100" w:type="dxa"/>
              <w:right w:w="100" w:type="dxa"/>
            </w:tcMar>
            <w:vAlign w:val="top"/>
          </w:tcPr>
          <w:p w14:paraId="591AD8E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Teren neproductiv, cu excepția celor de la pct. 11 </w:t>
            </w:r>
          </w:p>
        </w:tc>
        <w:tc>
          <w:tcPr>
            <w:shd w:val="clear" w:color="auto" w:fill="auto"/>
            <w:tcMar>
              <w:top w:w="100" w:type="dxa"/>
              <w:left w:w="100" w:type="dxa"/>
              <w:bottom w:w="100" w:type="dxa"/>
              <w:right w:w="100" w:type="dxa"/>
            </w:tcMar>
            <w:vAlign w:val="top"/>
          </w:tcPr>
          <w:p w14:paraId="204E732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0 </w:t>
            </w:r>
          </w:p>
        </w:tc>
        <w:tc>
          <w:tcPr>
            <w:shd w:val="clear" w:color="auto" w:fill="auto"/>
            <w:tcMar>
              <w:top w:w="100" w:type="dxa"/>
              <w:left w:w="100" w:type="dxa"/>
              <w:bottom w:w="100" w:type="dxa"/>
              <w:right w:w="100" w:type="dxa"/>
            </w:tcMar>
            <w:vAlign w:val="top"/>
          </w:tcPr>
          <w:p w14:paraId="7407CB9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0</w:t>
            </w:r>
          </w:p>
        </w:tc>
      </w:tr>
      <w:tr w14:paraId="700BD7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375" w:hRule="atLeast"/>
        </w:trPr>
        <w:tc>
          <w:tcPr>
            <w:shd w:val="clear" w:color="auto" w:fill="auto"/>
            <w:tcMar>
              <w:top w:w="100" w:type="dxa"/>
              <w:left w:w="100" w:type="dxa"/>
              <w:bottom w:w="100" w:type="dxa"/>
              <w:right w:w="100" w:type="dxa"/>
            </w:tcMar>
            <w:vAlign w:val="top"/>
          </w:tcPr>
          <w:p w14:paraId="4D0B8A6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11 </w:t>
            </w:r>
          </w:p>
        </w:tc>
        <w:tc>
          <w:tcPr>
            <w:shd w:val="clear" w:color="auto" w:fill="auto"/>
            <w:tcMar>
              <w:top w:w="100" w:type="dxa"/>
              <w:left w:w="100" w:type="dxa"/>
              <w:bottom w:w="100" w:type="dxa"/>
              <w:right w:w="100" w:type="dxa"/>
            </w:tcMar>
            <w:vAlign w:val="top"/>
          </w:tcPr>
          <w:p w14:paraId="393276B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Plaja folosită pentru activități economice </w:t>
            </w:r>
          </w:p>
        </w:tc>
        <w:tc>
          <w:tcPr>
            <w:shd w:val="clear" w:color="auto" w:fill="auto"/>
            <w:tcMar>
              <w:top w:w="100" w:type="dxa"/>
              <w:left w:w="100" w:type="dxa"/>
              <w:bottom w:w="100" w:type="dxa"/>
              <w:right w:w="100" w:type="dxa"/>
            </w:tcMar>
            <w:vAlign w:val="top"/>
          </w:tcPr>
          <w:p w14:paraId="56B24CA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3-15 </w:t>
            </w:r>
          </w:p>
        </w:tc>
        <w:tc>
          <w:tcPr>
            <w:shd w:val="clear" w:color="auto" w:fill="auto"/>
            <w:tcMar>
              <w:top w:w="100" w:type="dxa"/>
              <w:left w:w="100" w:type="dxa"/>
              <w:bottom w:w="100" w:type="dxa"/>
              <w:right w:w="100" w:type="dxa"/>
            </w:tcMar>
            <w:vAlign w:val="top"/>
          </w:tcPr>
          <w:p w14:paraId="3429752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10</w:t>
            </w:r>
          </w:p>
        </w:tc>
      </w:tr>
    </w:tbl>
    <w:p w14:paraId="00AF4F1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284F9AC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6E48434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49313CC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4E1EDC2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5923ED0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6373570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267A3FD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2C4BEE2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483C819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42CEFB4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0F92418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37A72A9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35AD077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309A67B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08DF91C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1CCF1B5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68923A9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02749A5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082BF53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1C48FB7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1A0D7D4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5EC5650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386466B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0BBEDBA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67CFF55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79F26FA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0000019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(7) În cazul unui teren amplasat în extravilan, impozitul/taxa pe teren se stabileşte prin  înmulţirea suprafeţei terenului, exprimată în hectare, cu suma corespunzătoare prevăzută în  următorul tabel, înmulţită cu coeficientul de corecţie corespunzător prevăzut la alin. (5):   </w:t>
      </w:r>
    </w:p>
    <w:p w14:paraId="000001C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8"/>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 </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(7</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superscript"/>
          <w:rtl w:val="0"/>
          <w14:textFill>
            <w14:solidFill>
              <w14:schemeClr w14:val="tx1"/>
            </w14:solidFill>
          </w14:textFill>
        </w:rPr>
        <w:t>1</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În cazul terenurilor aparţinând cultelor religioase recunoscute oficial în România şi  asociaţiilor religioase, precum şi componentelor locale ale acestora, cu excepţia suprafeţelor  care sunt folosite pentru activităţi economice, valoarea impozabilă se stabileşte prin asimilare  cu terenurile neproductive.</w:t>
      </w:r>
    </w:p>
    <w:p w14:paraId="000001C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1"/>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Verdana"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 </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(8) Înregistrarea în registrul agricol a datelor privind clădirile şi terenurile, a titularului  dreptului de proprietate asupra acestora, precum şi</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schimbarea categoriei de folosinţă se pot  face numai pe bază de documente, anexate la declaraţia făcută sub semnătura proprie a capului  de gospodărie sau, în lipsa acestuia, a unui membru major al gospodăriei. Procedura de  înregistrare şi categoriile de documente se vor stabili prin norme metodologice.  </w:t>
      </w:r>
    </w:p>
    <w:p w14:paraId="000001D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Art. 14. (466) - Declararea şi datorarea impozitului şi a taxei pe teren  (1) Impozitul pe teren este datorat pentru întregul an fiscal de persoana care are în proprietate  terenul la data de 31 decembrie a anului fiscal anterior.  </w:t>
      </w:r>
    </w:p>
    <w:p w14:paraId="000001D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8"/>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(2) În cazul dobândirii unui teren în cursul anului, proprietarul acestuia are obligaţia să depună  o nouă declaraţie de impunere la organul fiscal local în a cărui rază teritorială de competenţă se  află terenul, în termen de 30 de zile de la data dobândirii, şi datorează impozit pe teren începând  cu data de 1 ianuarie a anului următor.  </w:t>
      </w:r>
    </w:p>
    <w:p w14:paraId="2748C7B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(3) În cazul în care dreptul de proprietate asupra unui teren este transmis în cursul unui an  fiscal, impozitul este datorat de persoana care deţine dreptul de proprietate asupra terenului la  data de 31 decembrie a anului fiscal anterior anului în care se înstrăinează.   (4) Dacă încadrarea terenului în funcţie de rangul localităţii şi zonă se modifică în cursul unui  an sau în cursul anului intervine un eveniment care conduce la modificarea impozitului pe teren,  impozitul se calculează conform noii situaţii începând cu data de 1 ianuarie a anului următor.   (5) În cazul modificării categoriei de folosinţă a terenului, proprietarul acestuia are obligaţia  să depună o nouă declaraţie de impunere la organul fiscal local în a cărui rază teritorială de  competenţă se află terenul, în termen de 30 de zile de la data modificării folosinţei, şi datorează  impozitul pe teren conform noii situaţii începând cu data de 1 ianuarie a anului următor.   </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(6) În cazul terenurilor la care se constată diferenţe între suprafeţele înscrise în actele de  proprietate şi situaţia reală rezultată din măsurătorile executate în condiţiile Legii nr. </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color="auto" w:fill="auto"/>
          <w:vertAlign w:val="baseline"/>
          <w:rtl w:val="0"/>
          <w14:textFill>
            <w14:solidFill>
              <w14:schemeClr w14:val="tx1"/>
            </w14:solidFill>
          </w14:textFill>
        </w:rPr>
        <w:t>7/1996</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  republicată, cu modificările şi completările ulterioare, pentru determinarea sarcinii fiscale se au  în vedere suprafeţele care corespund situaţiei reale, dovedite prin lucrări de cadastru. Datele  rezultate din lucrările de cadastru se înscriu în evidenţele fiscale, în registrul agricol, precum şi  în cartea funciară, iar impozitul se calculează conform noii situaţii începând cu data de 1  ianuarie a anului următor celui în care se înregistrează lucrarea de cadastru la oficiile de cadastru  şi publicitate imobiliară, ca anexă la declaraţia fiscală. </w:t>
      </w:r>
    </w:p>
    <w:p w14:paraId="000001D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(7) În cazul unui teren care face obiectul unui contract de leasing financiar, pe întreaga durată  a acestuia se aplică următoarele reguli:  </w:t>
      </w:r>
    </w:p>
    <w:p w14:paraId="000001D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8"/>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a) impozitul pe teren se datorează de locatar, începând cu data de 1 ianuarie a anului următor  celui în care a fost încheiat contractul;  </w:t>
      </w:r>
    </w:p>
    <w:p w14:paraId="000001D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b) în cazul în care contractul de leasing financiar încetează altfel decât prin ajungerea la  scadenţă, impozitul pe teren se datorează de locator, începând cu data de 1 ianuarie a anului  următor celui în care terenul a fost predat locatorului prin încheierea procesului-verbal de  predare-primire a bunului sau a altor documente similare care atestă intrarea bunului în posesia  locatorului ca urmare a rezilierii contractului de leasing;  </w:t>
      </w:r>
    </w:p>
    <w:p w14:paraId="000001D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1"/>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c) atât locatorul, cât şi locatarul au obligaţia depunerii declaraţiei fiscale la organul fiscal local  în a cărui rază de competenţă se află terenul, în termen de 30 de zile de la data finalizării  contractului de leasing sau a încheierii procesului-verbal de predare a bunului sau a altor  documente similare care atestă intrarea bunului în posesia locatorului ca urmare a rezilierii  contractului de leasing însoţită de o copie a acestor documente.  </w:t>
      </w:r>
    </w:p>
    <w:p w14:paraId="000001D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(8) În cazul terenurilor pentru care se datorează taxa pe teren, în temeiul unui contract de  concesiune, închiriere, administrare ori folosinţă care se referă la perioade mai mari de o lună,  titularul dreptului de concesiune, închiriere, administrare ori folosinţă are obligaţia depunerii  unei declaraţii la organul fiscal local până la data de 25 inclusiv a lunii următoare intrării în  vigoare a contractului.  </w:t>
      </w:r>
    </w:p>
    <w:p w14:paraId="000001D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(9) În cazul terenurilor pentru care se datorează taxa pe teren, în temeiul unor contracte de  concesiune, închiriere, administrare ori folosinţă care se referă la perioade mai mici de o lună,  persoana de drept public care transmite dreptul de concesiune, închiriere, administrare ori  folosinţă are obligaţia să depună o declaraţie la organul fiscal local, până la data de 25 inclusiv  a lunii următoare intrării în vigoare a contractelor, la care anexează o situaţie centralizatoare a  acestor contracte. </w:t>
      </w:r>
    </w:p>
    <w:p w14:paraId="000001D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14:textFill>
            <w14:solidFill>
              <w14:schemeClr w14:val="tx1"/>
            </w14:solidFill>
          </w14:textFill>
        </w:rPr>
      </w:pPr>
      <w:r>
        <w:rPr>
          <w:rFonts w:hint="default" w:eastAsia="Verdana"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 </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(9</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superscript"/>
          <w:rtl w:val="0"/>
          <w14:textFill>
            <w14:solidFill>
              <w14:schemeClr w14:val="tx1"/>
            </w14:solidFill>
          </w14:textFill>
        </w:rPr>
        <w:t>1</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 În cazul terenurilor pentru care se datorează taxa pe teren, în temeiul unui contract de  concesiune, închiriere, administrare ori folosinţă care se referă la perioade mai mari de un an,  titularul dreptului de concesiune, închiriere, administrare ori folosinţă are obligaţia depunerii  unei declaraţii la organul fiscal local în termen de 30 de zile de la data intrării în vigoare a  contractului şi datorează taxa pe teren începând cu data de 1 ianuarie a anului următor. </w:t>
      </w:r>
    </w:p>
    <w:p w14:paraId="000001D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1"/>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 (10) În cazul unei situaţii care determină modificarea taxei pe teren datorate, persoana care  datorează taxa pe teren are obligaţia să depună o declar</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aţie la organul fiscal local în a cărui rază  teritorială de competenţă se află terenul, până la data de 25 a lunii următoare celei în care s-a  înregistrat situaţia respectivă.  </w:t>
      </w:r>
    </w:p>
    <w:p w14:paraId="000001D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7"/>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(11) Declararea terenurilor în scop fiscal nu este condiţionată de înregistrarea acestor terenuri  la oficiile de cadastru şi publicitate imobiliară.  </w:t>
      </w:r>
    </w:p>
    <w:p w14:paraId="18A0C06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(12) Depunerea declaraţiilor fiscale reprezintă o obligaţie şi în cazul persoanelor care  beneficiază de scutiri sau reduceri de la plata impozitului sau a taxei pe teren.  </w:t>
      </w:r>
    </w:p>
    <w:p w14:paraId="3BE09CD5">
      <w:pPr>
        <w:keepNext w:val="0"/>
        <w:keepLines w:val="0"/>
        <w:pageBreakBefore w:val="0"/>
        <w:kinsoku/>
        <w:wordWrap/>
        <w:overflowPunct/>
        <w:topLinePunct w:val="0"/>
        <w:autoSpaceDE w:val="0"/>
        <w:autoSpaceDN w:val="0"/>
        <w:bidi w:val="0"/>
        <w:adjustRightInd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en-US" w:eastAsia="ro-RO"/>
          <w14:textFill>
            <w14:solidFill>
              <w14:schemeClr w14:val="tx1"/>
            </w14:solidFill>
          </w14:textFill>
        </w:rPr>
        <w:t>*</w:t>
      </w:r>
      <w: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t>Prin  excepţie în cazul contribuabililor persoane juridice, pentru terenul amplasat în intravilan, înregistrat în registrul agricol la altă categorie de folosinţă decât cea de terenuri cu construcţii, impozitul/taxa pe teren se calculează conform prevederilor alin. (5) numai dacă îndeplinesc, cumulativ, următoarele condiţii:</w:t>
      </w:r>
    </w:p>
    <w:p w14:paraId="32ED683A">
      <w:pPr>
        <w:keepNext w:val="0"/>
        <w:keepLines w:val="0"/>
        <w:pageBreakBefore w:val="0"/>
        <w:kinsoku/>
        <w:wordWrap/>
        <w:overflowPunct/>
        <w:topLinePunct w:val="0"/>
        <w:autoSpaceDE w:val="0"/>
        <w:autoSpaceDN w:val="0"/>
        <w:bidi w:val="0"/>
        <w:adjustRightInd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t xml:space="preserve">    a) au prevăzut în statut, ca obiect de activitate, agricultură;</w:t>
      </w:r>
    </w:p>
    <w:p w14:paraId="58C45289">
      <w:pPr>
        <w:keepNext w:val="0"/>
        <w:keepLines w:val="0"/>
        <w:pageBreakBefore w:val="0"/>
        <w:kinsoku/>
        <w:wordWrap/>
        <w:overflowPunct/>
        <w:topLinePunct w:val="0"/>
        <w:autoSpaceDE w:val="0"/>
        <w:autoSpaceDN w:val="0"/>
        <w:bidi w:val="0"/>
        <w:adjustRightInd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t xml:space="preserve">    b) au înregistrate în evidenţa contabilă, pentru anul fiscal respectiv, venituri şi cheltuieli din desfăşurarea obiectului de activitate prevăzut la lit. a).</w:t>
      </w:r>
    </w:p>
    <w:p w14:paraId="000001D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lang w:val="ro-RO"/>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Art. 15. (467) - Plata impozitului şi a taxei pe teren </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t>-2026</w:t>
      </w:r>
    </w:p>
    <w:p w14:paraId="000001D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11"/>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(1) Impozitul pe teren se plăteşte anual, în două rate egale, până la datele de 31 martie şi 30  septembrie inclusiv.  </w:t>
      </w:r>
    </w:p>
    <w:p w14:paraId="000001D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8"/>
        <w:jc w:val="both"/>
        <w:rPr>
          <w:rFonts w:hint="default" w:eastAsia="Times New Roman" w:cs="Arial" w:asciiTheme="minorAscii" w:hAnsiTheme="minorAscii"/>
          <w:b/>
          <w:bCs/>
          <w:i w:val="0"/>
          <w:iCs w:val="0"/>
          <w:smallCaps w:val="0"/>
          <w:strike w:val="0"/>
          <w:dstrike w:val="0"/>
          <w:color w:val="000000" w:themeColor="text1"/>
          <w:sz w:val="20"/>
          <w:szCs w:val="20"/>
          <w:u w:val="singl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(2) Pentru plata cu anticipaţie a impozitului pe teren, datorat pentru întregul an de către  contribuabili, până la data de 31 martie inclusiv, a anului respectiv, </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14:textFill>
            <w14:solidFill>
              <w14:schemeClr w14:val="tx1"/>
            </w14:solidFill>
          </w14:textFill>
        </w:rPr>
        <w:t xml:space="preserve">se acordă o </w:t>
      </w:r>
      <w:r>
        <w:rPr>
          <w:rFonts w:hint="default" w:eastAsia="Times New Roman" w:cs="Arial" w:asciiTheme="minorAscii" w:hAnsiTheme="minorAscii"/>
          <w:b/>
          <w:bCs/>
          <w:i w:val="0"/>
          <w:iCs w:val="0"/>
          <w:smallCaps w:val="0"/>
          <w:strike w:val="0"/>
          <w:dstrike w:val="0"/>
          <w:color w:val="000000" w:themeColor="text1"/>
          <w:sz w:val="20"/>
          <w:szCs w:val="20"/>
          <w:u w:val="single"/>
          <w:shd w:val="clear" w:fill="auto"/>
          <w:vertAlign w:val="baseline"/>
          <w:rtl w:val="0"/>
          <w14:textFill>
            <w14:solidFill>
              <w14:schemeClr w14:val="tx1"/>
            </w14:solidFill>
          </w14:textFill>
        </w:rPr>
        <w:t xml:space="preserve">bonificaţie de </w:t>
      </w:r>
      <w:r>
        <w:rPr>
          <w:rFonts w:hint="default" w:eastAsia="Times New Roman" w:cs="Arial" w:asciiTheme="minorAscii" w:hAnsiTheme="minorAscii"/>
          <w:b/>
          <w:bCs/>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w:t>
      </w:r>
      <w:r>
        <w:rPr>
          <w:rFonts w:hint="default" w:eastAsia="Times New Roman" w:cs="Arial" w:asciiTheme="minorAscii" w:hAnsiTheme="minorAscii"/>
          <w:b/>
          <w:bCs/>
          <w:i w:val="0"/>
          <w:iCs w:val="0"/>
          <w:smallCaps w:val="0"/>
          <w:strike w:val="0"/>
          <w:dstrike w:val="0"/>
          <w:color w:val="000000" w:themeColor="text1"/>
          <w:sz w:val="20"/>
          <w:szCs w:val="20"/>
          <w:u w:val="single"/>
          <w:shd w:val="clear" w:fill="auto"/>
          <w:vertAlign w:val="baseline"/>
          <w:rtl w:val="0"/>
          <w14:textFill>
            <w14:solidFill>
              <w14:schemeClr w14:val="tx1"/>
            </w14:solidFill>
          </w14:textFill>
        </w:rPr>
        <w:t xml:space="preserve">10%. </w:t>
      </w:r>
    </w:p>
    <w:p w14:paraId="64AE329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18"/>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(3) Impozitul pe teren, datorat aceluiaşi buget local de către contribuabili, persoane fizice şi  juridice, de până la 50 lei inclusiv, se plăteşte integral până la primul termen de plată.  </w:t>
      </w:r>
    </w:p>
    <w:p w14:paraId="000001E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18"/>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(4) În cazul în care contribuabilul deţine în proprietate mai multe terenuri amplasate pe raza  aceleiaşi unităţi administrativ-teritoriale, prevederile alin. (2) şi (3) se referă la impozitul pe  teren cumulat.  </w:t>
      </w:r>
    </w:p>
    <w:p w14:paraId="000001E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7"/>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 (4</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superscript"/>
          <w:rtl w:val="0"/>
          <w14:textFill>
            <w14:solidFill>
              <w14:schemeClr w14:val="tx1"/>
            </w14:solidFill>
          </w14:textFill>
        </w:rPr>
        <w:t>1</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 În cazul contractelor de concesiune, închiriere, administrare sau folosinţă, care se referă  la o perioadă mai mare de un an, taxa pe teren se plăteşte anual, în două rate egale, până la  datele de 31 martie şi 30 septembrie, inclusiv. </w:t>
      </w:r>
    </w:p>
    <w:p w14:paraId="000001E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 (5) În cazul contractelor de concesiune, închiriere, administrare sau folosinţă, care se referă  la perioade mai mari de o lună, taxa pe teren se plăteşte lunar, până la data de 25 inclusiv a lunii  următoare fiecărei luni din perioada de valabilitate a contractului, de către concesionar, locatar,  titularul dreptului de administrare sau de folosinţă. </w:t>
      </w:r>
    </w:p>
    <w:p w14:paraId="000001E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7"/>
        <w:jc w:val="both"/>
        <w:rPr>
          <w:rFonts w:hint="default" w:eastAsia="Times New Roman"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 (6) În cazul contractelor care se referă la perioade mai mici de o lună, persoana juridică de  drept public care transmite dreptul de concesiune, închiriere, administrare sau folosinţă  colectează taxa pe teren de la concesionari, locatari, titula</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rii dreptului de administrare sau de  folosinţă şi o varsă lunar, până la data de 25 inclusiv a lunii următoare fiecărei luni din perioada  de valabilitate a contractului.  </w:t>
      </w:r>
    </w:p>
    <w:p w14:paraId="000001E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7"/>
        <w:jc w:val="both"/>
        <w:rPr>
          <w:rFonts w:hint="default" w:eastAsia="Times New Roman" w:cs="Arial" w:asciiTheme="minorAscii" w:hAnsiTheme="minorAscii"/>
          <w:b w:val="0"/>
          <w:bCs w:val="0"/>
          <w:strike w:val="0"/>
          <w:dstrike w:val="0"/>
          <w:color w:val="000000" w:themeColor="text1"/>
          <w:sz w:val="20"/>
          <w:szCs w:val="20"/>
          <w14:textFill>
            <w14:solidFill>
              <w14:schemeClr w14:val="tx1"/>
            </w14:solidFill>
          </w14:textFill>
        </w:rPr>
      </w:pPr>
    </w:p>
    <w:p w14:paraId="000001E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bCs/>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rtl w:val="0"/>
          <w14:textFill>
            <w14:solidFill>
              <w14:schemeClr w14:val="tx1"/>
            </w14:solidFill>
          </w14:textFill>
        </w:rPr>
        <w:t xml:space="preserve">                </w:t>
      </w:r>
      <w:r>
        <w:rPr>
          <w:rFonts w:hint="default" w:eastAsia="Times New Roman" w:cs="Arial" w:asciiTheme="minorAscii" w:hAnsiTheme="minorAscii"/>
          <w:b w:val="0"/>
          <w:bCs w:val="0"/>
          <w:strike w:val="0"/>
          <w:dstrike w:val="0"/>
          <w:color w:val="000000" w:themeColor="text1"/>
          <w:sz w:val="20"/>
          <w:szCs w:val="20"/>
          <w:rtl w:val="0"/>
          <w:lang w:val="ro-RO"/>
          <w14:textFill>
            <w14:solidFill>
              <w14:schemeClr w14:val="tx1"/>
            </w14:solidFill>
          </w14:textFill>
        </w:rPr>
        <w:t xml:space="preserve">                                                      </w:t>
      </w:r>
      <w:r>
        <w:rPr>
          <w:rFonts w:hint="default" w:eastAsia="Times New Roman" w:cs="Arial" w:asciiTheme="minorAscii" w:hAnsiTheme="minorAscii"/>
          <w:b w:val="0"/>
          <w:bCs w:val="0"/>
          <w:strike w:val="0"/>
          <w:dstrike w:val="0"/>
          <w:color w:val="000000" w:themeColor="text1"/>
          <w:sz w:val="20"/>
          <w:szCs w:val="20"/>
          <w:rtl w:val="0"/>
          <w14:textFill>
            <w14:solidFill>
              <w14:schemeClr w14:val="tx1"/>
            </w14:solidFill>
          </w14:textFill>
        </w:rPr>
        <w:t xml:space="preserve">  </w:t>
      </w:r>
      <w:r>
        <w:rPr>
          <w:rFonts w:hint="default" w:eastAsia="Times New Roman" w:cs="Arial" w:asciiTheme="minorAscii" w:hAnsiTheme="minorAscii"/>
          <w:b/>
          <w:bCs/>
          <w:strike w:val="0"/>
          <w:dstrike w:val="0"/>
          <w:color w:val="000000" w:themeColor="text1"/>
          <w:sz w:val="20"/>
          <w:szCs w:val="20"/>
          <w:rtl w:val="0"/>
          <w14:textFill>
            <w14:solidFill>
              <w14:schemeClr w14:val="tx1"/>
            </w14:solidFill>
          </w14:textFill>
        </w:rPr>
        <w:t xml:space="preserve">  </w:t>
      </w:r>
      <w:r>
        <w:rPr>
          <w:rFonts w:hint="default" w:eastAsia="Times New Roman" w:cs="Arial" w:asciiTheme="minorAscii" w:hAnsiTheme="minorAscii"/>
          <w:b/>
          <w:bCs/>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Impozitul pe mijloacele de transport  </w:t>
      </w:r>
    </w:p>
    <w:p w14:paraId="000001E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Art. 16. (468) - Reguli generale</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t>.</w:t>
      </w:r>
    </w:p>
    <w:p w14:paraId="000001E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1"/>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(1) Orice persoană care are în proprietate un mijloc de transport care trebuie  înmatriculat/înregistrat în România datorează un impozit anual pentru mijlocul de transport, cu  excepţia cazurilor în care în prezentul capitol se prevede altfel.  </w:t>
      </w:r>
    </w:p>
    <w:p w14:paraId="000001E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8"/>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(2) Impozitul pe mijloacele de transport se datorează pe perioada cât mijlocul de transport  este înmatriculat sau înregistrat în România.  </w:t>
      </w:r>
    </w:p>
    <w:p w14:paraId="000001E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(3) Impozitul pe mijloacele de transport se plăteşte la bugetul local al unităţii administrativ teritoriale unde persoana îşi are domiciliul, sediul sau punctul de lucru, după caz.   (4) În cazul unui mijloc de transport care face obiectul unui contract de leasing financiar, pe  întreaga durată a acestuia, impozitul pe mijlocul de transport se datorează de locatar. </w:t>
      </w:r>
    </w:p>
    <w:p w14:paraId="000001E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Verdana"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Art. 17. (469) - Scutiri </w:t>
      </w:r>
    </w:p>
    <w:p w14:paraId="000001E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(1) Nu se datorează impozitul pe mijloacele de transport pentru:  </w:t>
      </w:r>
    </w:p>
    <w:p w14:paraId="000001E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a) mijloacele de transport ale instituțiilor publice;  </w:t>
      </w:r>
    </w:p>
    <w:p w14:paraId="000001E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b) mijloacele de transport ale persoanelor juridice, care sunt utilizate pentru servicii de transport  public de pasageri în regim urban sau suburban, inclusiv transportul de pasageri în afara unei  localități, dacă tariful de transport este stabilit în condiții de transport public;  c) vehiculele istorice definite conform prevederilor legale în vigoare;  </w:t>
      </w:r>
    </w:p>
    <w:p w14:paraId="000001F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8"/>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d) autovehiculele second-hand înregistrate ca stoc de marfă și care nu sunt utilizate în folosul  propriu al operatorului economic, comerciant auto sau societate de leasing. e) un mijloc de transport aflat în proprietatea persoanelor prevăzute la art. 1 din Decretul-lege  nr. 118/1990, republicat, cu modificările și completările ulterioare, și a persoanelor fizice  prevăzute la art. 1 din Ordonanța Guvernului nr. 105/1999, republicată, cu modificările și  completările ulterioare, la alegerea contribuabilului;  </w:t>
      </w:r>
    </w:p>
    <w:p w14:paraId="20B1115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9"/>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f) mijloacele de transport aflate în proprietatea veteranilor de război, văduvelor de război sau  văduvelor nerecăsătorite ale veteranilor de război, pentru un singur mijloc de transport. </w:t>
      </w:r>
    </w:p>
    <w:p w14:paraId="000001F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9"/>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highlight w:val="white"/>
          <w:u w:val="none"/>
          <w:shd w:val="clear" w:color="auto" w:fill="auto"/>
          <w:vertAlign w:val="baseline"/>
          <w:rtl w:val="0"/>
          <w14:textFill>
            <w14:solidFill>
              <w14:schemeClr w14:val="tx1"/>
            </w14:solidFill>
          </w14:textFill>
        </w:rPr>
        <w:t xml:space="preserve"> (2) </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Consiliul local poate hotărî să acorde scutirea sau reducerea impozitului pe mijloacele de  transport</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lang w:val="ro-RO"/>
          <w14:textFill>
            <w14:solidFill>
              <w14:schemeClr w14:val="tx1"/>
            </w14:solidFill>
          </w14:textFill>
        </w:rPr>
        <w:t xml:space="preserve">, numai dacă este cazul, pe bază de solicitări, </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pentru: </w:t>
      </w:r>
    </w:p>
    <w:p w14:paraId="000001F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8"/>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a) mijloacele de transport agricole utilizate efectiv în domeniul agricol. În cazul scutirii sau  reducerii impozitului pe mijloacele de transport acordate persoanelor juridice se vor avea în  vedere prevederile legale în vigoare privind acordarea ajutorului de stat;  b) navele fluviale de pasageri, bărcile și luntrele folosite pentru transportul persoanelor fizice  cu domiciliul în Delta Dunării, Insula Mare a Brăilei și Insula Balta Ialomiței, în cazul cărora  impozitul se poate reduce cu până la 50%;  </w:t>
      </w:r>
    </w:p>
    <w:p w14:paraId="000001F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c) mijloacele de transport ale fundațiilor înființate prin testament constituite conform legii, cu  scopul de a întreține, dezvolta și ajuta instituții de cultură națională, precum și de a susține  acțiuni cu caracter umanitar, social și cultural;  </w:t>
      </w:r>
    </w:p>
    <w:p w14:paraId="000001F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8"/>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d) mijloacele de transport ale organizațiilor care au ca unică activitate acordarea gratuită de  servicii sociale în unități specializate care asigură găzduire, îngrijire socială și medicală,  asistență, ocrotire, activități de recuperare, reabilitare și reinserție socială pentru copil, familie,  persoane cu handicap, persoane vârstnice, precum și pentru alte persoane aflate în dificultate,  în condițiile legii;  </w:t>
      </w:r>
    </w:p>
    <w:p w14:paraId="000001F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8"/>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e) un mijloc de transport în cazul celor aflate în proprietatea persoanelor care locuiesc efectiv  în localitățile prevăzute în Hotărârea Guvernului nr. 323/1996, cu modificările și completările  ulterioare și în Hotărârea Guvernului nr. 395/1996, cu modificările ulterioare, în cazul cărora  impozitul se poate reduce cu până la 50%. </w:t>
      </w:r>
    </w:p>
    <w:p w14:paraId="000001F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 (3) Prin hotărârea prin care s-a stabilit să se acorde scutirea sau reducerea impozitului pe  mijloacele de transport, potrivit alin. (2), se dispune și cu privire la documentele justificative  pentru fiecare situație în parte, după caz. Scutirea sau reducerea se aplică, persoanelor care dețin  documente just</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ificative ce sunt depuse la organul fiscal local în termenul stabilit prin hotărârea  consiliului local și care și-au îndeplinit obligația de plată a impozitului/taxei pentru anul fiscal  anterior în termenele prevăzute de lege, începând cu data de 1 ianuarie a anului fiscal următor  celui în care a fost emisă hotărârea consiliului local. </w:t>
      </w:r>
    </w:p>
    <w:p w14:paraId="000001F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lang w:val="ro-RO"/>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Art. 18. (470) - Calculul impozitului </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t>-2026</w:t>
      </w:r>
    </w:p>
    <w:p w14:paraId="000001F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2"/>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(1) Impozitul pe mijloacele de transport se calculează în funcţie de tipul mijlocului de  transport, conform celor prevăzute în prezentul capitol.  </w:t>
      </w:r>
    </w:p>
    <w:tbl>
      <w:tblPr>
        <w:tblStyle w:val="63"/>
        <w:tblpPr w:leftFromText="180" w:rightFromText="180" w:vertAnchor="text" w:horzAnchor="margin" w:tblpX="1242" w:tblpY="480"/>
        <w:tblOverlap w:val="never"/>
        <w:tblW w:w="8091"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472"/>
        <w:gridCol w:w="1729"/>
        <w:gridCol w:w="951"/>
        <w:gridCol w:w="1223"/>
        <w:gridCol w:w="1304"/>
        <w:gridCol w:w="1292"/>
        <w:gridCol w:w="1120"/>
      </w:tblGrid>
      <w:tr w14:paraId="55C52A4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2795" w:hRule="atLeast"/>
        </w:trPr>
        <w:tc>
          <w:tcPr>
            <w:tcW w:w="472" w:type="dxa"/>
            <w:shd w:val="clear" w:color="auto" w:fill="auto"/>
            <w:tcMar>
              <w:top w:w="100" w:type="dxa"/>
              <w:left w:w="100" w:type="dxa"/>
              <w:bottom w:w="100" w:type="dxa"/>
              <w:right w:w="100" w:type="dxa"/>
            </w:tcMar>
            <w:vAlign w:val="top"/>
          </w:tcPr>
          <w:p w14:paraId="4D309DF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Nr.  </w:t>
            </w:r>
          </w:p>
          <w:p w14:paraId="65207CA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crt.</w:t>
            </w:r>
          </w:p>
        </w:tc>
        <w:tc>
          <w:tcPr>
            <w:tcW w:w="1729" w:type="dxa"/>
            <w:shd w:val="clear" w:color="auto" w:fill="auto"/>
            <w:tcMar>
              <w:top w:w="100" w:type="dxa"/>
              <w:left w:w="100" w:type="dxa"/>
              <w:bottom w:w="100" w:type="dxa"/>
              <w:right w:w="100" w:type="dxa"/>
            </w:tcMar>
            <w:vAlign w:val="top"/>
          </w:tcPr>
          <w:p w14:paraId="17D17D1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Mijloace de  </w:t>
            </w:r>
          </w:p>
          <w:p w14:paraId="49EF95D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transport  </w:t>
            </w:r>
          </w:p>
          <w:p w14:paraId="03AC8F1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cu tracțiune  </w:t>
            </w:r>
          </w:p>
          <w:p w14:paraId="63E452D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mecanică</w:t>
            </w:r>
          </w:p>
        </w:tc>
        <w:tc>
          <w:tcPr>
            <w:tcW w:w="951" w:type="dxa"/>
            <w:shd w:val="clear" w:color="auto" w:fill="auto"/>
            <w:tcMar>
              <w:top w:w="100" w:type="dxa"/>
              <w:left w:w="100" w:type="dxa"/>
              <w:bottom w:w="100" w:type="dxa"/>
              <w:right w:w="100" w:type="dxa"/>
            </w:tcMar>
            <w:vAlign w:val="top"/>
          </w:tcPr>
          <w:p w14:paraId="2990357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Lei/200  </w:t>
            </w:r>
          </w:p>
          <w:p w14:paraId="66D5B10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cm3  </w:t>
            </w:r>
          </w:p>
          <w:p w14:paraId="19F20EA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sau  </w:t>
            </w:r>
          </w:p>
          <w:p w14:paraId="218D77F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1"/>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fracțiune  din  </w:t>
            </w:r>
          </w:p>
          <w:p w14:paraId="5986804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aceasta  </w:t>
            </w:r>
          </w:p>
          <w:p w14:paraId="2F6A54F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1"/>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Norma de  poluare:  </w:t>
            </w:r>
          </w:p>
          <w:p w14:paraId="1DF7D40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Non </w:t>
            </w:r>
          </w:p>
          <w:p w14:paraId="1467AFD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euro,  </w:t>
            </w:r>
          </w:p>
          <w:p w14:paraId="047C834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E0-E3</w:t>
            </w:r>
          </w:p>
        </w:tc>
        <w:tc>
          <w:tcPr>
            <w:tcW w:w="1223" w:type="dxa"/>
            <w:shd w:val="clear" w:color="auto" w:fill="auto"/>
            <w:tcMar>
              <w:top w:w="100" w:type="dxa"/>
              <w:left w:w="100" w:type="dxa"/>
              <w:bottom w:w="100" w:type="dxa"/>
              <w:right w:w="100" w:type="dxa"/>
            </w:tcMar>
            <w:vAlign w:val="top"/>
          </w:tcPr>
          <w:p w14:paraId="6911D9F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Lei/200  </w:t>
            </w:r>
          </w:p>
          <w:p w14:paraId="152CD95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cm3  </w:t>
            </w:r>
          </w:p>
          <w:p w14:paraId="436BF0B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sau  </w:t>
            </w:r>
          </w:p>
          <w:p w14:paraId="6821957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1"/>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fracțiune  din  </w:t>
            </w:r>
          </w:p>
          <w:p w14:paraId="09ADAA5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aceasta  </w:t>
            </w:r>
          </w:p>
          <w:p w14:paraId="477EDB0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1"/>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Norma de  poluare:  </w:t>
            </w:r>
          </w:p>
          <w:p w14:paraId="72EACE8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E4</w:t>
            </w:r>
          </w:p>
        </w:tc>
        <w:tc>
          <w:tcPr>
            <w:tcW w:w="1304" w:type="dxa"/>
            <w:shd w:val="clear" w:color="auto" w:fill="auto"/>
            <w:tcMar>
              <w:top w:w="100" w:type="dxa"/>
              <w:left w:w="100" w:type="dxa"/>
              <w:bottom w:w="100" w:type="dxa"/>
              <w:right w:w="100" w:type="dxa"/>
            </w:tcMar>
            <w:vAlign w:val="top"/>
          </w:tcPr>
          <w:p w14:paraId="3665DB7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Lei/200  </w:t>
            </w:r>
          </w:p>
          <w:p w14:paraId="0D2F566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cm3  </w:t>
            </w:r>
          </w:p>
          <w:p w14:paraId="55997FF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sau  </w:t>
            </w:r>
          </w:p>
          <w:p w14:paraId="29BB24A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1"/>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fracțiune  din  </w:t>
            </w:r>
          </w:p>
          <w:p w14:paraId="21D5ED8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aceasta  </w:t>
            </w:r>
          </w:p>
          <w:p w14:paraId="26C0E70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1"/>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Norma de  poluare:  </w:t>
            </w:r>
          </w:p>
          <w:p w14:paraId="24974A9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E5</w:t>
            </w:r>
          </w:p>
        </w:tc>
        <w:tc>
          <w:tcPr>
            <w:tcW w:w="1292" w:type="dxa"/>
            <w:shd w:val="clear" w:color="auto" w:fill="auto"/>
            <w:tcMar>
              <w:top w:w="100" w:type="dxa"/>
              <w:left w:w="100" w:type="dxa"/>
              <w:bottom w:w="100" w:type="dxa"/>
              <w:right w:w="100" w:type="dxa"/>
            </w:tcMar>
            <w:vAlign w:val="top"/>
          </w:tcPr>
          <w:p w14:paraId="70547B4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Lei/200  </w:t>
            </w:r>
          </w:p>
          <w:p w14:paraId="7E2D687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cm3  </w:t>
            </w:r>
          </w:p>
          <w:p w14:paraId="56118F7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sau  </w:t>
            </w:r>
          </w:p>
          <w:p w14:paraId="6B5BF34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1"/>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fracțiune  din  </w:t>
            </w:r>
          </w:p>
          <w:p w14:paraId="57D79D3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aceasta  </w:t>
            </w:r>
          </w:p>
          <w:p w14:paraId="47C6513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1"/>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Norma de  poluare:  </w:t>
            </w:r>
          </w:p>
          <w:p w14:paraId="7C5DB63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E6</w:t>
            </w:r>
          </w:p>
        </w:tc>
        <w:tc>
          <w:tcPr>
            <w:tcW w:w="1120" w:type="dxa"/>
            <w:shd w:val="clear" w:color="auto" w:fill="auto"/>
            <w:tcMar>
              <w:top w:w="100" w:type="dxa"/>
              <w:left w:w="100" w:type="dxa"/>
              <w:bottom w:w="100" w:type="dxa"/>
              <w:right w:w="100" w:type="dxa"/>
            </w:tcMar>
            <w:vAlign w:val="top"/>
          </w:tcPr>
          <w:p w14:paraId="0F5A39A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Lei/auto  Hibride  </w:t>
            </w:r>
          </w:p>
          <w:p w14:paraId="1D4A8F7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cu  </w:t>
            </w:r>
          </w:p>
          <w:p w14:paraId="75EF4FD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emisii de  CO2  </w:t>
            </w:r>
          </w:p>
          <w:p w14:paraId="44F372C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peste  </w:t>
            </w:r>
          </w:p>
          <w:p w14:paraId="497D5B5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50g/Km</w:t>
            </w:r>
          </w:p>
        </w:tc>
      </w:tr>
      <w:tr w14:paraId="5D9095C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260" w:hRule="atLeast"/>
        </w:trPr>
        <w:tc>
          <w:tcPr>
            <w:tcW w:w="8091" w:type="dxa"/>
            <w:gridSpan w:val="7"/>
            <w:shd w:val="clear" w:color="auto" w:fill="auto"/>
            <w:tcMar>
              <w:top w:w="100" w:type="dxa"/>
              <w:left w:w="100" w:type="dxa"/>
              <w:bottom w:w="100" w:type="dxa"/>
              <w:right w:w="100" w:type="dxa"/>
            </w:tcMar>
            <w:vAlign w:val="top"/>
          </w:tcPr>
          <w:p w14:paraId="3535FD2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I. Vehicule înmatriculate (lei/200 cm3 sau fracțiune din aceasta)</w:t>
            </w:r>
          </w:p>
        </w:tc>
      </w:tr>
      <w:tr w14:paraId="042C449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1025" w:hRule="atLeast"/>
        </w:trPr>
        <w:tc>
          <w:tcPr>
            <w:tcW w:w="472" w:type="dxa"/>
            <w:shd w:val="clear" w:color="auto" w:fill="auto"/>
            <w:tcMar>
              <w:top w:w="100" w:type="dxa"/>
              <w:left w:w="100" w:type="dxa"/>
              <w:bottom w:w="100" w:type="dxa"/>
              <w:right w:w="100" w:type="dxa"/>
            </w:tcMar>
            <w:vAlign w:val="top"/>
          </w:tcPr>
          <w:p w14:paraId="5FE6EDE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1 </w:t>
            </w:r>
          </w:p>
        </w:tc>
        <w:tc>
          <w:tcPr>
            <w:tcW w:w="1729" w:type="dxa"/>
            <w:shd w:val="clear" w:color="auto" w:fill="auto"/>
            <w:tcMar>
              <w:top w:w="100" w:type="dxa"/>
              <w:left w:w="100" w:type="dxa"/>
              <w:bottom w:w="100" w:type="dxa"/>
              <w:right w:w="100" w:type="dxa"/>
            </w:tcMar>
            <w:vAlign w:val="top"/>
          </w:tcPr>
          <w:p w14:paraId="649B34A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2"/>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Motociclete, tricicluri,  cvadricicluri și autoturisme cu  capacitatea cilindrică de până  la 1.600 cm3, inclusiv </w:t>
            </w:r>
          </w:p>
        </w:tc>
        <w:tc>
          <w:tcPr>
            <w:tcW w:w="951" w:type="dxa"/>
            <w:shd w:val="clear" w:color="auto" w:fill="auto"/>
            <w:tcMar>
              <w:top w:w="100" w:type="dxa"/>
              <w:left w:w="100" w:type="dxa"/>
              <w:bottom w:w="100" w:type="dxa"/>
              <w:right w:w="100" w:type="dxa"/>
            </w:tcMar>
            <w:vAlign w:val="top"/>
          </w:tcPr>
          <w:p w14:paraId="5CD4B40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19,5 </w:t>
            </w:r>
          </w:p>
        </w:tc>
        <w:tc>
          <w:tcPr>
            <w:tcW w:w="1223" w:type="dxa"/>
            <w:shd w:val="clear" w:color="auto" w:fill="auto"/>
            <w:tcMar>
              <w:top w:w="100" w:type="dxa"/>
              <w:left w:w="100" w:type="dxa"/>
              <w:bottom w:w="100" w:type="dxa"/>
              <w:right w:w="100" w:type="dxa"/>
            </w:tcMar>
            <w:vAlign w:val="top"/>
          </w:tcPr>
          <w:p w14:paraId="71F2364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18,8 </w:t>
            </w:r>
          </w:p>
        </w:tc>
        <w:tc>
          <w:tcPr>
            <w:tcW w:w="1304" w:type="dxa"/>
            <w:shd w:val="clear" w:color="auto" w:fill="auto"/>
            <w:tcMar>
              <w:top w:w="100" w:type="dxa"/>
              <w:left w:w="100" w:type="dxa"/>
              <w:bottom w:w="100" w:type="dxa"/>
              <w:right w:w="100" w:type="dxa"/>
            </w:tcMar>
            <w:vAlign w:val="top"/>
          </w:tcPr>
          <w:p w14:paraId="59D94C5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17,6 </w:t>
            </w:r>
          </w:p>
        </w:tc>
        <w:tc>
          <w:tcPr>
            <w:tcW w:w="1292" w:type="dxa"/>
            <w:shd w:val="clear" w:color="auto" w:fill="auto"/>
            <w:tcMar>
              <w:top w:w="100" w:type="dxa"/>
              <w:left w:w="100" w:type="dxa"/>
              <w:bottom w:w="100" w:type="dxa"/>
              <w:right w:w="100" w:type="dxa"/>
            </w:tcMar>
            <w:vAlign w:val="top"/>
          </w:tcPr>
          <w:p w14:paraId="6E335C9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16,5 </w:t>
            </w:r>
          </w:p>
        </w:tc>
        <w:tc>
          <w:tcPr>
            <w:tcW w:w="1120" w:type="dxa"/>
            <w:shd w:val="clear" w:color="auto" w:fill="auto"/>
            <w:tcMar>
              <w:top w:w="100" w:type="dxa"/>
              <w:left w:w="100" w:type="dxa"/>
              <w:bottom w:w="100" w:type="dxa"/>
              <w:right w:w="100" w:type="dxa"/>
            </w:tcMar>
            <w:vAlign w:val="top"/>
          </w:tcPr>
          <w:p w14:paraId="6DB2086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16,2</w:t>
            </w:r>
          </w:p>
        </w:tc>
      </w:tr>
      <w:tr w14:paraId="426D97E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765" w:hRule="atLeast"/>
        </w:trPr>
        <w:tc>
          <w:tcPr>
            <w:tcW w:w="472" w:type="dxa"/>
            <w:shd w:val="clear" w:color="auto" w:fill="auto"/>
            <w:tcMar>
              <w:top w:w="100" w:type="dxa"/>
              <w:left w:w="100" w:type="dxa"/>
              <w:bottom w:w="100" w:type="dxa"/>
              <w:right w:w="100" w:type="dxa"/>
            </w:tcMar>
            <w:vAlign w:val="top"/>
          </w:tcPr>
          <w:p w14:paraId="66DF145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2 </w:t>
            </w:r>
          </w:p>
        </w:tc>
        <w:tc>
          <w:tcPr>
            <w:tcW w:w="1729" w:type="dxa"/>
            <w:shd w:val="clear" w:color="auto" w:fill="auto"/>
            <w:tcMar>
              <w:top w:w="100" w:type="dxa"/>
              <w:left w:w="100" w:type="dxa"/>
              <w:bottom w:w="100" w:type="dxa"/>
              <w:right w:w="100" w:type="dxa"/>
            </w:tcMar>
            <w:vAlign w:val="top"/>
          </w:tcPr>
          <w:p w14:paraId="0FBAFDB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3"/>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Motociclete, tricicluri și  cvadricicluri cu capacitatea  cilindrică de peste 1.600 cm3 </w:t>
            </w:r>
          </w:p>
        </w:tc>
        <w:tc>
          <w:tcPr>
            <w:tcW w:w="951" w:type="dxa"/>
            <w:shd w:val="clear" w:color="auto" w:fill="auto"/>
            <w:tcMar>
              <w:top w:w="100" w:type="dxa"/>
              <w:left w:w="100" w:type="dxa"/>
              <w:bottom w:w="100" w:type="dxa"/>
              <w:right w:w="100" w:type="dxa"/>
            </w:tcMar>
            <w:vAlign w:val="top"/>
          </w:tcPr>
          <w:p w14:paraId="16E6013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22,1 </w:t>
            </w:r>
          </w:p>
        </w:tc>
        <w:tc>
          <w:tcPr>
            <w:tcW w:w="1223" w:type="dxa"/>
            <w:shd w:val="clear" w:color="auto" w:fill="auto"/>
            <w:tcMar>
              <w:top w:w="100" w:type="dxa"/>
              <w:left w:w="100" w:type="dxa"/>
              <w:bottom w:w="100" w:type="dxa"/>
              <w:right w:w="100" w:type="dxa"/>
            </w:tcMar>
            <w:vAlign w:val="top"/>
          </w:tcPr>
          <w:p w14:paraId="71BBE93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21,3 </w:t>
            </w:r>
          </w:p>
        </w:tc>
        <w:tc>
          <w:tcPr>
            <w:tcW w:w="1304" w:type="dxa"/>
            <w:shd w:val="clear" w:color="auto" w:fill="auto"/>
            <w:tcMar>
              <w:top w:w="100" w:type="dxa"/>
              <w:left w:w="100" w:type="dxa"/>
              <w:bottom w:w="100" w:type="dxa"/>
              <w:right w:w="100" w:type="dxa"/>
            </w:tcMar>
            <w:vAlign w:val="top"/>
          </w:tcPr>
          <w:p w14:paraId="7B851A2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19,9 </w:t>
            </w:r>
          </w:p>
        </w:tc>
        <w:tc>
          <w:tcPr>
            <w:tcW w:w="1292" w:type="dxa"/>
            <w:shd w:val="clear" w:color="auto" w:fill="auto"/>
            <w:tcMar>
              <w:top w:w="100" w:type="dxa"/>
              <w:left w:w="100" w:type="dxa"/>
              <w:bottom w:w="100" w:type="dxa"/>
              <w:right w:w="100" w:type="dxa"/>
            </w:tcMar>
            <w:vAlign w:val="top"/>
          </w:tcPr>
          <w:p w14:paraId="0535AE8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18,7 </w:t>
            </w:r>
          </w:p>
        </w:tc>
        <w:tc>
          <w:tcPr>
            <w:tcW w:w="1120" w:type="dxa"/>
            <w:shd w:val="clear" w:color="auto" w:fill="auto"/>
            <w:tcMar>
              <w:top w:w="100" w:type="dxa"/>
              <w:left w:w="100" w:type="dxa"/>
              <w:bottom w:w="100" w:type="dxa"/>
              <w:right w:w="100" w:type="dxa"/>
            </w:tcMar>
            <w:vAlign w:val="top"/>
          </w:tcPr>
          <w:p w14:paraId="2DAA18F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18,4</w:t>
            </w:r>
          </w:p>
        </w:tc>
      </w:tr>
      <w:tr w14:paraId="4D20C7A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770" w:hRule="atLeast"/>
        </w:trPr>
        <w:tc>
          <w:tcPr>
            <w:tcW w:w="472" w:type="dxa"/>
            <w:shd w:val="clear" w:color="auto" w:fill="auto"/>
            <w:tcMar>
              <w:top w:w="100" w:type="dxa"/>
              <w:left w:w="100" w:type="dxa"/>
              <w:bottom w:w="100" w:type="dxa"/>
              <w:right w:w="100" w:type="dxa"/>
            </w:tcMar>
            <w:vAlign w:val="top"/>
          </w:tcPr>
          <w:p w14:paraId="2C594DB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3 </w:t>
            </w:r>
          </w:p>
        </w:tc>
        <w:tc>
          <w:tcPr>
            <w:tcW w:w="1729" w:type="dxa"/>
            <w:shd w:val="clear" w:color="auto" w:fill="auto"/>
            <w:tcMar>
              <w:top w:w="100" w:type="dxa"/>
              <w:left w:w="100" w:type="dxa"/>
              <w:bottom w:w="100" w:type="dxa"/>
              <w:right w:w="100" w:type="dxa"/>
            </w:tcMar>
            <w:vAlign w:val="top"/>
          </w:tcPr>
          <w:p w14:paraId="68A8041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2"/>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Autoturisme cu capacitatea  cilindrică între 1.601 cm3 și  2.000 cm3 inclusiv </w:t>
            </w:r>
          </w:p>
        </w:tc>
        <w:tc>
          <w:tcPr>
            <w:tcW w:w="951" w:type="dxa"/>
            <w:shd w:val="clear" w:color="auto" w:fill="auto"/>
            <w:tcMar>
              <w:top w:w="100" w:type="dxa"/>
              <w:left w:w="100" w:type="dxa"/>
              <w:bottom w:w="100" w:type="dxa"/>
              <w:right w:w="100" w:type="dxa"/>
            </w:tcMar>
            <w:vAlign w:val="top"/>
          </w:tcPr>
          <w:p w14:paraId="5048AB3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29,7 </w:t>
            </w:r>
          </w:p>
        </w:tc>
        <w:tc>
          <w:tcPr>
            <w:tcW w:w="1223" w:type="dxa"/>
            <w:shd w:val="clear" w:color="auto" w:fill="auto"/>
            <w:tcMar>
              <w:top w:w="100" w:type="dxa"/>
              <w:left w:w="100" w:type="dxa"/>
              <w:bottom w:w="100" w:type="dxa"/>
              <w:right w:w="100" w:type="dxa"/>
            </w:tcMar>
            <w:vAlign w:val="top"/>
          </w:tcPr>
          <w:p w14:paraId="051D23A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28,5 </w:t>
            </w:r>
          </w:p>
        </w:tc>
        <w:tc>
          <w:tcPr>
            <w:tcW w:w="1304" w:type="dxa"/>
            <w:shd w:val="clear" w:color="auto" w:fill="auto"/>
            <w:tcMar>
              <w:top w:w="100" w:type="dxa"/>
              <w:left w:w="100" w:type="dxa"/>
              <w:bottom w:w="100" w:type="dxa"/>
              <w:right w:w="100" w:type="dxa"/>
            </w:tcMar>
            <w:vAlign w:val="top"/>
          </w:tcPr>
          <w:p w14:paraId="4EF17DD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26,7 </w:t>
            </w:r>
          </w:p>
        </w:tc>
        <w:tc>
          <w:tcPr>
            <w:tcW w:w="1292" w:type="dxa"/>
            <w:shd w:val="clear" w:color="auto" w:fill="auto"/>
            <w:tcMar>
              <w:top w:w="100" w:type="dxa"/>
              <w:left w:w="100" w:type="dxa"/>
              <w:bottom w:w="100" w:type="dxa"/>
              <w:right w:w="100" w:type="dxa"/>
            </w:tcMar>
            <w:vAlign w:val="top"/>
          </w:tcPr>
          <w:p w14:paraId="37261B6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25,1 </w:t>
            </w:r>
          </w:p>
        </w:tc>
        <w:tc>
          <w:tcPr>
            <w:tcW w:w="1120" w:type="dxa"/>
            <w:shd w:val="clear" w:color="auto" w:fill="auto"/>
            <w:tcMar>
              <w:top w:w="100" w:type="dxa"/>
              <w:left w:w="100" w:type="dxa"/>
              <w:bottom w:w="100" w:type="dxa"/>
              <w:right w:w="100" w:type="dxa"/>
            </w:tcMar>
            <w:vAlign w:val="top"/>
          </w:tcPr>
          <w:p w14:paraId="532455D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24,6</w:t>
            </w:r>
          </w:p>
        </w:tc>
      </w:tr>
      <w:tr w14:paraId="5375DF4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770" w:hRule="atLeast"/>
        </w:trPr>
        <w:tc>
          <w:tcPr>
            <w:tcW w:w="472" w:type="dxa"/>
            <w:shd w:val="clear" w:color="auto" w:fill="auto"/>
            <w:tcMar>
              <w:top w:w="100" w:type="dxa"/>
              <w:left w:w="100" w:type="dxa"/>
              <w:bottom w:w="100" w:type="dxa"/>
              <w:right w:w="100" w:type="dxa"/>
            </w:tcMar>
            <w:vAlign w:val="top"/>
          </w:tcPr>
          <w:p w14:paraId="1267EE9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4 </w:t>
            </w:r>
          </w:p>
        </w:tc>
        <w:tc>
          <w:tcPr>
            <w:tcW w:w="1729" w:type="dxa"/>
            <w:shd w:val="clear" w:color="auto" w:fill="auto"/>
            <w:tcMar>
              <w:top w:w="100" w:type="dxa"/>
              <w:left w:w="100" w:type="dxa"/>
              <w:bottom w:w="100" w:type="dxa"/>
              <w:right w:w="100" w:type="dxa"/>
            </w:tcMar>
            <w:vAlign w:val="top"/>
          </w:tcPr>
          <w:p w14:paraId="0D62724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2"/>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Autoturisme cu capacitatea  cilindrică între 2.001 cm3 și  2.600 cm3 inclusiv </w:t>
            </w:r>
          </w:p>
        </w:tc>
        <w:tc>
          <w:tcPr>
            <w:tcW w:w="951" w:type="dxa"/>
            <w:shd w:val="clear" w:color="auto" w:fill="auto"/>
            <w:tcMar>
              <w:top w:w="100" w:type="dxa"/>
              <w:left w:w="100" w:type="dxa"/>
              <w:bottom w:w="100" w:type="dxa"/>
              <w:right w:w="100" w:type="dxa"/>
            </w:tcMar>
            <w:vAlign w:val="top"/>
          </w:tcPr>
          <w:p w14:paraId="3D0D7E1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92,2 </w:t>
            </w:r>
          </w:p>
        </w:tc>
        <w:tc>
          <w:tcPr>
            <w:tcW w:w="1223" w:type="dxa"/>
            <w:shd w:val="clear" w:color="auto" w:fill="auto"/>
            <w:tcMar>
              <w:top w:w="100" w:type="dxa"/>
              <w:left w:w="100" w:type="dxa"/>
              <w:bottom w:w="100" w:type="dxa"/>
              <w:right w:w="100" w:type="dxa"/>
            </w:tcMar>
            <w:vAlign w:val="top"/>
          </w:tcPr>
          <w:p w14:paraId="3EE1D4F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88,6 </w:t>
            </w:r>
          </w:p>
        </w:tc>
        <w:tc>
          <w:tcPr>
            <w:tcW w:w="1304" w:type="dxa"/>
            <w:shd w:val="clear" w:color="auto" w:fill="auto"/>
            <w:tcMar>
              <w:top w:w="100" w:type="dxa"/>
              <w:left w:w="100" w:type="dxa"/>
              <w:bottom w:w="100" w:type="dxa"/>
              <w:right w:w="100" w:type="dxa"/>
            </w:tcMar>
            <w:vAlign w:val="top"/>
          </w:tcPr>
          <w:p w14:paraId="4FCBB1C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82,8 </w:t>
            </w:r>
          </w:p>
        </w:tc>
        <w:tc>
          <w:tcPr>
            <w:tcW w:w="1292" w:type="dxa"/>
            <w:shd w:val="clear" w:color="auto" w:fill="auto"/>
            <w:tcMar>
              <w:top w:w="100" w:type="dxa"/>
              <w:left w:w="100" w:type="dxa"/>
              <w:bottom w:w="100" w:type="dxa"/>
              <w:right w:w="100" w:type="dxa"/>
            </w:tcMar>
            <w:vAlign w:val="top"/>
          </w:tcPr>
          <w:p w14:paraId="4EAB2C7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77,8 </w:t>
            </w:r>
          </w:p>
        </w:tc>
        <w:tc>
          <w:tcPr>
            <w:tcW w:w="1120" w:type="dxa"/>
            <w:shd w:val="clear" w:color="auto" w:fill="auto"/>
            <w:tcMar>
              <w:top w:w="100" w:type="dxa"/>
              <w:left w:w="100" w:type="dxa"/>
              <w:bottom w:w="100" w:type="dxa"/>
              <w:right w:w="100" w:type="dxa"/>
            </w:tcMar>
            <w:vAlign w:val="top"/>
          </w:tcPr>
          <w:p w14:paraId="4DA63D9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76,3</w:t>
            </w:r>
          </w:p>
        </w:tc>
      </w:tr>
      <w:tr w14:paraId="16BCD9A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770" w:hRule="atLeast"/>
        </w:trPr>
        <w:tc>
          <w:tcPr>
            <w:tcW w:w="472" w:type="dxa"/>
            <w:shd w:val="clear" w:color="auto" w:fill="auto"/>
            <w:tcMar>
              <w:top w:w="100" w:type="dxa"/>
              <w:left w:w="100" w:type="dxa"/>
              <w:bottom w:w="100" w:type="dxa"/>
              <w:right w:w="100" w:type="dxa"/>
            </w:tcMar>
            <w:vAlign w:val="top"/>
          </w:tcPr>
          <w:p w14:paraId="04D98C3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5 </w:t>
            </w:r>
          </w:p>
        </w:tc>
        <w:tc>
          <w:tcPr>
            <w:tcW w:w="1729" w:type="dxa"/>
            <w:shd w:val="clear" w:color="auto" w:fill="auto"/>
            <w:tcMar>
              <w:top w:w="100" w:type="dxa"/>
              <w:left w:w="100" w:type="dxa"/>
              <w:bottom w:w="100" w:type="dxa"/>
              <w:right w:w="100" w:type="dxa"/>
            </w:tcMar>
            <w:vAlign w:val="top"/>
          </w:tcPr>
          <w:p w14:paraId="56EAE0D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5"/>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Autoturisme cu capacitatea  cilindrică între 2.601 cm3 și  3.000 cm3 inclusiv </w:t>
            </w:r>
          </w:p>
        </w:tc>
        <w:tc>
          <w:tcPr>
            <w:tcW w:w="951" w:type="dxa"/>
            <w:shd w:val="clear" w:color="auto" w:fill="auto"/>
            <w:tcMar>
              <w:top w:w="100" w:type="dxa"/>
              <w:left w:w="100" w:type="dxa"/>
              <w:bottom w:w="100" w:type="dxa"/>
              <w:right w:w="100" w:type="dxa"/>
            </w:tcMar>
            <w:vAlign w:val="top"/>
          </w:tcPr>
          <w:p w14:paraId="66A1839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182,9 </w:t>
            </w:r>
          </w:p>
        </w:tc>
        <w:tc>
          <w:tcPr>
            <w:tcW w:w="1223" w:type="dxa"/>
            <w:shd w:val="clear" w:color="auto" w:fill="auto"/>
            <w:tcMar>
              <w:top w:w="100" w:type="dxa"/>
              <w:left w:w="100" w:type="dxa"/>
              <w:bottom w:w="100" w:type="dxa"/>
              <w:right w:w="100" w:type="dxa"/>
            </w:tcMar>
            <w:vAlign w:val="top"/>
          </w:tcPr>
          <w:p w14:paraId="4755BDA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172,8 </w:t>
            </w:r>
          </w:p>
        </w:tc>
        <w:tc>
          <w:tcPr>
            <w:tcW w:w="1304" w:type="dxa"/>
            <w:shd w:val="clear" w:color="auto" w:fill="auto"/>
            <w:tcMar>
              <w:top w:w="100" w:type="dxa"/>
              <w:left w:w="100" w:type="dxa"/>
              <w:bottom w:w="100" w:type="dxa"/>
              <w:right w:w="100" w:type="dxa"/>
            </w:tcMar>
            <w:vAlign w:val="top"/>
          </w:tcPr>
          <w:p w14:paraId="174FEE3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154,1 </w:t>
            </w:r>
          </w:p>
        </w:tc>
        <w:tc>
          <w:tcPr>
            <w:tcW w:w="1292" w:type="dxa"/>
            <w:shd w:val="clear" w:color="auto" w:fill="auto"/>
            <w:tcMar>
              <w:top w:w="100" w:type="dxa"/>
              <w:left w:w="100" w:type="dxa"/>
              <w:bottom w:w="100" w:type="dxa"/>
              <w:right w:w="100" w:type="dxa"/>
            </w:tcMar>
            <w:vAlign w:val="top"/>
          </w:tcPr>
          <w:p w14:paraId="282C1D6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151,2 </w:t>
            </w:r>
          </w:p>
        </w:tc>
        <w:tc>
          <w:tcPr>
            <w:tcW w:w="1120" w:type="dxa"/>
            <w:shd w:val="clear" w:color="auto" w:fill="auto"/>
            <w:tcMar>
              <w:top w:w="100" w:type="dxa"/>
              <w:left w:w="100" w:type="dxa"/>
              <w:bottom w:w="100" w:type="dxa"/>
              <w:right w:w="100" w:type="dxa"/>
            </w:tcMar>
            <w:vAlign w:val="top"/>
          </w:tcPr>
          <w:p w14:paraId="17EA558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149,8</w:t>
            </w:r>
          </w:p>
        </w:tc>
      </w:tr>
      <w:tr w14:paraId="0FB9FAB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515" w:hRule="atLeast"/>
        </w:trPr>
        <w:tc>
          <w:tcPr>
            <w:tcW w:w="472" w:type="dxa"/>
            <w:shd w:val="clear" w:color="auto" w:fill="auto"/>
            <w:tcMar>
              <w:top w:w="100" w:type="dxa"/>
              <w:left w:w="100" w:type="dxa"/>
              <w:bottom w:w="100" w:type="dxa"/>
              <w:right w:w="100" w:type="dxa"/>
            </w:tcMar>
            <w:vAlign w:val="top"/>
          </w:tcPr>
          <w:p w14:paraId="450C5D6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6 </w:t>
            </w:r>
          </w:p>
        </w:tc>
        <w:tc>
          <w:tcPr>
            <w:tcW w:w="1729" w:type="dxa"/>
            <w:shd w:val="clear" w:color="auto" w:fill="auto"/>
            <w:tcMar>
              <w:top w:w="100" w:type="dxa"/>
              <w:left w:w="100" w:type="dxa"/>
              <w:bottom w:w="100" w:type="dxa"/>
              <w:right w:w="100" w:type="dxa"/>
            </w:tcMar>
            <w:vAlign w:val="top"/>
          </w:tcPr>
          <w:p w14:paraId="4238D59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5"/>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Autoturisme cu capacitatea  cilindrică de peste 3.001 cm3 </w:t>
            </w:r>
          </w:p>
        </w:tc>
        <w:tc>
          <w:tcPr>
            <w:tcW w:w="951" w:type="dxa"/>
            <w:shd w:val="clear" w:color="auto" w:fill="auto"/>
            <w:tcMar>
              <w:top w:w="100" w:type="dxa"/>
              <w:left w:w="100" w:type="dxa"/>
              <w:bottom w:w="100" w:type="dxa"/>
              <w:right w:w="100" w:type="dxa"/>
            </w:tcMar>
            <w:vAlign w:val="top"/>
          </w:tcPr>
          <w:p w14:paraId="3ED1D70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319,0 </w:t>
            </w:r>
          </w:p>
        </w:tc>
        <w:tc>
          <w:tcPr>
            <w:tcW w:w="1223" w:type="dxa"/>
            <w:shd w:val="clear" w:color="auto" w:fill="auto"/>
            <w:tcMar>
              <w:top w:w="100" w:type="dxa"/>
              <w:left w:w="100" w:type="dxa"/>
              <w:bottom w:w="100" w:type="dxa"/>
              <w:right w:w="100" w:type="dxa"/>
            </w:tcMar>
            <w:vAlign w:val="top"/>
          </w:tcPr>
          <w:p w14:paraId="457FB74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297,3 </w:t>
            </w:r>
          </w:p>
        </w:tc>
        <w:tc>
          <w:tcPr>
            <w:tcW w:w="1304" w:type="dxa"/>
            <w:shd w:val="clear" w:color="auto" w:fill="auto"/>
            <w:tcMar>
              <w:top w:w="100" w:type="dxa"/>
              <w:left w:w="100" w:type="dxa"/>
              <w:bottom w:w="100" w:type="dxa"/>
              <w:right w:w="100" w:type="dxa"/>
            </w:tcMar>
            <w:vAlign w:val="top"/>
          </w:tcPr>
          <w:p w14:paraId="1020106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294,4 </w:t>
            </w:r>
          </w:p>
        </w:tc>
        <w:tc>
          <w:tcPr>
            <w:tcW w:w="1292" w:type="dxa"/>
            <w:shd w:val="clear" w:color="auto" w:fill="auto"/>
            <w:tcMar>
              <w:top w:w="100" w:type="dxa"/>
              <w:left w:w="100" w:type="dxa"/>
              <w:bottom w:w="100" w:type="dxa"/>
              <w:right w:w="100" w:type="dxa"/>
            </w:tcMar>
            <w:vAlign w:val="top"/>
          </w:tcPr>
          <w:p w14:paraId="5086DE5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290,0 </w:t>
            </w:r>
          </w:p>
        </w:tc>
        <w:tc>
          <w:tcPr>
            <w:tcW w:w="1120" w:type="dxa"/>
            <w:shd w:val="clear" w:color="auto" w:fill="auto"/>
            <w:tcMar>
              <w:top w:w="100" w:type="dxa"/>
              <w:left w:w="100" w:type="dxa"/>
              <w:bottom w:w="100" w:type="dxa"/>
              <w:right w:w="100" w:type="dxa"/>
            </w:tcMar>
            <w:vAlign w:val="top"/>
          </w:tcPr>
          <w:p w14:paraId="4BB0064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275,5</w:t>
            </w:r>
          </w:p>
        </w:tc>
      </w:tr>
      <w:tr w14:paraId="58EA5D6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515" w:hRule="atLeast"/>
        </w:trPr>
        <w:tc>
          <w:tcPr>
            <w:tcW w:w="472" w:type="dxa"/>
            <w:shd w:val="clear" w:color="auto" w:fill="auto"/>
            <w:tcMar>
              <w:top w:w="100" w:type="dxa"/>
              <w:left w:w="100" w:type="dxa"/>
              <w:bottom w:w="100" w:type="dxa"/>
              <w:right w:w="100" w:type="dxa"/>
            </w:tcMar>
            <w:vAlign w:val="top"/>
          </w:tcPr>
          <w:p w14:paraId="22461C3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7 </w:t>
            </w:r>
          </w:p>
        </w:tc>
        <w:tc>
          <w:tcPr>
            <w:tcW w:w="1729" w:type="dxa"/>
            <w:shd w:val="clear" w:color="auto" w:fill="auto"/>
            <w:tcMar>
              <w:top w:w="100" w:type="dxa"/>
              <w:left w:w="100" w:type="dxa"/>
              <w:bottom w:w="100" w:type="dxa"/>
              <w:right w:w="100" w:type="dxa"/>
            </w:tcMar>
            <w:vAlign w:val="top"/>
          </w:tcPr>
          <w:p w14:paraId="5B86036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Autobuze, autocare,  microbuze </w:t>
            </w:r>
          </w:p>
        </w:tc>
        <w:tc>
          <w:tcPr>
            <w:tcW w:w="951" w:type="dxa"/>
            <w:shd w:val="clear" w:color="auto" w:fill="auto"/>
            <w:tcMar>
              <w:top w:w="100" w:type="dxa"/>
              <w:left w:w="100" w:type="dxa"/>
              <w:bottom w:w="100" w:type="dxa"/>
              <w:right w:w="100" w:type="dxa"/>
            </w:tcMar>
            <w:vAlign w:val="top"/>
          </w:tcPr>
          <w:p w14:paraId="436ED45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31,2 </w:t>
            </w:r>
          </w:p>
        </w:tc>
        <w:tc>
          <w:tcPr>
            <w:tcW w:w="1223" w:type="dxa"/>
            <w:shd w:val="clear" w:color="auto" w:fill="auto"/>
            <w:tcMar>
              <w:top w:w="100" w:type="dxa"/>
              <w:left w:w="100" w:type="dxa"/>
              <w:bottom w:w="100" w:type="dxa"/>
              <w:right w:w="100" w:type="dxa"/>
            </w:tcMar>
            <w:vAlign w:val="top"/>
          </w:tcPr>
          <w:p w14:paraId="6C422E6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30,0 </w:t>
            </w:r>
          </w:p>
        </w:tc>
        <w:tc>
          <w:tcPr>
            <w:tcW w:w="1304" w:type="dxa"/>
            <w:shd w:val="clear" w:color="auto" w:fill="auto"/>
            <w:tcMar>
              <w:top w:w="100" w:type="dxa"/>
              <w:left w:w="100" w:type="dxa"/>
              <w:bottom w:w="100" w:type="dxa"/>
              <w:right w:w="100" w:type="dxa"/>
            </w:tcMar>
            <w:vAlign w:val="top"/>
          </w:tcPr>
          <w:p w14:paraId="0875D6D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28,1 </w:t>
            </w:r>
          </w:p>
        </w:tc>
        <w:tc>
          <w:tcPr>
            <w:tcW w:w="1292" w:type="dxa"/>
            <w:shd w:val="clear" w:color="auto" w:fill="auto"/>
            <w:tcMar>
              <w:top w:w="100" w:type="dxa"/>
              <w:left w:w="100" w:type="dxa"/>
              <w:bottom w:w="100" w:type="dxa"/>
              <w:right w:w="100" w:type="dxa"/>
            </w:tcMar>
            <w:vAlign w:val="top"/>
          </w:tcPr>
          <w:p w14:paraId="72FB145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26,4 </w:t>
            </w:r>
          </w:p>
        </w:tc>
        <w:tc>
          <w:tcPr>
            <w:tcW w:w="1120" w:type="dxa"/>
            <w:shd w:val="clear" w:color="auto" w:fill="auto"/>
            <w:tcMar>
              <w:top w:w="100" w:type="dxa"/>
              <w:left w:w="100" w:type="dxa"/>
              <w:bottom w:w="100" w:type="dxa"/>
              <w:right w:w="100" w:type="dxa"/>
            </w:tcMar>
            <w:vAlign w:val="top"/>
          </w:tcPr>
          <w:p w14:paraId="3E7D445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25,9</w:t>
            </w:r>
          </w:p>
        </w:tc>
      </w:tr>
      <w:tr w14:paraId="2E81B1D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1458" w:hRule="atLeast"/>
        </w:trPr>
        <w:tc>
          <w:tcPr>
            <w:tcW w:w="472" w:type="dxa"/>
            <w:shd w:val="clear" w:color="auto" w:fill="auto"/>
            <w:tcMar>
              <w:top w:w="100" w:type="dxa"/>
              <w:left w:w="100" w:type="dxa"/>
              <w:bottom w:w="100" w:type="dxa"/>
              <w:right w:w="100" w:type="dxa"/>
            </w:tcMar>
            <w:vAlign w:val="top"/>
          </w:tcPr>
          <w:p w14:paraId="2A92F1F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8 </w:t>
            </w:r>
          </w:p>
        </w:tc>
        <w:tc>
          <w:tcPr>
            <w:tcW w:w="1729" w:type="dxa"/>
            <w:shd w:val="clear" w:color="auto" w:fill="auto"/>
            <w:tcMar>
              <w:top w:w="100" w:type="dxa"/>
              <w:left w:w="100" w:type="dxa"/>
              <w:bottom w:w="100" w:type="dxa"/>
              <w:right w:w="100" w:type="dxa"/>
            </w:tcMar>
            <w:vAlign w:val="top"/>
          </w:tcPr>
          <w:p w14:paraId="76542E7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Alte vehicule cu tracțiune  mecanică cu masa totală  maximă autorizată de până la  12 tone, inclusiv </w:t>
            </w:r>
          </w:p>
        </w:tc>
        <w:tc>
          <w:tcPr>
            <w:tcW w:w="951" w:type="dxa"/>
            <w:shd w:val="clear" w:color="auto" w:fill="auto"/>
            <w:tcMar>
              <w:top w:w="100" w:type="dxa"/>
              <w:left w:w="100" w:type="dxa"/>
              <w:bottom w:w="100" w:type="dxa"/>
              <w:right w:w="100" w:type="dxa"/>
            </w:tcMar>
            <w:vAlign w:val="top"/>
          </w:tcPr>
          <w:p w14:paraId="76E5C3B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39,0 </w:t>
            </w:r>
          </w:p>
        </w:tc>
        <w:tc>
          <w:tcPr>
            <w:tcW w:w="1223" w:type="dxa"/>
            <w:shd w:val="clear" w:color="auto" w:fill="auto"/>
            <w:tcMar>
              <w:top w:w="100" w:type="dxa"/>
              <w:left w:w="100" w:type="dxa"/>
              <w:bottom w:w="100" w:type="dxa"/>
              <w:right w:w="100" w:type="dxa"/>
            </w:tcMar>
            <w:vAlign w:val="top"/>
          </w:tcPr>
          <w:p w14:paraId="28668E0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37,5 </w:t>
            </w:r>
          </w:p>
        </w:tc>
        <w:tc>
          <w:tcPr>
            <w:tcW w:w="1304" w:type="dxa"/>
            <w:shd w:val="clear" w:color="auto" w:fill="auto"/>
            <w:tcMar>
              <w:top w:w="100" w:type="dxa"/>
              <w:left w:w="100" w:type="dxa"/>
              <w:bottom w:w="100" w:type="dxa"/>
              <w:right w:w="100" w:type="dxa"/>
            </w:tcMar>
            <w:vAlign w:val="top"/>
          </w:tcPr>
          <w:p w14:paraId="1106DFD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35,1 </w:t>
            </w:r>
          </w:p>
        </w:tc>
        <w:tc>
          <w:tcPr>
            <w:tcW w:w="1292" w:type="dxa"/>
            <w:shd w:val="clear" w:color="auto" w:fill="auto"/>
            <w:tcMar>
              <w:top w:w="100" w:type="dxa"/>
              <w:left w:w="100" w:type="dxa"/>
              <w:bottom w:w="100" w:type="dxa"/>
              <w:right w:w="100" w:type="dxa"/>
            </w:tcMar>
            <w:vAlign w:val="top"/>
          </w:tcPr>
          <w:p w14:paraId="2C6D186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33,0 </w:t>
            </w:r>
          </w:p>
        </w:tc>
        <w:tc>
          <w:tcPr>
            <w:tcW w:w="1120" w:type="dxa"/>
            <w:shd w:val="clear" w:color="auto" w:fill="auto"/>
            <w:tcMar>
              <w:top w:w="100" w:type="dxa"/>
              <w:left w:w="100" w:type="dxa"/>
              <w:bottom w:w="100" w:type="dxa"/>
              <w:right w:w="100" w:type="dxa"/>
            </w:tcMar>
            <w:vAlign w:val="top"/>
          </w:tcPr>
          <w:p w14:paraId="2F06981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32,4</w:t>
            </w:r>
          </w:p>
        </w:tc>
      </w:tr>
    </w:tbl>
    <w:p w14:paraId="083F736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14540D1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2438423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02041FE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6AC5F54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1D39A5C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1D27AD5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07E316F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7F1F6D7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1FABCDE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2C64A17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3931607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2F0F47C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30C0CEC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37485E1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574A01C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7FACBE0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573CCA7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79055C0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2726955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635E5DE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5981498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44D1F60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3D8C1B0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57B6BBB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2722055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41A64F8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5F7CAF3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7945826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4EE68B9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4DC538B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52A5643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6B3AD22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22461A5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1700E20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32A0D34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1A877DD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77E6D7A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20D4163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529B1C1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0F8229D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2FC5C4A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2583E9E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6003070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7C14152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000001F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(2) În cazul oricăruia dintre următoarele autovehicule, impozitul pe mijlocul de transport se  calculează în funcţie de capacitatea cilindrică a acestuia și norma de poluare, prin înmulţirea  fiecărei grupe de 200 cm</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superscript"/>
          <w:rtl w:val="0"/>
          <w14:textFill>
            <w14:solidFill>
              <w14:schemeClr w14:val="tx1"/>
            </w14:solidFill>
          </w14:textFill>
        </w:rPr>
        <w:t>3</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sau fracţiune din aceasta cu suma corespunzătoare din tabelul  următor: </w:t>
      </w:r>
    </w:p>
    <w:p w14:paraId="0000026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1"/>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(2^1) Ministerul Dezvoltării, Lucrărilor Publice și Administrației, Ministerul Afacerilor  Interne și Ministerul Transporturilor și Infrastructurii au obligația de a colabora în vederea  realizării schimbului de date și informații privind norma de poluare prevăzută la alin. (2).  Procedura privind schimbul de date și informații se stabilește pe bază de protocol încheiat între  Ministerul Dezvoltării, Lucrărilor Publice și Administrației, Ministerul Afacerilor Interne și  Ministerul Transporturilor și Infrastructurii. </w:t>
      </w:r>
    </w:p>
    <w:p w14:paraId="0000026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5"/>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(2^2) În cazul oricăruia dintre următoarele autovehicule, impozitul pe mijloacele de transport  se calculează în funcție de capacitatea cilindrică a acestuia, prin înmulțirea fiecărei grupe de  200 cm3 sau fracțiune din aceasta cu suma corespunzătoare din tabelul următor:</w:t>
      </w:r>
    </w:p>
    <w:tbl>
      <w:tblPr>
        <w:tblStyle w:val="26"/>
        <w:tblpPr w:leftFromText="180" w:rightFromText="180" w:vertAnchor="text" w:horzAnchor="page" w:tblpX="1327" w:tblpY="48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2"/>
        <w:gridCol w:w="4968"/>
        <w:gridCol w:w="1837"/>
        <w:gridCol w:w="2185"/>
      </w:tblGrid>
      <w:tr w14:paraId="4EB21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 w:type="dxa"/>
          </w:tcPr>
          <w:p w14:paraId="22194553">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14:textFill>
                  <w14:solidFill>
                    <w14:schemeClr w14:val="tx1"/>
                  </w14:solidFill>
                </w14:textFill>
              </w:rPr>
              <w:t>Nr crt</w:t>
            </w:r>
          </w:p>
        </w:tc>
        <w:tc>
          <w:tcPr>
            <w:tcW w:w="4968" w:type="dxa"/>
          </w:tcPr>
          <w:p w14:paraId="3E853C45">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14:textFill>
                  <w14:solidFill>
                    <w14:schemeClr w14:val="tx1"/>
                  </w14:solidFill>
                </w14:textFill>
              </w:rPr>
              <w:t>Mijloace de transport cu tractiune mecanica</w:t>
            </w:r>
          </w:p>
        </w:tc>
        <w:tc>
          <w:tcPr>
            <w:tcW w:w="1837" w:type="dxa"/>
          </w:tcPr>
          <w:p w14:paraId="186608F9">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14:textFill>
                  <w14:solidFill>
                    <w14:schemeClr w14:val="tx1"/>
                  </w14:solidFill>
                </w14:textFill>
              </w:rPr>
              <w:t>Lei/200cm sau fractiune din aceasta</w:t>
            </w:r>
          </w:p>
        </w:tc>
        <w:tc>
          <w:tcPr>
            <w:tcW w:w="2185" w:type="dxa"/>
          </w:tcPr>
          <w:p w14:paraId="58E6F5D5">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ro-RO"/>
                <w14:textFill>
                  <w14:solidFill>
                    <w14:schemeClr w14:val="tx1"/>
                  </w14:solidFill>
                </w14:textFill>
              </w:rPr>
              <w:t>Stabilit pentru</w:t>
            </w:r>
          </w:p>
          <w:p w14:paraId="3381DB70">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ro-RO"/>
                <w14:textFill>
                  <w14:solidFill>
                    <w14:schemeClr w14:val="tx1"/>
                  </w14:solidFill>
                </w14:textFill>
              </w:rPr>
              <w:t>2026 de Consiliul Local</w:t>
            </w:r>
          </w:p>
        </w:tc>
      </w:tr>
      <w:tr w14:paraId="2C95A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7" w:type="dxa"/>
            <w:gridSpan w:val="3"/>
          </w:tcPr>
          <w:p w14:paraId="10809284">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14:textFill>
                  <w14:solidFill>
                    <w14:schemeClr w14:val="tx1"/>
                  </w14:solidFill>
                </w14:textFill>
              </w:rPr>
              <w:t>I.Vehicule inmatriculate(lei /200 cm sau fractiune din aceasta)</w:t>
            </w:r>
          </w:p>
        </w:tc>
        <w:tc>
          <w:tcPr>
            <w:tcW w:w="2185" w:type="dxa"/>
          </w:tcPr>
          <w:p w14:paraId="3EBDE812">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14:textFill>
                  <w14:solidFill>
                    <w14:schemeClr w14:val="tx1"/>
                  </w14:solidFill>
                </w14:textFill>
              </w:rPr>
            </w:pPr>
          </w:p>
        </w:tc>
      </w:tr>
      <w:tr w14:paraId="514B6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 w:type="dxa"/>
          </w:tcPr>
          <w:p w14:paraId="17DA13C6">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14:textFill>
                  <w14:solidFill>
                    <w14:schemeClr w14:val="tx1"/>
                  </w14:solidFill>
                </w14:textFill>
              </w:rPr>
              <w:t>1</w:t>
            </w:r>
          </w:p>
        </w:tc>
        <w:tc>
          <w:tcPr>
            <w:tcW w:w="4968" w:type="dxa"/>
          </w:tcPr>
          <w:p w14:paraId="2435450F">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14:textFill>
                  <w14:solidFill>
                    <w14:schemeClr w14:val="tx1"/>
                  </w14:solidFill>
                </w14:textFill>
              </w:rPr>
              <w:t>Tractoare inmatriculate</w:t>
            </w:r>
          </w:p>
        </w:tc>
        <w:tc>
          <w:tcPr>
            <w:tcW w:w="1837" w:type="dxa"/>
          </w:tcPr>
          <w:p w14:paraId="2AA717C8">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14:textFill>
                  <w14:solidFill>
                    <w14:schemeClr w14:val="tx1"/>
                  </w14:solidFill>
                </w14:textFill>
              </w:rPr>
              <w:t>18</w:t>
            </w:r>
          </w:p>
        </w:tc>
        <w:tc>
          <w:tcPr>
            <w:tcW w:w="2185" w:type="dxa"/>
          </w:tcPr>
          <w:p w14:paraId="488826CA">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ro-RO"/>
                <w14:textFill>
                  <w14:solidFill>
                    <w14:schemeClr w14:val="tx1"/>
                  </w14:solidFill>
                </w14:textFill>
              </w:rPr>
              <w:t>18</w:t>
            </w:r>
          </w:p>
        </w:tc>
      </w:tr>
      <w:tr w14:paraId="617BF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7" w:type="dxa"/>
            <w:gridSpan w:val="3"/>
          </w:tcPr>
          <w:p w14:paraId="2DE1CEF9">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14:textFill>
                  <w14:solidFill>
                    <w14:schemeClr w14:val="tx1"/>
                  </w14:solidFill>
                </w14:textFill>
              </w:rPr>
              <w:t>II.Vehicule inregistrate</w:t>
            </w:r>
          </w:p>
        </w:tc>
        <w:tc>
          <w:tcPr>
            <w:tcW w:w="2185" w:type="dxa"/>
          </w:tcPr>
          <w:p w14:paraId="2061189E">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14:textFill>
                  <w14:solidFill>
                    <w14:schemeClr w14:val="tx1"/>
                  </w14:solidFill>
                </w14:textFill>
              </w:rPr>
            </w:pPr>
          </w:p>
        </w:tc>
      </w:tr>
      <w:tr w14:paraId="62B1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 w:type="dxa"/>
          </w:tcPr>
          <w:p w14:paraId="57EEE352">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14:textFill>
                  <w14:solidFill>
                    <w14:schemeClr w14:val="tx1"/>
                  </w14:solidFill>
                </w14:textFill>
              </w:rPr>
              <w:t>1</w:t>
            </w:r>
          </w:p>
        </w:tc>
        <w:tc>
          <w:tcPr>
            <w:tcW w:w="4968" w:type="dxa"/>
          </w:tcPr>
          <w:p w14:paraId="0293A379">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14:textFill>
                  <w14:solidFill>
                    <w14:schemeClr w14:val="tx1"/>
                  </w14:solidFill>
                </w14:textFill>
              </w:rPr>
              <w:t>Vehicule cu capaciate cilindrica</w:t>
            </w:r>
          </w:p>
        </w:tc>
        <w:tc>
          <w:tcPr>
            <w:tcW w:w="1837" w:type="dxa"/>
          </w:tcPr>
          <w:p w14:paraId="74F314E6">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14:textFill>
                  <w14:solidFill>
                    <w14:schemeClr w14:val="tx1"/>
                  </w14:solidFill>
                </w14:textFill>
              </w:rPr>
              <w:t>Lei/200cm</w:t>
            </w:r>
          </w:p>
        </w:tc>
        <w:tc>
          <w:tcPr>
            <w:tcW w:w="2185" w:type="dxa"/>
          </w:tcPr>
          <w:p w14:paraId="328415CC">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14:textFill>
                  <w14:solidFill>
                    <w14:schemeClr w14:val="tx1"/>
                  </w14:solidFill>
                </w14:textFill>
              </w:rPr>
            </w:pPr>
          </w:p>
        </w:tc>
      </w:tr>
      <w:tr w14:paraId="2B84D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 w:type="dxa"/>
          </w:tcPr>
          <w:p w14:paraId="37BD17AD">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14:textFill>
                  <w14:solidFill>
                    <w14:schemeClr w14:val="tx1"/>
                  </w14:solidFill>
                </w14:textFill>
              </w:rPr>
              <w:t>1.1</w:t>
            </w:r>
          </w:p>
        </w:tc>
        <w:tc>
          <w:tcPr>
            <w:tcW w:w="4968" w:type="dxa"/>
          </w:tcPr>
          <w:p w14:paraId="6C4210FA">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14:textFill>
                  <w14:solidFill>
                    <w14:schemeClr w14:val="tx1"/>
                  </w14:solidFill>
                </w14:textFill>
              </w:rPr>
              <w:t>Vehicule inregistarte cu capacitate cilindrica  ‹ 4800</w:t>
            </w:r>
          </w:p>
        </w:tc>
        <w:tc>
          <w:tcPr>
            <w:tcW w:w="1837" w:type="dxa"/>
          </w:tcPr>
          <w:p w14:paraId="3D922B73">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14:textFill>
                  <w14:solidFill>
                    <w14:schemeClr w14:val="tx1"/>
                  </w14:solidFill>
                </w14:textFill>
              </w:rPr>
              <w:t>2</w:t>
            </w:r>
            <w:r>
              <w:rPr>
                <w:rFonts w:hint="default" w:eastAsia="Times New Roman" w:cs="Arial" w:asciiTheme="minorAscii" w:hAnsiTheme="minorAscii"/>
                <w:b w:val="0"/>
                <w:bCs w:val="0"/>
                <w:strike w:val="0"/>
                <w:dstrike w:val="0"/>
                <w:color w:val="000000" w:themeColor="text1"/>
                <w:sz w:val="20"/>
                <w:szCs w:val="20"/>
                <w:lang w:val="ro-RO"/>
                <w14:textFill>
                  <w14:solidFill>
                    <w14:schemeClr w14:val="tx1"/>
                  </w14:solidFill>
                </w14:textFill>
              </w:rPr>
              <w:t>-4</w:t>
            </w:r>
          </w:p>
        </w:tc>
        <w:tc>
          <w:tcPr>
            <w:tcW w:w="2185" w:type="dxa"/>
          </w:tcPr>
          <w:p w14:paraId="595F1B54">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ro-RO"/>
                <w14:textFill>
                  <w14:solidFill>
                    <w14:schemeClr w14:val="tx1"/>
                  </w14:solidFill>
                </w14:textFill>
              </w:rPr>
              <w:t>3</w:t>
            </w:r>
          </w:p>
        </w:tc>
      </w:tr>
      <w:tr w14:paraId="628FF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 w:type="dxa"/>
          </w:tcPr>
          <w:p w14:paraId="722F330A">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14:textFill>
                  <w14:solidFill>
                    <w14:schemeClr w14:val="tx1"/>
                  </w14:solidFill>
                </w14:textFill>
              </w:rPr>
              <w:t>1.2</w:t>
            </w:r>
          </w:p>
        </w:tc>
        <w:tc>
          <w:tcPr>
            <w:tcW w:w="4968" w:type="dxa"/>
          </w:tcPr>
          <w:p w14:paraId="17C60C88">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14:textFill>
                  <w14:solidFill>
                    <w14:schemeClr w14:val="tx1"/>
                  </w14:solidFill>
                </w14:textFill>
              </w:rPr>
              <w:t>Vehicule inregistrate cu capacitate cilindrica  ›4800</w:t>
            </w:r>
          </w:p>
        </w:tc>
        <w:tc>
          <w:tcPr>
            <w:tcW w:w="1837" w:type="dxa"/>
          </w:tcPr>
          <w:p w14:paraId="23DB87AA">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14:textFill>
                  <w14:solidFill>
                    <w14:schemeClr w14:val="tx1"/>
                  </w14:solidFill>
                </w14:textFill>
              </w:rPr>
              <w:t>4</w:t>
            </w:r>
            <w:r>
              <w:rPr>
                <w:rFonts w:hint="default" w:eastAsia="Times New Roman" w:cs="Arial" w:asciiTheme="minorAscii" w:hAnsiTheme="minorAscii"/>
                <w:b w:val="0"/>
                <w:bCs w:val="0"/>
                <w:strike w:val="0"/>
                <w:dstrike w:val="0"/>
                <w:color w:val="000000" w:themeColor="text1"/>
                <w:sz w:val="20"/>
                <w:szCs w:val="20"/>
                <w:lang w:val="ro-RO"/>
                <w14:textFill>
                  <w14:solidFill>
                    <w14:schemeClr w14:val="tx1"/>
                  </w14:solidFill>
                </w14:textFill>
              </w:rPr>
              <w:t>-6</w:t>
            </w:r>
          </w:p>
        </w:tc>
        <w:tc>
          <w:tcPr>
            <w:tcW w:w="2185" w:type="dxa"/>
          </w:tcPr>
          <w:p w14:paraId="64B71EA6">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ro-RO"/>
                <w14:textFill>
                  <w14:solidFill>
                    <w14:schemeClr w14:val="tx1"/>
                  </w14:solidFill>
                </w14:textFill>
              </w:rPr>
              <w:t>5</w:t>
            </w:r>
          </w:p>
        </w:tc>
      </w:tr>
      <w:tr w14:paraId="57598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 w:type="dxa"/>
          </w:tcPr>
          <w:p w14:paraId="1E00FDD1">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14:textFill>
                  <w14:solidFill>
                    <w14:schemeClr w14:val="tx1"/>
                  </w14:solidFill>
                </w14:textFill>
              </w:rPr>
              <w:t xml:space="preserve">2 </w:t>
            </w:r>
          </w:p>
        </w:tc>
        <w:tc>
          <w:tcPr>
            <w:tcW w:w="4968" w:type="dxa"/>
          </w:tcPr>
          <w:p w14:paraId="27160C86">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14:textFill>
                  <w14:solidFill>
                    <w14:schemeClr w14:val="tx1"/>
                  </w14:solidFill>
                </w14:textFill>
              </w:rPr>
              <w:t>Vehicule fara capacitate cilindrica</w:t>
            </w:r>
          </w:p>
        </w:tc>
        <w:tc>
          <w:tcPr>
            <w:tcW w:w="1837" w:type="dxa"/>
          </w:tcPr>
          <w:p w14:paraId="13EB431B">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14:textFill>
                  <w14:solidFill>
                    <w14:schemeClr w14:val="tx1"/>
                  </w14:solidFill>
                </w14:textFill>
              </w:rPr>
              <w:t>50</w:t>
            </w:r>
            <w:r>
              <w:rPr>
                <w:rFonts w:hint="default" w:eastAsia="Times New Roman" w:cs="Arial" w:asciiTheme="minorAscii" w:hAnsiTheme="minorAscii"/>
                <w:b w:val="0"/>
                <w:bCs w:val="0"/>
                <w:strike w:val="0"/>
                <w:dstrike w:val="0"/>
                <w:color w:val="000000" w:themeColor="text1"/>
                <w:sz w:val="20"/>
                <w:szCs w:val="20"/>
                <w:lang w:val="ro-RO"/>
                <w14:textFill>
                  <w14:solidFill>
                    <w14:schemeClr w14:val="tx1"/>
                  </w14:solidFill>
                </w14:textFill>
              </w:rPr>
              <w:t>-150 lei/an</w:t>
            </w:r>
          </w:p>
        </w:tc>
        <w:tc>
          <w:tcPr>
            <w:tcW w:w="2185" w:type="dxa"/>
          </w:tcPr>
          <w:p w14:paraId="7171FF1E">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ro-RO"/>
                <w14:textFill>
                  <w14:solidFill>
                    <w14:schemeClr w14:val="tx1"/>
                  </w14:solidFill>
                </w14:textFill>
              </w:rPr>
              <w:t>Pentru cele cu</w:t>
            </w:r>
          </w:p>
          <w:p w14:paraId="24EEE5FB">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ro-RO"/>
                <w14:textFill>
                  <w14:solidFill>
                    <w14:schemeClr w14:val="tx1"/>
                  </w14:solidFill>
                </w14:textFill>
              </w:rPr>
              <w:t xml:space="preserve"> capacitate sub 45 CP-50 lei/an</w:t>
            </w:r>
          </w:p>
          <w:p w14:paraId="2AB9CE91">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ro-RO"/>
                <w14:textFill>
                  <w14:solidFill>
                    <w14:schemeClr w14:val="tx1"/>
                  </w14:solidFill>
                </w14:textFill>
              </w:rPr>
              <w:t xml:space="preserve">Pentru cele cu </w:t>
            </w:r>
          </w:p>
          <w:p w14:paraId="454B0384">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ro-RO"/>
                <w14:textFill>
                  <w14:solidFill>
                    <w14:schemeClr w14:val="tx1"/>
                  </w14:solidFill>
                </w14:textFill>
              </w:rPr>
              <w:t>capacitate mai</w:t>
            </w:r>
          </w:p>
          <w:p w14:paraId="6FB9DBF4">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ro-RO"/>
                <w14:textFill>
                  <w14:solidFill>
                    <w14:schemeClr w14:val="tx1"/>
                  </w14:solidFill>
                </w14:textFill>
              </w:rPr>
              <w:t xml:space="preserve"> mare de 45 CP-100 lei/an</w:t>
            </w:r>
          </w:p>
        </w:tc>
      </w:tr>
    </w:tbl>
    <w:p w14:paraId="0000028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4FAAC97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42475FB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5A421F7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7701D8F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58E87DD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209665E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5ECCC78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4ADA1CF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76F4067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385AC6F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0B77A29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458403A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721AC30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490A2EC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737F48A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0BEDADD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0000028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Verdana"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(3) În cazul mijloacelor de transport hibride cu emisii de CO2 mai mici sau egale cu 50g/km,  impozitul se reduce cu 30%, conform hotărârii consiliului local.  (3^1) În cazul autovehiculelor acționate electric, impozitul pe mijloacele de transport este în  valoarea de 40 lei/an. </w:t>
      </w:r>
    </w:p>
    <w:p w14:paraId="3417E9B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t>(</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4) În cazul unui ataş, impozitul pe mijlocul de transport este de 50% din impozitul pentru  motocicletele respective.  </w:t>
      </w:r>
    </w:p>
    <w:p w14:paraId="0000028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(5) În cazul unui autovehicul de transport de marfă cu masa totală autorizată egală sau mai  mare de 12 tone, impozitul pe mijloacele de transport este egal cu suma corespunzătoare  prevăzută în tabelul următor:  </w:t>
      </w:r>
    </w:p>
    <w:p w14:paraId="6DC2FCA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righ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tbl>
      <w:tblPr>
        <w:tblStyle w:val="10"/>
        <w:tblW w:w="0" w:type="auto"/>
        <w:tblCellSpacing w:w="15"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57"/>
        <w:gridCol w:w="192"/>
        <w:gridCol w:w="4264"/>
        <w:gridCol w:w="2223"/>
        <w:gridCol w:w="1195"/>
      </w:tblGrid>
      <w:tr w14:paraId="7B1D8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gridSpan w:val="3"/>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4A140E6E">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 xml:space="preserve">Numărul de axe și greutatea brută încărcată </w:t>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maximă admisă</w:t>
            </w:r>
          </w:p>
        </w:tc>
        <w:tc>
          <w:tcPr>
            <w:tcW w:w="0" w:type="auto"/>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94FAADA">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Impozitul (în lei/an)</w:t>
            </w:r>
          </w:p>
        </w:tc>
      </w:tr>
      <w:tr w14:paraId="06618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gridSpan w:val="3"/>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64A66D27">
            <w:pPr>
              <w:keepNext w:val="0"/>
              <w:keepLines w:val="0"/>
              <w:pageBreakBefore w:val="0"/>
              <w:kinsoku/>
              <w:wordWrap/>
              <w:overflowPunct/>
              <w:topLinePunct w:val="0"/>
              <w:bidi w:val="0"/>
              <w:snapToGrid/>
              <w:spacing w:after="0" w:line="240" w:lineRule="auto"/>
              <w:ind w:left="0" w:right="0"/>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34B997E8">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 xml:space="preserve">Ax(e) motor(oare) </w:t>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 xml:space="preserve">cu sistem de suspensie </w:t>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 xml:space="preserve">pneumatică sau </w:t>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echivalentele recunoscute</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4191DE0D">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Alte sisteme</w:t>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 xml:space="preserve">de suspensie </w:t>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pentru axele</w:t>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motoare</w:t>
            </w:r>
          </w:p>
        </w:tc>
      </w:tr>
      <w:tr w14:paraId="75967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6DCD6480">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I</w:t>
            </w:r>
          </w:p>
        </w:tc>
        <w:tc>
          <w:tcPr>
            <w:tcW w:w="0" w:type="auto"/>
            <w:gridSpan w:val="4"/>
            <w:tcBorders>
              <w:top w:val="single" w:color="000000" w:sz="6" w:space="0"/>
              <w:left w:val="single" w:color="000000" w:sz="6" w:space="0"/>
              <w:bottom w:val="single" w:color="000000" w:sz="6" w:space="0"/>
              <w:right w:val="single" w:color="000000" w:sz="6" w:space="0"/>
            </w:tcBorders>
            <w:shd w:val="clear" w:color="auto" w:fill="auto"/>
            <w:vAlign w:val="center"/>
          </w:tcPr>
          <w:p w14:paraId="6EA74CAB">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două axe</w:t>
            </w:r>
          </w:p>
        </w:tc>
      </w:tr>
      <w:tr w14:paraId="788A1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63AE4010">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45F35BC3">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5ADD015">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Masa de cel puțin 12 tone, dar mai mică de 13 tone</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272FD5B5">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8FA34D9">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142</w:t>
            </w:r>
          </w:p>
        </w:tc>
      </w:tr>
      <w:tr w14:paraId="2588D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70499C7B">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50F8BD0E">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2</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0AC1FCD4">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Masa de cel puțin 13 tone, dar mai mică de 14 tone</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7BAEB28B">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142</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60B00B17">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395</w:t>
            </w:r>
          </w:p>
        </w:tc>
      </w:tr>
      <w:tr w14:paraId="739B7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705107D1">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401DFE8A">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3</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7652593E">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Masa de cel puțin 14 tone, dar mai mică de 15 tone</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694B8768">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395</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3D04CE19">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555</w:t>
            </w:r>
          </w:p>
        </w:tc>
      </w:tr>
      <w:tr w14:paraId="6FF8F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6789B62D">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40D21BFC">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4</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33718473">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Masa de cel puțin 15 tone, dar mai mică de 18 tone</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2B06EE25">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555</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095F700C">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1257</w:t>
            </w:r>
          </w:p>
        </w:tc>
      </w:tr>
      <w:tr w14:paraId="6137C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5240333B">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5E82DE20">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5</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708AAF0B">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Masa de cel puțin 18 tone</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07C1B8D8">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555</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031CD18F">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1257</w:t>
            </w:r>
          </w:p>
        </w:tc>
      </w:tr>
      <w:tr w14:paraId="2104E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4612189B">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II</w:t>
            </w:r>
          </w:p>
        </w:tc>
        <w:tc>
          <w:tcPr>
            <w:tcW w:w="0" w:type="auto"/>
            <w:gridSpan w:val="4"/>
            <w:tcBorders>
              <w:top w:val="single" w:color="000000" w:sz="6" w:space="0"/>
              <w:left w:val="single" w:color="000000" w:sz="6" w:space="0"/>
              <w:bottom w:val="single" w:color="000000" w:sz="6" w:space="0"/>
              <w:right w:val="single" w:color="000000" w:sz="6" w:space="0"/>
            </w:tcBorders>
            <w:shd w:val="clear" w:color="auto" w:fill="auto"/>
            <w:vAlign w:val="center"/>
          </w:tcPr>
          <w:p w14:paraId="45B168F8">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3 axe</w:t>
            </w:r>
          </w:p>
        </w:tc>
      </w:tr>
      <w:tr w14:paraId="67CAF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2792DE66">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671DA9CB">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24F74F77">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Masa de cel puțin 15 tone, dar mai mică de 17 tone</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70475616">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142</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382C410B">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248</w:t>
            </w:r>
          </w:p>
        </w:tc>
      </w:tr>
      <w:tr w14:paraId="476B4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654D2975">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88D159A">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2</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0BBCCED9">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Masa de cel puțin 17 tone, dar mai mică de 19 tone</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52A98445">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248</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2E31AC1">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509</w:t>
            </w:r>
          </w:p>
        </w:tc>
      </w:tr>
      <w:tr w14:paraId="08299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5334259D">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4118831F">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3</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42644B48">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Masa de cel puțin 19 tone, dar mai mică de 21 tone</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397972D8">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509</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418A5BD1">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661</w:t>
            </w:r>
          </w:p>
        </w:tc>
      </w:tr>
      <w:tr w14:paraId="34DFF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0AA5A083">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4251FCF0">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4</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4A87061C">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Masa de cel puțin 21 tone, dar mai mică de 23 tone</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2101BAF2">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661</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6F9F7014">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1019</w:t>
            </w:r>
          </w:p>
        </w:tc>
      </w:tr>
      <w:tr w14:paraId="0A944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05490259">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47455E4B">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5</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603AAA2B">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Masa de cel puțin 23 tone, dar mai mică de 25 tone</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70D728B2">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1019</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664A5E0C">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1583</w:t>
            </w:r>
          </w:p>
        </w:tc>
      </w:tr>
      <w:tr w14:paraId="7106F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2504723E">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2F2555A5">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6</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3BDCDCB4">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Masa de cel puțin 25 tone, dar mai mică de 26 tone</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4F38AB43">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1019</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7A9517B0">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1583</w:t>
            </w:r>
          </w:p>
        </w:tc>
      </w:tr>
      <w:tr w14:paraId="3BAFD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0E72521F">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89D0D88">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7</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4CE9BA64">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Masa de cel puțin 26 tone</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4DA8EFC1">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1019</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214741E4">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1583</w:t>
            </w:r>
          </w:p>
        </w:tc>
      </w:tr>
      <w:tr w14:paraId="204F7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E2C2A71">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III</w:t>
            </w:r>
          </w:p>
        </w:tc>
        <w:tc>
          <w:tcPr>
            <w:tcW w:w="0" w:type="auto"/>
            <w:gridSpan w:val="4"/>
            <w:tcBorders>
              <w:top w:val="single" w:color="000000" w:sz="6" w:space="0"/>
              <w:left w:val="single" w:color="000000" w:sz="6" w:space="0"/>
              <w:bottom w:val="single" w:color="000000" w:sz="6" w:space="0"/>
              <w:right w:val="single" w:color="000000" w:sz="6" w:space="0"/>
            </w:tcBorders>
            <w:shd w:val="clear" w:color="auto" w:fill="auto"/>
            <w:vAlign w:val="center"/>
          </w:tcPr>
          <w:p w14:paraId="0FFB12DC">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4 axe</w:t>
            </w:r>
          </w:p>
        </w:tc>
      </w:tr>
      <w:tr w14:paraId="0B8ED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2F701695">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36998AC4">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0249FCBE">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Masa de cel puțin 23 tone, dar mai mică de 25 tone</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6B412DCD">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661</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3AC63B9D">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670</w:t>
            </w:r>
          </w:p>
        </w:tc>
      </w:tr>
      <w:tr w14:paraId="3BF66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3DA08728">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0B3ADAB">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2</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8DF72A8">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Masa de cel puțin 25 tone, dar mai mică de 27 tone</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38F6DD9">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670</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0909B834">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1046</w:t>
            </w:r>
          </w:p>
        </w:tc>
      </w:tr>
      <w:tr w14:paraId="51218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77C7D161">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38CA7D2">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3</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32D2C230">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Masa de cel puțin 27 tone, dar mai mică de 29 tone</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23E2FD6E">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1046</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7D5B1D9D">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1661</w:t>
            </w:r>
          </w:p>
        </w:tc>
      </w:tr>
      <w:tr w14:paraId="63CC9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7365CAA7">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6E866D34">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4</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6AC381D8">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Masa de cel puțin 29 tone, dar mai mică de 31 tone</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08A339DA">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1661</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650FD738">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2464</w:t>
            </w:r>
          </w:p>
        </w:tc>
      </w:tr>
      <w:tr w14:paraId="79B32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786D7AB0">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59F09074">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5</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78139C3F">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Masa de cel puțin 31 tone, dar mai mică de 32 tone</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55CC09F4">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1661</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0975B799">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2464</w:t>
            </w:r>
          </w:p>
        </w:tc>
      </w:tr>
      <w:tr w14:paraId="25C8A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2BC030BE">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27919974">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6</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7D0477BC">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Masa de cel puțin 32 tone</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AF85566">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1661</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2CBD4167">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i w:val="0"/>
                <w:iCs w:val="0"/>
                <w:caps w:val="0"/>
                <w:strike w:val="0"/>
                <w:dstrike w:val="0"/>
                <w:color w:val="000000" w:themeColor="text1"/>
                <w:spacing w:val="0"/>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 xml:space="preserve">2464 </w:t>
            </w:r>
          </w:p>
        </w:tc>
      </w:tr>
    </w:tbl>
    <w:p w14:paraId="47F467B2">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p>
    <w:p w14:paraId="3154625A">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(6) În cazul unei combinații de autovehicule, un autovehicul articulat sau tren rutier, de transport de marfă cu masa totală maximă autorizată egală sau mai mare de 12 tone, impozitul pe mijloacele de transport este egal cu suma corespunzătoare prevăzută în tabelul următor:</w:t>
      </w:r>
    </w:p>
    <w:tbl>
      <w:tblPr>
        <w:tblStyle w:val="10"/>
        <w:tblW w:w="0" w:type="auto"/>
        <w:tblCellSpacing w:w="15"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69"/>
        <w:gridCol w:w="192"/>
        <w:gridCol w:w="4264"/>
        <w:gridCol w:w="2223"/>
        <w:gridCol w:w="1195"/>
      </w:tblGrid>
      <w:tr w14:paraId="40E6C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gridSpan w:val="3"/>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15913BFF">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 xml:space="preserve">Numărul de axe și greutatea brută încărcată </w:t>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maximă admisă</w:t>
            </w:r>
          </w:p>
        </w:tc>
        <w:tc>
          <w:tcPr>
            <w:tcW w:w="0" w:type="auto"/>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57F97E25">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Impozitul (în lei/an)</w:t>
            </w:r>
          </w:p>
        </w:tc>
      </w:tr>
      <w:tr w14:paraId="475C7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gridSpan w:val="3"/>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700B33BE">
            <w:pPr>
              <w:keepNext w:val="0"/>
              <w:keepLines w:val="0"/>
              <w:pageBreakBefore w:val="0"/>
              <w:kinsoku/>
              <w:wordWrap/>
              <w:overflowPunct/>
              <w:topLinePunct w:val="0"/>
              <w:bidi w:val="0"/>
              <w:snapToGrid/>
              <w:spacing w:after="0" w:line="240" w:lineRule="auto"/>
              <w:ind w:left="0" w:right="0"/>
              <w:rPr>
                <w:rFonts w:hint="default" w:cs="Arial" w:asciiTheme="minorAscii" w:hAnsiTheme="minorAscii"/>
                <w:b w:val="0"/>
                <w:bCs w:val="0"/>
                <w:strike w:val="0"/>
                <w:dstrike w:val="0"/>
                <w:color w:val="000000" w:themeColor="text1"/>
                <w:sz w:val="20"/>
                <w:szCs w:val="20"/>
                <w14:textFill>
                  <w14:solidFill>
                    <w14:schemeClr w14:val="tx1"/>
                  </w14:solidFill>
                </w14:textFill>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0A0D30EE">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Ax(e) motor(oare) cu</w:t>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 xml:space="preserve">sistem de suspensie </w:t>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 xml:space="preserve">pneumatică sau </w:t>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echivalentele recunoscute</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37A27B7D">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 xml:space="preserve">Alte sisteme </w:t>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 xml:space="preserve">de suspensie </w:t>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 xml:space="preserve">pentru axele </w:t>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motoare</w:t>
            </w:r>
          </w:p>
        </w:tc>
      </w:tr>
      <w:tr w14:paraId="0292E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601FB2F6">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I</w:t>
            </w:r>
          </w:p>
        </w:tc>
        <w:tc>
          <w:tcPr>
            <w:tcW w:w="0" w:type="auto"/>
            <w:gridSpan w:val="4"/>
            <w:tcBorders>
              <w:top w:val="single" w:color="000000" w:sz="6" w:space="0"/>
              <w:left w:val="single" w:color="000000" w:sz="6" w:space="0"/>
              <w:bottom w:val="single" w:color="000000" w:sz="6" w:space="0"/>
              <w:right w:val="single" w:color="000000" w:sz="6" w:space="0"/>
            </w:tcBorders>
            <w:shd w:val="clear" w:color="auto" w:fill="auto"/>
            <w:vAlign w:val="center"/>
          </w:tcPr>
          <w:p w14:paraId="7DB4DF2E">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2+1 axe</w:t>
            </w:r>
          </w:p>
        </w:tc>
      </w:tr>
      <w:tr w14:paraId="02631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2A1F9F42">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44A371CA">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37BCA5E2">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Masa de cel puțin 12 tone, dar mai mică de 14 tone</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504933F1">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093F86F">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0</w:t>
            </w:r>
          </w:p>
        </w:tc>
      </w:tr>
      <w:tr w14:paraId="23A57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4C2CEEB7">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57133C74">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2</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65982DFB">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Masa de cel puțin 14 tone, dar mai mică de 16 tone</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68BFE57E">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6E372013">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0</w:t>
            </w:r>
          </w:p>
        </w:tc>
      </w:tr>
      <w:tr w14:paraId="37395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7983D9B5">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4FFC6E59">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3</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288CE605">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Masa de cel puțin 16 tone, dar mai mică de 18 tone</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005B9F59">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0</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1218246">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64</w:t>
            </w:r>
          </w:p>
        </w:tc>
      </w:tr>
      <w:tr w14:paraId="75C86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372DB74C">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4A125303">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4</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05E48B68">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Masa de cel puțin 18 tone, dar mai mică de 20 tone</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00D4B157">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64</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00C7CEC5">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147</w:t>
            </w:r>
          </w:p>
        </w:tc>
      </w:tr>
      <w:tr w14:paraId="3B338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2F01B96C">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02E0A727">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5</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213136E9">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Masa de cel puțin 20 tone, dar mai mică de 22 tone</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2BDDAC9">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147</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622E5DC5">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344</w:t>
            </w:r>
          </w:p>
        </w:tc>
      </w:tr>
      <w:tr w14:paraId="1B991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2817019A">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EDFDBB4">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6</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6FB914B2">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Masa de cel puțin 22 tone, dar mai mică de 23 tone</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79BD446D">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344</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45F5A654">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445</w:t>
            </w:r>
          </w:p>
        </w:tc>
      </w:tr>
      <w:tr w14:paraId="57B3F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7D6C54CC">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6D2494AE">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7</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38EAD0FA">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Masa de cel puțin 23 tone, dar mai mică de 25 tone</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27813A5C">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445</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264F5AC">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803</w:t>
            </w:r>
          </w:p>
        </w:tc>
      </w:tr>
      <w:tr w14:paraId="4CE6C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449FFFC9">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F03CC1B">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8</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4B56192B">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Masa de cel puțin 25 tone, dar mai mică de 28 tone</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6B7C9ABB">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803</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6ABB74A">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1408</w:t>
            </w:r>
          </w:p>
        </w:tc>
      </w:tr>
      <w:tr w14:paraId="2DF1D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6B3299C7">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7C10647">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9</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BE22771">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Masa de cel puțin 28 tone</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2C4CDA68">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803</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2C4271B">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1408</w:t>
            </w:r>
          </w:p>
        </w:tc>
      </w:tr>
      <w:tr w14:paraId="10F58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7E113F01">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II</w:t>
            </w:r>
          </w:p>
        </w:tc>
        <w:tc>
          <w:tcPr>
            <w:tcW w:w="0" w:type="auto"/>
            <w:gridSpan w:val="4"/>
            <w:tcBorders>
              <w:top w:val="single" w:color="000000" w:sz="6" w:space="0"/>
              <w:left w:val="single" w:color="000000" w:sz="6" w:space="0"/>
              <w:bottom w:val="single" w:color="000000" w:sz="6" w:space="0"/>
              <w:right w:val="single" w:color="000000" w:sz="6" w:space="0"/>
            </w:tcBorders>
            <w:shd w:val="clear" w:color="auto" w:fill="auto"/>
            <w:vAlign w:val="center"/>
          </w:tcPr>
          <w:p w14:paraId="19E8652B">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2+2 axe</w:t>
            </w:r>
          </w:p>
        </w:tc>
      </w:tr>
      <w:tr w14:paraId="2D280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4365BA57">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071260E1">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720387A8">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Masa de cel puțin 23 tone, dar mai mică de 25 tone</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65E63999">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138</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091CD916">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321</w:t>
            </w:r>
          </w:p>
        </w:tc>
      </w:tr>
      <w:tr w14:paraId="7996A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70F0A686">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7F7FE3CE">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2</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3B1BC1E4">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Masa de cel puțin 25 tone, dar mai mică de 26 tone</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236806A2">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321</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B22FBFA">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528</w:t>
            </w:r>
          </w:p>
        </w:tc>
      </w:tr>
      <w:tr w14:paraId="71902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59B82B33">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5C66E4D">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3</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6D9AAEE0">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Masa de cel puțin 26 tone, dar mai mică de 28 tone</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428C345A">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528</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3C8B8D3F">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775</w:t>
            </w:r>
          </w:p>
        </w:tc>
      </w:tr>
      <w:tr w14:paraId="65D32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043E28BA">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0C652E2B">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4</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7A24D9D8">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Masa de cel puțin 28 tone, dar mai mică de 29 tone</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555012D0">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775</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79A2E539">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936</w:t>
            </w:r>
          </w:p>
        </w:tc>
      </w:tr>
      <w:tr w14:paraId="10D57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51ED6995">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09D05A10">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5</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21FB145C">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Masa de cel puțin 29 tone, dar mai mică de 31 tone</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3BA344F0">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936</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454AECBD">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1537</w:t>
            </w:r>
          </w:p>
        </w:tc>
      </w:tr>
      <w:tr w14:paraId="4A54D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724DEC6">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50E01B0A">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6</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4F6D82DE">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Masa de cel puțin 31 tone, dar mai mică de 33 tone</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4B72D029">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1537</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CE48F75">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2133</w:t>
            </w:r>
          </w:p>
        </w:tc>
      </w:tr>
      <w:tr w14:paraId="40A9D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1EC0C57">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6C758F68">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7</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0E6E03DE">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Masa de cel puțin 33 tone, dar mai mică de 36 tone</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6B2F3943">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2133</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6C0E1F04">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3239</w:t>
            </w:r>
          </w:p>
        </w:tc>
      </w:tr>
      <w:tr w14:paraId="7FC37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671B0CE8">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6485288D">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8</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72742E51">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Masa de cel puțin 36 tone, dar mai mică de 38 tone</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0D385E05">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2133</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5F844CAB">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3239</w:t>
            </w:r>
          </w:p>
        </w:tc>
      </w:tr>
      <w:tr w14:paraId="08539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36649DB2">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0B09D00F">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9</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7856DD1C">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Masa de cel puțin 38 tone</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21AAF468">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2133</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5BE7457">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3239</w:t>
            </w:r>
          </w:p>
        </w:tc>
      </w:tr>
      <w:tr w14:paraId="61148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7D11728E">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III</w:t>
            </w:r>
          </w:p>
        </w:tc>
        <w:tc>
          <w:tcPr>
            <w:tcW w:w="0" w:type="auto"/>
            <w:gridSpan w:val="4"/>
            <w:tcBorders>
              <w:top w:val="single" w:color="000000" w:sz="6" w:space="0"/>
              <w:left w:val="single" w:color="000000" w:sz="6" w:space="0"/>
              <w:bottom w:val="single" w:color="000000" w:sz="6" w:space="0"/>
              <w:right w:val="single" w:color="000000" w:sz="6" w:space="0"/>
            </w:tcBorders>
            <w:shd w:val="clear" w:color="auto" w:fill="auto"/>
            <w:vAlign w:val="center"/>
          </w:tcPr>
          <w:p w14:paraId="68D6811C">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2+3 axe</w:t>
            </w:r>
          </w:p>
        </w:tc>
      </w:tr>
      <w:tr w14:paraId="407D2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272F86CF">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606F83A8">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45F8FB0">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Masa de cel puțin 36 tone, dar mai mică de 38 tone</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314D2751">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1698</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574A19C6">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2363</w:t>
            </w:r>
          </w:p>
        </w:tc>
      </w:tr>
      <w:tr w14:paraId="38D66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45A9A227">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580F067A">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2</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38F0F9CD">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Masa de cel puțin 38 tone, dar mai mică de 40 tone</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36C70810">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2363</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972C622">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3211</w:t>
            </w:r>
          </w:p>
        </w:tc>
      </w:tr>
      <w:tr w14:paraId="1C3EF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3CAC25F5">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7B74583D">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3</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E9C2FA6">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Masa de cel puțin 40 tone</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E50C005">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2363</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2FD6E9F3">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3211</w:t>
            </w:r>
          </w:p>
        </w:tc>
      </w:tr>
      <w:tr w14:paraId="594AC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2BF28B58">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IV</w:t>
            </w:r>
          </w:p>
        </w:tc>
        <w:tc>
          <w:tcPr>
            <w:tcW w:w="0" w:type="auto"/>
            <w:gridSpan w:val="4"/>
            <w:tcBorders>
              <w:top w:val="single" w:color="000000" w:sz="6" w:space="0"/>
              <w:left w:val="single" w:color="000000" w:sz="6" w:space="0"/>
              <w:bottom w:val="single" w:color="000000" w:sz="6" w:space="0"/>
              <w:right w:val="single" w:color="000000" w:sz="6" w:space="0"/>
            </w:tcBorders>
            <w:shd w:val="clear" w:color="auto" w:fill="auto"/>
            <w:vAlign w:val="center"/>
          </w:tcPr>
          <w:p w14:paraId="30E694FD">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3+2 axe</w:t>
            </w:r>
          </w:p>
        </w:tc>
      </w:tr>
      <w:tr w14:paraId="6F735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5A557A6F">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0F64558">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5E505219">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Masa de cel puțin 36 tone, dar mai mică de 38 tone</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7D475EF7">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1500</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7D1C84BC">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2083</w:t>
            </w:r>
          </w:p>
        </w:tc>
      </w:tr>
      <w:tr w14:paraId="28281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7DC723FB">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5BC16959">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2</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787A7059">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Masa de cel puțin 38 tone, dar mai mică de 40 tone</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599D1E06">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2083</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2D6135E">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2881</w:t>
            </w:r>
          </w:p>
        </w:tc>
      </w:tr>
      <w:tr w14:paraId="201BD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2A8336A7">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4C85B17A">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3</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7A0B3BF0">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Masa de cel puțin 40 tone, dar mai mică de 44 tone</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5DB2F7F9">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2881</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309D0894">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4262</w:t>
            </w:r>
          </w:p>
        </w:tc>
      </w:tr>
      <w:tr w14:paraId="2E706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3C5168B4">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05788B06">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4</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BEBF604">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Masa de cel puțin 44 tone</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7FFE3301">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2881</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6D9F4343">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4262</w:t>
            </w:r>
          </w:p>
        </w:tc>
      </w:tr>
      <w:tr w14:paraId="13504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698CCEAA">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V</w:t>
            </w:r>
          </w:p>
        </w:tc>
        <w:tc>
          <w:tcPr>
            <w:tcW w:w="0" w:type="auto"/>
            <w:gridSpan w:val="4"/>
            <w:tcBorders>
              <w:top w:val="single" w:color="000000" w:sz="6" w:space="0"/>
              <w:left w:val="single" w:color="000000" w:sz="6" w:space="0"/>
              <w:bottom w:val="single" w:color="000000" w:sz="6" w:space="0"/>
              <w:right w:val="single" w:color="000000" w:sz="6" w:space="0"/>
            </w:tcBorders>
            <w:shd w:val="clear" w:color="auto" w:fill="auto"/>
            <w:vAlign w:val="center"/>
          </w:tcPr>
          <w:p w14:paraId="5744597C">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3+3 axe</w:t>
            </w:r>
          </w:p>
        </w:tc>
      </w:tr>
      <w:tr w14:paraId="2D91A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46CE5BA8">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70D0E2D">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55EAF0C0">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Masa de cel puțin 36 tone, dar mai mică de 38 tone</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69533BD6">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853</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0DDAE64D">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1032</w:t>
            </w:r>
          </w:p>
        </w:tc>
      </w:tr>
      <w:tr w14:paraId="0683F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35ECC59">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73E8848A">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2</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4E18EA28">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Masa de cel puțin 38 tone, dar mai mică de 40 tone</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72152F47">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1032</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23B874A8">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1542</w:t>
            </w:r>
          </w:p>
        </w:tc>
      </w:tr>
      <w:tr w14:paraId="1E906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6E142599">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758D3E38">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3</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76DAC2D4">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Masa de cel puțin 40 tone, dar mai mică de 44 tone</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41BE9329">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1542</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F6F8C69">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2454</w:t>
            </w:r>
          </w:p>
        </w:tc>
      </w:tr>
      <w:tr w14:paraId="2A58C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BE923DB">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44E9F33F">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4</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4C3C1E10">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Masa de cel puțin 44 tone</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DCA1A0A">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1542</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4A43EDF3">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2454</w:t>
            </w:r>
          </w:p>
        </w:tc>
      </w:tr>
    </w:tbl>
    <w:p w14:paraId="61DF28F7">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(7) În cazul unei remorci, al unei semiremorci sau rulote care nu face parte dintr-o combinație de autovehicule prevăzută la alin. (6), impozitul pe mijloacele de transport este egal cu suma corespunzătoare din tabelul următor:</w:t>
      </w:r>
    </w:p>
    <w:tbl>
      <w:tblPr>
        <w:tblStyle w:val="10"/>
        <w:tblW w:w="0" w:type="auto"/>
        <w:tblCellSpacing w:w="15"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3528"/>
        <w:gridCol w:w="763"/>
      </w:tblGrid>
      <w:tr w14:paraId="26498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09988942">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 xml:space="preserve">Masa totală maximă autorizată </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5596DC3A">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 xml:space="preserve">Impozit </w:t>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 xml:space="preserve">- lei - </w:t>
            </w:r>
          </w:p>
        </w:tc>
      </w:tr>
      <w:tr w14:paraId="6F0AE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319DB29A">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 xml:space="preserve">a. Până la 1 tonă, inclusiv </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4E33B886">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 xml:space="preserve">9 </w:t>
            </w:r>
          </w:p>
        </w:tc>
      </w:tr>
      <w:tr w14:paraId="07F1F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39213A9F">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 xml:space="preserve">b. Peste 1 tonă, dar nu mai mult de 3 tone </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3338149B">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 xml:space="preserve">34 </w:t>
            </w:r>
          </w:p>
        </w:tc>
      </w:tr>
      <w:tr w14:paraId="0BE59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50E7E672">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 xml:space="preserve">c. Peste 3 tone, dar nu mai mult de 5 tone </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221E31B3">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 xml:space="preserve">52 </w:t>
            </w:r>
          </w:p>
        </w:tc>
      </w:tr>
      <w:tr w14:paraId="514BD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2DD9ADBC">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 xml:space="preserve">d. Peste 5 tone </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78940135">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 xml:space="preserve">64 </w:t>
            </w:r>
          </w:p>
        </w:tc>
      </w:tr>
    </w:tbl>
    <w:p w14:paraId="4FA1D0C1">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(8) În cazul mijloacelor de transport pe apă, impozitul pe mijlocul de transport este egal cu suma corespunzătoare din tabelul următor:</w:t>
      </w:r>
    </w:p>
    <w:tbl>
      <w:tblPr>
        <w:tblStyle w:val="10"/>
        <w:tblW w:w="0" w:type="auto"/>
        <w:tblCellSpacing w:w="15"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5073"/>
        <w:gridCol w:w="763"/>
      </w:tblGrid>
      <w:tr w14:paraId="6DEE5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59FD240">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 xml:space="preserve">Mijlocul de transport pe apă </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09B764BD">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 xml:space="preserve">Impozit </w:t>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 xml:space="preserve">- lei - </w:t>
            </w:r>
          </w:p>
        </w:tc>
      </w:tr>
      <w:tr w14:paraId="40E60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D95758C">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 xml:space="preserve">1. Luntre, bărci fără motor, folosite pentru pescuit și uz </w:t>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 xml:space="preserve">personal </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67106A0C">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 xml:space="preserve">21 </w:t>
            </w:r>
          </w:p>
        </w:tc>
      </w:tr>
      <w:tr w14:paraId="4DF3D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4E1D02AD">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 xml:space="preserve">2. Bărci fără motor, folosite în alte scopuri </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769B3C1">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 xml:space="preserve">56 </w:t>
            </w:r>
          </w:p>
        </w:tc>
      </w:tr>
      <w:tr w14:paraId="6EECC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7046F94B">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 xml:space="preserve">3. Bărci cu motor </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26935964">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 xml:space="preserve">210 </w:t>
            </w:r>
          </w:p>
        </w:tc>
      </w:tr>
      <w:tr w14:paraId="4F18B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2E9518B3">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 xml:space="preserve">4. Nave de sport și agrement </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01E504D">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 xml:space="preserve">1.119 </w:t>
            </w:r>
          </w:p>
        </w:tc>
      </w:tr>
      <w:tr w14:paraId="53E34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2EB9697A">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 xml:space="preserve">5. Scutere de apă </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663BA417">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 xml:space="preserve">210 </w:t>
            </w:r>
          </w:p>
        </w:tc>
      </w:tr>
      <w:tr w14:paraId="7A520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40A3DCC5">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 xml:space="preserve">6. Remorchere și împingătoare: </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09EEE9B2">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 xml:space="preserve">X </w:t>
            </w:r>
          </w:p>
        </w:tc>
      </w:tr>
      <w:tr w14:paraId="2669D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37AC38A7">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 xml:space="preserve">a) până la 500 CP, inclusiv </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30925346">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 xml:space="preserve">559 </w:t>
            </w:r>
          </w:p>
        </w:tc>
      </w:tr>
      <w:tr w14:paraId="30656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352B8A93">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 xml:space="preserve">b) peste 500 CP și până la 2000 CP, inclusiv </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0FAAE7E4">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 xml:space="preserve">909 </w:t>
            </w:r>
          </w:p>
        </w:tc>
      </w:tr>
      <w:tr w14:paraId="7FEA4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47B0BE0E">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 xml:space="preserve">c) peste 2000 CP și până la 4000 CP, inclusiv </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24BF9AAB">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 xml:space="preserve">1398 </w:t>
            </w:r>
          </w:p>
        </w:tc>
      </w:tr>
      <w:tr w14:paraId="51304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7B823C0D">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 xml:space="preserve">d) peste 4000 CP </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07B2B27F">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 xml:space="preserve">2237 </w:t>
            </w:r>
          </w:p>
        </w:tc>
      </w:tr>
      <w:tr w14:paraId="4F167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71786F8F">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7. Vapoare - pentru fiecare 1000 tdw sau fracțiune din acesta</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30AEF891">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 xml:space="preserve">182 </w:t>
            </w:r>
          </w:p>
        </w:tc>
      </w:tr>
      <w:tr w14:paraId="3623F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62C465F2">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 xml:space="preserve">8. Ceamuri, șlepuri și barje fluviale: </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525D55FA">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 xml:space="preserve">X </w:t>
            </w:r>
          </w:p>
        </w:tc>
      </w:tr>
      <w:tr w14:paraId="068CA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2C6606C9">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a) cu capacitatea de încărcare până la 1500 de tone, inclusiv</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2EB66FB8">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 xml:space="preserve">182 </w:t>
            </w:r>
          </w:p>
        </w:tc>
      </w:tr>
      <w:tr w14:paraId="62142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3EE2AFDF">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 xml:space="preserve">b) cu capacitatea de încărcare de peste 1500 de tone și până </w:t>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 xml:space="preserve">la 3000 de tone, inclusiv </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01389D25">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 xml:space="preserve">280 </w:t>
            </w:r>
          </w:p>
        </w:tc>
      </w:tr>
      <w:tr w14:paraId="1E1CD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6A52BE23">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 xml:space="preserve">c) cu capacitatea de încărcare de peste 3000 de tone </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382B9B7D">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br w:type="textWrapping"/>
            </w:r>
            <w:r>
              <w:rPr>
                <w:rFonts w:hint="default" w:eastAsia="SimSun" w:cs="Arial" w:asciiTheme="minorAscii" w:hAnsiTheme="minorAscii"/>
                <w:b w:val="0"/>
                <w:bCs w:val="0"/>
                <w:strike w:val="0"/>
                <w:dstrike w:val="0"/>
                <w:color w:val="000000" w:themeColor="text1"/>
                <w:kern w:val="0"/>
                <w:sz w:val="20"/>
                <w:szCs w:val="20"/>
                <w:lang w:val="en-US" w:eastAsia="zh-CN" w:bidi="ar"/>
                <w14:textFill>
                  <w14:solidFill>
                    <w14:schemeClr w14:val="tx1"/>
                  </w14:solidFill>
                </w14:textFill>
              </w:rPr>
              <w:t xml:space="preserve">490 </w:t>
            </w:r>
          </w:p>
        </w:tc>
      </w:tr>
    </w:tbl>
    <w:p w14:paraId="56C64FCC">
      <w:pPr>
        <w:keepNext w:val="0"/>
        <w:keepLines w:val="0"/>
        <w:pageBreakBefore w:val="0"/>
        <w:widowControl/>
        <w:suppressLineNumbers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eastAsia="SimSun" w:cs="Arial" w:asciiTheme="minorAscii" w:hAnsiTheme="minorAscii"/>
          <w:b w:val="0"/>
          <w:bCs w:val="0"/>
          <w:i w:val="0"/>
          <w:iCs w:val="0"/>
          <w:caps w:val="0"/>
          <w:strike w:val="0"/>
          <w:dstrike w:val="0"/>
          <w:color w:val="000000" w:themeColor="text1"/>
          <w:spacing w:val="0"/>
          <w:kern w:val="0"/>
          <w:sz w:val="20"/>
          <w:szCs w:val="20"/>
          <w:lang w:val="en-US" w:eastAsia="zh-CN" w:bidi="ar"/>
          <w14:textFill>
            <w14:solidFill>
              <w14:schemeClr w14:val="tx1"/>
            </w14:solidFill>
          </w14:textFill>
        </w:rPr>
        <w:t>(9) În înțelesul prezentului articol, capacitatea cilindrică sau masa totală maximă autorizată a unui mijloc de transport se stabilește prin cartea de identitate a mijlocului de transport, prin factura de achiziție sau un alt document similar.</w:t>
      </w:r>
    </w:p>
    <w:p w14:paraId="0000040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Art. 19. (471) - Declararea şi datorarea impozitului pe mijloacele de transport  (1) Impozitul pe mijlocul de transport este datorat pentru întregul an fiscal de persoana care  deţine dreptul de proprietate asupra unui mijloc de transport înmatriculat sau înregistrat în  România la data de 31 decembrie a anului fiscal anterior.  </w:t>
      </w:r>
    </w:p>
    <w:p w14:paraId="0000040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(2) În cazul dobândirii unui mijloc de transport, proprietarul acestuia are obligaţia să depună  o declaraţie la organul fiscal local în a cărui rază teritorială de competenţă are domiciliul, sediul  sau punctul de lucru, după caz, în termen de 30 de zile de la data dobândirii şi datorează impozit  pe mijloacele de transport începând cu data de 1 ianuarie a anului următor înmatriculării sau  înregistrării mijlocului de transport.  </w:t>
      </w:r>
    </w:p>
    <w:p w14:paraId="0000040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1"/>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 (3) În cazul în care mijlocul de transport este dobândit în alt stat decât România, proprietarul  acestuia are obligaţia să depună o declaraţie la organul fiscal local în a cărui rază teritorială de  competenţă are domiciliul, sediul sau punctul de lucru, după caz, în termen de 30 de zile de la  data eliberării cărţii de identitate a vehiculului (CIV) de către Registrul Auto Român şi  datorează impozit pe mijloacele de transport începând cu data de 1 ianuarie a anului următor  înmatriculării sau înregistrării acestuia în România. </w:t>
      </w:r>
    </w:p>
    <w:p w14:paraId="0000040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52"/>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(4) În cazul radierii din circulaţie a unui mijloc de transport, proprietarul are obligaţia să  depună o declaraţie la organul fiscal în a cărui rază teritorială de competenţă îşi are domiciliul,  sediul sau punctul de lucru, după caz, în termen de 30 de zile de la data radierii, şi încetează să  datoreze impozitul începând cu data de 1 ianuarie a anului următor.  </w:t>
      </w:r>
    </w:p>
    <w:p w14:paraId="0000040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(5) În cazul oricărei situaţii care conduce la modificarea impozitului pe mijloacele de  transport, inclusiv schimbarea domiciliului, sediului sau punctului de lucru, contribuabilul are  obligaţia depunerii declaraţiei fiscale cu privire la mijlocul de transport la organul fiscal local  pe a cărei rază teritorială îşi are domiciliul/sediul/punctul de lucru, în termen de 30 de zile,  inclusiv, de la modificarea survenită, şi datorează impozitul pe mijloacele de transport stabilit  în noile condiţii începând cu data de 1 ianuarie a anului următor.  </w:t>
      </w:r>
    </w:p>
    <w:p w14:paraId="0000040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1"/>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(6) În cazul unui mijloc de transport care face obiectul unui contract de leasing financiar, pe  întreaga durată a acestuia se aplică următoarele reguli:  </w:t>
      </w:r>
    </w:p>
    <w:p w14:paraId="0000040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8"/>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a) impozitul pe mijloacele de transport se datorează de locatar începând cu data de 1 ianuarie  a anului următor încheierii contractului de leasing financiar, până la sfârşitul anului în cursul  căruia încetează contractul de leasing financiar;  </w:t>
      </w:r>
    </w:p>
    <w:p w14:paraId="0000040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1"/>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b) locatarul are obligaţia depunerii declaraţiei fiscale la organul fiscal local în a cărui rază de  competenţă se înregistrează mijlocul de transport, în termen de 30 de zile de la data procesului verbal de predare-primire a bunului sau a altor documente similare care atestă intrarea bunului  în posesia locatarului, însoţită de o copie a acestor documente;  </w:t>
      </w:r>
    </w:p>
    <w:p w14:paraId="0000040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c) la încetarea contractului de leasing, atât locatarul, cât şi locatorul au obligaţia depunerii  declaraţiei fiscale la consiliul local competent, în termen de 30 de zile de la data încheierii  procesului-verbal de predare-primire a bunului sau a altor documente similare care atestă  intrarea bunului în posesia locatorului, însoţită de o copie a acestor documente.  </w:t>
      </w:r>
    </w:p>
    <w:p w14:paraId="0000040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(7) Depunerea declaraţiilor fiscale reprezintă o obligaţie şi în cazul persoanelor care  beneficiază de scutiri sau reduceri de la plata impozitului pe mijloacele de transport.</w:t>
      </w:r>
    </w:p>
    <w:p w14:paraId="0000040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(8) Operatorii economici, comercianţi auto sau societăţi de leasing, care înregistrează ca stoc  de marfă mijloace de transport, cumpărate de la persoane fizice din România şi înmatriculate  pe numele acestora, au obligaţia să radieze din evidenţa Direcţiei Regim Permise de Conducere  şi Înmatriculare a Vehiculelor (DRPCIV) mijloacele de transport de pe numele foştilor  proprietari. </w:t>
      </w:r>
    </w:p>
    <w:p w14:paraId="0000040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 (9) Actul de înstrăinare-dobândire a mijloacelor de transport se poate încheia şi în formă  electronică şi semna cu semnătură electronică în conformitate cu prevederile Legii  nr. </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color="auto" w:fill="auto"/>
          <w:vertAlign w:val="baseline"/>
          <w:rtl w:val="0"/>
          <w14:textFill>
            <w14:solidFill>
              <w14:schemeClr w14:val="tx1"/>
            </w14:solidFill>
          </w14:textFill>
        </w:rPr>
        <w:t>455/2001</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 privind semnătura electronică, republicată, cu completările ulterioare, între  </w:t>
      </w:r>
      <w:r>
        <w:rPr>
          <w:rFonts w:hint="default" w:eastAsia="Times New Roman" w:cs="Arial" w:asciiTheme="minorAscii" w:hAnsiTheme="minorAscii"/>
          <w:b w:val="0"/>
          <w:bCs w:val="0"/>
          <w:i w:val="0"/>
          <w:iCs w:val="0"/>
          <w:smallCaps w:val="0"/>
          <w:strike w:val="0"/>
          <w:dstrike w:val="0"/>
          <w:color w:val="000000" w:themeColor="text1"/>
          <w:sz w:val="20"/>
          <w:szCs w:val="20"/>
          <w:highlight w:val="white"/>
          <w:u w:val="none"/>
          <w:shd w:val="clear" w:color="auto" w:fill="auto"/>
          <w:vertAlign w:val="baseline"/>
          <w:rtl w:val="0"/>
          <w14:textFill>
            <w14:solidFill>
              <w14:schemeClr w14:val="tx1"/>
            </w14:solidFill>
          </w14:textFill>
        </w:rPr>
        <w:t>p</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ersoane care au domiciliul fiscal în România şi se comunică electronic organului fiscal local  de la domiciliul persoanei care înstrăinează, organului fiscal local de la domiciliul persoanei  care dobândeşte şi organului competent privind radierea/înregistrarea/înmatricularea mijlocului  de transport, în scopul radierii/înregistrării/înmatriculării, de către persoana care înstrăinează,  de către persoana care dobândeşte sau de către persoana împuternicită, după caz. </w:t>
      </w:r>
    </w:p>
    <w:p w14:paraId="0000040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 (10) Organul fiscal local de la domiciliul persoanei care înstrăinează mijlocul de transport  transmite electronic persoanei care înstrăinează şi persoanei care dobândeşte sau, după caz,  </w:t>
      </w:r>
      <w:r>
        <w:rPr>
          <w:rFonts w:hint="default" w:eastAsia="Times New Roman" w:cs="Arial" w:asciiTheme="minorAscii" w:hAnsiTheme="minorAscii"/>
          <w:b w:val="0"/>
          <w:bCs w:val="0"/>
          <w:i w:val="0"/>
          <w:iCs w:val="0"/>
          <w:smallCaps w:val="0"/>
          <w:strike w:val="0"/>
          <w:dstrike w:val="0"/>
          <w:color w:val="000000" w:themeColor="text1"/>
          <w:sz w:val="20"/>
          <w:szCs w:val="20"/>
          <w:highlight w:val="white"/>
          <w:u w:val="none"/>
          <w:shd w:val="clear" w:color="auto" w:fill="auto"/>
          <w:vertAlign w:val="baseline"/>
          <w:rtl w:val="0"/>
          <w14:textFill>
            <w14:solidFill>
              <w14:schemeClr w14:val="tx1"/>
            </w14:solidFill>
          </w14:textFill>
        </w:rPr>
        <w:t>p</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ersoanei împuternicite, respectiv organului fiscal local de la domiciliul dobânditorului,  exemplarul actului de înstrăinare-dobândire a mijloacelor de transport încheiat în formă  electronică, completat şi semnat cu semnătură electronică, conform prevederilor legale în  vigoare. </w:t>
      </w:r>
    </w:p>
    <w:p w14:paraId="0000040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6"/>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În situaţia în care organul fiscal local nu deţine semnătură electronică în conformitate cu  </w:t>
      </w:r>
      <w:r>
        <w:rPr>
          <w:rFonts w:hint="default" w:eastAsia="Times New Roman" w:cs="Arial" w:asciiTheme="minorAscii" w:hAnsiTheme="minorAscii"/>
          <w:b w:val="0"/>
          <w:bCs w:val="0"/>
          <w:i w:val="0"/>
          <w:iCs w:val="0"/>
          <w:smallCaps w:val="0"/>
          <w:strike w:val="0"/>
          <w:dstrike w:val="0"/>
          <w:color w:val="000000" w:themeColor="text1"/>
          <w:sz w:val="20"/>
          <w:szCs w:val="20"/>
          <w:highlight w:val="white"/>
          <w:u w:val="none"/>
          <w:shd w:val="clear" w:color="auto" w:fill="auto"/>
          <w:vertAlign w:val="baseline"/>
          <w:rtl w:val="0"/>
          <w14:textFill>
            <w14:solidFill>
              <w14:schemeClr w14:val="tx1"/>
            </w14:solidFill>
          </w14:textFill>
        </w:rPr>
        <w:t>p</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revederile Legii nr. </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color="auto" w:fill="auto"/>
          <w:vertAlign w:val="baseline"/>
          <w:rtl w:val="0"/>
          <w14:textFill>
            <w14:solidFill>
              <w14:schemeClr w14:val="tx1"/>
            </w14:solidFill>
          </w14:textFill>
        </w:rPr>
        <w:t>455/2001</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 republicată, cu completările ulterioare, documentul completat  se transmite sub formă scanată, în fişier format pdf, cu menţiunea letrică «Conform cu  originalul». </w:t>
      </w:r>
    </w:p>
    <w:p w14:paraId="0000040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 (11) Organul fiscal local de la domiciliul persoanei care dobândeşte mijlocul de transport  completează exemplarul actului de înstrăinare-dobândire a mijloacelor de transport încheiat în  formă electronică, conform prevederilor în vigoare, pe care îl transmite electronic persoanelor  </w:t>
      </w:r>
      <w:r>
        <w:rPr>
          <w:rFonts w:hint="default" w:eastAsia="Times New Roman" w:cs="Arial" w:asciiTheme="minorAscii" w:hAnsiTheme="minorAscii"/>
          <w:b w:val="0"/>
          <w:bCs w:val="0"/>
          <w:i w:val="0"/>
          <w:iCs w:val="0"/>
          <w:smallCaps w:val="0"/>
          <w:strike w:val="0"/>
          <w:dstrike w:val="0"/>
          <w:color w:val="000000" w:themeColor="text1"/>
          <w:sz w:val="20"/>
          <w:szCs w:val="20"/>
          <w:highlight w:val="white"/>
          <w:u w:val="none"/>
          <w:shd w:val="clear" w:color="auto" w:fill="auto"/>
          <w:vertAlign w:val="baseline"/>
          <w:rtl w:val="0"/>
          <w14:textFill>
            <w14:solidFill>
              <w14:schemeClr w14:val="tx1"/>
            </w14:solidFill>
          </w14:textFill>
        </w:rPr>
        <w:t>p</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revăzute la alin. (9), semnat cu semnătura electronică. </w:t>
      </w:r>
    </w:p>
    <w:p w14:paraId="0000041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6"/>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În situaţia în care organul fiscal local nu deţine semnătură electronică în conformitate cu  </w:t>
      </w:r>
      <w:r>
        <w:rPr>
          <w:rFonts w:hint="default" w:eastAsia="Times New Roman" w:cs="Arial" w:asciiTheme="minorAscii" w:hAnsiTheme="minorAscii"/>
          <w:b w:val="0"/>
          <w:bCs w:val="0"/>
          <w:i w:val="0"/>
          <w:iCs w:val="0"/>
          <w:smallCaps w:val="0"/>
          <w:strike w:val="0"/>
          <w:dstrike w:val="0"/>
          <w:color w:val="000000" w:themeColor="text1"/>
          <w:sz w:val="20"/>
          <w:szCs w:val="20"/>
          <w:highlight w:val="white"/>
          <w:u w:val="none"/>
          <w:shd w:val="clear" w:color="auto" w:fill="auto"/>
          <w:vertAlign w:val="baseline"/>
          <w:rtl w:val="0"/>
          <w14:textFill>
            <w14:solidFill>
              <w14:schemeClr w14:val="tx1"/>
            </w14:solidFill>
          </w14:textFill>
        </w:rPr>
        <w:t>p</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revederile Legii nr. </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color="auto" w:fill="auto"/>
          <w:vertAlign w:val="baseline"/>
          <w:rtl w:val="0"/>
          <w14:textFill>
            <w14:solidFill>
              <w14:schemeClr w14:val="tx1"/>
            </w14:solidFill>
          </w14:textFill>
        </w:rPr>
        <w:t>455/2001</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 republicată, cu completările ulterioare, documentul completat  se transmite sub formă scanată, în fişier format pdf, cu menţiunea letrică «Conform cu  originalul». </w:t>
      </w:r>
    </w:p>
    <w:p w14:paraId="0000041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2"/>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 (12) Persoana care dobândeşte/înstrăinează mijlocul de transport sau persoana împuternicită,  după caz, transmite electronic un exemplar completat conform alin. (10) şi (11) organului  competent privind înmatricularea/înregistrarea/radierea mijloacelor de transport. Orice alte  documente necesare şi obligatorii, cu excepţia actului de înstrăinare-dobândire a mijloacelor de  transport întocmit în formă electronică şi semnat cu semnătură electronică, se pot depune pe  suport hârtie sau electronic conform procedurilor stabilite de organul competent. </w:t>
      </w:r>
    </w:p>
    <w:p w14:paraId="0000041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 (13) Actul de înstrăinare-dobândire a mijloacelor de transport întocmit, în format electronic,  </w:t>
      </w:r>
      <w:r>
        <w:rPr>
          <w:rFonts w:hint="default" w:eastAsia="Times New Roman" w:cs="Arial" w:asciiTheme="minorAscii" w:hAnsiTheme="minorAscii"/>
          <w:b w:val="0"/>
          <w:bCs w:val="0"/>
          <w:i w:val="0"/>
          <w:iCs w:val="0"/>
          <w:smallCaps w:val="0"/>
          <w:strike w:val="0"/>
          <w:dstrike w:val="0"/>
          <w:color w:val="000000" w:themeColor="text1"/>
          <w:sz w:val="20"/>
          <w:szCs w:val="20"/>
          <w:highlight w:val="white"/>
          <w:u w:val="none"/>
          <w:shd w:val="clear" w:color="auto" w:fill="auto"/>
          <w:vertAlign w:val="baseline"/>
          <w:rtl w:val="0"/>
          <w14:textFill>
            <w14:solidFill>
              <w14:schemeClr w14:val="tx1"/>
            </w14:solidFill>
          </w14:textFill>
        </w:rPr>
        <w:t>p</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otrivit alin. (9) se utilizează de către: </w:t>
      </w:r>
    </w:p>
    <w:p w14:paraId="0000041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a)persoana care înstrăinează; </w:t>
      </w:r>
    </w:p>
    <w:p w14:paraId="0000041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highlight w:val="white"/>
          <w:u w:val="none"/>
          <w:shd w:val="clear" w:color="auto" w:fill="auto"/>
          <w:vertAlign w:val="baseline"/>
          <w:rtl w:val="0"/>
          <w14:textFill>
            <w14:solidFill>
              <w14:schemeClr w14:val="tx1"/>
            </w14:solidFill>
          </w14:textFill>
        </w:rPr>
        <w:t>b</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)persoana care dobândeşte; </w:t>
      </w:r>
    </w:p>
    <w:p w14:paraId="0000041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c)organele fiscale locale competente; </w:t>
      </w:r>
    </w:p>
    <w:p w14:paraId="0000041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7"/>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d)organul competent privind înmatricularea/înregistrarea/radierea mijloacelor de transport.  (14) Orice alte acte, cu excepţia actului de înstrăinare-dobândire a mijloacelor de transport  întocmit în formă electronică şi semnat cu semnătură electronică, solicitate de organele fiscale  locale pentru scoaterea din evidenţa fiscală a bunului, respectiv înregistrarea fiscală a acestuia,  se pot depune şi electronic la acestea, sub formă scanată, în fişier format pdf, cu menţiunea  letrică «Conform cu originalul» însuşită de către vânzător sau de cumpărător şi semnate cu  semnătură electronică de către contribuabilul care declară. </w:t>
      </w:r>
    </w:p>
    <w:p w14:paraId="0000041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7"/>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 (15) Actul de înstrăinare-dobândire a unui mijloc de transport, întocmit în forma prevăzută la  alin. (9), încheiat între persoane cu domiciliul fiscal în România şi persoane care nu au  domiciliul fiscal în România, se comunică electronic de către persoana care l-a înstrăinat către  autorităţile implicate în procedura de scoatere din evidenţa fiscală a bunului. Prevederile alin.  (10) şi (11) se aplică în mod corespunzător. </w:t>
      </w:r>
    </w:p>
    <w:p w14:paraId="594D4B3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7"/>
        <w:jc w:val="left"/>
        <w:rPr>
          <w:rFonts w:hint="default" w:eastAsia="Verdana"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 (16) În cazul unei hotărâri judecătoreşti care consfinţeşte faptul că o persoană a pierdut dreptul  de proprietate asupra mijlocului de transport, aceasta se poate depune la organul fiscal local în formă electronică sub formă scanată, în fişier format pdf, cu menţiunea letrică «Conform cu  originalul» şi semnată electronic în conformitate cu alin. (9) de către contribuabil</w:t>
      </w:r>
      <w:r>
        <w:rPr>
          <w:rFonts w:hint="default" w:eastAsia="Verdana"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 </w:t>
      </w:r>
    </w:p>
    <w:p w14:paraId="0000041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lang w:val="ro-RO"/>
          <w14:textFill>
            <w14:solidFill>
              <w14:schemeClr w14:val="tx1"/>
            </w14:solidFill>
          </w14:textFill>
        </w:rPr>
      </w:pPr>
      <w:r>
        <w:rPr>
          <w:rFonts w:hint="default" w:eastAsia="Verdana"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 </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Art. 20</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lang w:val="ro-RO"/>
          <w14:textFill>
            <w14:solidFill>
              <w14:schemeClr w14:val="tx1"/>
            </w14:solidFill>
          </w14:textFill>
        </w:rPr>
        <w:t>.</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 (472) - Plata impozitului </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lang w:val="ro-RO"/>
          <w14:textFill>
            <w14:solidFill>
              <w14:schemeClr w14:val="tx1"/>
            </w14:solidFill>
          </w14:textFill>
        </w:rPr>
        <w:t>pentru anul 2026</w:t>
      </w:r>
    </w:p>
    <w:p w14:paraId="0000041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9"/>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(1) Impozitul pe mijlocul de transport se plăteşte anual, în două rate egale, până la datele de  31 martie şi 30 septembrie inclusiv.  </w:t>
      </w:r>
    </w:p>
    <w:p w14:paraId="0000041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5"/>
        <w:jc w:val="both"/>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(2) Pentru plata cu anticipaţie a impozitului pe mijlocul de transport, datorat pentru întregul  an de către contribuabili, până la data de 31 martie a anului respectiv inclusiv, </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14:textFill>
            <w14:solidFill>
              <w14:schemeClr w14:val="tx1"/>
            </w14:solidFill>
          </w14:textFill>
        </w:rPr>
        <w:t xml:space="preserve">se acordă o </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14:textFill>
            <w14:solidFill>
              <w14:schemeClr w14:val="tx1"/>
            </w14:solidFill>
          </w14:textFill>
        </w:rPr>
        <w:t xml:space="preserve">bonificaţie de 10%. </w:t>
      </w:r>
    </w:p>
    <w:p w14:paraId="5E37725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(3) Impozitul anual pe mijlocul de transport, datorat aceluiaşi buget local de către  contribuabili, persoane fizice şi juridice, de până la 50 lei inclusiv, se plăteşte integral până la  primul termen de plată. În cazul în care contribuabilul deţine în proprietate mai multe mijloace  de transport, pentru care impozitul este datorat bugetului local al aceleiaşi unităţi administrativ teritoriale, suma de 50 lei se referă la impozitul pe mijlocul de transport cumulat al acestora.  </w:t>
      </w:r>
    </w:p>
    <w:p w14:paraId="012C741C">
      <w:pPr>
        <w:keepNext w:val="0"/>
        <w:keepLines w:val="0"/>
        <w:pageBreakBefore w:val="0"/>
        <w:kinsoku/>
        <w:wordWrap/>
        <w:overflowPunct/>
        <w:topLinePunct w:val="0"/>
        <w:autoSpaceDE w:val="0"/>
        <w:autoSpaceDN w:val="0"/>
        <w:bidi w:val="0"/>
        <w:adjustRightInd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lang w:val="ro-RO" w:eastAsia="ro-RO"/>
          <w14:textFill>
            <w14:solidFill>
              <w14:schemeClr w14:val="tx1"/>
            </w14:solidFill>
          </w14:textFill>
        </w:rPr>
      </w:pPr>
    </w:p>
    <w:p w14:paraId="0000042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Taxa pentru eliberarea certificatelor, avizelor şi a autorizaţiilor </w:t>
      </w:r>
    </w:p>
    <w:p w14:paraId="0000042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Art. 21. (473) - Reguli generale </w:t>
      </w:r>
    </w:p>
    <w:p w14:paraId="0000042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Orice persoană care trebuie să obţină un certificat, un aviz sau o autorizaţie menţionată în  prezentul capitol trebuie să plătească o taxă la compartimentul de specialitate al autorităţii  administraţiei publice locale înainte de a i se elibera certificatul, avizul sau autorizaţia necesară.  </w:t>
      </w:r>
    </w:p>
    <w:p w14:paraId="0000042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Art. 22. (474) - Taxa pentru eliberarea certificatelor de urbanism, a autorizaţiilor de  construire şi a altor avize şi autorizaţii </w:t>
      </w:r>
    </w:p>
    <w:p w14:paraId="0000042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11"/>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(1) Taxa pentru eliberarea certificatului de urbanism, în mediul urban, este egală cu suma  stabilită conform tabelului următor:  </w:t>
      </w:r>
    </w:p>
    <w:p w14:paraId="0000042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righ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w:t>
      </w:r>
    </w:p>
    <w:tbl>
      <w:tblPr>
        <w:tblStyle w:val="71"/>
        <w:tblW w:w="8383" w:type="dxa"/>
        <w:tblInd w:w="1771"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4811"/>
        <w:gridCol w:w="1785"/>
        <w:gridCol w:w="1786"/>
      </w:tblGrid>
      <w:tr w14:paraId="09F92CC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505" w:hRule="atLeast"/>
        </w:trPr>
        <w:tc>
          <w:tcPr>
            <w:shd w:val="clear" w:color="auto" w:fill="auto"/>
            <w:tcMar>
              <w:top w:w="100" w:type="dxa"/>
              <w:left w:w="100" w:type="dxa"/>
              <w:bottom w:w="100" w:type="dxa"/>
              <w:right w:w="100" w:type="dxa"/>
            </w:tcMar>
            <w:vAlign w:val="top"/>
          </w:tcPr>
          <w:p w14:paraId="0000042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Suprafaţa pentru care se obţine certificatul de  urbanism </w:t>
            </w:r>
          </w:p>
        </w:tc>
        <w:tc>
          <w:tcPr>
            <w:shd w:val="clear" w:color="auto" w:fill="auto"/>
            <w:tcMar>
              <w:top w:w="100" w:type="dxa"/>
              <w:left w:w="100" w:type="dxa"/>
              <w:bottom w:w="100" w:type="dxa"/>
              <w:right w:w="100" w:type="dxa"/>
            </w:tcMar>
            <w:vAlign w:val="top"/>
          </w:tcPr>
          <w:p w14:paraId="0000042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lei -</w:t>
            </w:r>
          </w:p>
        </w:tc>
        <w:tc>
          <w:tcPr>
            <w:shd w:val="clear" w:color="auto" w:fill="auto"/>
            <w:tcMar>
              <w:top w:w="100" w:type="dxa"/>
              <w:left w:w="100" w:type="dxa"/>
              <w:bottom w:w="100" w:type="dxa"/>
              <w:right w:w="100" w:type="dxa"/>
            </w:tcMar>
            <w:vAlign w:val="top"/>
          </w:tcPr>
          <w:p w14:paraId="0000042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Nivel stabilit</w:t>
            </w:r>
          </w:p>
          <w:p w14:paraId="72A4E5D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t>2026 de Consiliul Local</w:t>
            </w:r>
          </w:p>
        </w:tc>
      </w:tr>
      <w:tr w14:paraId="1C883C5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235" w:hRule="atLeast"/>
        </w:trPr>
        <w:tc>
          <w:tcPr>
            <w:shd w:val="clear" w:color="auto" w:fill="auto"/>
            <w:tcMar>
              <w:top w:w="100" w:type="dxa"/>
              <w:left w:w="100" w:type="dxa"/>
              <w:bottom w:w="100" w:type="dxa"/>
              <w:right w:w="100" w:type="dxa"/>
            </w:tcMar>
            <w:vAlign w:val="top"/>
          </w:tcPr>
          <w:p w14:paraId="0000042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1 </w:t>
            </w:r>
          </w:p>
        </w:tc>
        <w:tc>
          <w:tcPr>
            <w:shd w:val="clear" w:color="auto" w:fill="auto"/>
            <w:tcMar>
              <w:top w:w="100" w:type="dxa"/>
              <w:left w:w="100" w:type="dxa"/>
              <w:bottom w:w="100" w:type="dxa"/>
              <w:right w:w="100" w:type="dxa"/>
            </w:tcMar>
            <w:vAlign w:val="top"/>
          </w:tcPr>
          <w:p w14:paraId="0000042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2</w:t>
            </w:r>
          </w:p>
        </w:tc>
        <w:tc>
          <w:tcPr>
            <w:shd w:val="clear" w:color="auto" w:fill="auto"/>
            <w:tcMar>
              <w:top w:w="100" w:type="dxa"/>
              <w:left w:w="100" w:type="dxa"/>
              <w:bottom w:w="100" w:type="dxa"/>
              <w:right w:w="100" w:type="dxa"/>
            </w:tcMar>
            <w:vAlign w:val="top"/>
          </w:tcPr>
          <w:p w14:paraId="0000042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3</w:t>
            </w:r>
          </w:p>
        </w:tc>
      </w:tr>
      <w:tr w14:paraId="182DC63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390" w:hRule="atLeast"/>
        </w:trPr>
        <w:tc>
          <w:tcPr>
            <w:shd w:val="clear" w:color="auto" w:fill="auto"/>
            <w:tcMar>
              <w:top w:w="100" w:type="dxa"/>
              <w:left w:w="100" w:type="dxa"/>
              <w:bottom w:w="100" w:type="dxa"/>
              <w:right w:w="100" w:type="dxa"/>
            </w:tcMar>
            <w:vAlign w:val="top"/>
          </w:tcPr>
          <w:p w14:paraId="0000042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a) până la 150 m</w:t>
            </w: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superscript"/>
                <w:rtl w:val="0"/>
                <w14:textFill>
                  <w14:solidFill>
                    <w14:schemeClr w14:val="tx1"/>
                  </w14:solidFill>
                </w14:textFill>
              </w:rPr>
              <w:t>2</w:t>
            </w: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inclusiv </w:t>
            </w:r>
          </w:p>
        </w:tc>
        <w:tc>
          <w:tcPr>
            <w:shd w:val="clear" w:color="auto" w:fill="auto"/>
            <w:tcMar>
              <w:top w:w="100" w:type="dxa"/>
              <w:left w:w="100" w:type="dxa"/>
              <w:bottom w:w="100" w:type="dxa"/>
              <w:right w:w="100" w:type="dxa"/>
            </w:tcMar>
            <w:vAlign w:val="top"/>
          </w:tcPr>
          <w:p w14:paraId="0000042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5-6 </w:t>
            </w:r>
          </w:p>
        </w:tc>
        <w:tc>
          <w:tcPr>
            <w:shd w:val="clear" w:color="auto" w:fill="auto"/>
            <w:tcMar>
              <w:top w:w="100" w:type="dxa"/>
              <w:left w:w="100" w:type="dxa"/>
              <w:bottom w:w="100" w:type="dxa"/>
              <w:right w:w="100" w:type="dxa"/>
            </w:tcMar>
            <w:vAlign w:val="top"/>
          </w:tcPr>
          <w:p w14:paraId="0000042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lang w:val="ro-RO"/>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t>5,5</w:t>
            </w:r>
          </w:p>
        </w:tc>
      </w:tr>
      <w:tr w14:paraId="20AC32F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390" w:hRule="atLeast"/>
        </w:trPr>
        <w:tc>
          <w:tcPr>
            <w:shd w:val="clear" w:color="auto" w:fill="auto"/>
            <w:tcMar>
              <w:top w:w="100" w:type="dxa"/>
              <w:left w:w="100" w:type="dxa"/>
              <w:bottom w:w="100" w:type="dxa"/>
              <w:right w:w="100" w:type="dxa"/>
            </w:tcMar>
            <w:vAlign w:val="top"/>
          </w:tcPr>
          <w:p w14:paraId="0000043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b) între 151 şi 250 m</w:t>
            </w: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superscript"/>
                <w:rtl w:val="0"/>
                <w14:textFill>
                  <w14:solidFill>
                    <w14:schemeClr w14:val="tx1"/>
                  </w14:solidFill>
                </w14:textFill>
              </w:rPr>
              <w:t>2</w:t>
            </w: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inclusiv </w:t>
            </w:r>
          </w:p>
        </w:tc>
        <w:tc>
          <w:tcPr>
            <w:shd w:val="clear" w:color="auto" w:fill="auto"/>
            <w:tcMar>
              <w:top w:w="100" w:type="dxa"/>
              <w:left w:w="100" w:type="dxa"/>
              <w:bottom w:w="100" w:type="dxa"/>
              <w:right w:w="100" w:type="dxa"/>
            </w:tcMar>
            <w:vAlign w:val="top"/>
          </w:tcPr>
          <w:p w14:paraId="0000043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6-7 </w:t>
            </w:r>
          </w:p>
        </w:tc>
        <w:tc>
          <w:tcPr>
            <w:shd w:val="clear" w:color="auto" w:fill="auto"/>
            <w:tcMar>
              <w:top w:w="100" w:type="dxa"/>
              <w:left w:w="100" w:type="dxa"/>
              <w:bottom w:w="100" w:type="dxa"/>
              <w:right w:w="100" w:type="dxa"/>
            </w:tcMar>
            <w:vAlign w:val="top"/>
          </w:tcPr>
          <w:p w14:paraId="0000043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lang w:val="ro-RO"/>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t>6,5</w:t>
            </w:r>
          </w:p>
        </w:tc>
      </w:tr>
      <w:tr w14:paraId="6121F51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390" w:hRule="atLeast"/>
        </w:trPr>
        <w:tc>
          <w:tcPr>
            <w:shd w:val="clear" w:color="auto" w:fill="auto"/>
            <w:tcMar>
              <w:top w:w="100" w:type="dxa"/>
              <w:left w:w="100" w:type="dxa"/>
              <w:bottom w:w="100" w:type="dxa"/>
              <w:right w:w="100" w:type="dxa"/>
            </w:tcMar>
            <w:vAlign w:val="top"/>
          </w:tcPr>
          <w:p w14:paraId="0000043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c) între 251 şi 500 m</w:t>
            </w: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superscript"/>
                <w:rtl w:val="0"/>
                <w14:textFill>
                  <w14:solidFill>
                    <w14:schemeClr w14:val="tx1"/>
                  </w14:solidFill>
                </w14:textFill>
              </w:rPr>
              <w:t>2</w:t>
            </w: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inclusiv </w:t>
            </w:r>
          </w:p>
        </w:tc>
        <w:tc>
          <w:tcPr>
            <w:shd w:val="clear" w:color="auto" w:fill="auto"/>
            <w:tcMar>
              <w:top w:w="100" w:type="dxa"/>
              <w:left w:w="100" w:type="dxa"/>
              <w:bottom w:w="100" w:type="dxa"/>
              <w:right w:w="100" w:type="dxa"/>
            </w:tcMar>
            <w:vAlign w:val="top"/>
          </w:tcPr>
          <w:p w14:paraId="0000043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7-9 </w:t>
            </w:r>
          </w:p>
        </w:tc>
        <w:tc>
          <w:tcPr>
            <w:shd w:val="clear" w:color="auto" w:fill="auto"/>
            <w:tcMar>
              <w:top w:w="100" w:type="dxa"/>
              <w:left w:w="100" w:type="dxa"/>
              <w:bottom w:w="100" w:type="dxa"/>
              <w:right w:w="100" w:type="dxa"/>
            </w:tcMar>
            <w:vAlign w:val="top"/>
          </w:tcPr>
          <w:p w14:paraId="0000043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lang w:val="ro-RO"/>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t>8</w:t>
            </w:r>
          </w:p>
        </w:tc>
      </w:tr>
      <w:tr w14:paraId="49C4A65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390" w:hRule="atLeast"/>
        </w:trPr>
        <w:tc>
          <w:tcPr>
            <w:shd w:val="clear" w:color="auto" w:fill="auto"/>
            <w:tcMar>
              <w:top w:w="100" w:type="dxa"/>
              <w:left w:w="100" w:type="dxa"/>
              <w:bottom w:w="100" w:type="dxa"/>
              <w:right w:w="100" w:type="dxa"/>
            </w:tcMar>
            <w:vAlign w:val="top"/>
          </w:tcPr>
          <w:p w14:paraId="0000043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d) între 501 şi 750 m</w:t>
            </w: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superscript"/>
                <w:rtl w:val="0"/>
                <w14:textFill>
                  <w14:solidFill>
                    <w14:schemeClr w14:val="tx1"/>
                  </w14:solidFill>
                </w14:textFill>
              </w:rPr>
              <w:t>2</w:t>
            </w: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inclusiv </w:t>
            </w:r>
          </w:p>
        </w:tc>
        <w:tc>
          <w:tcPr>
            <w:shd w:val="clear" w:color="auto" w:fill="auto"/>
            <w:tcMar>
              <w:top w:w="100" w:type="dxa"/>
              <w:left w:w="100" w:type="dxa"/>
              <w:bottom w:w="100" w:type="dxa"/>
              <w:right w:w="100" w:type="dxa"/>
            </w:tcMar>
            <w:vAlign w:val="top"/>
          </w:tcPr>
          <w:p w14:paraId="0000043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9-12 </w:t>
            </w:r>
          </w:p>
        </w:tc>
        <w:tc>
          <w:tcPr>
            <w:shd w:val="clear" w:color="auto" w:fill="auto"/>
            <w:tcMar>
              <w:top w:w="100" w:type="dxa"/>
              <w:left w:w="100" w:type="dxa"/>
              <w:bottom w:w="100" w:type="dxa"/>
              <w:right w:w="100" w:type="dxa"/>
            </w:tcMar>
            <w:vAlign w:val="top"/>
          </w:tcPr>
          <w:p w14:paraId="0000043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lang w:val="ro-RO"/>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t>10</w:t>
            </w:r>
          </w:p>
        </w:tc>
      </w:tr>
      <w:tr w14:paraId="3FA3437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390" w:hRule="atLeast"/>
        </w:trPr>
        <w:tc>
          <w:tcPr>
            <w:shd w:val="clear" w:color="auto" w:fill="auto"/>
            <w:tcMar>
              <w:top w:w="100" w:type="dxa"/>
              <w:left w:w="100" w:type="dxa"/>
              <w:bottom w:w="100" w:type="dxa"/>
              <w:right w:w="100" w:type="dxa"/>
            </w:tcMar>
            <w:vAlign w:val="top"/>
          </w:tcPr>
          <w:p w14:paraId="0000043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e) între 751 şi 1.000 m</w:t>
            </w: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superscript"/>
                <w:rtl w:val="0"/>
                <w14:textFill>
                  <w14:solidFill>
                    <w14:schemeClr w14:val="tx1"/>
                  </w14:solidFill>
                </w14:textFill>
              </w:rPr>
              <w:t>2</w:t>
            </w: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inclusiv </w:t>
            </w:r>
          </w:p>
        </w:tc>
        <w:tc>
          <w:tcPr>
            <w:shd w:val="clear" w:color="auto" w:fill="auto"/>
            <w:tcMar>
              <w:top w:w="100" w:type="dxa"/>
              <w:left w:w="100" w:type="dxa"/>
              <w:bottom w:w="100" w:type="dxa"/>
              <w:right w:w="100" w:type="dxa"/>
            </w:tcMar>
            <w:vAlign w:val="top"/>
          </w:tcPr>
          <w:p w14:paraId="0000043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12-14 </w:t>
            </w:r>
          </w:p>
        </w:tc>
        <w:tc>
          <w:tcPr>
            <w:shd w:val="clear" w:color="auto" w:fill="auto"/>
            <w:tcMar>
              <w:top w:w="100" w:type="dxa"/>
              <w:left w:w="100" w:type="dxa"/>
              <w:bottom w:w="100" w:type="dxa"/>
              <w:right w:w="100" w:type="dxa"/>
            </w:tcMar>
            <w:vAlign w:val="top"/>
          </w:tcPr>
          <w:p w14:paraId="0000043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lang w:val="ro-RO"/>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t>13</w:t>
            </w:r>
          </w:p>
        </w:tc>
      </w:tr>
      <w:tr w14:paraId="63B48F2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trHeight w:val="964" w:hRule="atLeast"/>
        </w:trPr>
        <w:tc>
          <w:tcPr>
            <w:shd w:val="clear" w:color="auto" w:fill="auto"/>
            <w:tcMar>
              <w:top w:w="100" w:type="dxa"/>
              <w:left w:w="100" w:type="dxa"/>
              <w:bottom w:w="100" w:type="dxa"/>
              <w:right w:w="100" w:type="dxa"/>
            </w:tcMar>
            <w:vAlign w:val="top"/>
          </w:tcPr>
          <w:p w14:paraId="0000043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superscript"/>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f) peste 1.000 m</w:t>
            </w: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superscript"/>
                <w:rtl w:val="0"/>
                <w14:textFill>
                  <w14:solidFill>
                    <w14:schemeClr w14:val="tx1"/>
                  </w14:solidFill>
                </w14:textFill>
              </w:rPr>
              <w:t xml:space="preserve">2 </w:t>
            </w:r>
          </w:p>
        </w:tc>
        <w:tc>
          <w:tcPr>
            <w:shd w:val="clear" w:color="auto" w:fill="auto"/>
            <w:tcMar>
              <w:top w:w="100" w:type="dxa"/>
              <w:left w:w="100" w:type="dxa"/>
              <w:bottom w:w="100" w:type="dxa"/>
              <w:right w:w="100" w:type="dxa"/>
            </w:tcMar>
            <w:vAlign w:val="top"/>
          </w:tcPr>
          <w:p w14:paraId="0000043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superscript"/>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14 + 0,01 lei/m</w:t>
            </w: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superscript"/>
                <w:rtl w:val="0"/>
                <w14:textFill>
                  <w14:solidFill>
                    <w14:schemeClr w14:val="tx1"/>
                  </w14:solidFill>
                </w14:textFill>
              </w:rPr>
              <w:t>2</w:t>
            </w: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pentru fiecare m</w:t>
            </w: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superscript"/>
                <w:rtl w:val="0"/>
                <w14:textFill>
                  <w14:solidFill>
                    <w14:schemeClr w14:val="tx1"/>
                  </w14:solidFill>
                </w14:textFill>
              </w:rPr>
              <w:t>2</w:t>
            </w: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care depăşeşte  1.000 m</w:t>
            </w: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superscript"/>
                <w:rtl w:val="0"/>
                <w14:textFill>
                  <w14:solidFill>
                    <w14:schemeClr w14:val="tx1"/>
                  </w14:solidFill>
                </w14:textFill>
              </w:rPr>
              <w:t>2</w:t>
            </w:r>
          </w:p>
        </w:tc>
        <w:tc>
          <w:tcPr>
            <w:shd w:val="clear" w:color="auto" w:fill="auto"/>
            <w:tcMar>
              <w:top w:w="100" w:type="dxa"/>
              <w:left w:w="100" w:type="dxa"/>
              <w:bottom w:w="100" w:type="dxa"/>
              <w:right w:w="100" w:type="dxa"/>
            </w:tcMar>
            <w:vAlign w:val="top"/>
          </w:tcPr>
          <w:p w14:paraId="0000043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superscript"/>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14 + 0,01 lei/m</w:t>
            </w: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superscript"/>
                <w:rtl w:val="0"/>
                <w14:textFill>
                  <w14:solidFill>
                    <w14:schemeClr w14:val="tx1"/>
                  </w14:solidFill>
                </w14:textFill>
              </w:rPr>
              <w:t>2</w:t>
            </w: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pentru fiecare m</w:t>
            </w: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superscript"/>
                <w:rtl w:val="0"/>
                <w14:textFill>
                  <w14:solidFill>
                    <w14:schemeClr w14:val="tx1"/>
                  </w14:solidFill>
                </w14:textFill>
              </w:rPr>
              <w:t>2</w:t>
            </w: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care depăşeşte  1.000 m</w:t>
            </w: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superscript"/>
                <w:rtl w:val="0"/>
                <w14:textFill>
                  <w14:solidFill>
                    <w14:schemeClr w14:val="tx1"/>
                  </w14:solidFill>
                </w14:textFill>
              </w:rPr>
              <w:t>2</w:t>
            </w:r>
          </w:p>
        </w:tc>
      </w:tr>
    </w:tbl>
    <w:p w14:paraId="0000043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0000044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p>
    <w:p w14:paraId="0000044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3"/>
        <w:jc w:val="both"/>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14:textFill>
            <w14:solidFill>
              <w14:schemeClr w14:val="tx1"/>
            </w14:solidFill>
          </w14:textFill>
        </w:rPr>
      </w:pPr>
      <w:r>
        <w:rPr>
          <w:rFonts w:hint="default" w:eastAsia="Arial"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(2) </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14:textFill>
            <w14:solidFill>
              <w14:schemeClr w14:val="tx1"/>
            </w14:solidFill>
          </w14:textFill>
        </w:rPr>
        <w:t xml:space="preserve">Taxa pentru eliberarea certificatului de urbanism pentru o zonă rurală este egală cu </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14:textFill>
            <w14:solidFill>
              <w14:schemeClr w14:val="tx1"/>
            </w14:solidFill>
          </w14:textFill>
        </w:rPr>
        <w:t xml:space="preserve">50% din taxa stabilită conform alin. (1), respectiv 50% din nivelurile prevăzute în tabel </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î</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14:textFill>
            <w14:solidFill>
              <w14:schemeClr w14:val="tx1"/>
            </w14:solidFill>
          </w14:textFill>
        </w:rPr>
        <w:t xml:space="preserve">n coloana 3. </w:t>
      </w:r>
    </w:p>
    <w:p w14:paraId="0000044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(3) Taxa pentru prelungirea unui certificat de urbanism este egală cu 30% din cuantumul taxei  pentru eliberarea certificatului sau a autorizaţiei iniţiale.  </w:t>
      </w:r>
    </w:p>
    <w:p w14:paraId="0000044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18"/>
        <w:jc w:val="both"/>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(4) Taxa pentru avizarea certificatului de urbanism de către comisia de urbanism şi  amenajarea teritoriului, de către primari sau de structurile de specialitate din cadrul consiliului  judeţean se stabileşte de consiliul local în sumă </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14:textFill>
            <w14:solidFill>
              <w14:schemeClr w14:val="tx1"/>
            </w14:solidFill>
          </w14:textFill>
        </w:rPr>
        <w:t xml:space="preserve">de </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lang w:val="ro-RO"/>
          <w14:textFill>
            <w14:solidFill>
              <w14:schemeClr w14:val="tx1"/>
            </w14:solidFill>
          </w14:textFill>
        </w:rPr>
        <w:t>15</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14:textFill>
            <w14:solidFill>
              <w14:schemeClr w14:val="tx1"/>
            </w14:solidFill>
          </w14:textFill>
        </w:rPr>
        <w:t xml:space="preserve"> lei. </w:t>
      </w:r>
    </w:p>
    <w:p w14:paraId="0000044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8"/>
        <w:jc w:val="left"/>
        <w:rPr>
          <w:rFonts w:hint="default" w:eastAsia="Verdana"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(5) Taxa pentru eliberarea unei autorizaţii de construire pentru o clădire rezidenţială sau  clădire-anexă este egală cu 0,5% din valoarea autorizată a lucrărilor de construcţii. </w:t>
      </w:r>
    </w:p>
    <w:p w14:paraId="0000044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1"/>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Verdana"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(6) Taxa pentru eliberarea autorizaţiei de construire pentru alte construcţii decât cele  menţionate la alin. (5) este egală cu 1% din valoarea autorizată a lucrărilor de construcţie,  inclusiv valoarea instalaţiilor aferente.  </w:t>
      </w:r>
    </w:p>
    <w:p w14:paraId="0000044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8"/>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(7) Pentru taxele prevăzute la alin. (5) şi (6) stabilite pe baza valorii autorizate a lucrărilor de  construcţie se aplică următoarele reguli:  </w:t>
      </w:r>
    </w:p>
    <w:p w14:paraId="0000044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8"/>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a) taxa datorată se stabileşte pe baza valorii lucrărilor de construcţie declarate de persoana  care solicită autorizația şi se plăteşte înainte de emiterea acesteia;  </w:t>
      </w:r>
    </w:p>
    <w:p w14:paraId="0000044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1"/>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b) pentru taxa prevăzută la alin. (5), valoarea reală a lucrărilor de construcţie nu poate fi mai  mică decât valoarea impozabilă a clădirii stabilită conform art. 457;  </w:t>
      </w:r>
    </w:p>
    <w:p w14:paraId="0000044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4"/>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c) în termen de 15 zile de la data finalizării lucrărilor de construcţie, dar nu mai târziu de 15  zile de la data la care expiră autorizaţia respectivă, persoana care a obţinut autorizaţia trebuie  să depună o declaraţie privind valoarea lucrărilor de construcţie la compartimentul de  specialitate al autorităţii administraţiei publice locale;  </w:t>
      </w:r>
    </w:p>
    <w:p w14:paraId="609AFF8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d) până în cea de-a 15-a zi, inclusiv, de la data la care se depune situaţia finală privind valoarea  lucrărilor de construcţii, compartimentul de specialitate al autorităţii administraţiei publice  locale are obligaţia de a stabili taxa datorată pe baza valorii reale a lucrărilor de construcţie;  </w:t>
      </w:r>
    </w:p>
    <w:p w14:paraId="14EE498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e) până în cea de-a 15-a zi, inclusiv, de la data la care compartimentul de specialitate al  autorităţii administraţiei publice locale a comunicat valoarea stabilită pentru taxă, trebuie plătită  orice diferenţă de taxă datorată de către persoana care a primit autorizaţia sau orice diferenţă de  taxă care trebuie rambursată de autoritatea administraţiei publice locale. </w:t>
      </w:r>
    </w:p>
    <w:p w14:paraId="0000044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(8) Taxa pentru prelungirea unei autorizaţii de construire este egală cu 30% din cuantumul  taxei pentru eliberarea certificatului sau a autorizaţiei iniţiale.  </w:t>
      </w:r>
    </w:p>
    <w:p w14:paraId="0000044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8"/>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(9) Taxa pentru eliberarea autorizaţiei de desfiinţare, totală sau parţială, a unei construcţii este  egală cu 0,1% din valoarea impozabilă stabilită pentru determinarea impozitului pe clădiri,  aferentă părţii desfiinţate.  </w:t>
      </w:r>
    </w:p>
    <w:p w14:paraId="0000044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(10) Taxa pentru eliberarea autorizaţiei de foraje sau excavări necesare lucrărilor de cercetare  şi prospectare a terenurilor în etapa efectuării studiilor geotehnice şi a studiilor privind ridicările  topografice, sondele de gaze, petrol şi alte excavări se datorează de către titularii drepturilor de  prospecţiune şi explorare şi se calculează prin înmulţirea numărului de metri pătraţi de teren ce  vor fi efectiv afectaţi la suprafaţa solului de foraje şi excavări </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14:textFill>
            <w14:solidFill>
              <w14:schemeClr w14:val="tx1"/>
            </w14:solidFill>
          </w14:textFill>
        </w:rPr>
        <w:t>cu o valoare de</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lang w:val="ro-RO"/>
          <w14:textFill>
            <w14:solidFill>
              <w14:schemeClr w14:val="tx1"/>
            </w14:solidFill>
          </w14:textFill>
        </w:rPr>
        <w:t xml:space="preserve"> 15</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14:textFill>
            <w14:solidFill>
              <w14:schemeClr w14:val="tx1"/>
            </w14:solidFill>
          </w14:textFill>
        </w:rPr>
        <w:t xml:space="preserve"> lei/mp. </w:t>
      </w:r>
    </w:p>
    <w:p w14:paraId="0000044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1"/>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(11) În termen de 30 de zile de la finalizarea fazelor de cercetare şi prospectare, contribuabilii  au obligaţia să declare suprafaţa efectiv afectată de foraje sau excavări, iar în cazul în care  aceasta diferă de cea pentru care a fost emisă anterior o autorizaţie, taxa aferentă se  regularizează astfel încât să reflecte suprafaţa efectiv afectată.  </w:t>
      </w:r>
    </w:p>
    <w:p w14:paraId="78A8EA9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(12) Taxa pentru eliberarea autorizaţiei necesare pentru lucrările de organizare de şantier în  vederea realizării unei construcţii, care nu sunt incluse în altă autorizaţie de construire, este  egală cu 3% din valoarea autorizată a lucrărilor de organizare de şantier. </w:t>
      </w:r>
    </w:p>
    <w:p w14:paraId="4A179E2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(13) Taxa pentru eliberarea autorizaţiei de amenajare de tabere de corturi, căsuţe sau rulote  ori campinguri este egală cu 2% din valoarea autorizată a lucrărilor de construcţie. </w:t>
      </w:r>
    </w:p>
    <w:p w14:paraId="558A000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(14) Taxa pentru autorizarea amplasării de chioşcuri, containere, tonete, cabine, spaţii de  expunere, corpuri şi panouri de afişaj, firme şi reclame situate pe căile şi în spaţiile publice </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14:textFill>
            <w14:solidFill>
              <w14:schemeClr w14:val="tx1"/>
            </w14:solidFill>
          </w14:textFill>
        </w:rPr>
        <w:t xml:space="preserve">este </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14:textFill>
            <w14:solidFill>
              <w14:schemeClr w14:val="tx1"/>
            </w14:solidFill>
          </w14:textFill>
        </w:rPr>
        <w:t>de</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lang w:val="ro-RO"/>
          <w14:textFill>
            <w14:solidFill>
              <w14:schemeClr w14:val="tx1"/>
            </w14:solidFill>
          </w14:textFill>
        </w:rPr>
        <w:t xml:space="preserve"> 8</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14:textFill>
            <w14:solidFill>
              <w14:schemeClr w14:val="tx1"/>
            </w14:solidFill>
          </w14:textFill>
        </w:rPr>
        <w:t xml:space="preserve"> lei pentru fiecare metru pătrat de suprafaţă ocupată de construcţie. </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w:t>
      </w:r>
    </w:p>
    <w:p w14:paraId="71545FA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(15) Taxa pentru eliberarea unei autorizaţii privind lucrările de racorduri şi branşamente la  reţele publice de apă, canalizare, gaze, termice, energie electrică, telefonie şi televiziune prin  cablu se stabileşte de consiliul local şi </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14:textFill>
            <w14:solidFill>
              <w14:schemeClr w14:val="tx1"/>
            </w14:solidFill>
          </w14:textFill>
        </w:rPr>
        <w:t xml:space="preserve">este de </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lang w:val="ro-RO"/>
          <w14:textFill>
            <w14:solidFill>
              <w14:schemeClr w14:val="tx1"/>
            </w14:solidFill>
          </w14:textFill>
        </w:rPr>
        <w:t xml:space="preserve">13 </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14:textFill>
            <w14:solidFill>
              <w14:schemeClr w14:val="tx1"/>
            </w14:solidFill>
          </w14:textFill>
        </w:rPr>
        <w:t xml:space="preserve">lei pentru fiecare racord. </w:t>
      </w:r>
    </w:p>
    <w:p w14:paraId="0000044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(16) Taxa pentru eliberarea certificatului de nomenclatură stradală şi adresă se stabileşte de  către consiliile locale î</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14:textFill>
            <w14:solidFill>
              <w14:schemeClr w14:val="tx1"/>
            </w14:solidFill>
          </w14:textFill>
        </w:rPr>
        <w:t xml:space="preserve">n sumă de </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lang w:val="ro-RO"/>
          <w14:textFill>
            <w14:solidFill>
              <w14:schemeClr w14:val="tx1"/>
            </w14:solidFill>
          </w14:textFill>
        </w:rPr>
        <w:t>9</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14:textFill>
            <w14:solidFill>
              <w14:schemeClr w14:val="tx1"/>
            </w14:solidFill>
          </w14:textFill>
        </w:rPr>
        <w:t xml:space="preserve"> lei. </w:t>
      </w:r>
    </w:p>
    <w:p w14:paraId="63A4F8C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Art. 23. (475) - Taxa pentru eliberarea autorizaţiilor pentru desfăşurarea unor activităţi</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t>.</w:t>
      </w:r>
    </w:p>
    <w:p w14:paraId="0000045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(1) Taxa pentru eliberarea autorizaţiilor de funcţionare se stabileşte de consiliul local şi </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14:textFill>
            <w14:solidFill>
              <w14:schemeClr w14:val="tx1"/>
            </w14:solidFill>
          </w14:textFill>
        </w:rPr>
        <w:t xml:space="preserve">este </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14:textFill>
            <w14:solidFill>
              <w14:schemeClr w14:val="tx1"/>
            </w14:solidFill>
          </w14:textFill>
        </w:rPr>
        <w:t>de</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lang w:val="ro-RO"/>
          <w14:textFill>
            <w14:solidFill>
              <w14:schemeClr w14:val="tx1"/>
            </w14:solidFill>
          </w14:textFill>
        </w:rPr>
        <w:t xml:space="preserve"> 20</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14:textFill>
            <w14:solidFill>
              <w14:schemeClr w14:val="tx1"/>
            </w14:solidFill>
          </w14:textFill>
        </w:rPr>
        <w:t xml:space="preserve"> lei. </w:t>
      </w:r>
    </w:p>
    <w:p w14:paraId="0000045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both"/>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(2) Taxele pentru eliberarea atestatului de producător, respectiv pentru eliberarea carnetului  de comercializare a produselor din sectorul agricol se stabilesc de către consiliile locale şi sunt  </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14:textFill>
            <w14:solidFill>
              <w14:schemeClr w14:val="tx1"/>
            </w14:solidFill>
          </w14:textFill>
        </w:rPr>
        <w:t xml:space="preserve">de </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lang w:val="ro-RO"/>
          <w14:textFill>
            <w14:solidFill>
              <w14:schemeClr w14:val="tx1"/>
            </w14:solidFill>
          </w14:textFill>
        </w:rPr>
        <w:t xml:space="preserve">80 </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14:textFill>
            <w14:solidFill>
              <w14:schemeClr w14:val="tx1"/>
            </w14:solidFill>
          </w14:textFill>
        </w:rPr>
        <w:t xml:space="preserve">lei). </w:t>
      </w:r>
    </w:p>
    <w:p w14:paraId="0000045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(3) Persoanele a căror activitate se încadrează în grupele 561 - Restaurante, 563 - Baruri şi  alte activităţi de servire a băuturilor şi 932 - Alte activităţi recreative şi distractive potrivit </w:t>
      </w:r>
    </w:p>
    <w:p w14:paraId="0000045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7"/>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Clasificării activităţilor din economia naţională - </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14:textFill>
            <w14:solidFill>
              <w14:schemeClr w14:val="tx1"/>
            </w14:solidFill>
          </w14:textFill>
        </w:rPr>
        <w:t>CAEN</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actualizată prin Ordinul preşedintelui  Institutului Naţional de Statistică </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14:textFill>
            <w14:solidFill>
              <w14:schemeClr w14:val="tx1"/>
            </w14:solidFill>
          </w14:textFill>
        </w:rPr>
        <w:t xml:space="preserve">nr. 337/2007 </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privind actualizarea Clasificării activităţilor din  economia naţională - CAEN, datorează bugetului local al comunei, oraşului sau municipiului,  după caz, în a cărui rază administrativ-teritorială se desfăşoară activitatea, o taxă pentru  eliberarea/vizarea anuală a autorizaţiei privind desfăşurarea activităţii de alimentaţie publică,  în funcţie de suprafaţa aferentă activităţilor respective, în sumă de:  </w:t>
      </w:r>
    </w:p>
    <w:p w14:paraId="0000045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a) </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lang w:val="ro-RO"/>
          <w14:textFill>
            <w14:solidFill>
              <w14:schemeClr w14:val="tx1"/>
            </w14:solidFill>
          </w14:textFill>
        </w:rPr>
        <w:t xml:space="preserve">4000 </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14:textFill>
            <w14:solidFill>
              <w14:schemeClr w14:val="tx1"/>
            </w14:solidFill>
          </w14:textFill>
        </w:rPr>
        <w:t xml:space="preserve"> lei, pentru o suprafaţă de până la 500 m</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superscript"/>
          <w:rtl w:val="0"/>
          <w14:textFill>
            <w14:solidFill>
              <w14:schemeClr w14:val="tx1"/>
            </w14:solidFill>
          </w14:textFill>
        </w:rPr>
        <w:t>2</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14:textFill>
            <w14:solidFill>
              <w14:schemeClr w14:val="tx1"/>
            </w14:solidFill>
          </w14:textFill>
        </w:rPr>
        <w:t xml:space="preserve">, inclusiv; </w:t>
      </w:r>
    </w:p>
    <w:p w14:paraId="0000045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b) </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lang w:val="ro-RO"/>
          <w14:textFill>
            <w14:solidFill>
              <w14:schemeClr w14:val="tx1"/>
            </w14:solidFill>
          </w14:textFill>
        </w:rPr>
        <w:t>8.000</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14:textFill>
            <w14:solidFill>
              <w14:schemeClr w14:val="tx1"/>
            </w14:solidFill>
          </w14:textFill>
        </w:rPr>
        <w:t xml:space="preserve"> lei pentru o suprafaţă mai mare de 500 m</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superscript"/>
          <w:rtl w:val="0"/>
          <w14:textFill>
            <w14:solidFill>
              <w14:schemeClr w14:val="tx1"/>
            </w14:solidFill>
          </w14:textFill>
        </w:rPr>
        <w:t>2</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14:textFill>
            <w14:solidFill>
              <w14:schemeClr w14:val="tx1"/>
            </w14:solidFill>
          </w14:textFill>
        </w:rPr>
        <w:t xml:space="preserve">. </w:t>
      </w:r>
    </w:p>
    <w:p w14:paraId="0000045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(4) Autorizaţia privind desfăşurarea activităţii de alimentaţie publică, în cazul în care  comerciantul îndeplineşte condiţiile prevăzute de lege, se emite de către primarul în a cărui rază  de competenţă se află amplasată unitatea sau standul de comercializare.  </w:t>
      </w:r>
    </w:p>
    <w:p w14:paraId="0000045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Art. 24. (476) - Scutiri</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t>.</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w:t>
      </w:r>
    </w:p>
    <w:p w14:paraId="0000045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(1) Sunt scutite de taxa pentru eliberarea certificatelor, avizelor şi autorizaţiilor următoarele:   a) certificatele, avizele şi autorizaţiile ai căror beneficiari sunt veterani de război, văduve de  război sau văduve nerecăsătorite ale veteranilor de război;  </w:t>
      </w:r>
    </w:p>
    <w:p w14:paraId="0000045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b) certificatele, avizele şi autorizaţiile ai căror beneficiari sunt persoanele prevăzute la </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14:textFill>
            <w14:solidFill>
              <w14:schemeClr w14:val="tx1"/>
            </w14:solidFill>
          </w14:textFill>
        </w:rPr>
        <w:t xml:space="preserve">art. 1 </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din Decretul-lege nr. 118/1990, republicat, cu modificările şi completările ulterioare, si  persoanele fizice prevazute la art. 1 din OG nr. 105/1999 aprobata cu modificari si completari  prin Legea nr. 189/2000, cu modificarile si completarile ulterioare;  </w:t>
      </w:r>
    </w:p>
    <w:p w14:paraId="0000045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8"/>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c) certificatele de urbanism şi autorizaţiile de construire pentru lăcaşuri de cult sau construcţii anexă;  </w:t>
      </w:r>
    </w:p>
    <w:p w14:paraId="0000045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d) certificatele de urbanism şi autorizaţiile de construire pentru dezvoltarea, modernizarea sau  reabilitarea infrastructurilor din transporturi care aparţin domeniului public al statului;   e) certificatele de urbanism şi autorizaţiile de construire pentru lucrările de interes public  naţional, judeţean sau local;  </w:t>
      </w:r>
    </w:p>
    <w:p w14:paraId="0000045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6"/>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f) certificatele de urbanism şi autorizaţiile de construire, dacă beneficiarul construcţiei este o  instituţie publică;  </w:t>
      </w:r>
    </w:p>
    <w:p w14:paraId="0000045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8"/>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g) autorizaţiile de construire pentru autostrăzile şi căile ferate atribuite prin concesionare,  conform legii;  </w:t>
      </w:r>
    </w:p>
    <w:p w14:paraId="0000045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6"/>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h) certificatele de urbanism şi autorizaţiile de construire, dacă beneficiarul construcţiei este o  instituţie sau o unitate care funcţionează sub coordonarea Ministerului Educaţiei şi Cercetării  Ştiinţifice sau a Ministerului Tineretului şi Sportului;  </w:t>
      </w:r>
    </w:p>
    <w:p w14:paraId="0000046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8"/>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i) certificat de urbanism sau autorizaţie de construire, dacă beneficiarul construcţiei este o  fundaţie înfiinţată prin testament, constituită conform legii, cu scopul de a întreţine, dezvolta şi  ajuta instituţii de cultură naţională, precum şi de a susţine acţiuni cu caracter umanitar, social  şi cultural;  </w:t>
      </w:r>
    </w:p>
    <w:p w14:paraId="0000046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1"/>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j) certificat de urbanism sau autorizaţie de construire, dacă beneficiarul construcţiei este o  organizaţie care are ca unică activitate acordarea gratuită de servicii sociale în unităţi  specializate care asigură găzduire, îngrijire socială şi medicală, asistenţă, ocrotire, activităţi de  recuperare, reabilitare şi reinserţie socială pentru copil, familie, persoane cu handicap, persoane  vârstnice, precum şi pentru alte persoane aflate în dificultate, în condiţiile legii;  </w:t>
      </w:r>
    </w:p>
    <w:p w14:paraId="13DE9E3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k) certificat de urbanism sau autorizaţie de construire, în cazul unei calamităţi naturale.</w:t>
      </w:r>
    </w:p>
    <w:p w14:paraId="0000046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(2) Consiliile locale pot hotărî să acorde scutirea sau reducerea taxei pentru eliberarea  certificatelor, avizelor şi autorizaţiilor</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t>, dacă este cazul în baza solicitărilor,</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pentru:  </w:t>
      </w:r>
    </w:p>
    <w:p w14:paraId="0000046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1"/>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a) lucrări de întreţinere, reparare, conservare, consolidare, restaurare, punere în valoare a  monumentelor istorice astfel cum sunt definite în Legea </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14:textFill>
            <w14:solidFill>
              <w14:schemeClr w14:val="tx1"/>
            </w14:solidFill>
          </w14:textFill>
        </w:rPr>
        <w:t xml:space="preserve">nr. 422/2001 </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privind protejarea  monumentelor istorice, republicată, cu modificările ulterioare, datorate de proprietarii persoane  fizice care realizează, integral sau parţial, aceste lucrări pe cheltuială proprie;  </w:t>
      </w:r>
    </w:p>
    <w:p w14:paraId="19D26CC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b) lucrări destinate păstrării integrităţii fizice şi a cadrului construit sau natural al  monumentelor istorice definite în Legea </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14:textFill>
            <w14:solidFill>
              <w14:schemeClr w14:val="tx1"/>
            </w14:solidFill>
          </w14:textFill>
        </w:rPr>
        <w:t>nr. 422/2001</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republicată, cu modificările ulterioare,  finanţate de proprietarii imobilelor din zona de protecţie a monumentelor istorice, în  concordanţă cu reglementările cuprinse în documentaţiile de urbanism întocmite potrivit legii; </w:t>
      </w:r>
    </w:p>
    <w:p w14:paraId="0000046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c) lucrări executate în condiţiile Ordonanţei Guvernului </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14:textFill>
            <w14:solidFill>
              <w14:schemeClr w14:val="tx1"/>
            </w14:solidFill>
          </w14:textFill>
        </w:rPr>
        <w:t xml:space="preserve">nr. 20/1994 </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privind măsuri pentru  reducerea riscului seismic al construcţiilor existente, republicată, cu modificările şi  completările ulterioare; </w:t>
      </w:r>
    </w:p>
    <w:p w14:paraId="0000046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Verdana"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d) lucrări executate în zone de regenerare urbană, delimitate în condiţiile Legii </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14:textFill>
            <w14:solidFill>
              <w14:schemeClr w14:val="tx1"/>
            </w14:solidFill>
          </w14:textFill>
        </w:rPr>
        <w:t xml:space="preserve">nr. 350/2001 </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privind amenajarea teritoriului şi urbanismul, cu modificările şi completările ulterioare, lucrări  în care se desfăşoară operaţiuni de regenerare urbană coordonate de administraţia locală, în  perioada derulării operaţiunilor respective.  </w:t>
      </w:r>
    </w:p>
    <w:p w14:paraId="0000046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righ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w:t>
      </w:r>
    </w:p>
    <w:p w14:paraId="0000046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Taxa pentru folosirea mijloacelor de reclamă şi publicitate  </w:t>
      </w:r>
    </w:p>
    <w:p w14:paraId="0000046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Art. 25. (477) - Taxa pentru serviciile de reclamă şi publicitate </w:t>
      </w:r>
    </w:p>
    <w:p w14:paraId="0000046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(1) Orice persoană care beneficiază de servicii de reclamă şi publicitate în România în baza  unui contract sau a unui alt fel de înţelegere încheiată cu altă persoană datorează plata taxei  prevăzute în prezentul articol, cu excepţia serviciilor de reclamă şi publicitate realizate prin  mijloacele de informare în masă scrise şi audiovizuale.  </w:t>
      </w:r>
    </w:p>
    <w:p w14:paraId="0000046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(2) Publicitatea realizată prin mijloace de informare în masă scrise şi audiovizuale, în sensul  prezentului articol, corespunde activităţilor agenţilor de publicitate potrivit Clasificării  activităţilor din economia naţională - </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14:textFill>
            <w14:solidFill>
              <w14:schemeClr w14:val="tx1"/>
            </w14:solidFill>
          </w14:textFill>
        </w:rPr>
        <w:t>CAEN</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cu modificările ulterioare, respectiv publicitatea  realizată prin ziare şi alte tipărituri, precum şi prin radio, televiziune şi internet.  </w:t>
      </w:r>
    </w:p>
    <w:p w14:paraId="0000046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(3) Taxa prevăzută în prezentul articol, denumită în continuare taxa pentru servicii de reclamă  şi publicitate, se plăteşte la bugetul local al unităţii administrativ-teritoriale în raza căreia  persoana prestează serviciile de reclamă şi publicitate.  </w:t>
      </w:r>
    </w:p>
    <w:p w14:paraId="0000046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1"/>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(4) Taxa pentru servicii de reclamă şi publicitate se calculează prin aplicarea cotei taxei  respective la valoarea serviciilor de reclamă şi publicitate.  </w:t>
      </w:r>
    </w:p>
    <w:p w14:paraId="0000046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(5) </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14:textFill>
            <w14:solidFill>
              <w14:schemeClr w14:val="tx1"/>
            </w14:solidFill>
          </w14:textFill>
        </w:rPr>
        <w:t>Cota taxei stabil</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lang w:val="ro-RO"/>
          <w14:textFill>
            <w14:solidFill>
              <w14:schemeClr w14:val="tx1"/>
            </w14:solidFill>
          </w14:textFill>
        </w:rPr>
        <w:t xml:space="preserve">ită </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14:textFill>
            <w14:solidFill>
              <w14:schemeClr w14:val="tx1"/>
            </w14:solidFill>
          </w14:textFill>
        </w:rPr>
        <w:t>de consiliul local</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lang w:val="ro-RO"/>
          <w14:textFill>
            <w14:solidFill>
              <w14:schemeClr w14:val="tx1"/>
            </w14:solidFill>
          </w14:textFill>
        </w:rPr>
        <w:t xml:space="preserve"> pentru 2026,  este de </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14:textFill>
            <w14:solidFill>
              <w14:schemeClr w14:val="tx1"/>
            </w14:solidFill>
          </w14:textFill>
        </w:rPr>
        <w:t xml:space="preserve">3%. </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w:t>
      </w:r>
    </w:p>
    <w:p w14:paraId="0000047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(6) Valoarea serviciilor de reclamă şi publicitate cuprinde orice plată obţinută sau care  urmează a fi obţinută pentru serviciile de reclamă şi publicitate, cu excepţia taxei pe valoarea  adăugată.  </w:t>
      </w:r>
    </w:p>
    <w:p w14:paraId="0000047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7"/>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(7) Taxa pentru servicii de reclamă şi publicitate prevăzută la alin. (1) se declară și se plătește  de către prestatorul serviciului de reclamă și publicitate la bugetul local, lunar, până la data de  10 a lunii următoare celei în care a intrat în vigoare contractul de prestări de servicii de reclamă  şi publicitate.  </w:t>
      </w:r>
    </w:p>
    <w:p w14:paraId="79A60B7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after="0" w:line="240" w:lineRule="auto"/>
        <w:ind w:left="0" w:right="0"/>
        <w:jc w:val="left"/>
        <w:textAlignment w:val="auto"/>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Art. 26. (478) - Taxa pentru afişaj în scop de reclamă şi publicitate </w:t>
      </w:r>
    </w:p>
    <w:p w14:paraId="2323299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after="0" w:line="240" w:lineRule="auto"/>
        <w:ind w:left="0" w:right="0"/>
        <w:jc w:val="left"/>
        <w:textAlignment w:val="auto"/>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(1) Orice persoană care utilizează un panou, un afişaj sau o structură de afişaj pentru reclamă  şi publicitate, cu excepţia celei care intră sub incidenţa </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14:textFill>
            <w14:solidFill>
              <w14:schemeClr w14:val="tx1"/>
            </w14:solidFill>
          </w14:textFill>
        </w:rPr>
        <w:t xml:space="preserve">art. </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25, datorează plata taxei anuale  prevăzute în prezentul articol către bugetul local al comunei, al oraşului sau al municipiului,  după caz, în raza căreia/căruia este amplasat panoul, afişajul sau structura de afişaj respectivă.</w:t>
      </w:r>
    </w:p>
    <w:p w14:paraId="3A4BF61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after="0" w:line="240" w:lineRule="auto"/>
        <w:ind w:left="0" w:right="0"/>
        <w:jc w:val="left"/>
        <w:textAlignment w:val="auto"/>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(2) Valoarea taxei pentru afişaj în scop de reclamă şi publicitate se calculează anual prin  înmulţirea numărului de metri pătraţi sau a fracţiunii de metru pătrat a suprafeţei afişajului  pentru reclamă sau publicitate cu suma stabilită de consiliul local, astfel: </w:t>
      </w:r>
    </w:p>
    <w:p w14:paraId="0000047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after="0" w:line="240" w:lineRule="auto"/>
        <w:ind w:left="0" w:right="0"/>
        <w:jc w:val="left"/>
        <w:textAlignment w:val="auto"/>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a) în cazul unui afişaj situat în locul în care persoana derulează o activitate economică, suma  stabilită este de </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lang w:val="ro-RO"/>
          <w14:textFill>
            <w14:solidFill>
              <w14:schemeClr w14:val="tx1"/>
            </w14:solidFill>
          </w14:textFill>
        </w:rPr>
        <w:t>32</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14:textFill>
            <w14:solidFill>
              <w14:schemeClr w14:val="tx1"/>
            </w14:solidFill>
          </w14:textFill>
        </w:rPr>
        <w:t xml:space="preserve"> lei. </w:t>
      </w:r>
    </w:p>
    <w:p w14:paraId="0000047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b) în cazul oricărui altui panou, afişaj sau oricărei altei structuri de afişaj pentru reclamă şi  publicitate, suma stabilită este de </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lang w:val="ro-RO"/>
          <w14:textFill>
            <w14:solidFill>
              <w14:schemeClr w14:val="tx1"/>
            </w14:solidFill>
          </w14:textFill>
        </w:rPr>
        <w:t xml:space="preserve"> 23</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14:textFill>
            <w14:solidFill>
              <w14:schemeClr w14:val="tx1"/>
            </w14:solidFill>
          </w14:textFill>
        </w:rPr>
        <w:t xml:space="preserve"> lei. </w:t>
      </w:r>
    </w:p>
    <w:p w14:paraId="0000047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1"/>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(3) Taxa pentru afişaj în scop de reclamă şi publicitate se recalculează pentru a reflecta  numărul de luni sau fracţiunea din lună dintr-un an calendaristic în care se afişează în scop de  reclamă şi publicitate.  </w:t>
      </w:r>
    </w:p>
    <w:p w14:paraId="0000047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(4) Taxa pentru afişajul în scop de reclamă şi publicitate se plăteşte anual, în două rate egale,  până la datele de 31 martie şi 30 septembrie inclusiv. Taxa pentru afişajul în scop de reclamă şi  publicitate, datorată aceluiaşi buget local de către contribuabili, persoane fizice şi juridice, de  până la 50 lei inclusiv, se plăteşte integral până la primul termen de plată.  </w:t>
      </w:r>
    </w:p>
    <w:p w14:paraId="0000047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7"/>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(5) Persoanele care datorează taxa pentru afişaj în scop de reclamă şi publicitate sunt obligate  să depună o declaraţie la compartimentul de specialitate al autorităţii administraţiei publice  locale în termen de 30 de zile de la data amplasării structurii de afişaj. </w:t>
      </w:r>
    </w:p>
    <w:p w14:paraId="0000047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Verdana"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Art. 27. (479) - Scutiri </w:t>
      </w:r>
    </w:p>
    <w:p w14:paraId="0000047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35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(1) Taxa pentru serviciile de reclamă şi publicitate şi taxa pentru afişaj în scop de reclamă şi  publicitate nu se aplică instituţiilor publice, cu excepţia cazurilor când acestea fac reclamă  unor activităţi economice.  </w:t>
      </w:r>
    </w:p>
    <w:p w14:paraId="0000047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(2) Taxa prevăzută în prezentul articol, denumită în continuare taxa pentru afişaj în scop de  reclamă şi publicitate, nu se aplică unei persoane care închiriază panoul, afişajul sau structura  de afişaj unei alte persoane, în acest caz taxa prevăzută la art. 25 fiind plătită de această ultimă  persoană.  </w:t>
      </w:r>
    </w:p>
    <w:p w14:paraId="2E100AE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(3) Taxa pentru afişaj în scop de reclamă şi publicitate nu se datorează pentru afişele,  panourile sau alte mijloace de reclamă şi publicitate amplasate în interiorul clădirilor. </w:t>
      </w:r>
    </w:p>
    <w:p w14:paraId="0000047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(4) Taxa pentru afişaj în scop de reclamă şi publicitate nu se aplică pentru panourile de  identificare a instalaţiilor energetice, marcaje de avertizare sau marcaje de circulaţie, precum şi  alte informaţii de utilitate publică şi educaţionale.  </w:t>
      </w:r>
    </w:p>
    <w:p w14:paraId="0000047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righ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(5) Nu se datorează taxa pentru folosirea mijloacelor de reclamă şi publicitate pentru afişajul  efectuat pe mijloacele de transport care nu sunt destinate, prin construcţia lor, realizării de  reclamă şi publicitate.  </w:t>
      </w:r>
    </w:p>
    <w:p w14:paraId="0000047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Impozitul pe spectacole </w:t>
      </w:r>
    </w:p>
    <w:p w14:paraId="0000047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Art. 28. (480) - Reguli generale  </w:t>
      </w:r>
    </w:p>
    <w:p w14:paraId="0000048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7"/>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(1) Orice persoană care organizează o manifestare artistică, o competiţie sportivă sau altă  activitate distractivă în România are obligaţia de a plăti impozitul prevăzut în prezentul capitol,  denumit în continuare impozitul pe spectacole.  </w:t>
      </w:r>
    </w:p>
    <w:p w14:paraId="0000048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1"/>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(2) Impozitul pe spectacole se plăteşte la bugetul local al unităţii administrativ-teritoriale în  raza căreia are loc manifestarea artistică, competiţia sportivă sau altă activitate distractivă.  </w:t>
      </w:r>
    </w:p>
    <w:p w14:paraId="0000048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At. 29. (481) - Calculul impozitului </w:t>
      </w:r>
    </w:p>
    <w:p w14:paraId="3CD47DD9">
      <w:pPr>
        <w:keepNext w:val="0"/>
        <w:keepLines w:val="0"/>
        <w:pageBreakBefore w:val="0"/>
        <w:widowControl w:val="0"/>
        <w:numPr>
          <w:ilvl w:val="0"/>
          <w:numId w:val="4"/>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leftChars="0" w:right="0" w:firstLine="0" w:firstLineChars="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Impozitul pe spectacole se calculează prin aplicarea cotei de impozit la suma încasată din  vânzarea biletelor de intrare şi a abonamentelor, exclusiv taxa pe valoarea adăugată  </w:t>
      </w:r>
    </w:p>
    <w:p w14:paraId="00000483">
      <w:pPr>
        <w:keepNext w:val="0"/>
        <w:keepLines w:val="0"/>
        <w:pageBreakBefore w:val="0"/>
        <w:widowControl w:val="0"/>
        <w:numPr>
          <w:ilvl w:val="0"/>
          <w:numId w:val="4"/>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leftChars="0" w:right="0" w:firstLine="0" w:firstLineChars="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color="auto" w:fill="auto"/>
          <w:vertAlign w:val="baseline"/>
          <w:rtl w:val="0"/>
          <w14:textFill>
            <w14:solidFill>
              <w14:schemeClr w14:val="tx1"/>
            </w14:solidFill>
          </w14:textFill>
        </w:rPr>
        <w:t xml:space="preserve"> Consiliul local stabileste cota de impozit după cum urmează:  </w:t>
      </w:r>
    </w:p>
    <w:p w14:paraId="0000048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5"/>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14:textFill>
            <w14:solidFill>
              <w14:schemeClr w14:val="tx1"/>
            </w14:solidFill>
          </w14:textFill>
        </w:rPr>
        <w:t xml:space="preserve"> a) 2%, î</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n cazul unui spectacol de teatru, de exemplu o piesă de teatru, balet, operă,  operetă, concert filarmonic sau altă manifestare muzicală, prezentarea unui film la  cinematograf, un spectacol de circ sau orice competiţie sportivă internă sau  internaţională; </w:t>
      </w:r>
    </w:p>
    <w:p w14:paraId="031A035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185"/>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b) </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14:textFill>
            <w14:solidFill>
              <w14:schemeClr w14:val="tx1"/>
            </w14:solidFill>
          </w14:textFill>
        </w:rPr>
        <w:t>5% î</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n cazul oricărei altei manifestări artistice decât cele enumerate la lit. a).  </w:t>
      </w:r>
    </w:p>
    <w:p w14:paraId="0000048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185"/>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(3) Suma primită din vânzarea biletelor de intrare sau a abonamentelor nu cuprinde sumele  plătite de organizatorul spectacolului în scopuri caritabile, conform contractului scris intrat în  vigoare înaintea vânzării biletelor de intrare sau a abonamentelor.  </w:t>
      </w:r>
    </w:p>
    <w:p w14:paraId="0000048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8"/>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(4) Persoanele care datorează impozitul pe spectacole stabilit în conformitate cu prezentul  articol au obligaţia de:  </w:t>
      </w:r>
    </w:p>
    <w:p w14:paraId="0000048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8"/>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a) a înregistra biletele de intrare şi/sau abonamentele la compartimentul de specialitate al  autorităţii administraţiei publice locale care îşi exercită autoritatea asupra locului unde are loc  spectacolul;  </w:t>
      </w:r>
    </w:p>
    <w:p w14:paraId="0000048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b) a anunţa tarifele pentru spectacol în locul unde este programat să aibă loc spectacolul,  precum şi în orice alt loc în care se vând bilete de intrare şi/sau abonamente;   c) a preciza tarifele pe biletele de intrare şi/sau abonamente şi de a nu încasa sume care  depăşesc tarifele precizate pe biletele de intrare şi/sau abonamente;  </w:t>
      </w:r>
    </w:p>
    <w:p w14:paraId="0000048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d) a emite un bilet de intrare şi/sau abonament pentru toate sumele primite de la spectatori;   e) a asigura, la cererea compartimentului de specialitate al autorităţii administraţiei publice  locale, documentele justificative privind calculul şi plata impozitului pe spectacole;   f) a se conforma oricăror altor cerinţe privind tipărirea, înregistrarea, avizarea, evidenţa şi  inventarul biletelor de intrare şi a abonamentelor, care sunt precizate în normele elaborate în </w:t>
      </w:r>
    </w:p>
    <w:p w14:paraId="0000048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4"/>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comun de Ministerul Finanţelor Publice şi Ministerul Dezvoltării Regionale şi Administraţiei  Publice, contrasemnate de Ministerul Culturii şi Ministerul Tineretului şi Sportului.  </w:t>
      </w:r>
    </w:p>
    <w:p w14:paraId="0000048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Art. 30. (482) - Scutiri </w:t>
      </w:r>
    </w:p>
    <w:p w14:paraId="6EF32CB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11"/>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Spectacolele organizate în scopuri umanitare sunt scutite de la plata impozitului pe  spectacole.  </w:t>
      </w:r>
    </w:p>
    <w:p w14:paraId="0000048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Art. 31. (483) - Plata impozitului </w:t>
      </w:r>
    </w:p>
    <w:p w14:paraId="0000048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8"/>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(1) Impozitul pe spectacole se plăteşte lunar până la data de 10, inclusiv, a lunii următoare  celei în care a avut loc spectacolul.  </w:t>
      </w:r>
    </w:p>
    <w:p w14:paraId="0000049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1"/>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(2) Orice persoană care datorează impozitul pe spectacole are obligaţia de a depune o  declaraţie la compartimentul de specialitate al autorităţii administraţiei publice locale, până la  data stabilită pentru fiecare plată a impozitului pe spectacole. Formatul declaraţiei se precizează  în normele elaborate în comun de Ministerul Finanţelor Publice şi Ministerul Dezvoltării  Regionale şi Administraţiei Publice.  </w:t>
      </w:r>
    </w:p>
    <w:p w14:paraId="0000049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6"/>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(3) Persoanele care datorează impozitul pe spectacole răspund pentru calculul corect al  impozitului, depunerea la timp a declaraţiei şi plata la timp a impozitului.  </w:t>
      </w:r>
    </w:p>
    <w:p w14:paraId="4133A00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p>
    <w:p w14:paraId="0000049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Taxe speciale </w:t>
      </w:r>
    </w:p>
    <w:p w14:paraId="0000049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Art. 32. (484) - Taxe speciale </w:t>
      </w:r>
    </w:p>
    <w:p w14:paraId="5DDD544F">
      <w:pPr>
        <w:keepNext w:val="0"/>
        <w:keepLines w:val="0"/>
        <w:pageBreakBefore w:val="0"/>
        <w:widowControl w:val="0"/>
        <w:numPr>
          <w:ilvl w:val="0"/>
          <w:numId w:val="5"/>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leftChars="0" w:right="0" w:firstLine="0" w:firstLineChars="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Pentru funcţionarea unor servicii publice locale create în interesul persoanelor fizice şi  juridice, precum şi pentru promovarea turistică a localităţii, consiliile locale, judeţene şi  Consiliul General al Municipiului Bucureşti, după caz, pot adopta taxe speciale.  </w:t>
      </w:r>
    </w:p>
    <w:p w14:paraId="00000495">
      <w:pPr>
        <w:keepNext w:val="0"/>
        <w:keepLines w:val="0"/>
        <w:pageBreakBefore w:val="0"/>
        <w:widowControl w:val="0"/>
        <w:numPr>
          <w:ilvl w:val="0"/>
          <w:numId w:val="5"/>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leftChars="0" w:right="0" w:firstLine="0" w:firstLineChars="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Domeniile în care consiliile locale, judeţene şi Consiliul General al Municipiului  Bucureşti, după caz, pot adopta taxe speciale pentru serviciile publice locale, precum şi  cuantumul acestora se stabilesc în conformitate cu prevederile Legii </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14:textFill>
            <w14:solidFill>
              <w14:schemeClr w14:val="tx1"/>
            </w14:solidFill>
          </w14:textFill>
        </w:rPr>
        <w:t xml:space="preserve">nr. 273/2006 </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privind  finanţele publice locale, cu modificările şi completările ulterioare.  </w:t>
      </w:r>
    </w:p>
    <w:p w14:paraId="00000496">
      <w:pPr>
        <w:keepNext w:val="0"/>
        <w:keepLines w:val="0"/>
        <w:pageBreakBefore w:val="0"/>
        <w:widowControl w:val="0"/>
        <w:numPr>
          <w:ilvl w:val="0"/>
          <w:numId w:val="5"/>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leftChars="0" w:right="0" w:firstLine="0" w:firstLineChars="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Taxele speciale se încasează numai de la persoanele fizice şi juridice care beneficiază de  serviciile oferite de instituţia sau serviciul public de interes local, potrivit regulamentului de  organizare şi funcţionare al acestora, sau de la cele care sunt obligate, potrivit legii, să efectueze  prestaţii ce intră în sfera de activitate a acestui tip de serviciu.  </w:t>
      </w:r>
    </w:p>
    <w:p w14:paraId="7099A7AA">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u w:val="single"/>
          <w:lang w:eastAsia="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ro-RO"/>
          <w14:textFill>
            <w14:solidFill>
              <w14:schemeClr w14:val="tx1"/>
            </w14:solidFill>
          </w14:textFill>
        </w:rPr>
        <w:t>Conform</w:t>
      </w:r>
      <w:r>
        <w:rPr>
          <w:rFonts w:hint="default" w:eastAsia="Times New Roman" w:cs="Arial" w:asciiTheme="minorAscii" w:hAnsiTheme="minorAscii"/>
          <w:b w:val="0"/>
          <w:bCs w:val="0"/>
          <w:strike w:val="0"/>
          <w:dstrike w:val="0"/>
          <w:color w:val="000000" w:themeColor="text1"/>
          <w:sz w:val="20"/>
          <w:szCs w:val="20"/>
          <w14:textFill>
            <w14:solidFill>
              <w14:schemeClr w14:val="tx1"/>
            </w14:solidFill>
          </w14:textFill>
        </w:rPr>
        <w:t>  </w:t>
      </w:r>
      <w:r>
        <w:rPr>
          <w:rFonts w:hint="default" w:eastAsia="Times New Roman" w:cs="Arial" w:asciiTheme="minorAscii" w:hAnsiTheme="minorAscii"/>
          <w:b w:val="0"/>
          <w:bCs w:val="0"/>
          <w:strike w:val="0"/>
          <w:dstrike w:val="0"/>
          <w:color w:val="000000" w:themeColor="text1"/>
          <w:sz w:val="20"/>
          <w:szCs w:val="20"/>
          <w:lang w:val="ro-RO"/>
          <w14:textFill>
            <w14:solidFill>
              <w14:schemeClr w14:val="tx1"/>
            </w14:solidFill>
          </w14:textFill>
        </w:rPr>
        <w:t>a</w:t>
      </w:r>
      <w:r>
        <w:rPr>
          <w:rFonts w:hint="default" w:eastAsia="Times New Roman" w:cs="Arial" w:asciiTheme="minorAscii" w:hAnsiTheme="minorAscii"/>
          <w:b w:val="0"/>
          <w:bCs w:val="0"/>
          <w:strike w:val="0"/>
          <w:dstrike w:val="0"/>
          <w:color w:val="000000" w:themeColor="text1"/>
          <w:sz w:val="20"/>
          <w:szCs w:val="20"/>
          <w14:textFill>
            <w14:solidFill>
              <w14:schemeClr w14:val="tx1"/>
            </w14:solidFill>
          </w14:textFill>
        </w:rPr>
        <w:t xml:space="preserve">rt. 484. - </w:t>
      </w:r>
      <w:r>
        <w:rPr>
          <w:rFonts w:hint="default" w:eastAsia="Times New Roman" w:cs="Arial" w:asciiTheme="minorAscii" w:hAnsiTheme="minorAscii"/>
          <w:b w:val="0"/>
          <w:bCs w:val="0"/>
          <w:strike w:val="0"/>
          <w:dstrike w:val="0"/>
          <w:color w:val="000000" w:themeColor="text1"/>
          <w:sz w:val="20"/>
          <w:szCs w:val="20"/>
          <w:u w:val="single"/>
          <w14:textFill>
            <w14:solidFill>
              <w14:schemeClr w14:val="tx1"/>
            </w14:solidFill>
          </w14:textFill>
        </w:rPr>
        <w:t>Taxe speciale</w:t>
      </w:r>
      <w:r>
        <w:rPr>
          <w:rFonts w:hint="default" w:eastAsia="Times New Roman" w:cs="Arial" w:asciiTheme="minorAscii" w:hAnsiTheme="minorAscii"/>
          <w:b w:val="0"/>
          <w:bCs w:val="0"/>
          <w:strike w:val="0"/>
          <w:dstrike w:val="0"/>
          <w:color w:val="000000" w:themeColor="text1"/>
          <w:sz w:val="20"/>
          <w:szCs w:val="20"/>
          <w:u w:val="single"/>
          <w:lang w:val="ro-RO"/>
          <w14:textFill>
            <w14:solidFill>
              <w14:schemeClr w14:val="tx1"/>
            </w14:solidFill>
          </w14:textFill>
        </w:rPr>
        <w:t xml:space="preserve"> din legea nr.</w:t>
      </w:r>
      <w:r>
        <w:rPr>
          <w:rFonts w:hint="default" w:eastAsia="Times New Roman" w:cs="Arial" w:asciiTheme="minorAscii" w:hAnsiTheme="minorAscii"/>
          <w:b w:val="0"/>
          <w:bCs w:val="0"/>
          <w:strike w:val="0"/>
          <w:dstrike w:val="0"/>
          <w:color w:val="000000" w:themeColor="text1"/>
          <w:sz w:val="20"/>
          <w:szCs w:val="20"/>
          <w:u w:val="single"/>
          <w14:textFill>
            <w14:solidFill>
              <w14:schemeClr w14:val="tx1"/>
            </w14:solidFill>
          </w14:textFill>
        </w:rPr>
        <w:t xml:space="preserve"> </w:t>
      </w:r>
      <w:r>
        <w:rPr>
          <w:rFonts w:hint="default" w:eastAsia="Times New Roman" w:cs="Arial" w:asciiTheme="minorAscii" w:hAnsiTheme="minorAscii"/>
          <w:b w:val="0"/>
          <w:bCs w:val="0"/>
          <w:strike w:val="0"/>
          <w:dstrike w:val="0"/>
          <w:color w:val="000000" w:themeColor="text1"/>
          <w:sz w:val="20"/>
          <w:szCs w:val="20"/>
          <w:lang w:val="ro-RO"/>
          <w14:textFill>
            <w14:solidFill>
              <w14:schemeClr w14:val="tx1"/>
            </w14:solidFill>
          </w14:textFill>
        </w:rPr>
        <w:t>227/2015 COD FISCAL</w:t>
      </w:r>
    </w:p>
    <w:p w14:paraId="10FC8C29">
      <w:pPr>
        <w:keepNext w:val="0"/>
        <w:keepLines w:val="0"/>
        <w:pageBreakBefore w:val="0"/>
        <w:kinsoku/>
        <w:wordWrap/>
        <w:overflowPunct/>
        <w:topLinePunct w:val="0"/>
        <w:bidi w:val="0"/>
        <w:snapToGrid/>
        <w:spacing w:after="0" w:line="240" w:lineRule="auto"/>
        <w:ind w:left="0" w:right="0"/>
        <w:jc w:val="both"/>
        <w:rPr>
          <w:rFonts w:hint="default" w:eastAsia="Times New Roman" w:cs="Arial" w:asciiTheme="minorAscii" w:hAnsiTheme="minorAscii"/>
          <w:b w:val="0"/>
          <w:bCs w:val="0"/>
          <w:strike w:val="0"/>
          <w:dstrike w:val="0"/>
          <w:color w:val="000000" w:themeColor="text1"/>
          <w:sz w:val="20"/>
          <w:szCs w:val="20"/>
          <w:lang w:val="en-US" w:eastAsia="ro-RO"/>
          <w14:textFill>
            <w14:solidFill>
              <w14:schemeClr w14:val="tx1"/>
            </w14:solidFill>
          </w14:textFill>
        </w:rPr>
      </w:pPr>
    </w:p>
    <w:tbl>
      <w:tblPr>
        <w:tblStyle w:val="26"/>
        <w:tblW w:w="99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5"/>
        <w:gridCol w:w="3224"/>
        <w:gridCol w:w="3042"/>
        <w:gridCol w:w="1627"/>
      </w:tblGrid>
      <w:tr w14:paraId="0FB82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8" w:type="dxa"/>
            <w:gridSpan w:val="4"/>
          </w:tcPr>
          <w:p w14:paraId="13017585">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both"/>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pPr>
            <w:r>
              <w:rPr>
                <w:rFonts w:hint="default" w:cs="Arial" w:asciiTheme="minorAscii" w:hAnsiTheme="minorAscii" w:eastAsiaTheme="minorEastAsia"/>
                <w:b w:val="0"/>
                <w:bCs w:val="0"/>
                <w:strike w:val="0"/>
                <w:dstrike w:val="0"/>
                <w:color w:val="000000" w:themeColor="text1"/>
                <w:kern w:val="0"/>
                <w:sz w:val="20"/>
                <w:szCs w:val="20"/>
                <w:lang w:val="en-US" w:eastAsia="en-US" w:bidi="ar"/>
                <w14:textFill>
                  <w14:solidFill>
                    <w14:schemeClr w14:val="tx1"/>
                  </w14:solidFill>
                </w14:textFill>
              </w:rPr>
              <w:t>Art. 484.</w:t>
            </w:r>
            <w:r>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t>(2)  TAXE SPECIALE</w:t>
            </w:r>
          </w:p>
          <w:p w14:paraId="79779013">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center"/>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pPr>
            <w:r>
              <w:rPr>
                <w:rFonts w:hint="default" w:cs="Arial" w:asciiTheme="minorAscii" w:hAnsiTheme="minorAscii" w:eastAsiaTheme="minorEastAsia"/>
                <w:b w:val="0"/>
                <w:bCs w:val="0"/>
                <w:strike w:val="0"/>
                <w:dstrike w:val="0"/>
                <w:color w:val="000000" w:themeColor="text1"/>
                <w:kern w:val="0"/>
                <w:sz w:val="20"/>
                <w:szCs w:val="20"/>
                <w:lang w:val="en-US" w:eastAsia="en-US" w:bidi="ar"/>
                <w14:textFill>
                  <w14:solidFill>
                    <w14:schemeClr w14:val="tx1"/>
                  </w14:solidFill>
                </w14:textFill>
              </w:rPr>
              <w:t xml:space="preserve">Domeniile </w:t>
            </w:r>
            <w:r>
              <w:rPr>
                <w:rFonts w:hint="default" w:cs="Arial" w:asciiTheme="minorAscii" w:hAnsiTheme="minorAscii"/>
                <w:b w:val="0"/>
                <w:bCs w:val="0"/>
                <w:strike w:val="0"/>
                <w:dstrike w:val="0"/>
                <w:color w:val="000000" w:themeColor="text1"/>
                <w:kern w:val="0"/>
                <w:sz w:val="20"/>
                <w:szCs w:val="20"/>
                <w:lang w:val="ro-RO" w:eastAsia="en-US" w:bidi="ar"/>
                <w14:textFill>
                  <w14:solidFill>
                    <w14:schemeClr w14:val="tx1"/>
                  </w14:solidFill>
                </w14:textFill>
              </w:rPr>
              <w:t>î</w:t>
            </w:r>
            <w:r>
              <w:rPr>
                <w:rFonts w:hint="default" w:cs="Arial" w:asciiTheme="minorAscii" w:hAnsiTheme="minorAscii" w:eastAsiaTheme="minorEastAsia"/>
                <w:b w:val="0"/>
                <w:bCs w:val="0"/>
                <w:strike w:val="0"/>
                <w:dstrike w:val="0"/>
                <w:color w:val="000000" w:themeColor="text1"/>
                <w:kern w:val="0"/>
                <w:sz w:val="20"/>
                <w:szCs w:val="20"/>
                <w:lang w:val="en-US" w:eastAsia="en-US" w:bidi="ar"/>
                <w14:textFill>
                  <w14:solidFill>
                    <w14:schemeClr w14:val="tx1"/>
                  </w14:solidFill>
                </w14:textFill>
              </w:rPr>
              <w:t xml:space="preserve">n care consiliile locale,  pot adopta taxe speciale pentru serviciile publice locale, precum si cuantumul acestora se stabilesc </w:t>
            </w:r>
            <w:r>
              <w:rPr>
                <w:rFonts w:hint="default" w:cs="Arial" w:asciiTheme="minorAscii" w:hAnsiTheme="minorAscii"/>
                <w:b w:val="0"/>
                <w:bCs w:val="0"/>
                <w:strike w:val="0"/>
                <w:dstrike w:val="0"/>
                <w:color w:val="000000" w:themeColor="text1"/>
                <w:kern w:val="0"/>
                <w:sz w:val="20"/>
                <w:szCs w:val="20"/>
                <w:lang w:val="ro-RO" w:eastAsia="en-US" w:bidi="ar"/>
                <w14:textFill>
                  <w14:solidFill>
                    <w14:schemeClr w14:val="tx1"/>
                  </w14:solidFill>
                </w14:textFill>
              </w:rPr>
              <w:t xml:space="preserve">în </w:t>
            </w:r>
            <w:r>
              <w:rPr>
                <w:rFonts w:hint="default" w:cs="Arial" w:asciiTheme="minorAscii" w:hAnsiTheme="minorAscii" w:eastAsiaTheme="minorEastAsia"/>
                <w:b w:val="0"/>
                <w:bCs w:val="0"/>
                <w:strike w:val="0"/>
                <w:dstrike w:val="0"/>
                <w:color w:val="000000" w:themeColor="text1"/>
                <w:kern w:val="0"/>
                <w:sz w:val="20"/>
                <w:szCs w:val="20"/>
                <w:lang w:val="en-US" w:eastAsia="en-US" w:bidi="ar"/>
                <w14:textFill>
                  <w14:solidFill>
                    <w14:schemeClr w14:val="tx1"/>
                  </w14:solidFill>
                </w14:textFill>
              </w:rPr>
              <w:t xml:space="preserve">conformitate cu prevederile Legii </w:t>
            </w:r>
            <w:r>
              <w:rPr>
                <w:rFonts w:hint="default" w:cs="Arial" w:asciiTheme="minorAscii" w:hAnsiTheme="minorAscii" w:eastAsiaTheme="minorEastAsia"/>
                <w:b w:val="0"/>
                <w:bCs w:val="0"/>
                <w:strike w:val="0"/>
                <w:dstrike w:val="0"/>
                <w:color w:val="000000" w:themeColor="text1"/>
                <w:kern w:val="0"/>
                <w:sz w:val="20"/>
                <w:szCs w:val="20"/>
                <w:lang w:val="en-US" w:eastAsia="en-US" w:bidi="ar"/>
                <w14:textFill>
                  <w14:solidFill>
                    <w14:schemeClr w14:val="tx1"/>
                  </w14:solidFill>
                </w14:textFill>
              </w:rPr>
              <w:fldChar w:fldCharType="begin"/>
            </w:r>
            <w:r>
              <w:rPr>
                <w:rFonts w:hint="default" w:cs="Arial" w:asciiTheme="minorAscii" w:hAnsiTheme="minorAscii" w:eastAsiaTheme="minorEastAsia"/>
                <w:b w:val="0"/>
                <w:bCs w:val="0"/>
                <w:strike w:val="0"/>
                <w:dstrike w:val="0"/>
                <w:color w:val="000000" w:themeColor="text1"/>
                <w:kern w:val="0"/>
                <w:sz w:val="20"/>
                <w:szCs w:val="20"/>
                <w:lang w:val="en-US" w:eastAsia="en-US" w:bidi="ar"/>
                <w14:textFill>
                  <w14:solidFill>
                    <w14:schemeClr w14:val="tx1"/>
                  </w14:solidFill>
                </w14:textFill>
              </w:rPr>
              <w:instrText xml:space="preserve"> HYPERLINK "C:/Users/Hp/AppData/Local/Temp/doc:1060027302/1" </w:instrText>
            </w:r>
            <w:r>
              <w:rPr>
                <w:rFonts w:hint="default" w:cs="Arial" w:asciiTheme="minorAscii" w:hAnsiTheme="minorAscii" w:eastAsiaTheme="minorEastAsia"/>
                <w:b w:val="0"/>
                <w:bCs w:val="0"/>
                <w:strike w:val="0"/>
                <w:dstrike w:val="0"/>
                <w:color w:val="000000" w:themeColor="text1"/>
                <w:kern w:val="0"/>
                <w:sz w:val="20"/>
                <w:szCs w:val="20"/>
                <w:lang w:val="en-US" w:eastAsia="en-US" w:bidi="ar"/>
                <w14:textFill>
                  <w14:solidFill>
                    <w14:schemeClr w14:val="tx1"/>
                  </w14:solidFill>
                </w14:textFill>
              </w:rPr>
              <w:fldChar w:fldCharType="separate"/>
            </w:r>
            <w:r>
              <w:rPr>
                <w:rStyle w:val="22"/>
                <w:rFonts w:hint="default" w:cs="Arial" w:asciiTheme="minorAscii" w:hAnsiTheme="minorAscii"/>
                <w:b w:val="0"/>
                <w:bCs w:val="0"/>
                <w:strike w:val="0"/>
                <w:dstrike w:val="0"/>
                <w:color w:val="000000" w:themeColor="text1"/>
                <w:sz w:val="20"/>
                <w:szCs w:val="20"/>
                <w:lang w:val="ro" w:eastAsia="en-US"/>
                <w14:textFill>
                  <w14:solidFill>
                    <w14:schemeClr w14:val="tx1"/>
                  </w14:solidFill>
                </w14:textFill>
              </w:rPr>
              <w:t>nr. 273/2006</w:t>
            </w:r>
            <w:r>
              <w:rPr>
                <w:rFonts w:hint="default" w:cs="Arial" w:asciiTheme="minorAscii" w:hAnsiTheme="minorAscii" w:eastAsiaTheme="minorEastAsia"/>
                <w:b w:val="0"/>
                <w:bCs w:val="0"/>
                <w:strike w:val="0"/>
                <w:dstrike w:val="0"/>
                <w:color w:val="000000" w:themeColor="text1"/>
                <w:kern w:val="0"/>
                <w:sz w:val="20"/>
                <w:szCs w:val="20"/>
                <w:lang w:val="en-US" w:eastAsia="en-US" w:bidi="ar"/>
                <w14:textFill>
                  <w14:solidFill>
                    <w14:schemeClr w14:val="tx1"/>
                  </w14:solidFill>
                </w14:textFill>
              </w:rPr>
              <w:fldChar w:fldCharType="end"/>
            </w:r>
            <w:r>
              <w:rPr>
                <w:rFonts w:hint="default" w:cs="Arial" w:asciiTheme="minorAscii" w:hAnsiTheme="minorAscii" w:eastAsiaTheme="minorEastAsia"/>
                <w:b w:val="0"/>
                <w:bCs w:val="0"/>
                <w:strike w:val="0"/>
                <w:dstrike w:val="0"/>
                <w:color w:val="000000" w:themeColor="text1"/>
                <w:kern w:val="0"/>
                <w:sz w:val="20"/>
                <w:szCs w:val="20"/>
                <w:lang w:val="en-US" w:eastAsia="en-US" w:bidi="ar"/>
                <w14:textFill>
                  <w14:solidFill>
                    <w14:schemeClr w14:val="tx1"/>
                  </w14:solidFill>
                </w14:textFill>
              </w:rPr>
              <w:t xml:space="preserve"> privind finantele publice locale, cu modificarile si completarile ulterioare.</w:t>
            </w:r>
          </w:p>
        </w:tc>
      </w:tr>
      <w:tr w14:paraId="28AC9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5" w:type="dxa"/>
          </w:tcPr>
          <w:p w14:paraId="4DEA6E7C">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both"/>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pPr>
            <w:r>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t>Temeiuri juridice de</w:t>
            </w:r>
          </w:p>
          <w:p w14:paraId="2B689971">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both"/>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pPr>
            <w:r>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t xml:space="preserve"> instituire taxe</w:t>
            </w:r>
          </w:p>
        </w:tc>
        <w:tc>
          <w:tcPr>
            <w:tcW w:w="6266" w:type="dxa"/>
            <w:gridSpan w:val="2"/>
          </w:tcPr>
          <w:p w14:paraId="424EA4C4">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leftChars="0" w:right="0" w:rightChars="0"/>
              <w:jc w:val="both"/>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t>Denumirea taxei speciale</w:t>
            </w:r>
          </w:p>
        </w:tc>
        <w:tc>
          <w:tcPr>
            <w:tcW w:w="1627" w:type="dxa"/>
            <w:vAlign w:val="top"/>
          </w:tcPr>
          <w:p w14:paraId="41458133">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cente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t>Nivel stabilit de Consiliul Local pentru</w:t>
            </w:r>
          </w:p>
          <w:p w14:paraId="31CE4874">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leftChars="0" w:right="0" w:rightChars="0"/>
              <w:jc w:val="cente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t>2026</w:t>
            </w:r>
          </w:p>
        </w:tc>
      </w:tr>
      <w:tr w14:paraId="3C754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5" w:type="dxa"/>
            <w:vMerge w:val="restart"/>
          </w:tcPr>
          <w:p w14:paraId="07585382">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both"/>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pPr>
            <w:r>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t xml:space="preserve">Art.2-3 din O.G </w:t>
            </w:r>
          </w:p>
          <w:p w14:paraId="34E2EC30">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both"/>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pPr>
            <w:r>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t>nr.13/2001</w:t>
            </w:r>
          </w:p>
        </w:tc>
        <w:tc>
          <w:tcPr>
            <w:tcW w:w="6266" w:type="dxa"/>
            <w:gridSpan w:val="2"/>
          </w:tcPr>
          <w:p w14:paraId="74AFF832">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both"/>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t>Taxe speciale pentru prestări de servicii specifice în domeniul cadastrului și agriculturii</w:t>
            </w:r>
          </w:p>
        </w:tc>
        <w:tc>
          <w:tcPr>
            <w:tcW w:w="1627" w:type="dxa"/>
          </w:tcPr>
          <w:p w14:paraId="28037D01">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cente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t>-</w:t>
            </w:r>
          </w:p>
        </w:tc>
      </w:tr>
      <w:tr w14:paraId="50297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5" w:type="dxa"/>
            <w:vMerge w:val="continue"/>
          </w:tcPr>
          <w:p w14:paraId="5CB58D0C">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both"/>
              <w:rPr>
                <w:rFonts w:hint="default" w:cs="Arial" w:asciiTheme="minorAscii" w:hAnsiTheme="minorAscii" w:eastAsiaTheme="minorEastAsia"/>
                <w:b w:val="0"/>
                <w:bCs w:val="0"/>
                <w:strike w:val="0"/>
                <w:dstrike w:val="0"/>
                <w:color w:val="000000" w:themeColor="text1"/>
                <w:kern w:val="0"/>
                <w:sz w:val="20"/>
                <w:szCs w:val="20"/>
                <w:lang w:val="en-US" w:eastAsia="en-US" w:bidi="ar"/>
                <w14:textFill>
                  <w14:solidFill>
                    <w14:schemeClr w14:val="tx1"/>
                  </w14:solidFill>
                </w14:textFill>
              </w:rPr>
            </w:pPr>
          </w:p>
        </w:tc>
        <w:tc>
          <w:tcPr>
            <w:tcW w:w="6266" w:type="dxa"/>
            <w:gridSpan w:val="2"/>
          </w:tcPr>
          <w:p w14:paraId="0FEE771C">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both"/>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t xml:space="preserve">Taxe speciale pentru pentru recuperarea costurilor serviciilor de copiere a documentelor, </w:t>
            </w:r>
          </w:p>
          <w:p w14:paraId="61300979">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both"/>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t>- eliberare certificat fiscal</w:t>
            </w:r>
          </w:p>
        </w:tc>
        <w:tc>
          <w:tcPr>
            <w:tcW w:w="1627" w:type="dxa"/>
          </w:tcPr>
          <w:p w14:paraId="43C2EC81">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cente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t>15 lei/certificat fiscal</w:t>
            </w:r>
          </w:p>
        </w:tc>
      </w:tr>
      <w:tr w14:paraId="61C24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trPr>
        <w:tc>
          <w:tcPr>
            <w:tcW w:w="2025" w:type="dxa"/>
            <w:vMerge w:val="restart"/>
          </w:tcPr>
          <w:p w14:paraId="0A0F1983">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both"/>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pPr>
            <w:r>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t>Art.25 Legea 481/2003</w:t>
            </w:r>
          </w:p>
          <w:p w14:paraId="1F89B83F">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both"/>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pPr>
            <w:r>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t>Art.13 lit.f, g, k,....</w:t>
            </w:r>
          </w:p>
        </w:tc>
        <w:tc>
          <w:tcPr>
            <w:tcW w:w="7893" w:type="dxa"/>
            <w:gridSpan w:val="3"/>
          </w:tcPr>
          <w:p w14:paraId="39B496F1">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both"/>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t>Taxe speciale pentru funcționarea Serviciului Voluntar pentru situații de Urgență:</w:t>
            </w:r>
          </w:p>
          <w:p w14:paraId="03FC569D">
            <w:pPr>
              <w:pStyle w:val="23"/>
              <w:keepNext w:val="0"/>
              <w:keepLines w:val="0"/>
              <w:pageBreakBefore w:val="0"/>
              <w:widowControl/>
              <w:numPr>
                <w:ilvl w:val="0"/>
                <w:numId w:val="0"/>
              </w:numPr>
              <w:suppressLineNumbers w:val="0"/>
              <w:kinsoku/>
              <w:wordWrap/>
              <w:overflowPunct/>
              <w:topLinePunct w:val="0"/>
              <w:bidi w:val="0"/>
              <w:snapToGrid/>
              <w:spacing w:beforeAutospacing="0" w:after="0" w:afterAutospacing="0" w:line="240" w:lineRule="auto"/>
              <w:ind w:left="0" w:right="0" w:rightChars="0"/>
              <w:jc w:val="both"/>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t>Taxa se achită anual în două tranșe egale: -31 martie și 30 septembrie.</w:t>
            </w:r>
          </w:p>
        </w:tc>
      </w:tr>
      <w:tr w14:paraId="0DCF0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5" w:type="dxa"/>
            <w:vMerge w:val="continue"/>
          </w:tcPr>
          <w:p w14:paraId="1F8E826B">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center"/>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pPr>
          </w:p>
        </w:tc>
        <w:tc>
          <w:tcPr>
            <w:tcW w:w="3224" w:type="dxa"/>
          </w:tcPr>
          <w:p w14:paraId="546C3354">
            <w:pPr>
              <w:pStyle w:val="23"/>
              <w:keepNext w:val="0"/>
              <w:keepLines w:val="0"/>
              <w:pageBreakBefore w:val="0"/>
              <w:widowControl/>
              <w:numPr>
                <w:ilvl w:val="0"/>
                <w:numId w:val="0"/>
              </w:numPr>
              <w:suppressLineNumbers w:val="0"/>
              <w:kinsoku/>
              <w:wordWrap/>
              <w:overflowPunct/>
              <w:topLinePunct w:val="0"/>
              <w:bidi w:val="0"/>
              <w:snapToGrid/>
              <w:spacing w:beforeAutospacing="0" w:after="0" w:afterAutospacing="0" w:line="240" w:lineRule="auto"/>
              <w:ind w:left="0" w:right="0" w:rightChars="0"/>
              <w:jc w:val="both"/>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t xml:space="preserve">Pentru persoane fizice </w:t>
            </w:r>
          </w:p>
        </w:tc>
        <w:tc>
          <w:tcPr>
            <w:tcW w:w="4669" w:type="dxa"/>
            <w:gridSpan w:val="2"/>
          </w:tcPr>
          <w:p w14:paraId="6E049ECC">
            <w:pPr>
              <w:pStyle w:val="23"/>
              <w:keepNext w:val="0"/>
              <w:keepLines w:val="0"/>
              <w:pageBreakBefore w:val="0"/>
              <w:widowControl/>
              <w:numPr>
                <w:ilvl w:val="0"/>
                <w:numId w:val="0"/>
              </w:numPr>
              <w:suppressLineNumbers w:val="0"/>
              <w:kinsoku/>
              <w:wordWrap/>
              <w:overflowPunct/>
              <w:topLinePunct w:val="0"/>
              <w:bidi w:val="0"/>
              <w:snapToGrid/>
              <w:spacing w:beforeAutospacing="0" w:after="0" w:afterAutospacing="0" w:line="240" w:lineRule="auto"/>
              <w:ind w:left="0" w:right="0" w:rightChars="0"/>
              <w:jc w:val="both"/>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t>20 lei pe an - Pentru locuința de domiciliu+anexe+bunuri;</w:t>
            </w:r>
          </w:p>
        </w:tc>
      </w:tr>
      <w:tr w14:paraId="51518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2025" w:type="dxa"/>
            <w:vMerge w:val="continue"/>
          </w:tcPr>
          <w:p w14:paraId="78145264">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center"/>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pPr>
          </w:p>
        </w:tc>
        <w:tc>
          <w:tcPr>
            <w:tcW w:w="3224" w:type="dxa"/>
          </w:tcPr>
          <w:p w14:paraId="10A927F2">
            <w:pPr>
              <w:pStyle w:val="23"/>
              <w:keepNext w:val="0"/>
              <w:keepLines w:val="0"/>
              <w:pageBreakBefore w:val="0"/>
              <w:widowControl/>
              <w:numPr>
                <w:ilvl w:val="0"/>
                <w:numId w:val="0"/>
              </w:numPr>
              <w:suppressLineNumbers w:val="0"/>
              <w:kinsoku/>
              <w:wordWrap/>
              <w:overflowPunct/>
              <w:topLinePunct w:val="0"/>
              <w:bidi w:val="0"/>
              <w:snapToGrid/>
              <w:spacing w:beforeAutospacing="0" w:after="0" w:afterAutospacing="0" w:line="240" w:lineRule="auto"/>
              <w:ind w:left="0" w:right="0" w:rightChars="0"/>
              <w:jc w:val="both"/>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t>Pentru persoane jurice</w:t>
            </w:r>
          </w:p>
          <w:p w14:paraId="12C3642A">
            <w:pPr>
              <w:pStyle w:val="23"/>
              <w:keepNext w:val="0"/>
              <w:keepLines w:val="0"/>
              <w:pageBreakBefore w:val="0"/>
              <w:widowControl/>
              <w:numPr>
                <w:ilvl w:val="0"/>
                <w:numId w:val="0"/>
              </w:numPr>
              <w:suppressLineNumbers w:val="0"/>
              <w:kinsoku/>
              <w:wordWrap/>
              <w:overflowPunct/>
              <w:topLinePunct w:val="0"/>
              <w:bidi w:val="0"/>
              <w:snapToGrid/>
              <w:spacing w:beforeAutospacing="0" w:after="0" w:afterAutospacing="0" w:line="240" w:lineRule="auto"/>
              <w:ind w:left="0" w:right="0" w:rightChars="0"/>
              <w:jc w:val="cente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p>
        </w:tc>
        <w:tc>
          <w:tcPr>
            <w:tcW w:w="4669" w:type="dxa"/>
            <w:gridSpan w:val="2"/>
          </w:tcPr>
          <w:p w14:paraId="1238F55D">
            <w:pPr>
              <w:pStyle w:val="23"/>
              <w:keepNext w:val="0"/>
              <w:keepLines w:val="0"/>
              <w:pageBreakBefore w:val="0"/>
              <w:widowControl/>
              <w:numPr>
                <w:ilvl w:val="0"/>
                <w:numId w:val="0"/>
              </w:numPr>
              <w:suppressLineNumbers w:val="0"/>
              <w:kinsoku/>
              <w:wordWrap/>
              <w:overflowPunct/>
              <w:topLinePunct w:val="0"/>
              <w:bidi w:val="0"/>
              <w:snapToGrid/>
              <w:spacing w:beforeAutospacing="0" w:after="0" w:afterAutospacing="0" w:line="240" w:lineRule="auto"/>
              <w:ind w:left="0" w:right="0" w:rightChars="0"/>
              <w:jc w:val="both"/>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t>30 lei/an -pentru clădirea unde are sediu+ puncte  de lucru +anexe+bunuri</w:t>
            </w:r>
          </w:p>
        </w:tc>
      </w:tr>
      <w:tr w14:paraId="19CEA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2025" w:type="dxa"/>
            <w:vMerge w:val="restart"/>
          </w:tcPr>
          <w:p w14:paraId="78DAB9CE">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center"/>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pPr>
            <w:r>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t>Art.14 Legea 241/2006....</w:t>
            </w:r>
          </w:p>
          <w:p w14:paraId="7825AD62">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center"/>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pPr>
            <w:r>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t>*</w:t>
            </w:r>
          </w:p>
        </w:tc>
        <w:tc>
          <w:tcPr>
            <w:tcW w:w="3224" w:type="dxa"/>
          </w:tcPr>
          <w:p w14:paraId="1EA40F75">
            <w:pPr>
              <w:pStyle w:val="23"/>
              <w:keepNext w:val="0"/>
              <w:keepLines w:val="0"/>
              <w:pageBreakBefore w:val="0"/>
              <w:widowControl/>
              <w:numPr>
                <w:ilvl w:val="0"/>
                <w:numId w:val="0"/>
              </w:numPr>
              <w:suppressLineNumbers w:val="0"/>
              <w:kinsoku/>
              <w:wordWrap/>
              <w:overflowPunct/>
              <w:topLinePunct w:val="0"/>
              <w:bidi w:val="0"/>
              <w:snapToGrid/>
              <w:spacing w:beforeAutospacing="0" w:after="0" w:afterAutospacing="0" w:line="240" w:lineRule="auto"/>
              <w:ind w:left="0" w:right="0" w:rightChars="0"/>
              <w:jc w:val="cente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t>Taxe speciale pentru serviciul de apă și canalizare:</w:t>
            </w:r>
          </w:p>
        </w:tc>
        <w:tc>
          <w:tcPr>
            <w:tcW w:w="4669" w:type="dxa"/>
            <w:gridSpan w:val="2"/>
          </w:tcPr>
          <w:p w14:paraId="48F2AC13">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left"/>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t>Aprobat pentru 2026</w:t>
            </w:r>
          </w:p>
        </w:tc>
      </w:tr>
      <w:tr w14:paraId="6D756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5" w:type="dxa"/>
            <w:vMerge w:val="continue"/>
          </w:tcPr>
          <w:p w14:paraId="4CE0BF34">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center"/>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pPr>
          </w:p>
        </w:tc>
        <w:tc>
          <w:tcPr>
            <w:tcW w:w="3224" w:type="dxa"/>
          </w:tcPr>
          <w:p w14:paraId="40383B12">
            <w:pPr>
              <w:pStyle w:val="23"/>
              <w:keepNext w:val="0"/>
              <w:keepLines w:val="0"/>
              <w:pageBreakBefore w:val="0"/>
              <w:widowControl/>
              <w:numPr>
                <w:ilvl w:val="0"/>
                <w:numId w:val="0"/>
              </w:numPr>
              <w:suppressLineNumbers w:val="0"/>
              <w:kinsoku/>
              <w:wordWrap/>
              <w:overflowPunct/>
              <w:topLinePunct w:val="0"/>
              <w:bidi w:val="0"/>
              <w:snapToGrid/>
              <w:spacing w:beforeAutospacing="0" w:after="0" w:afterAutospacing="0" w:line="240" w:lineRule="auto"/>
              <w:ind w:left="0" w:right="0" w:rightChars="0"/>
              <w:jc w:val="left"/>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t>Taxă pentru furnizarea apei potabile în sisitem contorizat, pe bază de autocitire</w:t>
            </w:r>
          </w:p>
        </w:tc>
        <w:tc>
          <w:tcPr>
            <w:tcW w:w="4669" w:type="dxa"/>
            <w:gridSpan w:val="2"/>
          </w:tcPr>
          <w:p w14:paraId="3803DA44">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left"/>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p>
          <w:p w14:paraId="03903AE2">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left"/>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t>3 lei/mc</w:t>
            </w:r>
          </w:p>
        </w:tc>
      </w:tr>
      <w:tr w14:paraId="6E75C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5" w:type="dxa"/>
            <w:vMerge w:val="continue"/>
          </w:tcPr>
          <w:p w14:paraId="6846BD8C">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center"/>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pPr>
          </w:p>
        </w:tc>
        <w:tc>
          <w:tcPr>
            <w:tcW w:w="3224" w:type="dxa"/>
          </w:tcPr>
          <w:p w14:paraId="06CF7980">
            <w:pPr>
              <w:pStyle w:val="23"/>
              <w:keepNext w:val="0"/>
              <w:keepLines w:val="0"/>
              <w:pageBreakBefore w:val="0"/>
              <w:widowControl/>
              <w:numPr>
                <w:ilvl w:val="0"/>
                <w:numId w:val="0"/>
              </w:numPr>
              <w:suppressLineNumbers w:val="0"/>
              <w:kinsoku/>
              <w:wordWrap/>
              <w:overflowPunct/>
              <w:topLinePunct w:val="0"/>
              <w:bidi w:val="0"/>
              <w:snapToGrid/>
              <w:spacing w:beforeAutospacing="0" w:after="0" w:afterAutospacing="0" w:line="240" w:lineRule="auto"/>
              <w:ind w:left="0" w:right="0" w:rightChars="0"/>
              <w:jc w:val="left"/>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t>Taxă pentru rebranșare , după debranșarea  pentru neplata consumului de apă</w:t>
            </w:r>
          </w:p>
        </w:tc>
        <w:tc>
          <w:tcPr>
            <w:tcW w:w="4669" w:type="dxa"/>
            <w:gridSpan w:val="2"/>
          </w:tcPr>
          <w:p w14:paraId="5D1CFCAF">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left"/>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t>200 lei /rebranșare</w:t>
            </w:r>
          </w:p>
          <w:p w14:paraId="7BB7350E">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left"/>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p>
        </w:tc>
      </w:tr>
      <w:tr w14:paraId="0626B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5" w:type="dxa"/>
            <w:vMerge w:val="continue"/>
          </w:tcPr>
          <w:p w14:paraId="18357FF8">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center"/>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pPr>
          </w:p>
        </w:tc>
        <w:tc>
          <w:tcPr>
            <w:tcW w:w="3224" w:type="dxa"/>
          </w:tcPr>
          <w:p w14:paraId="2985AA8B">
            <w:pPr>
              <w:pStyle w:val="23"/>
              <w:keepNext w:val="0"/>
              <w:keepLines w:val="0"/>
              <w:pageBreakBefore w:val="0"/>
              <w:widowControl/>
              <w:numPr>
                <w:ilvl w:val="0"/>
                <w:numId w:val="0"/>
              </w:numPr>
              <w:suppressLineNumbers w:val="0"/>
              <w:kinsoku/>
              <w:wordWrap/>
              <w:overflowPunct/>
              <w:topLinePunct w:val="0"/>
              <w:bidi w:val="0"/>
              <w:snapToGrid/>
              <w:spacing w:beforeAutospacing="0" w:after="0" w:afterAutospacing="0" w:line="240" w:lineRule="auto"/>
              <w:ind w:left="0" w:right="0" w:rightChars="0"/>
              <w:jc w:val="left"/>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t xml:space="preserve">Taxă pentru  branșarea la rețeaua publică de canalizare </w:t>
            </w:r>
          </w:p>
        </w:tc>
        <w:tc>
          <w:tcPr>
            <w:tcW w:w="4669" w:type="dxa"/>
            <w:gridSpan w:val="2"/>
          </w:tcPr>
          <w:p w14:paraId="42BC4C94">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left"/>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t>150 lei</w:t>
            </w:r>
          </w:p>
          <w:p w14:paraId="280D2FCF">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left"/>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t>/branșament</w:t>
            </w:r>
          </w:p>
        </w:tc>
      </w:tr>
      <w:tr w14:paraId="10409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2025" w:type="dxa"/>
            <w:vMerge w:val="continue"/>
          </w:tcPr>
          <w:p w14:paraId="3DF9F39D">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center"/>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pPr>
          </w:p>
        </w:tc>
        <w:tc>
          <w:tcPr>
            <w:tcW w:w="3224" w:type="dxa"/>
          </w:tcPr>
          <w:p w14:paraId="25DA862B">
            <w:pPr>
              <w:pStyle w:val="23"/>
              <w:keepNext w:val="0"/>
              <w:keepLines w:val="0"/>
              <w:pageBreakBefore w:val="0"/>
              <w:widowControl/>
              <w:numPr>
                <w:ilvl w:val="0"/>
                <w:numId w:val="0"/>
              </w:numPr>
              <w:suppressLineNumbers w:val="0"/>
              <w:kinsoku/>
              <w:wordWrap/>
              <w:overflowPunct/>
              <w:topLinePunct w:val="0"/>
              <w:bidi w:val="0"/>
              <w:snapToGrid/>
              <w:spacing w:beforeAutospacing="0" w:after="0" w:afterAutospacing="0" w:line="240" w:lineRule="auto"/>
              <w:ind w:left="0" w:right="0" w:rightChars="0"/>
              <w:jc w:val="left"/>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t>Taxă pentru furnizarea serviciului de canalizare și epurare a apelor menajere</w:t>
            </w:r>
          </w:p>
        </w:tc>
        <w:tc>
          <w:tcPr>
            <w:tcW w:w="4669" w:type="dxa"/>
            <w:gridSpan w:val="2"/>
          </w:tcPr>
          <w:p w14:paraId="18DA333A">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left"/>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t>2 lei 1/mc</w:t>
            </w:r>
          </w:p>
        </w:tc>
      </w:tr>
      <w:tr w14:paraId="1444D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8" w:type="dxa"/>
            <w:gridSpan w:val="4"/>
          </w:tcPr>
          <w:p w14:paraId="13072551">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both"/>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pPr>
          </w:p>
          <w:p w14:paraId="20B5DA1F">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both"/>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pPr>
            <w:r>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t xml:space="preserve">*NOTĂ </w:t>
            </w:r>
          </w:p>
          <w:p w14:paraId="0DB00158">
            <w:pPr>
              <w:keepNext w:val="0"/>
              <w:keepLines w:val="0"/>
              <w:pageBreakBefore w:val="0"/>
              <w:widowControl w:val="0"/>
              <w:kinsoku/>
              <w:wordWrap/>
              <w:overflowPunct/>
              <w:topLinePunct w:val="0"/>
              <w:bidi w:val="0"/>
              <w:snapToGrid/>
              <w:spacing w:after="0" w:line="240" w:lineRule="auto"/>
              <w:ind w:left="0" w:right="0" w:firstLine="720"/>
              <w:jc w:val="both"/>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cs="Arial" w:asciiTheme="minorAscii" w:hAnsiTheme="minorAscii"/>
                <w:b w:val="0"/>
                <w:bCs w:val="0"/>
                <w:strike w:val="0"/>
                <w:dstrike w:val="0"/>
                <w:color w:val="000000" w:themeColor="text1"/>
                <w:sz w:val="20"/>
                <w:szCs w:val="20"/>
                <w14:textFill>
                  <w14:solidFill>
                    <w14:schemeClr w14:val="tx1"/>
                  </w14:solidFill>
                </w14:textFill>
              </w:rPr>
              <w:t>(2) Primăria comunei Bucoșnița are dreptul să desfiinţeze branşamentele sau racordurile realizate fără obţinerea avizelor legale şi să sesizeze organele sau instituţiile competente în cazurile de consum fraudulos sau de distrugeri ori degradări intenţionate ale componentelor sistemului public de alimentare cu apă.</w:t>
            </w:r>
          </w:p>
          <w:p w14:paraId="49CBA6DC">
            <w:pPr>
              <w:keepNext w:val="0"/>
              <w:keepLines w:val="0"/>
              <w:pageBreakBefore w:val="0"/>
              <w:widowControl w:val="0"/>
              <w:kinsoku/>
              <w:wordWrap/>
              <w:overflowPunct/>
              <w:topLinePunct w:val="0"/>
              <w:bidi w:val="0"/>
              <w:snapToGrid/>
              <w:spacing w:after="0" w:line="240" w:lineRule="auto"/>
              <w:ind w:left="0" w:right="0" w:firstLine="720"/>
              <w:jc w:val="both"/>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cs="Arial" w:asciiTheme="minorAscii" w:hAnsiTheme="minorAscii"/>
                <w:b w:val="0"/>
                <w:bCs w:val="0"/>
                <w:strike w:val="0"/>
                <w:dstrike w:val="0"/>
                <w:color w:val="000000" w:themeColor="text1"/>
                <w:sz w:val="20"/>
                <w:szCs w:val="20"/>
                <w14:textFill>
                  <w14:solidFill>
                    <w14:schemeClr w14:val="tx1"/>
                  </w14:solidFill>
                </w14:textFill>
              </w:rPr>
              <w:t>(3) Beneficiarii serviciului de apă potabilă, care sunt racordaţi la reţeaua publică de distribuţie a apei vor proceda, lunar, până în data de 25 a fiecărei luni, la citirea indexului aparatelor de contorizare ale consumului de apă, iar rezultatul citirii îl vor transmite Primăriei comunei Bucoșnița, în vederea stabilirii obligaţiilor de plată ale acestora faţă de bugetul local.</w:t>
            </w:r>
          </w:p>
          <w:p w14:paraId="7D7D11F8">
            <w:pPr>
              <w:keepNext w:val="0"/>
              <w:keepLines w:val="0"/>
              <w:pageBreakBefore w:val="0"/>
              <w:widowControl w:val="0"/>
              <w:kinsoku/>
              <w:wordWrap/>
              <w:overflowPunct/>
              <w:topLinePunct w:val="0"/>
              <w:bidi w:val="0"/>
              <w:snapToGrid/>
              <w:spacing w:after="0" w:line="240" w:lineRule="auto"/>
              <w:ind w:left="0" w:right="0" w:firstLine="720"/>
              <w:jc w:val="both"/>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14:textFill>
                  <w14:solidFill>
                    <w14:schemeClr w14:val="tx1"/>
                  </w14:solidFill>
                </w14:textFill>
              </w:rPr>
              <w:t>(4) Primăria comunei Bucoșnița are dreptul să verifice conformitatea datelor furnizate de beneficiarii serviciului de apă potabilă, rezultate din autocitire, cu indexului aparatelor de contorizare a consumului pe care aceştia le deţin.</w:t>
            </w:r>
          </w:p>
        </w:tc>
      </w:tr>
      <w:tr w14:paraId="51485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8" w:type="dxa"/>
            <w:gridSpan w:val="4"/>
          </w:tcPr>
          <w:p w14:paraId="2BB25C1E">
            <w:pPr>
              <w:keepNext w:val="0"/>
              <w:keepLines w:val="0"/>
              <w:pageBreakBefore w:val="0"/>
              <w:widowControl w:val="0"/>
              <w:kinsoku/>
              <w:wordWrap/>
              <w:overflowPunct/>
              <w:topLinePunct w:val="0"/>
              <w:bidi w:val="0"/>
              <w:snapToGrid/>
              <w:spacing w:after="0" w:line="240" w:lineRule="auto"/>
              <w:ind w:left="0" w:right="0"/>
              <w:jc w:val="both"/>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14:textFill>
                  <w14:solidFill>
                    <w14:schemeClr w14:val="tx1"/>
                  </w14:solidFill>
                </w14:textFill>
              </w:rPr>
              <w:t>Taxele pentru utilizarea păşunilor</w:t>
            </w: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 xml:space="preserve"> pentru anul  2026</w:t>
            </w:r>
          </w:p>
        </w:tc>
      </w:tr>
      <w:tr w14:paraId="45F76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trPr>
        <w:tc>
          <w:tcPr>
            <w:tcW w:w="9918" w:type="dxa"/>
            <w:gridSpan w:val="4"/>
          </w:tcPr>
          <w:p w14:paraId="6467F32D">
            <w:pPr>
              <w:pStyle w:val="72"/>
              <w:keepNext w:val="0"/>
              <w:keepLines w:val="0"/>
              <w:pageBreakBefore w:val="0"/>
              <w:widowControl w:val="0"/>
              <w:numPr>
                <w:ilvl w:val="0"/>
                <w:numId w:val="6"/>
              </w:numPr>
              <w:kinsoku/>
              <w:wordWrap/>
              <w:overflowPunct/>
              <w:topLinePunct w:val="0"/>
              <w:autoSpaceDE/>
              <w:autoSpaceDN/>
              <w:bidi w:val="0"/>
              <w:adjustRightInd/>
              <w:snapToGrid/>
              <w:spacing w:after="0" w:line="240" w:lineRule="auto"/>
              <w:ind w:left="0" w:right="0"/>
              <w:jc w:val="both"/>
              <w:textAlignment w:val="auto"/>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 xml:space="preserve">*NOTĂ * </w:t>
            </w:r>
            <w:r>
              <w:rPr>
                <w:rFonts w:hint="default" w:cs="Arial" w:asciiTheme="minorAscii" w:hAnsiTheme="minorAscii"/>
                <w:b w:val="0"/>
                <w:bCs w:val="0"/>
                <w:strike w:val="0"/>
                <w:dstrike w:val="0"/>
                <w:color w:val="000000" w:themeColor="text1"/>
                <w:sz w:val="20"/>
                <w:szCs w:val="20"/>
                <w14:textFill>
                  <w14:solidFill>
                    <w14:schemeClr w14:val="tx1"/>
                  </w14:solidFill>
                </w14:textFill>
              </w:rPr>
              <w:t>) Pășunatul se efectuează numai în conformitate cu prevederile din amenajamentul pastoral și numai pe amplasamentul aprobat în baza contractului de închiriere/concesiune.</w:t>
            </w: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w:t>
            </w:r>
            <w:r>
              <w:rPr>
                <w:rFonts w:hint="default" w:cs="Arial" w:asciiTheme="minorAscii" w:hAnsiTheme="minorAscii"/>
                <w:b w:val="0"/>
                <w:bCs w:val="0"/>
                <w:strike w:val="0"/>
                <w:dstrike w:val="0"/>
                <w:color w:val="000000" w:themeColor="text1"/>
                <w:sz w:val="20"/>
                <w:szCs w:val="20"/>
                <w14:textFill>
                  <w14:solidFill>
                    <w14:schemeClr w14:val="tx1"/>
                  </w14:solidFill>
                </w14:textFill>
              </w:rPr>
              <w:t>) Amplasamentul parcelelor ce vor fi date în folosință fermierilor, în vederea pășunării animalelor, pentru fiecare contract de închiriere/concesiune în parte, va fi stabilit de către primarul comunei Bucoșnița împreună cu aparatul de specialitate al acestuia sau cu alți specialiști cooptați.</w:t>
            </w: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w:t>
            </w:r>
            <w:r>
              <w:rPr>
                <w:rFonts w:hint="default" w:cs="Arial" w:asciiTheme="minorAscii" w:hAnsiTheme="minorAscii"/>
                <w:b w:val="0"/>
                <w:bCs w:val="0"/>
                <w:strike w:val="0"/>
                <w:dstrike w:val="0"/>
                <w:color w:val="000000" w:themeColor="text1"/>
                <w:sz w:val="20"/>
                <w:szCs w:val="20"/>
                <w14:textFill>
                  <w14:solidFill>
                    <w14:schemeClr w14:val="tx1"/>
                  </w14:solidFill>
                </w14:textFill>
              </w:rPr>
              <w:t>) Este interzis pășunatul animalelor în afara amplasamentului stabilit prin contractual de închiriere/concesiune.</w:t>
            </w: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w:t>
            </w:r>
            <w:r>
              <w:rPr>
                <w:rFonts w:hint="default" w:cs="Arial" w:asciiTheme="minorAscii" w:hAnsiTheme="minorAscii"/>
                <w:b w:val="0"/>
                <w:bCs w:val="0"/>
                <w:strike w:val="0"/>
                <w:dstrike w:val="0"/>
                <w:color w:val="000000" w:themeColor="text1"/>
                <w:sz w:val="20"/>
                <w:szCs w:val="20"/>
                <w14:textFill>
                  <w14:solidFill>
                    <w14:schemeClr w14:val="tx1"/>
                  </w14:solidFill>
                </w14:textFill>
              </w:rPr>
              <w:t>) Perioadele de păşunat pe suprafețele de pășune atri</w:t>
            </w: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b</w:t>
            </w:r>
            <w:r>
              <w:rPr>
                <w:rFonts w:hint="default" w:cs="Arial" w:asciiTheme="minorAscii" w:hAnsiTheme="minorAscii"/>
                <w:b w:val="0"/>
                <w:bCs w:val="0"/>
                <w:strike w:val="0"/>
                <w:dstrike w:val="0"/>
                <w:color w:val="000000" w:themeColor="text1"/>
                <w:sz w:val="20"/>
                <w:szCs w:val="20"/>
                <w14:textFill>
                  <w14:solidFill>
                    <w14:schemeClr w14:val="tx1"/>
                  </w14:solidFill>
                </w14:textFill>
              </w:rPr>
              <w:t>uite deținătorilor de animale în baza contractelor de închiriere/concesiune este cuprinsă între 1 mai şi 1 noiembrie pentru bovine şi între 15 aprilie şi 1 noiembrie pentru ovine, din durata fiecărui an.</w:t>
            </w: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 xml:space="preserve"> </w:t>
            </w:r>
            <w:r>
              <w:rPr>
                <w:rFonts w:hint="default" w:cs="Arial" w:asciiTheme="minorAscii" w:hAnsiTheme="minorAscii"/>
                <w:b w:val="0"/>
                <w:bCs w:val="0"/>
                <w:strike w:val="0"/>
                <w:dstrike w:val="0"/>
                <w:color w:val="000000" w:themeColor="text1"/>
                <w:sz w:val="20"/>
                <w:szCs w:val="20"/>
                <w14:textFill>
                  <w14:solidFill>
                    <w14:schemeClr w14:val="tx1"/>
                  </w14:solidFill>
                </w14:textFill>
              </w:rPr>
              <w:t xml:space="preserve"> Aplicarea sanctiunilor prevazute la alin.</w:t>
            </w: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de mai sus</w:t>
            </w:r>
            <w:r>
              <w:rPr>
                <w:rFonts w:hint="default" w:cs="Arial" w:asciiTheme="minorAscii" w:hAnsiTheme="minorAscii"/>
                <w:b w:val="0"/>
                <w:bCs w:val="0"/>
                <w:strike w:val="0"/>
                <w:dstrike w:val="0"/>
                <w:color w:val="000000" w:themeColor="text1"/>
                <w:sz w:val="20"/>
                <w:szCs w:val="20"/>
                <w14:textFill>
                  <w14:solidFill>
                    <w14:schemeClr w14:val="tx1"/>
                  </w14:solidFill>
                </w14:textFill>
              </w:rPr>
              <w:t xml:space="preserve"> se face de catre personalul din cadrul Primăriei comunei Bucoșnița, numit prin dispoziția primarului, precum și de organele de politie.</w:t>
            </w:r>
          </w:p>
          <w:p w14:paraId="08EE1258">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cente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p>
        </w:tc>
      </w:tr>
      <w:tr w14:paraId="74495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5" w:type="dxa"/>
            <w:vMerge w:val="restart"/>
          </w:tcPr>
          <w:p w14:paraId="58F5E51B">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center"/>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pPr>
            <w:r>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t>Art.23 din O.M.A.I</w:t>
            </w:r>
          </w:p>
          <w:p w14:paraId="5EE1056E">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cente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t>150/2006...</w:t>
            </w:r>
          </w:p>
          <w:p w14:paraId="0C1E3168">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center"/>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pPr>
          </w:p>
          <w:p w14:paraId="5AD60583">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center"/>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pPr>
          </w:p>
          <w:p w14:paraId="4C69EC4E">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center"/>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pPr>
          </w:p>
          <w:p w14:paraId="746D1C27">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center"/>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pPr>
          </w:p>
        </w:tc>
        <w:tc>
          <w:tcPr>
            <w:tcW w:w="7893" w:type="dxa"/>
            <w:gridSpan w:val="3"/>
          </w:tcPr>
          <w:p w14:paraId="04F62015">
            <w:pPr>
              <w:pStyle w:val="23"/>
              <w:keepNext w:val="0"/>
              <w:keepLines w:val="0"/>
              <w:pageBreakBefore w:val="0"/>
              <w:widowControl/>
              <w:numPr>
                <w:ilvl w:val="0"/>
                <w:numId w:val="0"/>
              </w:numPr>
              <w:suppressLineNumbers w:val="0"/>
              <w:kinsoku/>
              <w:wordWrap/>
              <w:overflowPunct/>
              <w:topLinePunct w:val="0"/>
              <w:bidi w:val="0"/>
              <w:snapToGrid/>
              <w:spacing w:beforeAutospacing="0" w:after="0" w:afterAutospacing="0" w:line="240" w:lineRule="auto"/>
              <w:ind w:left="0" w:right="0" w:rightChars="0"/>
              <w:jc w:val="cente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p>
          <w:p w14:paraId="2D60C485">
            <w:pPr>
              <w:pStyle w:val="23"/>
              <w:keepNext w:val="0"/>
              <w:keepLines w:val="0"/>
              <w:pageBreakBefore w:val="0"/>
              <w:widowControl/>
              <w:numPr>
                <w:ilvl w:val="0"/>
                <w:numId w:val="0"/>
              </w:numPr>
              <w:suppressLineNumbers w:val="0"/>
              <w:kinsoku/>
              <w:wordWrap/>
              <w:overflowPunct/>
              <w:topLinePunct w:val="0"/>
              <w:bidi w:val="0"/>
              <w:snapToGrid/>
              <w:spacing w:beforeAutospacing="0" w:after="0" w:afterAutospacing="0" w:line="240" w:lineRule="auto"/>
              <w:ind w:left="0" w:right="0" w:rightChars="0"/>
              <w:jc w:val="cente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u w:val="single"/>
                <w:lang w:val="ro-RO"/>
                <w14:textFill>
                  <w14:solidFill>
                    <w14:schemeClr w14:val="tx1"/>
                  </w14:solidFill>
                </w14:textFill>
              </w:rPr>
              <w:t xml:space="preserve"> </w:t>
            </w:r>
            <w: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t>Taxe speciale  2026</w:t>
            </w:r>
          </w:p>
        </w:tc>
      </w:tr>
      <w:tr w14:paraId="5CC5F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5" w:type="dxa"/>
            <w:vMerge w:val="continue"/>
          </w:tcPr>
          <w:p w14:paraId="058A4824">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cente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p>
        </w:tc>
        <w:tc>
          <w:tcPr>
            <w:tcW w:w="6266" w:type="dxa"/>
            <w:gridSpan w:val="2"/>
            <w:vAlign w:val="top"/>
          </w:tcPr>
          <w:p w14:paraId="06A19F62">
            <w:pPr>
              <w:pStyle w:val="23"/>
              <w:keepNext w:val="0"/>
              <w:keepLines w:val="0"/>
              <w:pageBreakBefore w:val="0"/>
              <w:widowControl/>
              <w:numPr>
                <w:ilvl w:val="0"/>
                <w:numId w:val="0"/>
              </w:numPr>
              <w:suppressLineNumbers w:val="0"/>
              <w:kinsoku/>
              <w:wordWrap/>
              <w:overflowPunct/>
              <w:topLinePunct w:val="0"/>
              <w:bidi w:val="0"/>
              <w:snapToGrid/>
              <w:spacing w:beforeAutospacing="0" w:after="0" w:afterAutospacing="0" w:line="240" w:lineRule="auto"/>
              <w:ind w:left="0" w:right="0" w:rightChars="0"/>
              <w:jc w:val="cente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t>Taxe speciale pentru recuperarea contravalorii certificatelor de înregistare</w:t>
            </w:r>
          </w:p>
        </w:tc>
        <w:tc>
          <w:tcPr>
            <w:tcW w:w="1627" w:type="dxa"/>
          </w:tcPr>
          <w:p w14:paraId="4581F417">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cente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p>
          <w:p w14:paraId="42CEDE79">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cente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t>15 lei</w:t>
            </w:r>
          </w:p>
        </w:tc>
      </w:tr>
      <w:tr w14:paraId="7056F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5" w:type="dxa"/>
            <w:vMerge w:val="continue"/>
          </w:tcPr>
          <w:p w14:paraId="085C8092">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center"/>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pPr>
          </w:p>
        </w:tc>
        <w:tc>
          <w:tcPr>
            <w:tcW w:w="6266" w:type="dxa"/>
            <w:gridSpan w:val="2"/>
          </w:tcPr>
          <w:p w14:paraId="306E69CD">
            <w:pPr>
              <w:pStyle w:val="23"/>
              <w:keepNext w:val="0"/>
              <w:keepLines w:val="0"/>
              <w:pageBreakBefore w:val="0"/>
              <w:widowControl/>
              <w:numPr>
                <w:ilvl w:val="0"/>
                <w:numId w:val="0"/>
              </w:numPr>
              <w:suppressLineNumbers w:val="0"/>
              <w:kinsoku/>
              <w:wordWrap/>
              <w:overflowPunct/>
              <w:topLinePunct w:val="0"/>
              <w:bidi w:val="0"/>
              <w:snapToGrid/>
              <w:spacing w:beforeAutospacing="0" w:after="0" w:afterAutospacing="0" w:line="240" w:lineRule="auto"/>
              <w:ind w:left="0" w:right="0" w:rightChars="0"/>
              <w:jc w:val="cente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t>Taxe speciale pentru recuperarea contravalorii plăcuțelor cu număr de întregistrare pentru mopede</w:t>
            </w:r>
          </w:p>
        </w:tc>
        <w:tc>
          <w:tcPr>
            <w:tcW w:w="1627" w:type="dxa"/>
          </w:tcPr>
          <w:p w14:paraId="08A5FDB1">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cente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p>
          <w:p w14:paraId="275C2E3D">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cente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t>25 lei</w:t>
            </w:r>
          </w:p>
        </w:tc>
      </w:tr>
      <w:tr w14:paraId="6FAA2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025" w:type="dxa"/>
            <w:vMerge w:val="continue"/>
          </w:tcPr>
          <w:p w14:paraId="440388E0">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center"/>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pPr>
          </w:p>
        </w:tc>
        <w:tc>
          <w:tcPr>
            <w:tcW w:w="6266" w:type="dxa"/>
            <w:gridSpan w:val="2"/>
          </w:tcPr>
          <w:p w14:paraId="0D23D372">
            <w:pPr>
              <w:pStyle w:val="23"/>
              <w:keepNext w:val="0"/>
              <w:keepLines w:val="0"/>
              <w:pageBreakBefore w:val="0"/>
              <w:widowControl/>
              <w:numPr>
                <w:ilvl w:val="0"/>
                <w:numId w:val="0"/>
              </w:numPr>
              <w:suppressLineNumbers w:val="0"/>
              <w:kinsoku/>
              <w:wordWrap/>
              <w:overflowPunct/>
              <w:topLinePunct w:val="0"/>
              <w:bidi w:val="0"/>
              <w:snapToGrid/>
              <w:spacing w:beforeAutospacing="0" w:after="0" w:afterAutospacing="0" w:line="240" w:lineRule="auto"/>
              <w:ind w:left="0" w:right="0" w:rightChars="0"/>
              <w:jc w:val="cente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t>Taxe speciale pentru recuperarea contravalorii plăcuțelor cu număr de întregistrare pentru autovehicule, remorci, utilaje, căruțe supuse înregistrării</w:t>
            </w:r>
          </w:p>
        </w:tc>
        <w:tc>
          <w:tcPr>
            <w:tcW w:w="1627" w:type="dxa"/>
          </w:tcPr>
          <w:p w14:paraId="763E2574">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cente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p>
          <w:p w14:paraId="1231A234">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cente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t>40 lei</w:t>
            </w:r>
          </w:p>
        </w:tc>
      </w:tr>
      <w:tr w14:paraId="5A143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2025" w:type="dxa"/>
          </w:tcPr>
          <w:p w14:paraId="678AA816">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center"/>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pPr>
            <w:r>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t>Art.363din OUG nr.57/2019 Cod Administrativ</w:t>
            </w:r>
          </w:p>
        </w:tc>
        <w:tc>
          <w:tcPr>
            <w:tcW w:w="7893" w:type="dxa"/>
            <w:gridSpan w:val="3"/>
          </w:tcPr>
          <w:p w14:paraId="2647BB1A">
            <w:pPr>
              <w:keepNext w:val="0"/>
              <w:keepLines w:val="0"/>
              <w:pageBreakBefore w:val="0"/>
              <w:widowControl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 xml:space="preserve">Tarifele minime de vânzare a terenurilor din proprietatea  privată  a comunei Bucoșnița si a satelor aparținătoare: </w:t>
            </w:r>
            <w: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t>2026</w:t>
            </w: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 xml:space="preserve">  </w:t>
            </w:r>
          </w:p>
          <w:p w14:paraId="0C320F1B">
            <w:pPr>
              <w:pStyle w:val="53"/>
              <w:keepNext w:val="0"/>
              <w:keepLines w:val="0"/>
              <w:pageBreakBefore w:val="0"/>
              <w:widowControl w:val="0"/>
              <w:numPr>
                <w:ilvl w:val="0"/>
                <w:numId w:val="0"/>
              </w:numPr>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p>
          <w:p w14:paraId="7F7894EA">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cente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p>
        </w:tc>
      </w:tr>
      <w:tr w14:paraId="41EA8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2025" w:type="dxa"/>
          </w:tcPr>
          <w:p w14:paraId="56AC0C37">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center"/>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pPr>
          </w:p>
        </w:tc>
        <w:tc>
          <w:tcPr>
            <w:tcW w:w="3224" w:type="dxa"/>
          </w:tcPr>
          <w:p w14:paraId="03813703">
            <w:pPr>
              <w:pStyle w:val="23"/>
              <w:keepNext w:val="0"/>
              <w:keepLines w:val="0"/>
              <w:pageBreakBefore w:val="0"/>
              <w:widowControl/>
              <w:numPr>
                <w:ilvl w:val="0"/>
                <w:numId w:val="0"/>
              </w:numPr>
              <w:suppressLineNumbers w:val="0"/>
              <w:kinsoku/>
              <w:wordWrap/>
              <w:overflowPunct/>
              <w:topLinePunct w:val="0"/>
              <w:bidi w:val="0"/>
              <w:snapToGrid/>
              <w:spacing w:beforeAutospacing="0" w:after="0" w:afterAutospacing="0" w:line="240" w:lineRule="auto"/>
              <w:ind w:left="0" w:right="0" w:rightChars="0"/>
              <w:jc w:val="both"/>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Până la 500 mp</w:t>
            </w:r>
          </w:p>
        </w:tc>
        <w:tc>
          <w:tcPr>
            <w:tcW w:w="4669" w:type="dxa"/>
            <w:gridSpan w:val="2"/>
          </w:tcPr>
          <w:p w14:paraId="0B66A135">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both"/>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t>25 lei mp</w:t>
            </w:r>
          </w:p>
        </w:tc>
      </w:tr>
      <w:tr w14:paraId="0FFBC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2025" w:type="dxa"/>
          </w:tcPr>
          <w:p w14:paraId="68897E81">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center"/>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pPr>
          </w:p>
        </w:tc>
        <w:tc>
          <w:tcPr>
            <w:tcW w:w="3224" w:type="dxa"/>
          </w:tcPr>
          <w:p w14:paraId="65074EE8">
            <w:pPr>
              <w:pStyle w:val="53"/>
              <w:keepNext w:val="0"/>
              <w:keepLines w:val="0"/>
              <w:pageBreakBefore w:val="0"/>
              <w:widowControl w:val="0"/>
              <w:numPr>
                <w:ilvl w:val="0"/>
                <w:numId w:val="0"/>
              </w:numPr>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501mp-1.000 mp</w:t>
            </w:r>
          </w:p>
        </w:tc>
        <w:tc>
          <w:tcPr>
            <w:tcW w:w="4669" w:type="dxa"/>
            <w:gridSpan w:val="2"/>
          </w:tcPr>
          <w:p w14:paraId="21B19552">
            <w:pPr>
              <w:pStyle w:val="53"/>
              <w:keepNext w:val="0"/>
              <w:keepLines w:val="0"/>
              <w:pageBreakBefore w:val="0"/>
              <w:widowControl w:val="0"/>
              <w:numPr>
                <w:ilvl w:val="0"/>
                <w:numId w:val="0"/>
              </w:numPr>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20 lei/mp</w:t>
            </w:r>
          </w:p>
        </w:tc>
      </w:tr>
      <w:tr w14:paraId="351C9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2025" w:type="dxa"/>
          </w:tcPr>
          <w:p w14:paraId="477298B1">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center"/>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pPr>
          </w:p>
        </w:tc>
        <w:tc>
          <w:tcPr>
            <w:tcW w:w="3224" w:type="dxa"/>
          </w:tcPr>
          <w:p w14:paraId="66A2EC94">
            <w:pPr>
              <w:pStyle w:val="53"/>
              <w:keepNext w:val="0"/>
              <w:keepLines w:val="0"/>
              <w:pageBreakBefore w:val="0"/>
              <w:widowControl w:val="0"/>
              <w:numPr>
                <w:ilvl w:val="0"/>
                <w:numId w:val="0"/>
              </w:numPr>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-1.001 mp- 2.000 mp</w:t>
            </w:r>
          </w:p>
        </w:tc>
        <w:tc>
          <w:tcPr>
            <w:tcW w:w="4669" w:type="dxa"/>
            <w:gridSpan w:val="2"/>
          </w:tcPr>
          <w:p w14:paraId="565A114B">
            <w:pPr>
              <w:pStyle w:val="53"/>
              <w:keepNext w:val="0"/>
              <w:keepLines w:val="0"/>
              <w:pageBreakBefore w:val="0"/>
              <w:widowControl w:val="0"/>
              <w:numPr>
                <w:ilvl w:val="0"/>
                <w:numId w:val="0"/>
              </w:numPr>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17,50 lei/mp</w:t>
            </w:r>
          </w:p>
        </w:tc>
      </w:tr>
      <w:tr w14:paraId="71C47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2025" w:type="dxa"/>
          </w:tcPr>
          <w:p w14:paraId="7F141D58">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center"/>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pPr>
          </w:p>
        </w:tc>
        <w:tc>
          <w:tcPr>
            <w:tcW w:w="3224" w:type="dxa"/>
          </w:tcPr>
          <w:p w14:paraId="393E7CDE">
            <w:pPr>
              <w:pStyle w:val="53"/>
              <w:keepNext w:val="0"/>
              <w:keepLines w:val="0"/>
              <w:pageBreakBefore w:val="0"/>
              <w:widowControl w:val="0"/>
              <w:numPr>
                <w:ilvl w:val="0"/>
                <w:numId w:val="0"/>
              </w:numPr>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-2.001 mp – 5.000 mp</w:t>
            </w:r>
          </w:p>
        </w:tc>
        <w:tc>
          <w:tcPr>
            <w:tcW w:w="4669" w:type="dxa"/>
            <w:gridSpan w:val="2"/>
          </w:tcPr>
          <w:p w14:paraId="61E58337">
            <w:pPr>
              <w:pStyle w:val="53"/>
              <w:keepNext w:val="0"/>
              <w:keepLines w:val="0"/>
              <w:pageBreakBefore w:val="0"/>
              <w:widowControl w:val="0"/>
              <w:numPr>
                <w:ilvl w:val="0"/>
                <w:numId w:val="0"/>
              </w:numPr>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15 lei/mp</w:t>
            </w:r>
          </w:p>
        </w:tc>
      </w:tr>
      <w:tr w14:paraId="63C1C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2025" w:type="dxa"/>
          </w:tcPr>
          <w:p w14:paraId="6961F602">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center"/>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pPr>
          </w:p>
        </w:tc>
        <w:tc>
          <w:tcPr>
            <w:tcW w:w="3224" w:type="dxa"/>
          </w:tcPr>
          <w:p w14:paraId="49630406">
            <w:pPr>
              <w:pStyle w:val="53"/>
              <w:keepNext w:val="0"/>
              <w:keepLines w:val="0"/>
              <w:pageBreakBefore w:val="0"/>
              <w:widowControl w:val="0"/>
              <w:numPr>
                <w:ilvl w:val="0"/>
                <w:numId w:val="0"/>
              </w:numPr>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 xml:space="preserve"> -5.001mp – 10.000 mp</w:t>
            </w:r>
          </w:p>
        </w:tc>
        <w:tc>
          <w:tcPr>
            <w:tcW w:w="4669" w:type="dxa"/>
            <w:gridSpan w:val="2"/>
          </w:tcPr>
          <w:p w14:paraId="2192209E">
            <w:pPr>
              <w:pStyle w:val="53"/>
              <w:keepNext w:val="0"/>
              <w:keepLines w:val="0"/>
              <w:pageBreakBefore w:val="0"/>
              <w:widowControl w:val="0"/>
              <w:numPr>
                <w:ilvl w:val="0"/>
                <w:numId w:val="0"/>
              </w:numPr>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10 lei/mp</w:t>
            </w:r>
          </w:p>
        </w:tc>
      </w:tr>
      <w:tr w14:paraId="0F09B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2025" w:type="dxa"/>
          </w:tcPr>
          <w:p w14:paraId="64204C97">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center"/>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pPr>
          </w:p>
        </w:tc>
        <w:tc>
          <w:tcPr>
            <w:tcW w:w="3224" w:type="dxa"/>
          </w:tcPr>
          <w:p w14:paraId="5EC02E64">
            <w:pPr>
              <w:pStyle w:val="53"/>
              <w:keepNext w:val="0"/>
              <w:keepLines w:val="0"/>
              <w:pageBreakBefore w:val="0"/>
              <w:widowControl w:val="0"/>
              <w:numPr>
                <w:ilvl w:val="0"/>
                <w:numId w:val="0"/>
              </w:numPr>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-1.0001 mp – 20.000 mp</w:t>
            </w:r>
          </w:p>
        </w:tc>
        <w:tc>
          <w:tcPr>
            <w:tcW w:w="4669" w:type="dxa"/>
            <w:gridSpan w:val="2"/>
          </w:tcPr>
          <w:p w14:paraId="4B3CD137">
            <w:pPr>
              <w:pStyle w:val="53"/>
              <w:keepNext w:val="0"/>
              <w:keepLines w:val="0"/>
              <w:pageBreakBefore w:val="0"/>
              <w:widowControl w:val="0"/>
              <w:numPr>
                <w:ilvl w:val="0"/>
                <w:numId w:val="0"/>
              </w:numPr>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7,50 lei/mp</w:t>
            </w:r>
          </w:p>
        </w:tc>
      </w:tr>
      <w:tr w14:paraId="5E919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2025" w:type="dxa"/>
          </w:tcPr>
          <w:p w14:paraId="171C804E">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center"/>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pPr>
          </w:p>
        </w:tc>
        <w:tc>
          <w:tcPr>
            <w:tcW w:w="3224" w:type="dxa"/>
          </w:tcPr>
          <w:p w14:paraId="26701F95">
            <w:pPr>
              <w:pStyle w:val="53"/>
              <w:keepNext w:val="0"/>
              <w:keepLines w:val="0"/>
              <w:pageBreakBefore w:val="0"/>
              <w:widowControl w:val="0"/>
              <w:numPr>
                <w:ilvl w:val="0"/>
                <w:numId w:val="0"/>
              </w:numPr>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-2.0001 mp- 30.000mp</w:t>
            </w:r>
          </w:p>
        </w:tc>
        <w:tc>
          <w:tcPr>
            <w:tcW w:w="4669" w:type="dxa"/>
            <w:gridSpan w:val="2"/>
          </w:tcPr>
          <w:p w14:paraId="6C362E12">
            <w:pPr>
              <w:pStyle w:val="53"/>
              <w:keepNext w:val="0"/>
              <w:keepLines w:val="0"/>
              <w:pageBreakBefore w:val="0"/>
              <w:widowControl w:val="0"/>
              <w:numPr>
                <w:ilvl w:val="0"/>
                <w:numId w:val="0"/>
              </w:numPr>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6  lei/mp</w:t>
            </w:r>
          </w:p>
        </w:tc>
      </w:tr>
      <w:tr w14:paraId="367C3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2025" w:type="dxa"/>
          </w:tcPr>
          <w:p w14:paraId="74E689D4">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center"/>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pPr>
          </w:p>
        </w:tc>
        <w:tc>
          <w:tcPr>
            <w:tcW w:w="3224" w:type="dxa"/>
          </w:tcPr>
          <w:p w14:paraId="2D428D86">
            <w:pPr>
              <w:pStyle w:val="53"/>
              <w:keepNext w:val="0"/>
              <w:keepLines w:val="0"/>
              <w:pageBreakBefore w:val="0"/>
              <w:widowControl w:val="0"/>
              <w:numPr>
                <w:ilvl w:val="0"/>
                <w:numId w:val="0"/>
              </w:numPr>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-30.001 mp – 40.000 mp</w:t>
            </w:r>
          </w:p>
        </w:tc>
        <w:tc>
          <w:tcPr>
            <w:tcW w:w="4669" w:type="dxa"/>
            <w:gridSpan w:val="2"/>
          </w:tcPr>
          <w:p w14:paraId="758B3911">
            <w:pPr>
              <w:pStyle w:val="53"/>
              <w:keepNext w:val="0"/>
              <w:keepLines w:val="0"/>
              <w:pageBreakBefore w:val="0"/>
              <w:widowControl w:val="0"/>
              <w:numPr>
                <w:ilvl w:val="0"/>
                <w:numId w:val="0"/>
              </w:numPr>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5 lei/mp</w:t>
            </w:r>
          </w:p>
        </w:tc>
      </w:tr>
      <w:tr w14:paraId="0C087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2025" w:type="dxa"/>
          </w:tcPr>
          <w:p w14:paraId="745E10B4">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center"/>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pPr>
          </w:p>
        </w:tc>
        <w:tc>
          <w:tcPr>
            <w:tcW w:w="3224" w:type="dxa"/>
          </w:tcPr>
          <w:p w14:paraId="394662A3">
            <w:pPr>
              <w:pStyle w:val="53"/>
              <w:keepNext w:val="0"/>
              <w:keepLines w:val="0"/>
              <w:pageBreakBefore w:val="0"/>
              <w:widowControl w:val="0"/>
              <w:numPr>
                <w:ilvl w:val="0"/>
                <w:numId w:val="0"/>
              </w:numPr>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-40.001 mp –50.000 mp</w:t>
            </w:r>
          </w:p>
        </w:tc>
        <w:tc>
          <w:tcPr>
            <w:tcW w:w="4669" w:type="dxa"/>
            <w:gridSpan w:val="2"/>
          </w:tcPr>
          <w:p w14:paraId="75D83A57">
            <w:pPr>
              <w:pStyle w:val="53"/>
              <w:keepNext w:val="0"/>
              <w:keepLines w:val="0"/>
              <w:pageBreakBefore w:val="0"/>
              <w:widowControl w:val="0"/>
              <w:numPr>
                <w:ilvl w:val="0"/>
                <w:numId w:val="0"/>
              </w:numPr>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4 lei/mp</w:t>
            </w:r>
          </w:p>
        </w:tc>
      </w:tr>
      <w:tr w14:paraId="6CB9F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2025" w:type="dxa"/>
          </w:tcPr>
          <w:p w14:paraId="024AF6A2">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center"/>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pPr>
          </w:p>
        </w:tc>
        <w:tc>
          <w:tcPr>
            <w:tcW w:w="3224" w:type="dxa"/>
          </w:tcPr>
          <w:p w14:paraId="7A39D882">
            <w:pPr>
              <w:pStyle w:val="53"/>
              <w:keepNext w:val="0"/>
              <w:keepLines w:val="0"/>
              <w:pageBreakBefore w:val="0"/>
              <w:widowControl w:val="0"/>
              <w:numPr>
                <w:ilvl w:val="0"/>
                <w:numId w:val="0"/>
              </w:numPr>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Peste 50.001 mp</w:t>
            </w:r>
          </w:p>
        </w:tc>
        <w:tc>
          <w:tcPr>
            <w:tcW w:w="4669" w:type="dxa"/>
            <w:gridSpan w:val="2"/>
          </w:tcPr>
          <w:p w14:paraId="13B2DBAB">
            <w:pPr>
              <w:pStyle w:val="53"/>
              <w:keepNext w:val="0"/>
              <w:keepLines w:val="0"/>
              <w:pageBreakBefore w:val="0"/>
              <w:widowControl w:val="0"/>
              <w:numPr>
                <w:ilvl w:val="0"/>
                <w:numId w:val="0"/>
              </w:numPr>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3 lei/mp</w:t>
            </w:r>
          </w:p>
        </w:tc>
      </w:tr>
      <w:tr w14:paraId="7DAEC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5" w:type="dxa"/>
          </w:tcPr>
          <w:p w14:paraId="632CA59B">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center"/>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pPr>
            <w:r>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t>Art.43 din Legea 51/2006...</w:t>
            </w:r>
          </w:p>
        </w:tc>
        <w:tc>
          <w:tcPr>
            <w:tcW w:w="7893" w:type="dxa"/>
            <w:gridSpan w:val="3"/>
          </w:tcPr>
          <w:p w14:paraId="27D7FDA1">
            <w:pPr>
              <w:pStyle w:val="23"/>
              <w:keepNext w:val="0"/>
              <w:keepLines w:val="0"/>
              <w:pageBreakBefore w:val="0"/>
              <w:widowControl/>
              <w:numPr>
                <w:ilvl w:val="0"/>
                <w:numId w:val="0"/>
              </w:numPr>
              <w:suppressLineNumbers w:val="0"/>
              <w:kinsoku/>
              <w:wordWrap/>
              <w:overflowPunct/>
              <w:topLinePunct w:val="0"/>
              <w:bidi w:val="0"/>
              <w:snapToGrid/>
              <w:spacing w:beforeAutospacing="0" w:after="0" w:afterAutospacing="0" w:line="240" w:lineRule="auto"/>
              <w:ind w:left="0" w:right="0" w:rightChars="0"/>
              <w:jc w:val="cente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p>
          <w:p w14:paraId="1EE45140">
            <w:pPr>
              <w:pStyle w:val="23"/>
              <w:keepNext w:val="0"/>
              <w:keepLines w:val="0"/>
              <w:pageBreakBefore w:val="0"/>
              <w:widowControl/>
              <w:suppressLineNumbers w:val="0"/>
              <w:kinsoku/>
              <w:wordWrap/>
              <w:overflowPunct/>
              <w:topLinePunct w:val="0"/>
              <w:bidi w:val="0"/>
              <w:snapToGrid/>
              <w:spacing w:beforeAutospacing="0" w:after="0" w:afterAutospacing="0" w:line="240" w:lineRule="auto"/>
              <w:ind w:left="0" w:right="0"/>
              <w:jc w:val="cente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t>TAXE ȘI DOMENII DE ACTIVITATE</w:t>
            </w:r>
          </w:p>
        </w:tc>
      </w:tr>
      <w:tr w14:paraId="2336D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2025" w:type="dxa"/>
            <w:vAlign w:val="top"/>
          </w:tcPr>
          <w:p w14:paraId="005ED046">
            <w:pPr>
              <w:keepNext w:val="0"/>
              <w:keepLines w:val="0"/>
              <w:pageBreakBefore w:val="0"/>
              <w:widowControl w:val="0"/>
              <w:kinsoku/>
              <w:wordWrap/>
              <w:overflowPunct/>
              <w:topLinePunct w:val="0"/>
              <w:bidi w:val="0"/>
              <w:snapToGrid/>
              <w:spacing w:after="0" w:line="240" w:lineRule="auto"/>
              <w:ind w:left="0" w:right="0"/>
              <w:jc w:val="both"/>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A.</w:t>
            </w:r>
          </w:p>
        </w:tc>
        <w:tc>
          <w:tcPr>
            <w:tcW w:w="7893" w:type="dxa"/>
            <w:gridSpan w:val="3"/>
            <w:vAlign w:val="top"/>
          </w:tcPr>
          <w:p w14:paraId="53E8051A">
            <w:pPr>
              <w:keepNext w:val="0"/>
              <w:keepLines w:val="0"/>
              <w:pageBreakBefore w:val="0"/>
              <w:widowControl w:val="0"/>
              <w:kinsoku/>
              <w:wordWrap/>
              <w:overflowPunct/>
              <w:topLinePunct w:val="0"/>
              <w:bidi w:val="0"/>
              <w:snapToGrid/>
              <w:spacing w:after="0" w:line="240" w:lineRule="auto"/>
              <w:ind w:left="0" w:right="0"/>
              <w:jc w:val="both"/>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Conducte de apă, canalizare, aburi şi alte produse neinflamabile, gaze, ţiţei şi alte produse inflamabile, benzi transportoare care traversează aerian.</w:t>
            </w:r>
          </w:p>
        </w:tc>
      </w:tr>
      <w:tr w14:paraId="3BE7A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5" w:type="dxa"/>
            <w:vAlign w:val="top"/>
          </w:tcPr>
          <w:p w14:paraId="4A5EADD2">
            <w:pPr>
              <w:keepNext w:val="0"/>
              <w:keepLines w:val="0"/>
              <w:pageBreakBefore w:val="0"/>
              <w:widowControl w:val="0"/>
              <w:kinsoku/>
              <w:wordWrap/>
              <w:overflowPunct/>
              <w:topLinePunct w:val="0"/>
              <w:bidi w:val="0"/>
              <w:snapToGrid/>
              <w:spacing w:after="0" w:line="240" w:lineRule="auto"/>
              <w:ind w:left="0" w:right="0"/>
              <w:jc w:val="both"/>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1.</w:t>
            </w:r>
          </w:p>
        </w:tc>
        <w:tc>
          <w:tcPr>
            <w:tcW w:w="6266" w:type="dxa"/>
            <w:gridSpan w:val="2"/>
            <w:vAlign w:val="top"/>
          </w:tcPr>
          <w:p w14:paraId="2F963CA3">
            <w:pPr>
              <w:keepNext w:val="0"/>
              <w:keepLines w:val="0"/>
              <w:pageBreakBefore w:val="0"/>
              <w:widowControl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 xml:space="preserve">Traversare aeriană </w:t>
            </w:r>
          </w:p>
        </w:tc>
        <w:tc>
          <w:tcPr>
            <w:tcW w:w="1627" w:type="dxa"/>
            <w:vAlign w:val="top"/>
          </w:tcPr>
          <w:p w14:paraId="65F1C867">
            <w:pPr>
              <w:keepNext w:val="0"/>
              <w:keepLines w:val="0"/>
              <w:pageBreakBefore w:val="0"/>
              <w:widowControl w:val="0"/>
              <w:kinsoku/>
              <w:wordWrap/>
              <w:overflowPunct/>
              <w:topLinePunct w:val="0"/>
              <w:bidi w:val="0"/>
              <w:snapToGrid/>
              <w:spacing w:after="0" w:line="240" w:lineRule="auto"/>
              <w:ind w:left="0" w:right="0"/>
              <w:jc w:val="cente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6 lei/  m.l</w:t>
            </w:r>
          </w:p>
        </w:tc>
      </w:tr>
      <w:tr w14:paraId="6EB1F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5" w:type="dxa"/>
            <w:vAlign w:val="top"/>
          </w:tcPr>
          <w:p w14:paraId="4B5F8337">
            <w:pPr>
              <w:keepNext w:val="0"/>
              <w:keepLines w:val="0"/>
              <w:pageBreakBefore w:val="0"/>
              <w:widowControl w:val="0"/>
              <w:kinsoku/>
              <w:wordWrap/>
              <w:overflowPunct/>
              <w:topLinePunct w:val="0"/>
              <w:bidi w:val="0"/>
              <w:snapToGrid/>
              <w:spacing w:after="0" w:line="240" w:lineRule="auto"/>
              <w:ind w:left="0" w:right="0"/>
              <w:jc w:val="both"/>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2.</w:t>
            </w:r>
          </w:p>
        </w:tc>
        <w:tc>
          <w:tcPr>
            <w:tcW w:w="6266" w:type="dxa"/>
            <w:gridSpan w:val="2"/>
            <w:vAlign w:val="top"/>
          </w:tcPr>
          <w:p w14:paraId="15940C37">
            <w:pPr>
              <w:keepNext w:val="0"/>
              <w:keepLines w:val="0"/>
              <w:pageBreakBefore w:val="0"/>
              <w:widowControl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Subtraversare</w:t>
            </w:r>
          </w:p>
        </w:tc>
        <w:tc>
          <w:tcPr>
            <w:tcW w:w="1627" w:type="dxa"/>
            <w:vAlign w:val="top"/>
          </w:tcPr>
          <w:p w14:paraId="111A93AA">
            <w:pPr>
              <w:keepNext w:val="0"/>
              <w:keepLines w:val="0"/>
              <w:pageBreakBefore w:val="0"/>
              <w:widowControl w:val="0"/>
              <w:kinsoku/>
              <w:wordWrap/>
              <w:overflowPunct/>
              <w:topLinePunct w:val="0"/>
              <w:bidi w:val="0"/>
              <w:snapToGrid/>
              <w:spacing w:after="0" w:line="240" w:lineRule="auto"/>
              <w:ind w:left="0" w:right="0"/>
              <w:jc w:val="cente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9 lei/m.l</w:t>
            </w:r>
          </w:p>
        </w:tc>
      </w:tr>
      <w:tr w14:paraId="55E37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2025" w:type="dxa"/>
            <w:vAlign w:val="top"/>
          </w:tcPr>
          <w:p w14:paraId="2F86F8F1">
            <w:pPr>
              <w:keepNext w:val="0"/>
              <w:keepLines w:val="0"/>
              <w:pageBreakBefore w:val="0"/>
              <w:widowControl w:val="0"/>
              <w:kinsoku/>
              <w:wordWrap/>
              <w:overflowPunct/>
              <w:topLinePunct w:val="0"/>
              <w:bidi w:val="0"/>
              <w:snapToGrid/>
              <w:spacing w:after="0" w:line="240" w:lineRule="auto"/>
              <w:ind w:left="0" w:right="0"/>
              <w:jc w:val="both"/>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3.</w:t>
            </w:r>
          </w:p>
        </w:tc>
        <w:tc>
          <w:tcPr>
            <w:tcW w:w="6266" w:type="dxa"/>
            <w:gridSpan w:val="2"/>
            <w:vAlign w:val="top"/>
          </w:tcPr>
          <w:p w14:paraId="2E6CD648">
            <w:pPr>
              <w:keepNext w:val="0"/>
              <w:keepLines w:val="0"/>
              <w:pageBreakBefore w:val="0"/>
              <w:widowControl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Amplasare subterană în lungul drumului în ampriză, în afara părţii carosabile</w:t>
            </w:r>
          </w:p>
        </w:tc>
        <w:tc>
          <w:tcPr>
            <w:tcW w:w="1627" w:type="dxa"/>
            <w:vAlign w:val="top"/>
          </w:tcPr>
          <w:p w14:paraId="7FEDC9D2">
            <w:pPr>
              <w:keepNext w:val="0"/>
              <w:keepLines w:val="0"/>
              <w:pageBreakBefore w:val="0"/>
              <w:widowControl w:val="0"/>
              <w:kinsoku/>
              <w:wordWrap/>
              <w:overflowPunct/>
              <w:topLinePunct w:val="0"/>
              <w:bidi w:val="0"/>
              <w:snapToGrid/>
              <w:spacing w:after="0" w:line="240" w:lineRule="auto"/>
              <w:ind w:left="0" w:right="0"/>
              <w:jc w:val="cente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p>
          <w:p w14:paraId="780855E9">
            <w:pPr>
              <w:keepNext w:val="0"/>
              <w:keepLines w:val="0"/>
              <w:pageBreakBefore w:val="0"/>
              <w:widowControl w:val="0"/>
              <w:kinsoku/>
              <w:wordWrap/>
              <w:overflowPunct/>
              <w:topLinePunct w:val="0"/>
              <w:bidi w:val="0"/>
              <w:snapToGrid/>
              <w:spacing w:after="0" w:line="240" w:lineRule="auto"/>
              <w:ind w:left="0" w:right="0"/>
              <w:jc w:val="cente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17 lei/m.l</w:t>
            </w:r>
          </w:p>
        </w:tc>
      </w:tr>
      <w:tr w14:paraId="777F2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5" w:type="dxa"/>
            <w:vAlign w:val="top"/>
          </w:tcPr>
          <w:p w14:paraId="17639356">
            <w:pPr>
              <w:keepNext w:val="0"/>
              <w:keepLines w:val="0"/>
              <w:pageBreakBefore w:val="0"/>
              <w:widowControl w:val="0"/>
              <w:kinsoku/>
              <w:wordWrap/>
              <w:overflowPunct/>
              <w:topLinePunct w:val="0"/>
              <w:bidi w:val="0"/>
              <w:snapToGrid/>
              <w:spacing w:after="0" w:line="240" w:lineRule="auto"/>
              <w:ind w:left="0" w:right="0"/>
              <w:jc w:val="both"/>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4.</w:t>
            </w:r>
          </w:p>
        </w:tc>
        <w:tc>
          <w:tcPr>
            <w:tcW w:w="6266" w:type="dxa"/>
            <w:gridSpan w:val="2"/>
            <w:vAlign w:val="top"/>
          </w:tcPr>
          <w:p w14:paraId="1DB301C6">
            <w:pPr>
              <w:keepNext w:val="0"/>
              <w:keepLines w:val="0"/>
              <w:pageBreakBefore w:val="0"/>
              <w:widowControl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Amplasare subterană în lungul drumului sub partea carosabilă</w:t>
            </w:r>
          </w:p>
        </w:tc>
        <w:tc>
          <w:tcPr>
            <w:tcW w:w="1627" w:type="dxa"/>
            <w:vAlign w:val="top"/>
          </w:tcPr>
          <w:p w14:paraId="3833E22C">
            <w:pPr>
              <w:keepNext w:val="0"/>
              <w:keepLines w:val="0"/>
              <w:pageBreakBefore w:val="0"/>
              <w:widowControl w:val="0"/>
              <w:kinsoku/>
              <w:wordWrap/>
              <w:overflowPunct/>
              <w:topLinePunct w:val="0"/>
              <w:bidi w:val="0"/>
              <w:snapToGrid/>
              <w:spacing w:after="0" w:line="240" w:lineRule="auto"/>
              <w:ind w:left="0" w:right="0"/>
              <w:jc w:val="cente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20 lei/m.l</w:t>
            </w:r>
          </w:p>
        </w:tc>
      </w:tr>
      <w:tr w14:paraId="67CA6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5" w:type="dxa"/>
            <w:vAlign w:val="top"/>
          </w:tcPr>
          <w:p w14:paraId="654CDCD1">
            <w:pPr>
              <w:keepNext w:val="0"/>
              <w:keepLines w:val="0"/>
              <w:pageBreakBefore w:val="0"/>
              <w:widowControl w:val="0"/>
              <w:kinsoku/>
              <w:wordWrap/>
              <w:overflowPunct/>
              <w:topLinePunct w:val="0"/>
              <w:bidi w:val="0"/>
              <w:snapToGrid/>
              <w:spacing w:after="0" w:line="240" w:lineRule="auto"/>
              <w:ind w:left="0" w:right="0"/>
              <w:jc w:val="both"/>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5.</w:t>
            </w:r>
          </w:p>
        </w:tc>
        <w:tc>
          <w:tcPr>
            <w:tcW w:w="6266" w:type="dxa"/>
            <w:gridSpan w:val="2"/>
            <w:vAlign w:val="top"/>
          </w:tcPr>
          <w:p w14:paraId="55644B53">
            <w:pPr>
              <w:keepNext w:val="0"/>
              <w:keepLines w:val="0"/>
              <w:pageBreakBefore w:val="0"/>
              <w:widowControl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Amplasare subterană în zona de siguranţă</w:t>
            </w:r>
          </w:p>
        </w:tc>
        <w:tc>
          <w:tcPr>
            <w:tcW w:w="1627" w:type="dxa"/>
            <w:vAlign w:val="top"/>
          </w:tcPr>
          <w:p w14:paraId="6357208E">
            <w:pPr>
              <w:keepNext w:val="0"/>
              <w:keepLines w:val="0"/>
              <w:pageBreakBefore w:val="0"/>
              <w:widowControl w:val="0"/>
              <w:kinsoku/>
              <w:wordWrap/>
              <w:overflowPunct/>
              <w:topLinePunct w:val="0"/>
              <w:bidi w:val="0"/>
              <w:snapToGrid/>
              <w:spacing w:after="0" w:line="240" w:lineRule="auto"/>
              <w:ind w:left="0" w:right="0"/>
              <w:jc w:val="cente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10 lei/m.l</w:t>
            </w:r>
          </w:p>
        </w:tc>
      </w:tr>
      <w:tr w14:paraId="0625D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5" w:type="dxa"/>
            <w:vAlign w:val="top"/>
          </w:tcPr>
          <w:p w14:paraId="5CE1C774">
            <w:pPr>
              <w:keepNext w:val="0"/>
              <w:keepLines w:val="0"/>
              <w:pageBreakBefore w:val="0"/>
              <w:widowControl w:val="0"/>
              <w:kinsoku/>
              <w:wordWrap/>
              <w:overflowPunct/>
              <w:topLinePunct w:val="0"/>
              <w:bidi w:val="0"/>
              <w:snapToGrid/>
              <w:spacing w:after="0" w:line="240" w:lineRule="auto"/>
              <w:ind w:left="0" w:right="0"/>
              <w:jc w:val="both"/>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6.</w:t>
            </w:r>
          </w:p>
        </w:tc>
        <w:tc>
          <w:tcPr>
            <w:tcW w:w="6266" w:type="dxa"/>
            <w:gridSpan w:val="2"/>
            <w:vAlign w:val="top"/>
          </w:tcPr>
          <w:p w14:paraId="3E73F468">
            <w:pPr>
              <w:keepNext w:val="0"/>
              <w:keepLines w:val="0"/>
              <w:pageBreakBefore w:val="0"/>
              <w:widowControl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Amplasare aeriană în lungul drumului  în ampriză</w:t>
            </w:r>
          </w:p>
        </w:tc>
        <w:tc>
          <w:tcPr>
            <w:tcW w:w="1627" w:type="dxa"/>
            <w:vAlign w:val="top"/>
          </w:tcPr>
          <w:p w14:paraId="0FE561C1">
            <w:pPr>
              <w:keepNext w:val="0"/>
              <w:keepLines w:val="0"/>
              <w:pageBreakBefore w:val="0"/>
              <w:widowControl w:val="0"/>
              <w:kinsoku/>
              <w:wordWrap/>
              <w:overflowPunct/>
              <w:topLinePunct w:val="0"/>
              <w:bidi w:val="0"/>
              <w:snapToGrid/>
              <w:spacing w:after="0" w:line="240" w:lineRule="auto"/>
              <w:ind w:left="0" w:right="0"/>
              <w:jc w:val="cente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9 lei/m.l</w:t>
            </w:r>
          </w:p>
        </w:tc>
      </w:tr>
      <w:tr w14:paraId="47BED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5" w:type="dxa"/>
            <w:vAlign w:val="top"/>
          </w:tcPr>
          <w:p w14:paraId="4F5DE6B9">
            <w:pPr>
              <w:keepNext w:val="0"/>
              <w:keepLines w:val="0"/>
              <w:pageBreakBefore w:val="0"/>
              <w:widowControl w:val="0"/>
              <w:kinsoku/>
              <w:wordWrap/>
              <w:overflowPunct/>
              <w:topLinePunct w:val="0"/>
              <w:bidi w:val="0"/>
              <w:snapToGrid/>
              <w:spacing w:after="0" w:line="240" w:lineRule="auto"/>
              <w:ind w:left="0" w:right="0"/>
              <w:jc w:val="both"/>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7.</w:t>
            </w:r>
          </w:p>
        </w:tc>
        <w:tc>
          <w:tcPr>
            <w:tcW w:w="6266" w:type="dxa"/>
            <w:gridSpan w:val="2"/>
            <w:vAlign w:val="top"/>
          </w:tcPr>
          <w:p w14:paraId="64B97BB0">
            <w:pPr>
              <w:keepNext w:val="0"/>
              <w:keepLines w:val="0"/>
              <w:pageBreakBefore w:val="0"/>
              <w:widowControl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Amplasare aeriană în zona de siguranţă</w:t>
            </w:r>
          </w:p>
        </w:tc>
        <w:tc>
          <w:tcPr>
            <w:tcW w:w="1627" w:type="dxa"/>
            <w:vAlign w:val="top"/>
          </w:tcPr>
          <w:p w14:paraId="55728CDA">
            <w:pPr>
              <w:keepNext w:val="0"/>
              <w:keepLines w:val="0"/>
              <w:pageBreakBefore w:val="0"/>
              <w:widowControl w:val="0"/>
              <w:kinsoku/>
              <w:wordWrap/>
              <w:overflowPunct/>
              <w:topLinePunct w:val="0"/>
              <w:bidi w:val="0"/>
              <w:snapToGrid/>
              <w:spacing w:after="0" w:line="240" w:lineRule="auto"/>
              <w:ind w:left="0" w:right="0"/>
              <w:jc w:val="cente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5 lei/m.l</w:t>
            </w:r>
          </w:p>
        </w:tc>
      </w:tr>
      <w:tr w14:paraId="58D14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5" w:type="dxa"/>
            <w:vAlign w:val="top"/>
          </w:tcPr>
          <w:p w14:paraId="395B3EF7">
            <w:pPr>
              <w:keepNext w:val="0"/>
              <w:keepLines w:val="0"/>
              <w:pageBreakBefore w:val="0"/>
              <w:widowControl w:val="0"/>
              <w:kinsoku/>
              <w:wordWrap/>
              <w:overflowPunct/>
              <w:topLinePunct w:val="0"/>
              <w:bidi w:val="0"/>
              <w:snapToGrid/>
              <w:spacing w:after="0" w:line="240" w:lineRule="auto"/>
              <w:ind w:left="0" w:right="0"/>
              <w:jc w:val="both"/>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8.</w:t>
            </w:r>
          </w:p>
        </w:tc>
        <w:tc>
          <w:tcPr>
            <w:tcW w:w="6266" w:type="dxa"/>
            <w:gridSpan w:val="2"/>
            <w:vAlign w:val="top"/>
          </w:tcPr>
          <w:p w14:paraId="730C5498">
            <w:pPr>
              <w:keepNext w:val="0"/>
              <w:keepLines w:val="0"/>
              <w:pageBreakBefore w:val="0"/>
              <w:widowControl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Amplasare pe poduri şi podeţe în canale tehnice</w:t>
            </w:r>
          </w:p>
        </w:tc>
        <w:tc>
          <w:tcPr>
            <w:tcW w:w="1627" w:type="dxa"/>
            <w:vAlign w:val="top"/>
          </w:tcPr>
          <w:p w14:paraId="760136F5">
            <w:pPr>
              <w:keepNext w:val="0"/>
              <w:keepLines w:val="0"/>
              <w:pageBreakBefore w:val="0"/>
              <w:widowControl w:val="0"/>
              <w:kinsoku/>
              <w:wordWrap/>
              <w:overflowPunct/>
              <w:topLinePunct w:val="0"/>
              <w:bidi w:val="0"/>
              <w:snapToGrid/>
              <w:spacing w:after="0" w:line="240" w:lineRule="auto"/>
              <w:ind w:left="0" w:right="0"/>
              <w:jc w:val="cente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5 lei/m.l</w:t>
            </w:r>
          </w:p>
        </w:tc>
      </w:tr>
      <w:tr w14:paraId="56823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2025" w:type="dxa"/>
            <w:vAlign w:val="top"/>
          </w:tcPr>
          <w:p w14:paraId="42CBA092">
            <w:pPr>
              <w:keepNext w:val="0"/>
              <w:keepLines w:val="0"/>
              <w:pageBreakBefore w:val="0"/>
              <w:widowControl w:val="0"/>
              <w:kinsoku/>
              <w:wordWrap/>
              <w:overflowPunct/>
              <w:topLinePunct w:val="0"/>
              <w:bidi w:val="0"/>
              <w:snapToGrid/>
              <w:spacing w:after="0" w:line="240" w:lineRule="auto"/>
              <w:ind w:left="0" w:right="0"/>
              <w:jc w:val="both"/>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9.</w:t>
            </w:r>
          </w:p>
        </w:tc>
        <w:tc>
          <w:tcPr>
            <w:tcW w:w="6266" w:type="dxa"/>
            <w:gridSpan w:val="2"/>
            <w:vAlign w:val="top"/>
          </w:tcPr>
          <w:p w14:paraId="1EEAC53D">
            <w:pPr>
              <w:keepNext w:val="0"/>
              <w:keepLines w:val="0"/>
              <w:pageBreakBefore w:val="0"/>
              <w:widowControl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Amplasare pe poduri şi podeţe ancorat de pod sau în altă soluţie decât canal tehnic</w:t>
            </w:r>
          </w:p>
        </w:tc>
        <w:tc>
          <w:tcPr>
            <w:tcW w:w="1627" w:type="dxa"/>
            <w:vAlign w:val="top"/>
          </w:tcPr>
          <w:p w14:paraId="124C8D0F">
            <w:pPr>
              <w:keepNext w:val="0"/>
              <w:keepLines w:val="0"/>
              <w:pageBreakBefore w:val="0"/>
              <w:widowControl w:val="0"/>
              <w:kinsoku/>
              <w:wordWrap/>
              <w:overflowPunct/>
              <w:topLinePunct w:val="0"/>
              <w:bidi w:val="0"/>
              <w:snapToGrid/>
              <w:spacing w:after="0" w:line="240" w:lineRule="auto"/>
              <w:ind w:left="0" w:right="0"/>
              <w:jc w:val="cente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5 lei/m.l</w:t>
            </w:r>
          </w:p>
        </w:tc>
      </w:tr>
      <w:tr w14:paraId="24034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5" w:type="dxa"/>
            <w:vAlign w:val="top"/>
          </w:tcPr>
          <w:p w14:paraId="4A1BBFED">
            <w:pPr>
              <w:keepNext w:val="0"/>
              <w:keepLines w:val="0"/>
              <w:pageBreakBefore w:val="0"/>
              <w:widowControl w:val="0"/>
              <w:kinsoku/>
              <w:wordWrap/>
              <w:overflowPunct/>
              <w:topLinePunct w:val="0"/>
              <w:bidi w:val="0"/>
              <w:snapToGrid/>
              <w:spacing w:after="0" w:line="240" w:lineRule="auto"/>
              <w:ind w:left="0" w:right="0"/>
              <w:jc w:val="both"/>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B.</w:t>
            </w:r>
          </w:p>
        </w:tc>
        <w:tc>
          <w:tcPr>
            <w:tcW w:w="7893" w:type="dxa"/>
            <w:gridSpan w:val="3"/>
            <w:vAlign w:val="top"/>
          </w:tcPr>
          <w:p w14:paraId="43B6DB98">
            <w:pPr>
              <w:keepNext w:val="0"/>
              <w:keepLines w:val="0"/>
              <w:pageBreakBefore w:val="0"/>
              <w:widowControl w:val="0"/>
              <w:kinsoku/>
              <w:wordWrap/>
              <w:overflowPunct/>
              <w:topLinePunct w:val="0"/>
              <w:bidi w:val="0"/>
              <w:snapToGrid/>
              <w:spacing w:after="0" w:line="240" w:lineRule="auto"/>
              <w:ind w:left="0" w:right="0"/>
              <w:jc w:val="cente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Conductori electrici, telefonici, fibră optică, TV şi altele asemănătoare</w:t>
            </w:r>
          </w:p>
        </w:tc>
      </w:tr>
      <w:tr w14:paraId="39A72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5" w:type="dxa"/>
            <w:vAlign w:val="top"/>
          </w:tcPr>
          <w:p w14:paraId="675EC812">
            <w:pPr>
              <w:keepNext w:val="0"/>
              <w:keepLines w:val="0"/>
              <w:pageBreakBefore w:val="0"/>
              <w:widowControl w:val="0"/>
              <w:kinsoku/>
              <w:wordWrap/>
              <w:overflowPunct/>
              <w:topLinePunct w:val="0"/>
              <w:bidi w:val="0"/>
              <w:snapToGrid/>
              <w:spacing w:after="0" w:line="240" w:lineRule="auto"/>
              <w:ind w:left="0" w:right="0"/>
              <w:jc w:val="both"/>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1.</w:t>
            </w:r>
          </w:p>
        </w:tc>
        <w:tc>
          <w:tcPr>
            <w:tcW w:w="6266" w:type="dxa"/>
            <w:gridSpan w:val="2"/>
            <w:vAlign w:val="top"/>
          </w:tcPr>
          <w:p w14:paraId="6D286805">
            <w:pPr>
              <w:keepNext w:val="0"/>
              <w:keepLines w:val="0"/>
              <w:pageBreakBefore w:val="0"/>
              <w:widowControl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Subtraversare</w:t>
            </w:r>
          </w:p>
        </w:tc>
        <w:tc>
          <w:tcPr>
            <w:tcW w:w="1627" w:type="dxa"/>
            <w:vAlign w:val="top"/>
          </w:tcPr>
          <w:p w14:paraId="785C9054">
            <w:pPr>
              <w:keepNext w:val="0"/>
              <w:keepLines w:val="0"/>
              <w:pageBreakBefore w:val="0"/>
              <w:widowControl w:val="0"/>
              <w:kinsoku/>
              <w:wordWrap/>
              <w:overflowPunct/>
              <w:topLinePunct w:val="0"/>
              <w:bidi w:val="0"/>
              <w:snapToGrid/>
              <w:spacing w:after="0" w:line="240" w:lineRule="auto"/>
              <w:ind w:left="0" w:right="0"/>
              <w:jc w:val="cente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5 lei/m.l</w:t>
            </w:r>
          </w:p>
        </w:tc>
      </w:tr>
      <w:tr w14:paraId="318F5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5" w:type="dxa"/>
            <w:vAlign w:val="top"/>
          </w:tcPr>
          <w:p w14:paraId="33AD99FE">
            <w:pPr>
              <w:keepNext w:val="0"/>
              <w:keepLines w:val="0"/>
              <w:pageBreakBefore w:val="0"/>
              <w:widowControl w:val="0"/>
              <w:kinsoku/>
              <w:wordWrap/>
              <w:overflowPunct/>
              <w:topLinePunct w:val="0"/>
              <w:bidi w:val="0"/>
              <w:snapToGrid/>
              <w:spacing w:after="0" w:line="240" w:lineRule="auto"/>
              <w:ind w:left="0" w:right="0"/>
              <w:jc w:val="both"/>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2.</w:t>
            </w:r>
          </w:p>
        </w:tc>
        <w:tc>
          <w:tcPr>
            <w:tcW w:w="6266" w:type="dxa"/>
            <w:gridSpan w:val="2"/>
            <w:vAlign w:val="top"/>
          </w:tcPr>
          <w:p w14:paraId="31C22225">
            <w:pPr>
              <w:keepNext w:val="0"/>
              <w:keepLines w:val="0"/>
              <w:pageBreakBefore w:val="0"/>
              <w:widowControl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Supratraversare</w:t>
            </w:r>
          </w:p>
        </w:tc>
        <w:tc>
          <w:tcPr>
            <w:tcW w:w="1627" w:type="dxa"/>
            <w:vAlign w:val="top"/>
          </w:tcPr>
          <w:p w14:paraId="7DC2CA0E">
            <w:pPr>
              <w:keepNext w:val="0"/>
              <w:keepLines w:val="0"/>
              <w:pageBreakBefore w:val="0"/>
              <w:widowControl w:val="0"/>
              <w:kinsoku/>
              <w:wordWrap/>
              <w:overflowPunct/>
              <w:topLinePunct w:val="0"/>
              <w:bidi w:val="0"/>
              <w:snapToGrid/>
              <w:spacing w:after="0" w:line="240" w:lineRule="auto"/>
              <w:ind w:left="0" w:right="0"/>
              <w:jc w:val="cente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5lei/m.l</w:t>
            </w:r>
          </w:p>
        </w:tc>
      </w:tr>
      <w:tr w14:paraId="59526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5" w:type="dxa"/>
            <w:vAlign w:val="top"/>
          </w:tcPr>
          <w:p w14:paraId="596D7A2C">
            <w:pPr>
              <w:keepNext w:val="0"/>
              <w:keepLines w:val="0"/>
              <w:pageBreakBefore w:val="0"/>
              <w:widowControl w:val="0"/>
              <w:kinsoku/>
              <w:wordWrap/>
              <w:overflowPunct/>
              <w:topLinePunct w:val="0"/>
              <w:bidi w:val="0"/>
              <w:snapToGrid/>
              <w:spacing w:after="0" w:line="240" w:lineRule="auto"/>
              <w:ind w:left="0" w:right="0"/>
              <w:jc w:val="both"/>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3.</w:t>
            </w:r>
          </w:p>
        </w:tc>
        <w:tc>
          <w:tcPr>
            <w:tcW w:w="6266" w:type="dxa"/>
            <w:gridSpan w:val="2"/>
            <w:vAlign w:val="top"/>
          </w:tcPr>
          <w:p w14:paraId="487D8D32">
            <w:pPr>
              <w:keepNext w:val="0"/>
              <w:keepLines w:val="0"/>
              <w:pageBreakBefore w:val="0"/>
              <w:widowControl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Cablu subteran în lungul drumului în ampriză, în afara părţii carosabile</w:t>
            </w:r>
          </w:p>
        </w:tc>
        <w:tc>
          <w:tcPr>
            <w:tcW w:w="1627" w:type="dxa"/>
            <w:vAlign w:val="top"/>
          </w:tcPr>
          <w:p w14:paraId="209864FD">
            <w:pPr>
              <w:keepNext w:val="0"/>
              <w:keepLines w:val="0"/>
              <w:pageBreakBefore w:val="0"/>
              <w:widowControl w:val="0"/>
              <w:kinsoku/>
              <w:wordWrap/>
              <w:overflowPunct/>
              <w:topLinePunct w:val="0"/>
              <w:bidi w:val="0"/>
              <w:snapToGrid/>
              <w:spacing w:after="0" w:line="240" w:lineRule="auto"/>
              <w:ind w:left="0" w:right="0"/>
              <w:jc w:val="cente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5 lei/m.l</w:t>
            </w:r>
          </w:p>
        </w:tc>
      </w:tr>
      <w:tr w14:paraId="22986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5" w:type="dxa"/>
            <w:vAlign w:val="top"/>
          </w:tcPr>
          <w:p w14:paraId="372604C7">
            <w:pPr>
              <w:keepNext w:val="0"/>
              <w:keepLines w:val="0"/>
              <w:pageBreakBefore w:val="0"/>
              <w:widowControl w:val="0"/>
              <w:kinsoku/>
              <w:wordWrap/>
              <w:overflowPunct/>
              <w:topLinePunct w:val="0"/>
              <w:bidi w:val="0"/>
              <w:snapToGrid/>
              <w:spacing w:after="0" w:line="240" w:lineRule="auto"/>
              <w:ind w:left="0" w:right="0"/>
              <w:jc w:val="both"/>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4.</w:t>
            </w:r>
          </w:p>
        </w:tc>
        <w:tc>
          <w:tcPr>
            <w:tcW w:w="6266" w:type="dxa"/>
            <w:gridSpan w:val="2"/>
            <w:vAlign w:val="top"/>
          </w:tcPr>
          <w:p w14:paraId="3973B968">
            <w:pPr>
              <w:keepNext w:val="0"/>
              <w:keepLines w:val="0"/>
              <w:pageBreakBefore w:val="0"/>
              <w:widowControl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Cablu subteran în lungul drumului sub partea carosabilă</w:t>
            </w:r>
          </w:p>
        </w:tc>
        <w:tc>
          <w:tcPr>
            <w:tcW w:w="1627" w:type="dxa"/>
            <w:vAlign w:val="top"/>
          </w:tcPr>
          <w:p w14:paraId="35E0D0FF">
            <w:pPr>
              <w:keepNext w:val="0"/>
              <w:keepLines w:val="0"/>
              <w:pageBreakBefore w:val="0"/>
              <w:widowControl w:val="0"/>
              <w:kinsoku/>
              <w:wordWrap/>
              <w:overflowPunct/>
              <w:topLinePunct w:val="0"/>
              <w:bidi w:val="0"/>
              <w:snapToGrid/>
              <w:spacing w:after="0" w:line="240" w:lineRule="auto"/>
              <w:ind w:left="0" w:right="0"/>
              <w:jc w:val="cente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15 lei/m.l</w:t>
            </w:r>
          </w:p>
        </w:tc>
      </w:tr>
      <w:tr w14:paraId="5BC16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5" w:type="dxa"/>
            <w:vAlign w:val="top"/>
          </w:tcPr>
          <w:p w14:paraId="67E8347D">
            <w:pPr>
              <w:keepNext w:val="0"/>
              <w:keepLines w:val="0"/>
              <w:pageBreakBefore w:val="0"/>
              <w:widowControl w:val="0"/>
              <w:kinsoku/>
              <w:wordWrap/>
              <w:overflowPunct/>
              <w:topLinePunct w:val="0"/>
              <w:bidi w:val="0"/>
              <w:snapToGrid/>
              <w:spacing w:after="0" w:line="240" w:lineRule="auto"/>
              <w:ind w:left="0" w:right="0"/>
              <w:jc w:val="both"/>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5.</w:t>
            </w:r>
          </w:p>
        </w:tc>
        <w:tc>
          <w:tcPr>
            <w:tcW w:w="6266" w:type="dxa"/>
            <w:gridSpan w:val="2"/>
            <w:vAlign w:val="top"/>
          </w:tcPr>
          <w:p w14:paraId="2A7D3C61">
            <w:pPr>
              <w:keepNext w:val="0"/>
              <w:keepLines w:val="0"/>
              <w:pageBreakBefore w:val="0"/>
              <w:widowControl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Cablu subteran în zona de siguranţă</w:t>
            </w:r>
          </w:p>
        </w:tc>
        <w:tc>
          <w:tcPr>
            <w:tcW w:w="1627" w:type="dxa"/>
            <w:vAlign w:val="top"/>
          </w:tcPr>
          <w:p w14:paraId="5D638515">
            <w:pPr>
              <w:keepNext w:val="0"/>
              <w:keepLines w:val="0"/>
              <w:pageBreakBefore w:val="0"/>
              <w:widowControl w:val="0"/>
              <w:kinsoku/>
              <w:wordWrap/>
              <w:overflowPunct/>
              <w:topLinePunct w:val="0"/>
              <w:bidi w:val="0"/>
              <w:snapToGrid/>
              <w:spacing w:after="0" w:line="240" w:lineRule="auto"/>
              <w:ind w:left="0" w:right="0"/>
              <w:jc w:val="center"/>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9 lei/m.l</w:t>
            </w:r>
          </w:p>
        </w:tc>
      </w:tr>
      <w:tr w14:paraId="01FDE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5" w:type="dxa"/>
            <w:vAlign w:val="top"/>
          </w:tcPr>
          <w:p w14:paraId="01BC46C2">
            <w:pPr>
              <w:keepNext w:val="0"/>
              <w:keepLines w:val="0"/>
              <w:pageBreakBefore w:val="0"/>
              <w:widowControl w:val="0"/>
              <w:kinsoku/>
              <w:wordWrap/>
              <w:overflowPunct/>
              <w:topLinePunct w:val="0"/>
              <w:bidi w:val="0"/>
              <w:snapToGrid/>
              <w:spacing w:after="0" w:line="240" w:lineRule="auto"/>
              <w:ind w:left="0" w:right="0"/>
              <w:jc w:val="both"/>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6.</w:t>
            </w:r>
          </w:p>
        </w:tc>
        <w:tc>
          <w:tcPr>
            <w:tcW w:w="6266" w:type="dxa"/>
            <w:gridSpan w:val="2"/>
            <w:vAlign w:val="top"/>
          </w:tcPr>
          <w:p w14:paraId="291E0DEB">
            <w:pPr>
              <w:keepNext w:val="0"/>
              <w:keepLines w:val="0"/>
              <w:pageBreakBefore w:val="0"/>
              <w:widowControl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Stâlpi de care este prins cablul aerian în lungul drumului în ampriză, în afara părţii carosabile</w:t>
            </w:r>
          </w:p>
        </w:tc>
        <w:tc>
          <w:tcPr>
            <w:tcW w:w="1627" w:type="dxa"/>
            <w:vAlign w:val="top"/>
          </w:tcPr>
          <w:p w14:paraId="09179BEF">
            <w:pPr>
              <w:keepNext w:val="0"/>
              <w:keepLines w:val="0"/>
              <w:pageBreakBefore w:val="0"/>
              <w:widowControl w:val="0"/>
              <w:kinsoku/>
              <w:wordWrap/>
              <w:overflowPunct/>
              <w:topLinePunct w:val="0"/>
              <w:bidi w:val="0"/>
              <w:snapToGrid/>
              <w:spacing w:after="0" w:line="240" w:lineRule="auto"/>
              <w:ind w:left="0" w:right="0"/>
              <w:jc w:val="cente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84 lei/buc.</w:t>
            </w:r>
          </w:p>
        </w:tc>
      </w:tr>
      <w:tr w14:paraId="311C0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5" w:type="dxa"/>
            <w:vAlign w:val="top"/>
          </w:tcPr>
          <w:p w14:paraId="79418CE4">
            <w:pPr>
              <w:keepNext w:val="0"/>
              <w:keepLines w:val="0"/>
              <w:pageBreakBefore w:val="0"/>
              <w:widowControl w:val="0"/>
              <w:kinsoku/>
              <w:wordWrap/>
              <w:overflowPunct/>
              <w:topLinePunct w:val="0"/>
              <w:bidi w:val="0"/>
              <w:snapToGrid/>
              <w:spacing w:after="0" w:line="240" w:lineRule="auto"/>
              <w:ind w:left="0" w:right="0"/>
              <w:jc w:val="both"/>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7.</w:t>
            </w:r>
          </w:p>
        </w:tc>
        <w:tc>
          <w:tcPr>
            <w:tcW w:w="6266" w:type="dxa"/>
            <w:gridSpan w:val="2"/>
            <w:vAlign w:val="top"/>
          </w:tcPr>
          <w:p w14:paraId="58027428">
            <w:pPr>
              <w:keepNext w:val="0"/>
              <w:keepLines w:val="0"/>
              <w:pageBreakBefore w:val="0"/>
              <w:widowControl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Stâlpi de care este prins cablul aerian în lungul drumului în zona de siguranţă</w:t>
            </w:r>
          </w:p>
        </w:tc>
        <w:tc>
          <w:tcPr>
            <w:tcW w:w="1627" w:type="dxa"/>
            <w:vAlign w:val="top"/>
          </w:tcPr>
          <w:p w14:paraId="5D8DF4D7">
            <w:pPr>
              <w:keepNext w:val="0"/>
              <w:keepLines w:val="0"/>
              <w:pageBreakBefore w:val="0"/>
              <w:widowControl w:val="0"/>
              <w:kinsoku/>
              <w:wordWrap/>
              <w:overflowPunct/>
              <w:topLinePunct w:val="0"/>
              <w:bidi w:val="0"/>
              <w:snapToGrid/>
              <w:spacing w:after="0" w:line="240" w:lineRule="auto"/>
              <w:ind w:left="0" w:right="0"/>
              <w:jc w:val="cente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15 lei/buc.</w:t>
            </w:r>
          </w:p>
        </w:tc>
      </w:tr>
      <w:tr w14:paraId="311D0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5" w:type="dxa"/>
            <w:vAlign w:val="top"/>
          </w:tcPr>
          <w:p w14:paraId="1E2363CC">
            <w:pPr>
              <w:keepNext w:val="0"/>
              <w:keepLines w:val="0"/>
              <w:pageBreakBefore w:val="0"/>
              <w:widowControl w:val="0"/>
              <w:kinsoku/>
              <w:wordWrap/>
              <w:overflowPunct/>
              <w:topLinePunct w:val="0"/>
              <w:bidi w:val="0"/>
              <w:snapToGrid/>
              <w:spacing w:after="0" w:line="240" w:lineRule="auto"/>
              <w:ind w:left="0" w:right="0"/>
              <w:jc w:val="both"/>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8.</w:t>
            </w:r>
          </w:p>
        </w:tc>
        <w:tc>
          <w:tcPr>
            <w:tcW w:w="6266" w:type="dxa"/>
            <w:gridSpan w:val="2"/>
            <w:vAlign w:val="top"/>
          </w:tcPr>
          <w:p w14:paraId="51C74E79">
            <w:pPr>
              <w:keepNext w:val="0"/>
              <w:keepLines w:val="0"/>
              <w:pageBreakBefore w:val="0"/>
              <w:widowControl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Cablu pe poduri şi podeţe în canal tehnic</w:t>
            </w:r>
          </w:p>
        </w:tc>
        <w:tc>
          <w:tcPr>
            <w:tcW w:w="1627" w:type="dxa"/>
            <w:vAlign w:val="top"/>
          </w:tcPr>
          <w:p w14:paraId="5F0DD2B7">
            <w:pPr>
              <w:keepNext w:val="0"/>
              <w:keepLines w:val="0"/>
              <w:pageBreakBefore w:val="0"/>
              <w:widowControl w:val="0"/>
              <w:kinsoku/>
              <w:wordWrap/>
              <w:overflowPunct/>
              <w:topLinePunct w:val="0"/>
              <w:bidi w:val="0"/>
              <w:snapToGrid/>
              <w:spacing w:after="0" w:line="240" w:lineRule="auto"/>
              <w:ind w:left="0" w:right="0"/>
              <w:jc w:val="cente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15 lei/m.l</w:t>
            </w:r>
          </w:p>
        </w:tc>
      </w:tr>
      <w:tr w14:paraId="17060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5" w:type="dxa"/>
            <w:vAlign w:val="top"/>
          </w:tcPr>
          <w:p w14:paraId="60EF5F14">
            <w:pPr>
              <w:keepNext w:val="0"/>
              <w:keepLines w:val="0"/>
              <w:pageBreakBefore w:val="0"/>
              <w:widowControl w:val="0"/>
              <w:kinsoku/>
              <w:wordWrap/>
              <w:overflowPunct/>
              <w:topLinePunct w:val="0"/>
              <w:bidi w:val="0"/>
              <w:snapToGrid/>
              <w:spacing w:after="0" w:line="240" w:lineRule="auto"/>
              <w:ind w:left="0" w:right="0"/>
              <w:jc w:val="both"/>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9.</w:t>
            </w:r>
          </w:p>
        </w:tc>
        <w:tc>
          <w:tcPr>
            <w:tcW w:w="6266" w:type="dxa"/>
            <w:gridSpan w:val="2"/>
            <w:vAlign w:val="top"/>
          </w:tcPr>
          <w:p w14:paraId="72531A8E">
            <w:pPr>
              <w:keepNext w:val="0"/>
              <w:keepLines w:val="0"/>
              <w:pageBreakBefore w:val="0"/>
              <w:widowControl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Cablu pe poduri şi podeţe ancorat de pod sau în altă soluţie decât canal tehnic</w:t>
            </w:r>
          </w:p>
        </w:tc>
        <w:tc>
          <w:tcPr>
            <w:tcW w:w="1627" w:type="dxa"/>
            <w:vAlign w:val="top"/>
          </w:tcPr>
          <w:p w14:paraId="26794C50">
            <w:pPr>
              <w:keepNext w:val="0"/>
              <w:keepLines w:val="0"/>
              <w:pageBreakBefore w:val="0"/>
              <w:widowControl w:val="0"/>
              <w:kinsoku/>
              <w:wordWrap/>
              <w:overflowPunct/>
              <w:topLinePunct w:val="0"/>
              <w:bidi w:val="0"/>
              <w:snapToGrid/>
              <w:spacing w:after="0" w:line="240" w:lineRule="auto"/>
              <w:ind w:left="0" w:right="0"/>
              <w:jc w:val="cente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15 lei/m.l.</w:t>
            </w:r>
          </w:p>
        </w:tc>
      </w:tr>
      <w:tr w14:paraId="3B9BE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5" w:type="dxa"/>
            <w:vAlign w:val="top"/>
          </w:tcPr>
          <w:p w14:paraId="1BBCBE34">
            <w:pPr>
              <w:keepNext w:val="0"/>
              <w:keepLines w:val="0"/>
              <w:pageBreakBefore w:val="0"/>
              <w:widowControl w:val="0"/>
              <w:kinsoku/>
              <w:wordWrap/>
              <w:overflowPunct/>
              <w:topLinePunct w:val="0"/>
              <w:bidi w:val="0"/>
              <w:snapToGrid/>
              <w:spacing w:after="0" w:line="240" w:lineRule="auto"/>
              <w:ind w:left="0" w:right="0"/>
              <w:jc w:val="both"/>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 xml:space="preserve">C. </w:t>
            </w:r>
          </w:p>
        </w:tc>
        <w:tc>
          <w:tcPr>
            <w:tcW w:w="6266" w:type="dxa"/>
            <w:gridSpan w:val="2"/>
            <w:vAlign w:val="top"/>
          </w:tcPr>
          <w:p w14:paraId="3468AA66">
            <w:pPr>
              <w:keepNext w:val="0"/>
              <w:keepLines w:val="0"/>
              <w:pageBreakBefore w:val="0"/>
              <w:widowControl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Locuri de parcare aparţinând administratorului drumului, utilizate de către unităţi de deservire a publicului.</w:t>
            </w:r>
          </w:p>
        </w:tc>
        <w:tc>
          <w:tcPr>
            <w:tcW w:w="1627" w:type="dxa"/>
            <w:vAlign w:val="top"/>
          </w:tcPr>
          <w:p w14:paraId="174568A9">
            <w:pPr>
              <w:keepNext w:val="0"/>
              <w:keepLines w:val="0"/>
              <w:pageBreakBefore w:val="0"/>
              <w:widowControl w:val="0"/>
              <w:kinsoku/>
              <w:wordWrap/>
              <w:overflowPunct/>
              <w:topLinePunct w:val="0"/>
              <w:bidi w:val="0"/>
              <w:snapToGrid/>
              <w:spacing w:after="0" w:line="240" w:lineRule="auto"/>
              <w:ind w:left="0" w:right="0"/>
              <w:jc w:val="cente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5 lei/mp.</w:t>
            </w:r>
          </w:p>
        </w:tc>
      </w:tr>
      <w:tr w14:paraId="2A64D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5" w:type="dxa"/>
            <w:vAlign w:val="top"/>
          </w:tcPr>
          <w:p w14:paraId="042B12EF">
            <w:pPr>
              <w:keepNext w:val="0"/>
              <w:keepLines w:val="0"/>
              <w:pageBreakBefore w:val="0"/>
              <w:widowControl w:val="0"/>
              <w:kinsoku/>
              <w:wordWrap/>
              <w:overflowPunct/>
              <w:topLinePunct w:val="0"/>
              <w:bidi w:val="0"/>
              <w:snapToGrid/>
              <w:spacing w:after="0" w:line="240" w:lineRule="auto"/>
              <w:ind w:left="0" w:right="0"/>
              <w:jc w:val="both"/>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 xml:space="preserve">D. </w:t>
            </w:r>
          </w:p>
        </w:tc>
        <w:tc>
          <w:tcPr>
            <w:tcW w:w="6266" w:type="dxa"/>
            <w:gridSpan w:val="2"/>
            <w:vAlign w:val="top"/>
          </w:tcPr>
          <w:p w14:paraId="6B63A59D">
            <w:pPr>
              <w:keepNext w:val="0"/>
              <w:keepLines w:val="0"/>
              <w:pageBreakBefore w:val="0"/>
              <w:widowControl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Accese la diferite obiective (staţii distribuţie carburanţi, hoteluri, moteluri, depozite en-gros, spaţii comerciale, show-rom, etc.)</w:t>
            </w:r>
          </w:p>
        </w:tc>
        <w:tc>
          <w:tcPr>
            <w:tcW w:w="1627" w:type="dxa"/>
            <w:vAlign w:val="top"/>
          </w:tcPr>
          <w:p w14:paraId="33CAE9C9">
            <w:pPr>
              <w:keepNext w:val="0"/>
              <w:keepLines w:val="0"/>
              <w:pageBreakBefore w:val="0"/>
              <w:widowControl w:val="0"/>
              <w:kinsoku/>
              <w:wordWrap/>
              <w:overflowPunct/>
              <w:topLinePunct w:val="0"/>
              <w:bidi w:val="0"/>
              <w:snapToGrid/>
              <w:spacing w:after="0" w:line="240" w:lineRule="auto"/>
              <w:ind w:left="0" w:right="0"/>
              <w:jc w:val="cente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3,5 lei/mp</w:t>
            </w:r>
          </w:p>
        </w:tc>
      </w:tr>
      <w:tr w14:paraId="29A94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2025" w:type="dxa"/>
            <w:vAlign w:val="top"/>
          </w:tcPr>
          <w:p w14:paraId="165F8FBF">
            <w:pPr>
              <w:keepNext w:val="0"/>
              <w:keepLines w:val="0"/>
              <w:pageBreakBefore w:val="0"/>
              <w:widowControl w:val="0"/>
              <w:kinsoku/>
              <w:wordWrap/>
              <w:overflowPunct/>
              <w:topLinePunct w:val="0"/>
              <w:bidi w:val="0"/>
              <w:snapToGrid/>
              <w:spacing w:after="0" w:line="240" w:lineRule="auto"/>
              <w:ind w:left="0" w:right="0"/>
              <w:jc w:val="both"/>
              <w:rPr>
                <w:rFonts w:hint="default" w:cs="Arial" w:asciiTheme="minorAscii" w:hAnsiTheme="minorAscii" w:eastAsiaTheme="minorEastAsia"/>
                <w:b w:val="0"/>
                <w:bCs w:val="0"/>
                <w:strike w:val="0"/>
                <w:dstrike w:val="0"/>
                <w:color w:val="000000" w:themeColor="text1"/>
                <w:kern w:val="0"/>
                <w:sz w:val="20"/>
                <w:szCs w:val="20"/>
                <w:lang w:val="ro-RO" w:eastAsia="en-US" w:bidi="ar"/>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E.</w:t>
            </w:r>
          </w:p>
        </w:tc>
        <w:tc>
          <w:tcPr>
            <w:tcW w:w="6266" w:type="dxa"/>
            <w:gridSpan w:val="2"/>
            <w:vAlign w:val="top"/>
          </w:tcPr>
          <w:p w14:paraId="07B2A77E">
            <w:pPr>
              <w:keepNext w:val="0"/>
              <w:keepLines w:val="0"/>
              <w:pageBreakBefore w:val="0"/>
              <w:widowControl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Spaţiu cu destinaţie comercială (chioşc, rulotă, masă pentru desfacerea produselor alimentare şi nealimentare).</w:t>
            </w:r>
          </w:p>
        </w:tc>
        <w:tc>
          <w:tcPr>
            <w:tcW w:w="1627" w:type="dxa"/>
            <w:vAlign w:val="top"/>
          </w:tcPr>
          <w:p w14:paraId="6DCF9DD9">
            <w:pPr>
              <w:keepNext w:val="0"/>
              <w:keepLines w:val="0"/>
              <w:pageBreakBefore w:val="0"/>
              <w:widowControl w:val="0"/>
              <w:kinsoku/>
              <w:wordWrap/>
              <w:overflowPunct/>
              <w:topLinePunct w:val="0"/>
              <w:bidi w:val="0"/>
              <w:snapToGrid/>
              <w:spacing w:after="0" w:line="240" w:lineRule="auto"/>
              <w:ind w:left="0" w:right="0"/>
              <w:jc w:val="cente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3,5 lei/mp.</w:t>
            </w:r>
          </w:p>
        </w:tc>
      </w:tr>
    </w:tbl>
    <w:p w14:paraId="7429024B">
      <w:pPr>
        <w:keepNext w:val="0"/>
        <w:keepLines w:val="0"/>
        <w:pageBreakBefore w:val="0"/>
        <w:widowControl/>
        <w:kinsoku/>
        <w:wordWrap/>
        <w:overflowPunct/>
        <w:topLinePunct w:val="0"/>
        <w:autoSpaceDE w:val="0"/>
        <w:autoSpaceDN w:val="0"/>
        <w:bidi w:val="0"/>
        <w:adjustRightInd w:val="0"/>
        <w:snapToGrid/>
        <w:spacing w:after="0" w:line="240" w:lineRule="auto"/>
        <w:ind w:left="0" w:right="0"/>
        <w:jc w:val="both"/>
        <w:textAlignment w:val="auto"/>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NOTĂ:    Modul de aplicare a tarifelor de utilizare a zonei drumurilor prevăzute în prezenta anexa:</w:t>
      </w:r>
    </w:p>
    <w:p w14:paraId="39AC5215">
      <w:pPr>
        <w:keepNext w:val="0"/>
        <w:keepLines w:val="0"/>
        <w:pageBreakBefore w:val="0"/>
        <w:widowControl/>
        <w:kinsoku/>
        <w:wordWrap/>
        <w:overflowPunct/>
        <w:topLinePunct w:val="0"/>
        <w:autoSpaceDE w:val="0"/>
        <w:autoSpaceDN w:val="0"/>
        <w:bidi w:val="0"/>
        <w:adjustRightInd w:val="0"/>
        <w:snapToGrid/>
        <w:spacing w:after="0" w:line="240" w:lineRule="auto"/>
        <w:ind w:left="0" w:right="0"/>
        <w:jc w:val="both"/>
        <w:textAlignment w:val="auto"/>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 xml:space="preserve">    1. Administratorul drumului poate accepta amplasarea unor construcţii sau instalaţii în zona drumului, cu condiţia ca acestea să nu aducă prejudicii drumului şi siguranţei traficului rutier.</w:t>
      </w:r>
    </w:p>
    <w:p w14:paraId="35E1DF37">
      <w:pPr>
        <w:keepNext w:val="0"/>
        <w:keepLines w:val="0"/>
        <w:pageBreakBefore w:val="0"/>
        <w:widowControl/>
        <w:kinsoku/>
        <w:wordWrap/>
        <w:overflowPunct/>
        <w:topLinePunct w:val="0"/>
        <w:autoSpaceDE w:val="0"/>
        <w:autoSpaceDN w:val="0"/>
        <w:bidi w:val="0"/>
        <w:adjustRightInd w:val="0"/>
        <w:snapToGrid/>
        <w:spacing w:after="0" w:line="240" w:lineRule="auto"/>
        <w:ind w:left="0" w:right="0"/>
        <w:jc w:val="both"/>
        <w:textAlignment w:val="auto"/>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 xml:space="preserve">    2. Realizarea sau amplasarea în zona drumurilor a construcţiilor, instalaţiilor, acceselor, refugiilor auto, platformelor carosabile şi panourilor publicitare se face cu respectarea condiţiilor impuse prin autorizaţia de amplasare şi acces la drum şi prin încheierea, dacă este cazul, a contractului aferent utilizării suprafeţei ocupate din ampriza şi zona de siguranţă. În cazul în care nu sunt respectate condiţiile impuse în acordul prealabil, respectiv în autorizaţia de amplasare şi acces la drum, precum şi în cazul în care nu se achită tariful aferent ocupării amprizei şi zonei de siguranţă, proprietarul este obligat să desfiinţeze sau să mute pe cheltuiala sa obiectivul avizat, în termenul stabilit de administratorul drumului. În cazul nerespectării termenului fixat de administratorul drumului, acesta va proceda la dezafectarea/mutarea/demolarea obiectivului pe cheltuiala proprietarului.</w:t>
      </w:r>
    </w:p>
    <w:p w14:paraId="47BBF843">
      <w:pPr>
        <w:keepNext w:val="0"/>
        <w:keepLines w:val="0"/>
        <w:pageBreakBefore w:val="0"/>
        <w:widowControl/>
        <w:kinsoku/>
        <w:wordWrap/>
        <w:overflowPunct/>
        <w:topLinePunct w:val="0"/>
        <w:autoSpaceDE w:val="0"/>
        <w:autoSpaceDN w:val="0"/>
        <w:bidi w:val="0"/>
        <w:adjustRightInd w:val="0"/>
        <w:snapToGrid/>
        <w:spacing w:after="0" w:line="240" w:lineRule="auto"/>
        <w:ind w:left="0" w:right="0"/>
        <w:jc w:val="both"/>
        <w:textAlignment w:val="auto"/>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 xml:space="preserve">    3. Acordul şi autorizaţia de amplasare şi acces la drum se emit pentru o anumită funcţiune a obiectivului. La schimbarea funcţiunii sau a destinaţiei, beneficiarul este obligat să obţină aprobarea administratorului drumului pentru noua situaţie.</w:t>
      </w:r>
    </w:p>
    <w:p w14:paraId="61E5842A">
      <w:pPr>
        <w:keepNext w:val="0"/>
        <w:keepLines w:val="0"/>
        <w:pageBreakBefore w:val="0"/>
        <w:widowControl/>
        <w:kinsoku/>
        <w:wordWrap/>
        <w:overflowPunct/>
        <w:topLinePunct w:val="0"/>
        <w:autoSpaceDE w:val="0"/>
        <w:autoSpaceDN w:val="0"/>
        <w:bidi w:val="0"/>
        <w:adjustRightInd w:val="0"/>
        <w:snapToGrid/>
        <w:spacing w:after="0" w:line="240" w:lineRule="auto"/>
        <w:ind w:left="0" w:right="0"/>
        <w:jc w:val="both"/>
        <w:textAlignment w:val="auto"/>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 xml:space="preserve">    4. Tarifele se percep persoanelor fizice şi juridice care au obligaţia de a solicita autorizaţie.</w:t>
      </w:r>
    </w:p>
    <w:p w14:paraId="025C2BB7">
      <w:pPr>
        <w:keepNext w:val="0"/>
        <w:keepLines w:val="0"/>
        <w:pageBreakBefore w:val="0"/>
        <w:widowControl/>
        <w:kinsoku/>
        <w:wordWrap/>
        <w:overflowPunct/>
        <w:topLinePunct w:val="0"/>
        <w:autoSpaceDE w:val="0"/>
        <w:autoSpaceDN w:val="0"/>
        <w:bidi w:val="0"/>
        <w:adjustRightInd w:val="0"/>
        <w:snapToGrid/>
        <w:spacing w:after="0" w:line="240" w:lineRule="auto"/>
        <w:ind w:left="0" w:right="0"/>
        <w:jc w:val="both"/>
        <w:textAlignment w:val="auto"/>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 xml:space="preserve">    5. Tarifele se aplică şi în cazul în care obiectivele nu funcţionează sau în cazurile în care lucrările la acestea au fost sistate sau nu au fost finalizate.</w:t>
      </w:r>
    </w:p>
    <w:p w14:paraId="627512BB">
      <w:pPr>
        <w:keepNext w:val="0"/>
        <w:keepLines w:val="0"/>
        <w:pageBreakBefore w:val="0"/>
        <w:widowControl/>
        <w:kinsoku/>
        <w:wordWrap/>
        <w:overflowPunct/>
        <w:topLinePunct w:val="0"/>
        <w:autoSpaceDE w:val="0"/>
        <w:autoSpaceDN w:val="0"/>
        <w:bidi w:val="0"/>
        <w:adjustRightInd w:val="0"/>
        <w:snapToGrid/>
        <w:spacing w:after="0" w:line="240" w:lineRule="auto"/>
        <w:ind w:left="0" w:right="0" w:firstLine="400"/>
        <w:jc w:val="both"/>
        <w:textAlignment w:val="auto"/>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6. Tarifele se aplică şi în cazul în care obiectivele se vor amplasa în afara zonei de protecţie a drumurilor, însă numai dacă se realizează şi drum de acces la drumurile locale sau alte lucrări în ampriză şi în zona de siguranţă.</w:t>
      </w:r>
    </w:p>
    <w:p w14:paraId="680FF6B5">
      <w:pPr>
        <w:keepNext w:val="0"/>
        <w:keepLines w:val="0"/>
        <w:pageBreakBefore w:val="0"/>
        <w:widowControl/>
        <w:kinsoku/>
        <w:wordWrap/>
        <w:overflowPunct/>
        <w:topLinePunct w:val="0"/>
        <w:autoSpaceDE w:val="0"/>
        <w:autoSpaceDN w:val="0"/>
        <w:bidi w:val="0"/>
        <w:adjustRightInd w:val="0"/>
        <w:snapToGrid/>
        <w:spacing w:after="0" w:line="240" w:lineRule="auto"/>
        <w:ind w:left="0" w:right="0"/>
        <w:jc w:val="both"/>
        <w:textAlignment w:val="auto"/>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 xml:space="preserve"> 7. Persoanelor fizice care solicită avizul administratorului drumului pentru construcţii de locuinţe, garaje, racorduri la instalaţiile de gaze, apă, telefonie, TV, electricitate, canalizare etc. li se încasează o singură dată </w:t>
      </w:r>
      <w:r>
        <w:rPr>
          <w:rFonts w:hint="default" w:cs="Arial" w:asciiTheme="minorAscii" w:hAnsiTheme="minorAscii"/>
          <w:b w:val="0"/>
          <w:bCs w:val="0"/>
          <w:strike w:val="0"/>
          <w:dstrike w:val="0"/>
          <w:color w:val="000000" w:themeColor="text1"/>
          <w:sz w:val="20"/>
          <w:szCs w:val="20"/>
          <w:u w:val="single"/>
          <w:lang w:val="ro-RO"/>
          <w14:textFill>
            <w14:solidFill>
              <w14:schemeClr w14:val="tx1"/>
            </w14:solidFill>
          </w14:textFill>
        </w:rPr>
        <w:t>suma de 100 l</w:t>
      </w: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ei, respectiv fie la eliberarea acordului, fie la eliberarea autorizaţiei.</w:t>
      </w:r>
    </w:p>
    <w:p w14:paraId="0F7569BC">
      <w:pPr>
        <w:keepNext w:val="0"/>
        <w:keepLines w:val="0"/>
        <w:pageBreakBefore w:val="0"/>
        <w:widowControl/>
        <w:kinsoku/>
        <w:wordWrap/>
        <w:overflowPunct/>
        <w:topLinePunct w:val="0"/>
        <w:autoSpaceDE w:val="0"/>
        <w:autoSpaceDN w:val="0"/>
        <w:bidi w:val="0"/>
        <w:adjustRightInd w:val="0"/>
        <w:snapToGrid/>
        <w:spacing w:after="0" w:line="240" w:lineRule="auto"/>
        <w:ind w:left="0" w:right="0"/>
        <w:jc w:val="both"/>
        <w:textAlignment w:val="auto"/>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 xml:space="preserve">    8. Pentru panourile publicitare, suprafaţa minimă supusă tarifării va fi suprafaţa rezultată din încadrarea proiecţiei orizontale a panoului, la care se adaugă 1,00 m de jur împrejur.</w:t>
      </w:r>
    </w:p>
    <w:p w14:paraId="746F1436">
      <w:pPr>
        <w:keepNext w:val="0"/>
        <w:keepLines w:val="0"/>
        <w:pageBreakBefore w:val="0"/>
        <w:widowControl/>
        <w:kinsoku/>
        <w:wordWrap/>
        <w:overflowPunct/>
        <w:topLinePunct w:val="0"/>
        <w:autoSpaceDE w:val="0"/>
        <w:autoSpaceDN w:val="0"/>
        <w:bidi w:val="0"/>
        <w:adjustRightInd w:val="0"/>
        <w:snapToGrid/>
        <w:spacing w:after="0" w:line="240" w:lineRule="auto"/>
        <w:ind w:left="0" w:right="0"/>
        <w:jc w:val="both"/>
        <w:textAlignment w:val="auto"/>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 xml:space="preserve">    9. Pentru spaţiile prevăzute la lit. G din tabelul de mai sus, suprafaţa minimă tarifată va fi suprafaţa obiectivului amplasat, plus 1,00 m de jur împrejur, la care se adaugă suprafaţa aferentă staţionării autovehiculelor în afara părţii carosabile.</w:t>
      </w:r>
    </w:p>
    <w:p w14:paraId="58136EFD">
      <w:pPr>
        <w:keepNext w:val="0"/>
        <w:keepLines w:val="0"/>
        <w:pageBreakBefore w:val="0"/>
        <w:widowControl/>
        <w:kinsoku/>
        <w:wordWrap/>
        <w:overflowPunct/>
        <w:topLinePunct w:val="0"/>
        <w:autoSpaceDE w:val="0"/>
        <w:autoSpaceDN w:val="0"/>
        <w:bidi w:val="0"/>
        <w:adjustRightInd w:val="0"/>
        <w:snapToGrid/>
        <w:spacing w:after="0" w:line="240" w:lineRule="auto"/>
        <w:ind w:left="0" w:right="0"/>
        <w:jc w:val="both"/>
        <w:textAlignment w:val="auto"/>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 xml:space="preserve">    10. Pentru accesele la diferite obiective prevăzute la lit. E, suprafaţa supusă tarifării reprezintă terenul ocupat din zona drumului, respectiv din ampriza şi zona de siguranţă, prin realizarea accesului cu racordare simplă (dacă amplasamentul este situat în localitate), a benzilor de accelerare şi decelerare (dacă amplasamentul este în afara localităţii), respectiv a benzii de stocaj pentru virare la stânga. În afara localităţii, amenajarea accesului la drumul naţional se realizează conform Normativului C 173/1986 privind amenajarea la acelaşi nivel a intersecţiilor drumurilor publice din afara localităţilor.</w:t>
      </w:r>
    </w:p>
    <w:p w14:paraId="77873AAB">
      <w:pPr>
        <w:keepNext w:val="0"/>
        <w:keepLines w:val="0"/>
        <w:pageBreakBefore w:val="0"/>
        <w:widowControl/>
        <w:kinsoku/>
        <w:wordWrap/>
        <w:overflowPunct/>
        <w:topLinePunct w:val="0"/>
        <w:autoSpaceDE w:val="0"/>
        <w:autoSpaceDN w:val="0"/>
        <w:bidi w:val="0"/>
        <w:adjustRightInd w:val="0"/>
        <w:snapToGrid/>
        <w:spacing w:after="0" w:line="240" w:lineRule="auto"/>
        <w:ind w:left="0" w:right="0"/>
        <w:jc w:val="both"/>
        <w:textAlignment w:val="auto"/>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 xml:space="preserve">    Amplasamentul este în localitate atunci când este situat între indicatoarele rutiere de intrare şi ieşire în/din localitate.</w:t>
      </w:r>
    </w:p>
    <w:p w14:paraId="386593A0">
      <w:pPr>
        <w:keepNext w:val="0"/>
        <w:keepLines w:val="0"/>
        <w:pageBreakBefore w:val="0"/>
        <w:widowControl/>
        <w:kinsoku/>
        <w:wordWrap/>
        <w:overflowPunct/>
        <w:topLinePunct w:val="0"/>
        <w:autoSpaceDE w:val="0"/>
        <w:autoSpaceDN w:val="0"/>
        <w:bidi w:val="0"/>
        <w:adjustRightInd w:val="0"/>
        <w:snapToGrid/>
        <w:spacing w:after="0" w:line="240" w:lineRule="auto"/>
        <w:ind w:left="0" w:right="0"/>
        <w:jc w:val="both"/>
        <w:textAlignment w:val="auto"/>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 xml:space="preserve">    11. Pentru benzile transportatoare se percep numai tarifele de la traversare aeriană.</w:t>
      </w:r>
    </w:p>
    <w:p w14:paraId="2773EFF3">
      <w:pPr>
        <w:keepNext w:val="0"/>
        <w:keepLines w:val="0"/>
        <w:pageBreakBefore w:val="0"/>
        <w:widowControl/>
        <w:kinsoku/>
        <w:wordWrap/>
        <w:overflowPunct/>
        <w:topLinePunct w:val="0"/>
        <w:autoSpaceDE w:val="0"/>
        <w:autoSpaceDN w:val="0"/>
        <w:bidi w:val="0"/>
        <w:adjustRightInd w:val="0"/>
        <w:snapToGrid/>
        <w:spacing w:after="0" w:line="240" w:lineRule="auto"/>
        <w:ind w:left="0" w:right="0"/>
        <w:jc w:val="both"/>
        <w:textAlignment w:val="auto"/>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 xml:space="preserve">    - Tariful de utilizare a zonei drumului nu se aplică persoanelor fizice care realizează accese la locuinţe, case de vacanţă sau garaje, precum şi pentru instalaţiile care asigură utilităţile necesare consumului casnic (apă, gaze, energie electrică, canalizare). Această scutire nu este valabilă însă în cazul în care se schimbă destinaţia locuinţei sau garajului (de exemplu, transformarea în spaţiu comercial etc.) sau se amplasează în incintă construcţii cu caracter comercial.</w:t>
      </w:r>
    </w:p>
    <w:p w14:paraId="28A0DC0D">
      <w:pPr>
        <w:keepNext w:val="0"/>
        <w:keepLines w:val="0"/>
        <w:pageBreakBefore w:val="0"/>
        <w:widowControl/>
        <w:kinsoku/>
        <w:wordWrap/>
        <w:overflowPunct/>
        <w:topLinePunct w:val="0"/>
        <w:autoSpaceDE w:val="0"/>
        <w:autoSpaceDN w:val="0"/>
        <w:bidi w:val="0"/>
        <w:adjustRightInd w:val="0"/>
        <w:snapToGrid/>
        <w:spacing w:after="0" w:line="240" w:lineRule="auto"/>
        <w:ind w:left="0" w:right="0"/>
        <w:jc w:val="both"/>
        <w:textAlignment w:val="auto"/>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 xml:space="preserve">   -Tariful de utilizare a zonei drumurilor nu se aplică Primăriei, unităţile bugetare de asistenţă socială, cult şi de educaţie (spitale, creşe, aziluri de bătrâni, şcoli, grădiniţe, biserici).</w:t>
      </w:r>
    </w:p>
    <w:p w14:paraId="30A151A2">
      <w:pPr>
        <w:keepNext w:val="0"/>
        <w:keepLines w:val="0"/>
        <w:pageBreakBefore w:val="0"/>
        <w:widowControl/>
        <w:kinsoku/>
        <w:wordWrap/>
        <w:overflowPunct/>
        <w:topLinePunct w:val="0"/>
        <w:bidi w:val="0"/>
        <w:snapToGrid/>
        <w:spacing w:after="0" w:line="240" w:lineRule="auto"/>
        <w:ind w:left="0" w:right="0"/>
        <w:jc w:val="both"/>
        <w:textAlignment w:val="auto"/>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 xml:space="preserve">   12. Tarifele din prezenta listă anexă nu includ TVA.</w:t>
      </w:r>
    </w:p>
    <w:p w14:paraId="61C0CD51">
      <w:pPr>
        <w:keepNext w:val="0"/>
        <w:keepLines w:val="0"/>
        <w:pageBreakBefore w:val="0"/>
        <w:widowControl/>
        <w:kinsoku/>
        <w:wordWrap/>
        <w:overflowPunct/>
        <w:topLinePunct w:val="0"/>
        <w:bidi w:val="0"/>
        <w:snapToGrid/>
        <w:spacing w:after="0" w:line="240" w:lineRule="auto"/>
        <w:ind w:left="0" w:right="0"/>
        <w:jc w:val="both"/>
        <w:textAlignment w:val="auto"/>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 xml:space="preserve">   13. Tarifele de la nr.crt. E şi F sunt minimale, ele putând fi majorate în urma licitaţiei.</w:t>
      </w:r>
    </w:p>
    <w:p w14:paraId="0146AD9A">
      <w:pPr>
        <w:keepNext w:val="0"/>
        <w:keepLines w:val="0"/>
        <w:pageBreakBefore w:val="0"/>
        <w:widowControl/>
        <w:kinsoku/>
        <w:wordWrap/>
        <w:overflowPunct/>
        <w:topLinePunct w:val="0"/>
        <w:bidi w:val="0"/>
        <w:snapToGrid/>
        <w:spacing w:after="0" w:line="240" w:lineRule="auto"/>
        <w:ind w:left="0" w:right="0"/>
        <w:jc w:val="both"/>
        <w:textAlignment w:val="auto"/>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 xml:space="preserve">   14. Tarifele sunt folosite pentru stabilirea  tarifului de folosinţă la convenţiile privind utilizarea drumului local.</w:t>
      </w:r>
    </w:p>
    <w:p w14:paraId="1037EB1F">
      <w:pPr>
        <w:keepNext w:val="0"/>
        <w:keepLines w:val="0"/>
        <w:pageBreakBefore w:val="0"/>
        <w:widowControl/>
        <w:kinsoku/>
        <w:wordWrap/>
        <w:overflowPunct/>
        <w:topLinePunct w:val="0"/>
        <w:bidi w:val="0"/>
        <w:snapToGrid/>
        <w:spacing w:after="0" w:line="240" w:lineRule="auto"/>
        <w:ind w:left="0" w:right="0"/>
        <w:jc w:val="both"/>
        <w:textAlignment w:val="auto"/>
        <w:rPr>
          <w:rFonts w:hint="default" w:cs="Arial" w:asciiTheme="minorAscii" w:hAnsiTheme="minorAscii"/>
          <w:b w:val="0"/>
          <w:bCs w:val="0"/>
          <w:strike w:val="0"/>
          <w:dstrike w:val="0"/>
          <w:color w:val="000000" w:themeColor="text1"/>
          <w:sz w:val="20"/>
          <w:szCs w:val="20"/>
          <w:u w:val="single"/>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u w:val="single"/>
          <w:lang w:val="ro-RO"/>
          <w14:textFill>
            <w14:solidFill>
              <w14:schemeClr w14:val="tx1"/>
            </w14:solidFill>
          </w14:textFill>
        </w:rPr>
        <w:t>TABEL</w:t>
      </w:r>
      <w:r>
        <w:rPr>
          <w:rFonts w:hint="default" w:cs="Arial" w:asciiTheme="minorAscii" w:hAnsiTheme="minorAscii"/>
          <w:b w:val="0"/>
          <w:bCs w:val="0"/>
          <w:strike w:val="0"/>
          <w:dstrike w:val="0"/>
          <w:color w:val="000000" w:themeColor="text1"/>
          <w:sz w:val="20"/>
          <w:szCs w:val="20"/>
          <w:u w:val="single"/>
          <w:lang w:val="ro-RO"/>
          <w14:textFill>
            <w14:solidFill>
              <w14:schemeClr w14:val="tx1"/>
            </w14:solidFill>
          </w14:textFill>
        </w:rPr>
        <w:t xml:space="preserve"> </w:t>
      </w:r>
      <w:r>
        <w:rPr>
          <w:rFonts w:hint="default" w:eastAsia="Times New Roman" w:cs="Arial" w:asciiTheme="minorAscii" w:hAnsiTheme="minorAscii"/>
          <w:b w:val="0"/>
          <w:bCs w:val="0"/>
          <w:strike w:val="0"/>
          <w:dstrike w:val="0"/>
          <w:color w:val="000000" w:themeColor="text1"/>
          <w:sz w:val="20"/>
          <w:szCs w:val="20"/>
          <w:u w:val="single"/>
          <w:lang w:val="ro-RO"/>
          <w14:textFill>
            <w14:solidFill>
              <w14:schemeClr w14:val="tx1"/>
            </w14:solidFill>
          </w14:textFill>
        </w:rPr>
        <w:t xml:space="preserve"> nr.</w:t>
      </w:r>
      <w:r>
        <w:rPr>
          <w:rFonts w:hint="default" w:cs="Arial" w:asciiTheme="minorAscii" w:hAnsiTheme="minorAscii"/>
          <w:b w:val="0"/>
          <w:bCs w:val="0"/>
          <w:strike w:val="0"/>
          <w:dstrike w:val="0"/>
          <w:color w:val="000000" w:themeColor="text1"/>
          <w:sz w:val="20"/>
          <w:szCs w:val="20"/>
          <w:u w:val="single"/>
          <w:lang w:val="ro-RO"/>
          <w14:textFill>
            <w14:solidFill>
              <w14:schemeClr w14:val="tx1"/>
            </w14:solidFill>
          </w14:textFill>
        </w:rPr>
        <w:t>VI</w:t>
      </w:r>
      <w:r>
        <w:rPr>
          <w:rFonts w:hint="default" w:eastAsia="Times New Roman" w:cs="Arial" w:asciiTheme="minorAscii" w:hAnsiTheme="minorAscii"/>
          <w:b w:val="0"/>
          <w:bCs w:val="0"/>
          <w:strike w:val="0"/>
          <w:dstrike w:val="0"/>
          <w:color w:val="000000" w:themeColor="text1"/>
          <w:sz w:val="20"/>
          <w:szCs w:val="20"/>
          <w:u w:val="single"/>
          <w:lang w:val="ro-RO"/>
          <w14:textFill>
            <w14:solidFill>
              <w14:schemeClr w14:val="tx1"/>
            </w14:solidFill>
          </w14:textFill>
        </w:rPr>
        <w:t xml:space="preserve">. </w:t>
      </w:r>
      <w:r>
        <w:rPr>
          <w:rFonts w:hint="default" w:cs="Arial" w:asciiTheme="minorAscii" w:hAnsiTheme="minorAscii"/>
          <w:b w:val="0"/>
          <w:bCs w:val="0"/>
          <w:strike w:val="0"/>
          <w:dstrike w:val="0"/>
          <w:color w:val="000000" w:themeColor="text1"/>
          <w:sz w:val="20"/>
          <w:szCs w:val="20"/>
          <w:u w:val="single"/>
          <w:lang w:val="ro-RO"/>
          <w14:textFill>
            <w14:solidFill>
              <w14:schemeClr w14:val="tx1"/>
            </w14:solidFill>
          </w14:textFill>
        </w:rPr>
        <w:t xml:space="preserve">  </w:t>
      </w:r>
      <w:r>
        <w:rPr>
          <w:rFonts w:hint="default" w:cs="Arial" w:asciiTheme="minorAscii" w:hAnsiTheme="minorAscii"/>
          <w:b w:val="0"/>
          <w:bCs w:val="0"/>
          <w:strike w:val="0"/>
          <w:dstrike w:val="0"/>
          <w:color w:val="000000" w:themeColor="text1"/>
          <w:sz w:val="20"/>
          <w:szCs w:val="20"/>
          <w:u w:val="single"/>
          <w14:textFill>
            <w14:solidFill>
              <w14:schemeClr w14:val="tx1"/>
            </w14:solidFill>
          </w14:textFill>
        </w:rPr>
        <w:t xml:space="preserve">Taxe pentru culegerea plantelor şi fructelor de pădure </w:t>
      </w:r>
    </w:p>
    <w:p w14:paraId="77D83FB4">
      <w:pPr>
        <w:keepNext w:val="0"/>
        <w:keepLines w:val="0"/>
        <w:pageBreakBefore w:val="0"/>
        <w:widowControl/>
        <w:kinsoku/>
        <w:wordWrap/>
        <w:overflowPunct/>
        <w:topLinePunct w:val="0"/>
        <w:bidi w:val="0"/>
        <w:snapToGrid/>
        <w:spacing w:after="0" w:line="240" w:lineRule="auto"/>
        <w:ind w:left="0" w:right="0"/>
        <w:jc w:val="both"/>
        <w:textAlignment w:val="auto"/>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cs="Arial" w:asciiTheme="minorAscii" w:hAnsiTheme="minorAscii"/>
          <w:b w:val="0"/>
          <w:bCs w:val="0"/>
          <w:strike w:val="0"/>
          <w:dstrike w:val="0"/>
          <w:color w:val="000000" w:themeColor="text1"/>
          <w:sz w:val="20"/>
          <w:szCs w:val="20"/>
          <w14:textFill>
            <w14:solidFill>
              <w14:schemeClr w14:val="tx1"/>
            </w14:solidFill>
          </w14:textFill>
        </w:rPr>
        <w:tab/>
      </w:r>
      <w:r>
        <w:rPr>
          <w:rFonts w:hint="default" w:cs="Arial" w:asciiTheme="minorAscii" w:hAnsiTheme="minorAscii"/>
          <w:b w:val="0"/>
          <w:bCs w:val="0"/>
          <w:strike w:val="0"/>
          <w:dstrike w:val="0"/>
          <w:color w:val="000000" w:themeColor="text1"/>
          <w:sz w:val="20"/>
          <w:szCs w:val="20"/>
          <w14:textFill>
            <w14:solidFill>
              <w14:schemeClr w14:val="tx1"/>
            </w14:solidFill>
          </w14:textFill>
        </w:rPr>
        <w:t>(1) Persoanele fizice sau juridice care desfășoară activități de colectare a ciupercilor, fructelor de pădure sau plantelor medicinale, de pe terenurile aparținând domeniului public sau privat al Comunei Bucoșnișa, în scopul comercializării acestor produse, datorează la bugetul local următoarele taxe:</w:t>
      </w:r>
    </w:p>
    <w:tbl>
      <w:tblPr>
        <w:tblStyle w:val="10"/>
        <w:tblpPr w:leftFromText="180" w:rightFromText="180" w:vertAnchor="text" w:horzAnchor="page" w:tblpX="1462" w:tblpY="188"/>
        <w:tblOverlap w:val="never"/>
        <w:tblW w:w="85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6"/>
        <w:gridCol w:w="1485"/>
      </w:tblGrid>
      <w:tr w14:paraId="7FDC0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1" w:type="dxa"/>
            <w:gridSpan w:val="2"/>
            <w:vAlign w:val="top"/>
          </w:tcPr>
          <w:p w14:paraId="7E5C7B29">
            <w:pPr>
              <w:keepNext w:val="0"/>
              <w:keepLines w:val="0"/>
              <w:pageBreakBefore w:val="0"/>
              <w:kinsoku/>
              <w:wordWrap/>
              <w:overflowPunct/>
              <w:topLinePunct w:val="0"/>
              <w:bidi w:val="0"/>
              <w:snapToGrid/>
              <w:spacing w:after="0" w:line="240" w:lineRule="auto"/>
              <w:ind w:left="0" w:right="0"/>
              <w:jc w:val="center"/>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cs="Arial" w:asciiTheme="minorAscii" w:hAnsiTheme="minorAscii"/>
                <w:b w:val="0"/>
                <w:bCs w:val="0"/>
                <w:strike w:val="0"/>
                <w:dstrike w:val="0"/>
                <w:color w:val="000000" w:themeColor="text1"/>
                <w:sz w:val="20"/>
                <w:szCs w:val="20"/>
                <w14:textFill>
                  <w14:solidFill>
                    <w14:schemeClr w14:val="tx1"/>
                  </w14:solidFill>
                </w14:textFill>
              </w:rPr>
              <w:t>Categoria de produse recoltate</w:t>
            </w:r>
          </w:p>
          <w:p w14:paraId="6531CF63">
            <w:pPr>
              <w:keepNext w:val="0"/>
              <w:keepLines w:val="0"/>
              <w:pageBreakBefore w:val="0"/>
              <w:kinsoku/>
              <w:wordWrap/>
              <w:overflowPunct/>
              <w:topLinePunct w:val="0"/>
              <w:bidi w:val="0"/>
              <w:snapToGrid/>
              <w:spacing w:after="0" w:line="240" w:lineRule="auto"/>
              <w:ind w:left="0" w:right="0"/>
              <w:jc w:val="cente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2026</w:t>
            </w:r>
          </w:p>
        </w:tc>
      </w:tr>
      <w:tr w14:paraId="2C527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6" w:type="dxa"/>
            <w:vAlign w:val="top"/>
          </w:tcPr>
          <w:p w14:paraId="38FDC02D">
            <w:pPr>
              <w:pStyle w:val="12"/>
              <w:keepNext w:val="0"/>
              <w:keepLines w:val="0"/>
              <w:pageBreakBefore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cs="Arial" w:asciiTheme="minorAscii" w:hAnsiTheme="minorAscii"/>
                <w:b w:val="0"/>
                <w:bCs w:val="0"/>
                <w:strike w:val="0"/>
                <w:dstrike w:val="0"/>
                <w:color w:val="000000" w:themeColor="text1"/>
                <w:sz w:val="20"/>
                <w:szCs w:val="20"/>
                <w14:textFill>
                  <w14:solidFill>
                    <w14:schemeClr w14:val="tx1"/>
                  </w14:solidFill>
                </w14:textFill>
              </w:rPr>
              <w:t>Ciuperci şi bureţi comestibili</w:t>
            </w:r>
          </w:p>
        </w:tc>
        <w:tc>
          <w:tcPr>
            <w:tcW w:w="1485" w:type="dxa"/>
            <w:vAlign w:val="top"/>
          </w:tcPr>
          <w:p w14:paraId="27DDB9EE">
            <w:pPr>
              <w:pStyle w:val="12"/>
              <w:keepNext w:val="0"/>
              <w:keepLines w:val="0"/>
              <w:pageBreakBefore w:val="0"/>
              <w:kinsoku/>
              <w:wordWrap/>
              <w:overflowPunct/>
              <w:topLinePunct w:val="0"/>
              <w:bidi w:val="0"/>
              <w:snapToGrid/>
              <w:spacing w:after="0" w:line="240" w:lineRule="auto"/>
              <w:ind w:left="0" w:right="0"/>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cs="Arial" w:asciiTheme="minorAscii" w:hAnsiTheme="minorAscii"/>
                <w:b w:val="0"/>
                <w:bCs w:val="0"/>
                <w:strike w:val="0"/>
                <w:dstrike w:val="0"/>
                <w:color w:val="000000" w:themeColor="text1"/>
                <w:sz w:val="20"/>
                <w:szCs w:val="20"/>
                <w14:textFill>
                  <w14:solidFill>
                    <w14:schemeClr w14:val="tx1"/>
                  </w14:solidFill>
                </w14:textFill>
              </w:rPr>
              <w:t>500 lei/sezon</w:t>
            </w:r>
          </w:p>
        </w:tc>
      </w:tr>
      <w:tr w14:paraId="44F3A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6" w:type="dxa"/>
            <w:vAlign w:val="top"/>
          </w:tcPr>
          <w:p w14:paraId="73DC45A9">
            <w:pPr>
              <w:pStyle w:val="12"/>
              <w:keepNext w:val="0"/>
              <w:keepLines w:val="0"/>
              <w:pageBreakBefore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cs="Arial" w:asciiTheme="minorAscii" w:hAnsiTheme="minorAscii"/>
                <w:b w:val="0"/>
                <w:bCs w:val="0"/>
                <w:strike w:val="0"/>
                <w:dstrike w:val="0"/>
                <w:color w:val="000000" w:themeColor="text1"/>
                <w:sz w:val="20"/>
                <w:szCs w:val="20"/>
                <w14:textFill>
                  <w14:solidFill>
                    <w14:schemeClr w14:val="tx1"/>
                  </w14:solidFill>
                </w14:textFill>
              </w:rPr>
              <w:t>Fragi, zmeuri, afine, mure</w:t>
            </w:r>
          </w:p>
        </w:tc>
        <w:tc>
          <w:tcPr>
            <w:tcW w:w="1485" w:type="dxa"/>
            <w:vAlign w:val="top"/>
          </w:tcPr>
          <w:p w14:paraId="339FB913">
            <w:pPr>
              <w:pStyle w:val="12"/>
              <w:keepNext w:val="0"/>
              <w:keepLines w:val="0"/>
              <w:pageBreakBefore w:val="0"/>
              <w:kinsoku/>
              <w:wordWrap/>
              <w:overflowPunct/>
              <w:topLinePunct w:val="0"/>
              <w:bidi w:val="0"/>
              <w:snapToGrid/>
              <w:spacing w:after="0" w:line="240" w:lineRule="auto"/>
              <w:ind w:left="0" w:right="0"/>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cs="Arial" w:asciiTheme="minorAscii" w:hAnsiTheme="minorAscii"/>
                <w:b w:val="0"/>
                <w:bCs w:val="0"/>
                <w:strike w:val="0"/>
                <w:dstrike w:val="0"/>
                <w:color w:val="000000" w:themeColor="text1"/>
                <w:sz w:val="20"/>
                <w:szCs w:val="20"/>
                <w14:textFill>
                  <w14:solidFill>
                    <w14:schemeClr w14:val="tx1"/>
                  </w14:solidFill>
                </w14:textFill>
              </w:rPr>
              <w:t>500 lei/sezon</w:t>
            </w:r>
          </w:p>
        </w:tc>
      </w:tr>
      <w:tr w14:paraId="72145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6" w:type="dxa"/>
            <w:vAlign w:val="top"/>
          </w:tcPr>
          <w:p w14:paraId="5547B035">
            <w:pPr>
              <w:pStyle w:val="12"/>
              <w:keepNext w:val="0"/>
              <w:keepLines w:val="0"/>
              <w:pageBreakBefore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cs="Arial" w:asciiTheme="minorAscii" w:hAnsiTheme="minorAscii"/>
                <w:b w:val="0"/>
                <w:bCs w:val="0"/>
                <w:strike w:val="0"/>
                <w:dstrike w:val="0"/>
                <w:color w:val="000000" w:themeColor="text1"/>
                <w:sz w:val="20"/>
                <w:szCs w:val="20"/>
                <w14:textFill>
                  <w14:solidFill>
                    <w14:schemeClr w14:val="tx1"/>
                  </w14:solidFill>
                </w14:textFill>
              </w:rPr>
              <w:t>Plante medicinale sau cu efecte curative</w:t>
            </w:r>
          </w:p>
        </w:tc>
        <w:tc>
          <w:tcPr>
            <w:tcW w:w="1485" w:type="dxa"/>
            <w:vAlign w:val="top"/>
          </w:tcPr>
          <w:p w14:paraId="7719AA05">
            <w:pPr>
              <w:pStyle w:val="12"/>
              <w:keepNext w:val="0"/>
              <w:keepLines w:val="0"/>
              <w:pageBreakBefore w:val="0"/>
              <w:kinsoku/>
              <w:wordWrap/>
              <w:overflowPunct/>
              <w:topLinePunct w:val="0"/>
              <w:bidi w:val="0"/>
              <w:snapToGrid/>
              <w:spacing w:after="0" w:line="240" w:lineRule="auto"/>
              <w:ind w:left="0" w:right="0"/>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cs="Arial" w:asciiTheme="minorAscii" w:hAnsiTheme="minorAscii"/>
                <w:b w:val="0"/>
                <w:bCs w:val="0"/>
                <w:strike w:val="0"/>
                <w:dstrike w:val="0"/>
                <w:color w:val="000000" w:themeColor="text1"/>
                <w:sz w:val="20"/>
                <w:szCs w:val="20"/>
                <w14:textFill>
                  <w14:solidFill>
                    <w14:schemeClr w14:val="tx1"/>
                  </w14:solidFill>
                </w14:textFill>
              </w:rPr>
              <w:t>100 lei/sezon</w:t>
            </w:r>
          </w:p>
        </w:tc>
      </w:tr>
    </w:tbl>
    <w:p w14:paraId="73D9CDE3">
      <w:pPr>
        <w:keepNext w:val="0"/>
        <w:keepLines w:val="0"/>
        <w:pageBreakBefore w:val="0"/>
        <w:kinsoku/>
        <w:wordWrap/>
        <w:overflowPunct/>
        <w:topLinePunct w:val="0"/>
        <w:bidi w:val="0"/>
        <w:snapToGrid/>
        <w:spacing w:after="0" w:line="240" w:lineRule="auto"/>
        <w:ind w:left="0" w:right="0"/>
        <w:jc w:val="both"/>
        <w:rPr>
          <w:rFonts w:hint="default" w:cs="Arial" w:asciiTheme="minorAscii" w:hAnsiTheme="minorAscii"/>
          <w:b w:val="0"/>
          <w:bCs w:val="0"/>
          <w:strike w:val="0"/>
          <w:dstrike w:val="0"/>
          <w:color w:val="000000" w:themeColor="text1"/>
          <w:sz w:val="20"/>
          <w:szCs w:val="20"/>
          <w14:textFill>
            <w14:solidFill>
              <w14:schemeClr w14:val="tx1"/>
            </w14:solidFill>
          </w14:textFill>
        </w:rPr>
      </w:pPr>
    </w:p>
    <w:p w14:paraId="303A6563">
      <w:pPr>
        <w:keepNext w:val="0"/>
        <w:keepLines w:val="0"/>
        <w:pageBreakBefore w:val="0"/>
        <w:kinsoku/>
        <w:wordWrap/>
        <w:overflowPunct/>
        <w:topLinePunct w:val="0"/>
        <w:bidi w:val="0"/>
        <w:snapToGrid/>
        <w:spacing w:after="0" w:line="240" w:lineRule="auto"/>
        <w:ind w:left="0" w:right="0"/>
        <w:jc w:val="both"/>
        <w:rPr>
          <w:rFonts w:hint="default" w:cs="Arial" w:asciiTheme="minorAscii" w:hAnsiTheme="minorAscii"/>
          <w:b w:val="0"/>
          <w:bCs w:val="0"/>
          <w:strike w:val="0"/>
          <w:dstrike w:val="0"/>
          <w:color w:val="000000" w:themeColor="text1"/>
          <w:sz w:val="20"/>
          <w:szCs w:val="20"/>
          <w14:textFill>
            <w14:solidFill>
              <w14:schemeClr w14:val="tx1"/>
            </w14:solidFill>
          </w14:textFill>
        </w:rPr>
      </w:pPr>
    </w:p>
    <w:p w14:paraId="41D7B274">
      <w:pPr>
        <w:keepNext w:val="0"/>
        <w:keepLines w:val="0"/>
        <w:pageBreakBefore w:val="0"/>
        <w:kinsoku/>
        <w:wordWrap/>
        <w:overflowPunct/>
        <w:topLinePunct w:val="0"/>
        <w:bidi w:val="0"/>
        <w:snapToGrid/>
        <w:spacing w:after="0" w:line="240" w:lineRule="auto"/>
        <w:ind w:left="0" w:right="0"/>
        <w:jc w:val="both"/>
        <w:rPr>
          <w:rFonts w:hint="default" w:cs="Arial" w:asciiTheme="minorAscii" w:hAnsiTheme="minorAscii"/>
          <w:b w:val="0"/>
          <w:bCs w:val="0"/>
          <w:strike w:val="0"/>
          <w:dstrike w:val="0"/>
          <w:color w:val="000000" w:themeColor="text1"/>
          <w:sz w:val="20"/>
          <w:szCs w:val="20"/>
          <w14:textFill>
            <w14:solidFill>
              <w14:schemeClr w14:val="tx1"/>
            </w14:solidFill>
          </w14:textFill>
        </w:rPr>
      </w:pPr>
    </w:p>
    <w:p w14:paraId="5495FB38">
      <w:pPr>
        <w:keepNext w:val="0"/>
        <w:keepLines w:val="0"/>
        <w:pageBreakBefore w:val="0"/>
        <w:kinsoku/>
        <w:wordWrap/>
        <w:overflowPunct/>
        <w:topLinePunct w:val="0"/>
        <w:bidi w:val="0"/>
        <w:snapToGrid/>
        <w:spacing w:after="0" w:line="240" w:lineRule="auto"/>
        <w:ind w:left="0" w:right="0"/>
        <w:jc w:val="both"/>
        <w:rPr>
          <w:rFonts w:hint="default" w:cs="Arial" w:asciiTheme="minorAscii" w:hAnsiTheme="minorAscii"/>
          <w:b w:val="0"/>
          <w:bCs w:val="0"/>
          <w:strike w:val="0"/>
          <w:dstrike w:val="0"/>
          <w:color w:val="000000" w:themeColor="text1"/>
          <w:sz w:val="20"/>
          <w:szCs w:val="20"/>
          <w14:textFill>
            <w14:solidFill>
              <w14:schemeClr w14:val="tx1"/>
            </w14:solidFill>
          </w14:textFill>
        </w:rPr>
      </w:pPr>
    </w:p>
    <w:p w14:paraId="1DF7EE03">
      <w:pPr>
        <w:keepNext w:val="0"/>
        <w:keepLines w:val="0"/>
        <w:pageBreakBefore w:val="0"/>
        <w:kinsoku/>
        <w:wordWrap/>
        <w:overflowPunct/>
        <w:topLinePunct w:val="0"/>
        <w:bidi w:val="0"/>
        <w:snapToGrid/>
        <w:spacing w:after="0" w:line="240" w:lineRule="auto"/>
        <w:ind w:left="0" w:right="0"/>
        <w:jc w:val="both"/>
        <w:rPr>
          <w:rFonts w:hint="default" w:cs="Arial" w:asciiTheme="minorAscii" w:hAnsiTheme="minorAscii"/>
          <w:b w:val="0"/>
          <w:bCs w:val="0"/>
          <w:strike w:val="0"/>
          <w:dstrike w:val="0"/>
          <w:color w:val="000000" w:themeColor="text1"/>
          <w:sz w:val="20"/>
          <w:szCs w:val="20"/>
          <w14:textFill>
            <w14:solidFill>
              <w14:schemeClr w14:val="tx1"/>
            </w14:solidFill>
          </w14:textFill>
        </w:rPr>
      </w:pPr>
    </w:p>
    <w:p w14:paraId="7DA29E5E">
      <w:pPr>
        <w:keepNext w:val="0"/>
        <w:keepLines w:val="0"/>
        <w:pageBreakBefore w:val="0"/>
        <w:kinsoku/>
        <w:wordWrap/>
        <w:overflowPunct/>
        <w:topLinePunct w:val="0"/>
        <w:bidi w:val="0"/>
        <w:snapToGrid/>
        <w:spacing w:after="0" w:line="240" w:lineRule="auto"/>
        <w:ind w:left="0" w:right="0"/>
        <w:jc w:val="both"/>
        <w:rPr>
          <w:rFonts w:hint="default" w:cs="Arial" w:asciiTheme="minorAscii" w:hAnsiTheme="minorAscii"/>
          <w:b w:val="0"/>
          <w:bCs w:val="0"/>
          <w:strike w:val="0"/>
          <w:dstrike w:val="0"/>
          <w:color w:val="000000" w:themeColor="text1"/>
          <w:sz w:val="20"/>
          <w:szCs w:val="20"/>
          <w14:textFill>
            <w14:solidFill>
              <w14:schemeClr w14:val="tx1"/>
            </w14:solidFill>
          </w14:textFill>
        </w:rPr>
      </w:pPr>
    </w:p>
    <w:p w14:paraId="56B2C307">
      <w:pPr>
        <w:keepNext w:val="0"/>
        <w:keepLines w:val="0"/>
        <w:pageBreakBefore w:val="0"/>
        <w:numPr>
          <w:ilvl w:val="0"/>
          <w:numId w:val="7"/>
        </w:numPr>
        <w:kinsoku/>
        <w:wordWrap/>
        <w:overflowPunct/>
        <w:topLinePunct w:val="0"/>
        <w:bidi w:val="0"/>
        <w:snapToGrid/>
        <w:spacing w:after="0" w:line="240" w:lineRule="auto"/>
        <w:ind w:left="0" w:leftChars="0" w:right="0" w:firstLine="0" w:firstLineChars="0"/>
        <w:jc w:val="both"/>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cs="Arial" w:asciiTheme="minorAscii" w:hAnsiTheme="minorAscii"/>
          <w:b w:val="0"/>
          <w:bCs w:val="0"/>
          <w:strike w:val="0"/>
          <w:dstrike w:val="0"/>
          <w:color w:val="000000" w:themeColor="text1"/>
          <w:sz w:val="20"/>
          <w:szCs w:val="20"/>
          <w14:textFill>
            <w14:solidFill>
              <w14:schemeClr w14:val="tx1"/>
            </w14:solidFill>
          </w14:textFill>
        </w:rPr>
        <w:t>Încasarea taxei pentru culegerea fructelor de pădure se va face în baza unor contracte încheiate cu persoanele fizice sau agenţii economici ce au ca obiect de activitate colectarea acestor produse.</w:t>
      </w:r>
    </w:p>
    <w:p w14:paraId="07E5CF0E">
      <w:pPr>
        <w:keepNext w:val="0"/>
        <w:keepLines w:val="0"/>
        <w:pageBreakBefore w:val="0"/>
        <w:numPr>
          <w:ilvl w:val="0"/>
          <w:numId w:val="7"/>
        </w:numPr>
        <w:kinsoku/>
        <w:wordWrap/>
        <w:overflowPunct/>
        <w:topLinePunct w:val="0"/>
        <w:bidi w:val="0"/>
        <w:snapToGrid/>
        <w:spacing w:after="0" w:line="240" w:lineRule="auto"/>
        <w:ind w:left="0" w:leftChars="0" w:right="0" w:firstLine="0" w:firstLineChars="0"/>
        <w:jc w:val="both"/>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cs="Arial" w:asciiTheme="minorAscii" w:hAnsiTheme="minorAscii"/>
          <w:b w:val="0"/>
          <w:bCs w:val="0"/>
          <w:strike w:val="0"/>
          <w:dstrike w:val="0"/>
          <w:color w:val="000000" w:themeColor="text1"/>
          <w:sz w:val="20"/>
          <w:szCs w:val="20"/>
          <w14:textFill>
            <w14:solidFill>
              <w14:schemeClr w14:val="tx1"/>
            </w14:solidFill>
          </w14:textFill>
        </w:rPr>
        <w:t>Prin sezon, se înţelege perioada cuprinsă între data de 1 mai şi 31 octombrie a anului fiscal.</w:t>
      </w:r>
    </w:p>
    <w:p w14:paraId="091881A6">
      <w:pPr>
        <w:keepNext w:val="0"/>
        <w:keepLines w:val="0"/>
        <w:pageBreakBefore w:val="0"/>
        <w:kinsoku/>
        <w:wordWrap/>
        <w:overflowPunct/>
        <w:topLinePunct w:val="0"/>
        <w:bidi w:val="0"/>
        <w:snapToGrid/>
        <w:spacing w:after="0" w:line="240" w:lineRule="auto"/>
        <w:ind w:left="0" w:right="0"/>
        <w:jc w:val="both"/>
        <w:rPr>
          <w:rFonts w:hint="default" w:cs="Arial" w:asciiTheme="minorAscii" w:hAnsiTheme="minorAscii"/>
          <w:b w:val="0"/>
          <w:bCs w:val="0"/>
          <w:strike w:val="0"/>
          <w:dstrike w:val="0"/>
          <w:color w:val="000000" w:themeColor="text1"/>
          <w:sz w:val="20"/>
          <w:szCs w:val="20"/>
          <w14:textFill>
            <w14:solidFill>
              <w14:schemeClr w14:val="tx1"/>
            </w14:solidFill>
          </w14:textFill>
        </w:rPr>
      </w:pPr>
    </w:p>
    <w:p w14:paraId="5FF57693">
      <w:pPr>
        <w:keepNext w:val="0"/>
        <w:keepLines w:val="0"/>
        <w:pageBreakBefore w:val="0"/>
        <w:kinsoku/>
        <w:wordWrap/>
        <w:overflowPunct/>
        <w:topLinePunct w:val="0"/>
        <w:bidi w:val="0"/>
        <w:snapToGrid/>
        <w:spacing w:after="0" w:line="240" w:lineRule="auto"/>
        <w:ind w:left="0" w:right="0"/>
        <w:jc w:val="both"/>
        <w:rPr>
          <w:rFonts w:hint="default" w:cs="Arial" w:asciiTheme="minorAscii" w:hAnsiTheme="minorAscii"/>
          <w:b w:val="0"/>
          <w:bCs w:val="0"/>
          <w:strike w:val="0"/>
          <w:dstrike w:val="0"/>
          <w:color w:val="000000" w:themeColor="text1"/>
          <w:sz w:val="20"/>
          <w:szCs w:val="20"/>
          <w:u w:val="single"/>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u w:val="single"/>
          <w:lang w:val="ro-RO"/>
          <w14:textFill>
            <w14:solidFill>
              <w14:schemeClr w14:val="tx1"/>
            </w14:solidFill>
          </w14:textFill>
        </w:rPr>
        <w:t>TABEL</w:t>
      </w:r>
      <w:r>
        <w:rPr>
          <w:rFonts w:hint="default" w:cs="Arial" w:asciiTheme="minorAscii" w:hAnsiTheme="minorAscii"/>
          <w:b w:val="0"/>
          <w:bCs w:val="0"/>
          <w:strike w:val="0"/>
          <w:dstrike w:val="0"/>
          <w:color w:val="000000" w:themeColor="text1"/>
          <w:sz w:val="20"/>
          <w:szCs w:val="20"/>
          <w:u w:val="single"/>
          <w:lang w:val="ro-RO"/>
          <w14:textFill>
            <w14:solidFill>
              <w14:schemeClr w14:val="tx1"/>
            </w14:solidFill>
          </w14:textFill>
        </w:rPr>
        <w:t xml:space="preserve"> </w:t>
      </w:r>
      <w:r>
        <w:rPr>
          <w:rFonts w:hint="default" w:eastAsia="Times New Roman" w:cs="Arial" w:asciiTheme="minorAscii" w:hAnsiTheme="minorAscii"/>
          <w:b w:val="0"/>
          <w:bCs w:val="0"/>
          <w:strike w:val="0"/>
          <w:dstrike w:val="0"/>
          <w:color w:val="000000" w:themeColor="text1"/>
          <w:sz w:val="20"/>
          <w:szCs w:val="20"/>
          <w:u w:val="single"/>
          <w:lang w:val="ro-RO"/>
          <w14:textFill>
            <w14:solidFill>
              <w14:schemeClr w14:val="tx1"/>
            </w14:solidFill>
          </w14:textFill>
        </w:rPr>
        <w:t>nr.</w:t>
      </w:r>
      <w:r>
        <w:rPr>
          <w:rFonts w:hint="default" w:cs="Arial" w:asciiTheme="minorAscii" w:hAnsiTheme="minorAscii"/>
          <w:b w:val="0"/>
          <w:bCs w:val="0"/>
          <w:strike w:val="0"/>
          <w:dstrike w:val="0"/>
          <w:color w:val="000000" w:themeColor="text1"/>
          <w:sz w:val="20"/>
          <w:szCs w:val="20"/>
          <w:u w:val="single"/>
          <w:lang w:val="ro-RO"/>
          <w14:textFill>
            <w14:solidFill>
              <w14:schemeClr w14:val="tx1"/>
            </w14:solidFill>
          </w14:textFill>
        </w:rPr>
        <w:t>VII</w:t>
      </w: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w:t>
      </w:r>
      <w:r>
        <w:rPr>
          <w:rFonts w:hint="default" w:cs="Arial" w:asciiTheme="minorAscii" w:hAnsiTheme="minorAscii"/>
          <w:b w:val="0"/>
          <w:bCs w:val="0"/>
          <w:strike w:val="0"/>
          <w:dstrike w:val="0"/>
          <w:color w:val="000000" w:themeColor="text1"/>
          <w:sz w:val="20"/>
          <w:szCs w:val="20"/>
          <w:u w:val="single"/>
          <w:lang w:val="ro-RO"/>
          <w14:textFill>
            <w14:solidFill>
              <w14:schemeClr w14:val="tx1"/>
            </w14:solidFill>
          </w14:textFill>
        </w:rPr>
        <w:t xml:space="preserve"> </w:t>
      </w:r>
      <w:r>
        <w:rPr>
          <w:rFonts w:hint="default" w:cs="Arial" w:asciiTheme="minorAscii" w:hAnsiTheme="minorAscii"/>
          <w:b w:val="0"/>
          <w:bCs w:val="0"/>
          <w:strike w:val="0"/>
          <w:dstrike w:val="0"/>
          <w:color w:val="000000" w:themeColor="text1"/>
          <w:sz w:val="20"/>
          <w:szCs w:val="20"/>
          <w:u w:val="single"/>
          <w14:textFill>
            <w14:solidFill>
              <w14:schemeClr w14:val="tx1"/>
            </w14:solidFill>
          </w14:textFill>
        </w:rPr>
        <w:t xml:space="preserve"> Taxa de acces cu vehicule</w:t>
      </w:r>
      <w:r>
        <w:rPr>
          <w:rFonts w:hint="default" w:cs="Arial" w:asciiTheme="minorAscii" w:hAnsiTheme="minorAscii"/>
          <w:b w:val="0"/>
          <w:bCs w:val="0"/>
          <w:strike w:val="0"/>
          <w:dstrike w:val="0"/>
          <w:color w:val="000000" w:themeColor="text1"/>
          <w:sz w:val="20"/>
          <w:szCs w:val="20"/>
          <w:u w:val="single"/>
          <w:lang w:val="ro-RO"/>
          <w14:textFill>
            <w14:solidFill>
              <w14:schemeClr w14:val="tx1"/>
            </w14:solidFill>
          </w14:textFill>
        </w:rPr>
        <w:t>,</w:t>
      </w:r>
      <w:r>
        <w:rPr>
          <w:rFonts w:hint="default" w:cs="Arial" w:asciiTheme="minorAscii" w:hAnsiTheme="minorAscii"/>
          <w:b w:val="0"/>
          <w:bCs w:val="0"/>
          <w:strike w:val="0"/>
          <w:dstrike w:val="0"/>
          <w:color w:val="000000" w:themeColor="text1"/>
          <w:sz w:val="20"/>
          <w:szCs w:val="20"/>
          <w:u w:val="single"/>
          <w14:textFill>
            <w14:solidFill>
              <w14:schemeClr w14:val="tx1"/>
            </w14:solidFill>
          </w14:textFill>
        </w:rPr>
        <w:t xml:space="preserve"> cu masa mai mare de 7,5 tone pe drumurile aflate în administrarea Consiliului Local Bucoșnița</w:t>
      </w:r>
    </w:p>
    <w:p w14:paraId="2A3E1818">
      <w:pPr>
        <w:keepNext w:val="0"/>
        <w:keepLines w:val="0"/>
        <w:pageBreakBefore w:val="0"/>
        <w:kinsoku/>
        <w:wordWrap/>
        <w:overflowPunct/>
        <w:topLinePunct w:val="0"/>
        <w:bidi w:val="0"/>
        <w:snapToGrid/>
        <w:spacing w:after="0" w:line="240" w:lineRule="auto"/>
        <w:ind w:left="0" w:right="0" w:firstLine="720"/>
        <w:jc w:val="both"/>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cs="Arial" w:asciiTheme="minorAscii" w:hAnsiTheme="minorAscii"/>
          <w:b w:val="0"/>
          <w:bCs w:val="0"/>
          <w:strike w:val="0"/>
          <w:dstrike w:val="0"/>
          <w:color w:val="000000" w:themeColor="text1"/>
          <w:sz w:val="20"/>
          <w:szCs w:val="20"/>
          <w14:textFill>
            <w14:solidFill>
              <w14:schemeClr w14:val="tx1"/>
            </w14:solidFill>
          </w14:textFill>
        </w:rPr>
        <w:t>(1) Pe drumurile publice aflate în administrarea Consiliului Local al comunei Bucoșnița, accesul vechiculelor cu masa mai mare de 7,5 tone va putea fi permis numai vehiculelor care nu depășesc 15 de tone, pe baza unei autorizații speciale de acces, ce va fi eliberată de Primăria comunei Bucoșnița pentru perioade limitate de timp și doar cu plata unei taxe de acces în cunatum de 100 lei/cursă.</w:t>
      </w:r>
    </w:p>
    <w:tbl>
      <w:tblPr>
        <w:tblStyle w:val="10"/>
        <w:tblW w:w="85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43"/>
        <w:gridCol w:w="2978"/>
      </w:tblGrid>
      <w:tr w14:paraId="1A527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3" w:type="dxa"/>
            <w:vMerge w:val="restart"/>
            <w:vAlign w:val="top"/>
          </w:tcPr>
          <w:p w14:paraId="1E9B5399">
            <w:pPr>
              <w:keepNext w:val="0"/>
              <w:keepLines w:val="0"/>
              <w:pageBreakBefore w:val="0"/>
              <w:kinsoku/>
              <w:wordWrap/>
              <w:overflowPunct/>
              <w:topLinePunct w:val="0"/>
              <w:bidi w:val="0"/>
              <w:snapToGrid/>
              <w:spacing w:after="0" w:line="240" w:lineRule="auto"/>
              <w:ind w:left="0" w:right="0"/>
              <w:jc w:val="both"/>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A</w:t>
            </w:r>
            <w:r>
              <w:rPr>
                <w:rFonts w:hint="default" w:cs="Arial" w:asciiTheme="minorAscii" w:hAnsiTheme="minorAscii"/>
                <w:b w:val="0"/>
                <w:bCs w:val="0"/>
                <w:strike w:val="0"/>
                <w:dstrike w:val="0"/>
                <w:color w:val="000000" w:themeColor="text1"/>
                <w:sz w:val="20"/>
                <w:szCs w:val="20"/>
                <w14:textFill>
                  <w14:solidFill>
                    <w14:schemeClr w14:val="tx1"/>
                  </w14:solidFill>
                </w14:textFill>
              </w:rPr>
              <w:t>ccesul vechiculelor cu masa mai mare de 7,5 tone va putea fi permis numai vehiculelor care nu depășesc 15 de tone, pe baza unei autorizații speciale de acces, ce va fi eliberată de Primăria comunei Bucoșnița pentru perioade limitate de timp și doar cu plata unei taxe de acces în cunatum de 1</w:t>
            </w: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20</w:t>
            </w:r>
            <w:r>
              <w:rPr>
                <w:rFonts w:hint="default" w:cs="Arial" w:asciiTheme="minorAscii" w:hAnsiTheme="minorAscii"/>
                <w:b w:val="0"/>
                <w:bCs w:val="0"/>
                <w:strike w:val="0"/>
                <w:dstrike w:val="0"/>
                <w:color w:val="000000" w:themeColor="text1"/>
                <w:sz w:val="20"/>
                <w:szCs w:val="20"/>
                <w14:textFill>
                  <w14:solidFill>
                    <w14:schemeClr w14:val="tx1"/>
                  </w14:solidFill>
                </w14:textFill>
              </w:rPr>
              <w:t xml:space="preserve"> lei/cursă.</w:t>
            </w:r>
          </w:p>
          <w:p w14:paraId="35CD31D6">
            <w:pPr>
              <w:keepNext w:val="0"/>
              <w:keepLines w:val="0"/>
              <w:pageBreakBefore w:val="0"/>
              <w:kinsoku/>
              <w:wordWrap/>
              <w:overflowPunct/>
              <w:topLinePunct w:val="0"/>
              <w:bidi w:val="0"/>
              <w:snapToGrid/>
              <w:spacing w:after="0" w:line="240" w:lineRule="auto"/>
              <w:ind w:left="0" w:right="0"/>
              <w:jc w:val="center"/>
              <w:rPr>
                <w:rFonts w:hint="default" w:cs="Arial" w:asciiTheme="minorAscii" w:hAnsiTheme="minorAscii"/>
                <w:b w:val="0"/>
                <w:bCs w:val="0"/>
                <w:strike w:val="0"/>
                <w:dstrike w:val="0"/>
                <w:color w:val="000000" w:themeColor="text1"/>
                <w:sz w:val="20"/>
                <w:szCs w:val="20"/>
                <w14:textFill>
                  <w14:solidFill>
                    <w14:schemeClr w14:val="tx1"/>
                  </w14:solidFill>
                </w14:textFill>
              </w:rPr>
            </w:pPr>
          </w:p>
        </w:tc>
        <w:tc>
          <w:tcPr>
            <w:tcW w:w="2978" w:type="dxa"/>
            <w:vAlign w:val="top"/>
          </w:tcPr>
          <w:p w14:paraId="08F51219">
            <w:pPr>
              <w:keepNext w:val="0"/>
              <w:keepLines w:val="0"/>
              <w:pageBreakBefore w:val="0"/>
              <w:kinsoku/>
              <w:wordWrap/>
              <w:overflowPunct/>
              <w:topLinePunct w:val="0"/>
              <w:bidi w:val="0"/>
              <w:snapToGrid/>
              <w:spacing w:after="0" w:line="240" w:lineRule="auto"/>
              <w:ind w:left="0" w:right="0"/>
              <w:jc w:val="cente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2026</w:t>
            </w:r>
          </w:p>
        </w:tc>
      </w:tr>
      <w:tr w14:paraId="12EFA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3" w:type="dxa"/>
            <w:vMerge w:val="continue"/>
            <w:vAlign w:val="top"/>
          </w:tcPr>
          <w:p w14:paraId="76232CE7">
            <w:pPr>
              <w:keepNext w:val="0"/>
              <w:keepLines w:val="0"/>
              <w:pageBreakBefore w:val="0"/>
              <w:kinsoku/>
              <w:wordWrap/>
              <w:overflowPunct/>
              <w:topLinePunct w:val="0"/>
              <w:bidi w:val="0"/>
              <w:snapToGrid/>
              <w:spacing w:after="0" w:line="240" w:lineRule="auto"/>
              <w:ind w:left="0" w:right="0"/>
              <w:jc w:val="both"/>
              <w:rPr>
                <w:rFonts w:hint="default" w:cs="Arial" w:asciiTheme="minorAscii" w:hAnsiTheme="minorAscii"/>
                <w:b w:val="0"/>
                <w:bCs w:val="0"/>
                <w:strike w:val="0"/>
                <w:dstrike w:val="0"/>
                <w:color w:val="000000" w:themeColor="text1"/>
                <w:sz w:val="20"/>
                <w:szCs w:val="20"/>
                <w14:textFill>
                  <w14:solidFill>
                    <w14:schemeClr w14:val="tx1"/>
                  </w14:solidFill>
                </w14:textFill>
              </w:rPr>
            </w:pPr>
          </w:p>
        </w:tc>
        <w:tc>
          <w:tcPr>
            <w:tcW w:w="2978" w:type="dxa"/>
            <w:vAlign w:val="top"/>
          </w:tcPr>
          <w:p w14:paraId="52644D62">
            <w:pPr>
              <w:pStyle w:val="12"/>
              <w:keepNext w:val="0"/>
              <w:keepLines w:val="0"/>
              <w:pageBreakBefore w:val="0"/>
              <w:kinsoku/>
              <w:wordWrap/>
              <w:overflowPunct/>
              <w:topLinePunct w:val="0"/>
              <w:bidi w:val="0"/>
              <w:snapToGrid/>
              <w:spacing w:after="0" w:line="240" w:lineRule="auto"/>
              <w:ind w:left="0" w:right="0"/>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120 lei/cursă</w:t>
            </w:r>
          </w:p>
        </w:tc>
      </w:tr>
    </w:tbl>
    <w:p w14:paraId="45BCA174">
      <w:pPr>
        <w:keepNext w:val="0"/>
        <w:keepLines w:val="0"/>
        <w:pageBreakBefore w:val="0"/>
        <w:numPr>
          <w:ilvl w:val="0"/>
          <w:numId w:val="8"/>
        </w:numPr>
        <w:kinsoku/>
        <w:wordWrap/>
        <w:overflowPunct/>
        <w:topLinePunct w:val="0"/>
        <w:bidi w:val="0"/>
        <w:snapToGrid/>
        <w:spacing w:after="0" w:line="240" w:lineRule="auto"/>
        <w:ind w:left="0" w:right="0" w:firstLine="720"/>
        <w:jc w:val="both"/>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cs="Arial" w:asciiTheme="minorAscii" w:hAnsiTheme="minorAscii"/>
          <w:b w:val="0"/>
          <w:bCs w:val="0"/>
          <w:strike w:val="0"/>
          <w:dstrike w:val="0"/>
          <w:color w:val="000000" w:themeColor="text1"/>
          <w:sz w:val="20"/>
          <w:szCs w:val="20"/>
          <w14:textFill>
            <w14:solidFill>
              <w14:schemeClr w14:val="tx1"/>
            </w14:solidFill>
          </w14:textFill>
        </w:rPr>
        <w:t>Încălcarea dispozițiilor privind accesul pe drumurilor aflate în administrarea Consiliului Local al comunei Bucoșnița constituie contravenție și se sancționează cu amendă, în cuantumul prevăzut de O</w:t>
      </w: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.U.G.</w:t>
      </w:r>
      <w:r>
        <w:rPr>
          <w:rFonts w:hint="default" w:cs="Arial" w:asciiTheme="minorAscii" w:hAnsiTheme="minorAscii"/>
          <w:b w:val="0"/>
          <w:bCs w:val="0"/>
          <w:strike w:val="0"/>
          <w:dstrike w:val="0"/>
          <w:color w:val="000000" w:themeColor="text1"/>
          <w:sz w:val="20"/>
          <w:szCs w:val="20"/>
          <w14:textFill>
            <w14:solidFill>
              <w14:schemeClr w14:val="tx1"/>
            </w14:solidFill>
          </w14:textFill>
        </w:rPr>
        <w:t xml:space="preserve"> nr. 195/2002 privind circulaţia pe drumurile publice, republicată, cu modificările şi completările ulterioare, pentru nerespectarea semnificației indicatoarelor de restricționare a accesului.</w:t>
      </w:r>
    </w:p>
    <w:p w14:paraId="222E1285">
      <w:pPr>
        <w:keepNext w:val="0"/>
        <w:keepLines w:val="0"/>
        <w:pageBreakBefore w:val="0"/>
        <w:numPr>
          <w:ilvl w:val="0"/>
          <w:numId w:val="0"/>
        </w:numPr>
        <w:kinsoku/>
        <w:wordWrap/>
        <w:overflowPunct/>
        <w:topLinePunct w:val="0"/>
        <w:bidi w:val="0"/>
        <w:snapToGrid/>
        <w:spacing w:after="0" w:line="240" w:lineRule="auto"/>
        <w:ind w:left="0" w:right="0"/>
        <w:jc w:val="both"/>
        <w:rPr>
          <w:rFonts w:hint="default" w:cs="Arial" w:asciiTheme="minorAscii" w:hAnsiTheme="minorAscii"/>
          <w:b w:val="0"/>
          <w:bCs w:val="0"/>
          <w:strike w:val="0"/>
          <w:dstrike w:val="0"/>
          <w:color w:val="000000" w:themeColor="text1"/>
          <w:sz w:val="20"/>
          <w:szCs w:val="20"/>
          <w14:textFill>
            <w14:solidFill>
              <w14:schemeClr w14:val="tx1"/>
            </w14:solidFill>
          </w14:textFill>
        </w:rPr>
      </w:pPr>
    </w:p>
    <w:p w14:paraId="2190862E">
      <w:pPr>
        <w:keepNext w:val="0"/>
        <w:keepLines w:val="0"/>
        <w:pageBreakBefore w:val="0"/>
        <w:numPr>
          <w:ilvl w:val="0"/>
          <w:numId w:val="0"/>
        </w:numPr>
        <w:kinsoku/>
        <w:wordWrap/>
        <w:overflowPunct/>
        <w:topLinePunct w:val="0"/>
        <w:bidi w:val="0"/>
        <w:snapToGrid/>
        <w:spacing w:after="0" w:line="240" w:lineRule="auto"/>
        <w:ind w:left="0" w:right="0"/>
        <w:jc w:val="both"/>
        <w:rPr>
          <w:rFonts w:hint="default" w:cs="Arial" w:asciiTheme="minorAscii" w:hAnsiTheme="minorAscii"/>
          <w:b w:val="0"/>
          <w:bCs w:val="0"/>
          <w:strike w:val="0"/>
          <w:dstrike w:val="0"/>
          <w:color w:val="000000" w:themeColor="text1"/>
          <w:sz w:val="20"/>
          <w:szCs w:val="20"/>
          <w14:textFill>
            <w14:solidFill>
              <w14:schemeClr w14:val="tx1"/>
            </w14:solidFill>
          </w14:textFill>
        </w:rPr>
      </w:pPr>
    </w:p>
    <w:p w14:paraId="43B3AB8B">
      <w:pPr>
        <w:keepNext w:val="0"/>
        <w:keepLines w:val="0"/>
        <w:pageBreakBefore w:val="0"/>
        <w:kinsoku/>
        <w:wordWrap/>
        <w:overflowPunct/>
        <w:topLinePunct w:val="0"/>
        <w:bidi w:val="0"/>
        <w:snapToGrid/>
        <w:spacing w:after="0" w:line="240" w:lineRule="auto"/>
        <w:ind w:left="0" w:right="0"/>
        <w:jc w:val="both"/>
        <w:rPr>
          <w:rFonts w:hint="default" w:cs="Arial" w:asciiTheme="minorAscii" w:hAnsiTheme="minorAscii"/>
          <w:b w:val="0"/>
          <w:bCs w:val="0"/>
          <w:strike w:val="0"/>
          <w:dstrike w:val="0"/>
          <w:color w:val="000000" w:themeColor="text1"/>
          <w:sz w:val="20"/>
          <w:szCs w:val="20"/>
          <w:u w:val="single"/>
          <w:lang w:val="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u w:val="single"/>
          <w:lang w:val="ro-RO"/>
          <w14:textFill>
            <w14:solidFill>
              <w14:schemeClr w14:val="tx1"/>
            </w14:solidFill>
          </w14:textFill>
        </w:rPr>
        <w:t>TABEL</w:t>
      </w:r>
      <w:r>
        <w:rPr>
          <w:rFonts w:hint="default" w:cs="Arial" w:asciiTheme="minorAscii" w:hAnsiTheme="minorAscii"/>
          <w:b w:val="0"/>
          <w:bCs w:val="0"/>
          <w:strike w:val="0"/>
          <w:dstrike w:val="0"/>
          <w:color w:val="000000" w:themeColor="text1"/>
          <w:sz w:val="20"/>
          <w:szCs w:val="20"/>
          <w:u w:val="single"/>
          <w:lang w:val="ro-RO"/>
          <w14:textFill>
            <w14:solidFill>
              <w14:schemeClr w14:val="tx1"/>
            </w14:solidFill>
          </w14:textFill>
        </w:rPr>
        <w:t xml:space="preserve"> </w:t>
      </w:r>
      <w:r>
        <w:rPr>
          <w:rFonts w:hint="default" w:eastAsia="Times New Roman" w:cs="Arial" w:asciiTheme="minorAscii" w:hAnsiTheme="minorAscii"/>
          <w:b w:val="0"/>
          <w:bCs w:val="0"/>
          <w:strike w:val="0"/>
          <w:dstrike w:val="0"/>
          <w:color w:val="000000" w:themeColor="text1"/>
          <w:sz w:val="20"/>
          <w:szCs w:val="20"/>
          <w:u w:val="single"/>
          <w:lang w:val="ro-RO"/>
          <w14:textFill>
            <w14:solidFill>
              <w14:schemeClr w14:val="tx1"/>
            </w14:solidFill>
          </w14:textFill>
        </w:rPr>
        <w:t>nr.</w:t>
      </w:r>
      <w:r>
        <w:rPr>
          <w:rFonts w:hint="default" w:cs="Arial" w:asciiTheme="minorAscii" w:hAnsiTheme="minorAscii"/>
          <w:b w:val="0"/>
          <w:bCs w:val="0"/>
          <w:strike w:val="0"/>
          <w:dstrike w:val="0"/>
          <w:color w:val="000000" w:themeColor="text1"/>
          <w:sz w:val="20"/>
          <w:szCs w:val="20"/>
          <w:u w:val="single"/>
          <w:lang w:val="ro-RO"/>
          <w14:textFill>
            <w14:solidFill>
              <w14:schemeClr w14:val="tx1"/>
            </w14:solidFill>
          </w14:textFill>
        </w:rPr>
        <w:t>VIII</w:t>
      </w:r>
      <w:r>
        <w:rPr>
          <w:rFonts w:hint="default" w:eastAsia="Times New Roman" w:cs="Arial" w:asciiTheme="minorAscii" w:hAnsiTheme="minorAscii"/>
          <w:b w:val="0"/>
          <w:bCs w:val="0"/>
          <w:strike w:val="0"/>
          <w:dstrike w:val="0"/>
          <w:color w:val="000000" w:themeColor="text1"/>
          <w:sz w:val="20"/>
          <w:szCs w:val="20"/>
          <w:u w:val="single"/>
          <w:lang w:val="ro-RO"/>
          <w14:textFill>
            <w14:solidFill>
              <w14:schemeClr w14:val="tx1"/>
            </w14:solidFill>
          </w14:textFill>
        </w:rPr>
        <w:t>.</w:t>
      </w: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 xml:space="preserve"> -  </w:t>
      </w:r>
      <w:r>
        <w:rPr>
          <w:rFonts w:hint="default" w:cs="Arial" w:asciiTheme="minorAscii" w:hAnsiTheme="minorAscii"/>
          <w:b w:val="0"/>
          <w:bCs w:val="0"/>
          <w:strike w:val="0"/>
          <w:dstrike w:val="0"/>
          <w:color w:val="000000" w:themeColor="text1"/>
          <w:sz w:val="20"/>
          <w:szCs w:val="20"/>
          <w:u w:val="single"/>
          <w:lang w:val="ro-RO"/>
          <w14:textFill>
            <w14:solidFill>
              <w14:schemeClr w14:val="tx1"/>
            </w14:solidFill>
          </w14:textFill>
        </w:rPr>
        <w:t>Taxe  speciale pentru închirierea Căminelor Culturale, pentru diferite evenimente:</w:t>
      </w:r>
    </w:p>
    <w:tbl>
      <w:tblPr>
        <w:tblStyle w:val="10"/>
        <w:tblW w:w="78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6"/>
        <w:gridCol w:w="855"/>
      </w:tblGrid>
      <w:tr w14:paraId="11FA1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91" w:type="dxa"/>
            <w:gridSpan w:val="2"/>
            <w:vAlign w:val="top"/>
          </w:tcPr>
          <w:p w14:paraId="1225026A">
            <w:pPr>
              <w:keepNext w:val="0"/>
              <w:keepLines w:val="0"/>
              <w:pageBreakBefore w:val="0"/>
              <w:kinsoku/>
              <w:wordWrap/>
              <w:overflowPunct/>
              <w:topLinePunct w:val="0"/>
              <w:bidi w:val="0"/>
              <w:snapToGrid/>
              <w:spacing w:after="0" w:line="240" w:lineRule="auto"/>
              <w:ind w:left="0" w:right="0"/>
              <w:jc w:val="cente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Evenimentul pentru care se închiriaxă</w:t>
            </w:r>
          </w:p>
          <w:p w14:paraId="4223F78C">
            <w:pPr>
              <w:keepNext w:val="0"/>
              <w:keepLines w:val="0"/>
              <w:pageBreakBefore w:val="0"/>
              <w:kinsoku/>
              <w:wordWrap/>
              <w:overflowPunct/>
              <w:topLinePunct w:val="0"/>
              <w:bidi w:val="0"/>
              <w:snapToGrid/>
              <w:spacing w:after="0" w:line="240" w:lineRule="auto"/>
              <w:ind w:left="0" w:right="0"/>
              <w:jc w:val="cente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2026</w:t>
            </w:r>
          </w:p>
        </w:tc>
      </w:tr>
      <w:tr w14:paraId="29780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6" w:type="dxa"/>
            <w:vAlign w:val="top"/>
          </w:tcPr>
          <w:p w14:paraId="6E43AD86">
            <w:pPr>
              <w:pStyle w:val="12"/>
              <w:keepNext w:val="0"/>
              <w:keepLines w:val="0"/>
              <w:pageBreakBefore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Organizare nunți</w:t>
            </w:r>
          </w:p>
        </w:tc>
        <w:tc>
          <w:tcPr>
            <w:tcW w:w="855" w:type="dxa"/>
            <w:vAlign w:val="top"/>
          </w:tcPr>
          <w:p w14:paraId="54D2C3DB">
            <w:pPr>
              <w:pStyle w:val="12"/>
              <w:keepNext w:val="0"/>
              <w:keepLines w:val="0"/>
              <w:pageBreakBefore w:val="0"/>
              <w:kinsoku/>
              <w:wordWrap/>
              <w:overflowPunct/>
              <w:topLinePunct w:val="0"/>
              <w:bidi w:val="0"/>
              <w:snapToGrid/>
              <w:spacing w:after="0" w:line="240" w:lineRule="auto"/>
              <w:ind w:left="0" w:right="0"/>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cs="Arial" w:asciiTheme="minorAscii" w:hAnsiTheme="minorAscii"/>
                <w:b w:val="0"/>
                <w:bCs w:val="0"/>
                <w:strike w:val="0"/>
                <w:dstrike w:val="0"/>
                <w:color w:val="000000" w:themeColor="text1"/>
                <w:sz w:val="20"/>
                <w:szCs w:val="20"/>
                <w14:textFill>
                  <w14:solidFill>
                    <w14:schemeClr w14:val="tx1"/>
                  </w14:solidFill>
                </w14:textFill>
              </w:rPr>
              <w:t>500 lei</w:t>
            </w:r>
          </w:p>
        </w:tc>
      </w:tr>
      <w:tr w14:paraId="3FE0C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6" w:type="dxa"/>
            <w:vAlign w:val="top"/>
          </w:tcPr>
          <w:p w14:paraId="08089A42">
            <w:pPr>
              <w:pStyle w:val="12"/>
              <w:keepNext w:val="0"/>
              <w:keepLines w:val="0"/>
              <w:pageBreakBefore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Organizare botezuri</w:t>
            </w:r>
          </w:p>
        </w:tc>
        <w:tc>
          <w:tcPr>
            <w:tcW w:w="855" w:type="dxa"/>
            <w:vAlign w:val="top"/>
          </w:tcPr>
          <w:p w14:paraId="20B71B0E">
            <w:pPr>
              <w:pStyle w:val="12"/>
              <w:keepNext w:val="0"/>
              <w:keepLines w:val="0"/>
              <w:pageBreakBefore w:val="0"/>
              <w:kinsoku/>
              <w:wordWrap/>
              <w:overflowPunct/>
              <w:topLinePunct w:val="0"/>
              <w:bidi w:val="0"/>
              <w:snapToGrid/>
              <w:spacing w:after="0" w:line="240" w:lineRule="auto"/>
              <w:ind w:left="0" w:right="0"/>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cs="Arial" w:asciiTheme="minorAscii" w:hAnsiTheme="minorAscii"/>
                <w:b w:val="0"/>
                <w:bCs w:val="0"/>
                <w:strike w:val="0"/>
                <w:dstrike w:val="0"/>
                <w:color w:val="000000" w:themeColor="text1"/>
                <w:sz w:val="20"/>
                <w:szCs w:val="20"/>
                <w14:textFill>
                  <w14:solidFill>
                    <w14:schemeClr w14:val="tx1"/>
                  </w14:solidFill>
                </w14:textFill>
              </w:rPr>
              <w:t>500 le</w:t>
            </w: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i</w:t>
            </w:r>
          </w:p>
        </w:tc>
      </w:tr>
      <w:tr w14:paraId="37F7D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6" w:type="dxa"/>
            <w:vAlign w:val="top"/>
          </w:tcPr>
          <w:p w14:paraId="5617949E">
            <w:pPr>
              <w:pStyle w:val="12"/>
              <w:keepNext w:val="0"/>
              <w:keepLines w:val="0"/>
              <w:pageBreakBefore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Organizare aniversări</w:t>
            </w:r>
          </w:p>
        </w:tc>
        <w:tc>
          <w:tcPr>
            <w:tcW w:w="855" w:type="dxa"/>
            <w:vAlign w:val="top"/>
          </w:tcPr>
          <w:p w14:paraId="570FC2DD">
            <w:pPr>
              <w:pStyle w:val="12"/>
              <w:keepNext w:val="0"/>
              <w:keepLines w:val="0"/>
              <w:pageBreakBefore w:val="0"/>
              <w:kinsoku/>
              <w:wordWrap/>
              <w:overflowPunct/>
              <w:topLinePunct w:val="0"/>
              <w:bidi w:val="0"/>
              <w:snapToGrid/>
              <w:spacing w:after="0" w:line="240" w:lineRule="auto"/>
              <w:ind w:left="0" w:right="0"/>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2</w:t>
            </w:r>
            <w:r>
              <w:rPr>
                <w:rFonts w:hint="default" w:cs="Arial" w:asciiTheme="minorAscii" w:hAnsiTheme="minorAscii"/>
                <w:b w:val="0"/>
                <w:bCs w:val="0"/>
                <w:strike w:val="0"/>
                <w:dstrike w:val="0"/>
                <w:color w:val="000000" w:themeColor="text1"/>
                <w:sz w:val="20"/>
                <w:szCs w:val="20"/>
                <w14:textFill>
                  <w14:solidFill>
                    <w14:schemeClr w14:val="tx1"/>
                  </w14:solidFill>
                </w14:textFill>
              </w:rPr>
              <w:t>00 lei</w:t>
            </w:r>
          </w:p>
        </w:tc>
      </w:tr>
      <w:tr w14:paraId="1BE41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6" w:type="dxa"/>
            <w:vAlign w:val="top"/>
          </w:tcPr>
          <w:p w14:paraId="28E76BF1">
            <w:pPr>
              <w:pStyle w:val="12"/>
              <w:keepNext w:val="0"/>
              <w:keepLines w:val="0"/>
              <w:pageBreakBefore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Organizare pomeni</w:t>
            </w:r>
          </w:p>
        </w:tc>
        <w:tc>
          <w:tcPr>
            <w:tcW w:w="855" w:type="dxa"/>
            <w:vAlign w:val="top"/>
          </w:tcPr>
          <w:p w14:paraId="07560423">
            <w:pPr>
              <w:pStyle w:val="12"/>
              <w:keepNext w:val="0"/>
              <w:keepLines w:val="0"/>
              <w:pageBreakBefore w:val="0"/>
              <w:kinsoku/>
              <w:wordWrap/>
              <w:overflowPunct/>
              <w:topLinePunct w:val="0"/>
              <w:bidi w:val="0"/>
              <w:snapToGrid/>
              <w:spacing w:after="0" w:line="240" w:lineRule="auto"/>
              <w:ind w:left="0" w:right="0"/>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w:t>
            </w:r>
          </w:p>
        </w:tc>
      </w:tr>
      <w:tr w14:paraId="5ADB0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6" w:type="dxa"/>
            <w:vAlign w:val="top"/>
          </w:tcPr>
          <w:p w14:paraId="67963BB1">
            <w:pPr>
              <w:pStyle w:val="12"/>
              <w:keepNext w:val="0"/>
              <w:keepLines w:val="0"/>
              <w:pageBreakBefore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Organizare alte evenimente, întruniri, conferințe, etc.</w:t>
            </w:r>
          </w:p>
        </w:tc>
        <w:tc>
          <w:tcPr>
            <w:tcW w:w="855" w:type="dxa"/>
            <w:vAlign w:val="top"/>
          </w:tcPr>
          <w:p w14:paraId="7C0F5145">
            <w:pPr>
              <w:pStyle w:val="12"/>
              <w:keepNext w:val="0"/>
              <w:keepLines w:val="0"/>
              <w:pageBreakBefore w:val="0"/>
              <w:kinsoku/>
              <w:wordWrap/>
              <w:overflowPunct/>
              <w:topLinePunct w:val="0"/>
              <w:bidi w:val="0"/>
              <w:snapToGrid/>
              <w:spacing w:after="0" w:line="240" w:lineRule="auto"/>
              <w:ind w:left="0" w:right="0"/>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100</w:t>
            </w:r>
          </w:p>
        </w:tc>
      </w:tr>
      <w:tr w14:paraId="4A080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6" w:type="dxa"/>
            <w:vAlign w:val="top"/>
          </w:tcPr>
          <w:p w14:paraId="43CD1F1B">
            <w:pPr>
              <w:pStyle w:val="12"/>
              <w:keepNext w:val="0"/>
              <w:keepLines w:val="0"/>
              <w:pageBreakBefore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Închiriat veselă</w:t>
            </w:r>
          </w:p>
        </w:tc>
        <w:tc>
          <w:tcPr>
            <w:tcW w:w="855" w:type="dxa"/>
            <w:vAlign w:val="top"/>
          </w:tcPr>
          <w:p w14:paraId="3A6C71E7">
            <w:pPr>
              <w:pStyle w:val="12"/>
              <w:keepNext w:val="0"/>
              <w:keepLines w:val="0"/>
              <w:pageBreakBefore w:val="0"/>
              <w:kinsoku/>
              <w:wordWrap/>
              <w:overflowPunct/>
              <w:topLinePunct w:val="0"/>
              <w:bidi w:val="0"/>
              <w:snapToGrid/>
              <w:spacing w:after="0" w:line="240" w:lineRule="auto"/>
              <w:ind w:left="0" w:right="0"/>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w:t>
            </w:r>
          </w:p>
        </w:tc>
      </w:tr>
      <w:tr w14:paraId="27817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6" w:type="dxa"/>
            <w:vAlign w:val="top"/>
          </w:tcPr>
          <w:p w14:paraId="699E1133">
            <w:pPr>
              <w:pStyle w:val="12"/>
              <w:keepNext w:val="0"/>
              <w:keepLines w:val="0"/>
              <w:pageBreakBefore w:val="0"/>
              <w:kinsoku/>
              <w:wordWrap/>
              <w:overflowPunct/>
              <w:topLinePunct w:val="0"/>
              <w:bidi w:val="0"/>
              <w:snapToGrid/>
              <w:spacing w:after="0" w:line="240" w:lineRule="auto"/>
              <w:ind w:left="0" w:right="0"/>
              <w:jc w:val="left"/>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Taxă garanție</w:t>
            </w:r>
          </w:p>
        </w:tc>
        <w:tc>
          <w:tcPr>
            <w:tcW w:w="855" w:type="dxa"/>
            <w:vAlign w:val="top"/>
          </w:tcPr>
          <w:p w14:paraId="2C1C1A53">
            <w:pPr>
              <w:pStyle w:val="12"/>
              <w:keepNext w:val="0"/>
              <w:keepLines w:val="0"/>
              <w:pageBreakBefore w:val="0"/>
              <w:kinsoku/>
              <w:wordWrap/>
              <w:overflowPunct/>
              <w:topLinePunct w:val="0"/>
              <w:bidi w:val="0"/>
              <w:snapToGrid/>
              <w:spacing w:after="0" w:line="240" w:lineRule="auto"/>
              <w:ind w:left="0" w:right="0"/>
              <w:rPr>
                <w:rFonts w:hint="default" w:cs="Arial" w:asciiTheme="minorAscii" w:hAnsiTheme="minorAscii"/>
                <w:b w:val="0"/>
                <w:bCs w:val="0"/>
                <w:strike w:val="0"/>
                <w:dstrike w:val="0"/>
                <w:color w:val="000000" w:themeColor="text1"/>
                <w:sz w:val="20"/>
                <w:szCs w:val="20"/>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3</w:t>
            </w:r>
            <w:r>
              <w:rPr>
                <w:rFonts w:hint="default" w:cs="Arial" w:asciiTheme="minorAscii" w:hAnsiTheme="minorAscii"/>
                <w:b w:val="0"/>
                <w:bCs w:val="0"/>
                <w:strike w:val="0"/>
                <w:dstrike w:val="0"/>
                <w:color w:val="000000" w:themeColor="text1"/>
                <w:sz w:val="20"/>
                <w:szCs w:val="20"/>
                <w14:textFill>
                  <w14:solidFill>
                    <w14:schemeClr w14:val="tx1"/>
                  </w14:solidFill>
                </w14:textFill>
              </w:rPr>
              <w:t>00 lei</w:t>
            </w:r>
          </w:p>
        </w:tc>
      </w:tr>
    </w:tbl>
    <w:p w14:paraId="7055756A">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right="0" w:firstLine="420" w:firstLineChars="0"/>
        <w:jc w:val="both"/>
        <w:textAlignment w:val="auto"/>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(2)Eventualele degradări sau distrugeri ale spațiului în care a fost organizat</w:t>
      </w:r>
    </w:p>
    <w:p w14:paraId="30958B28">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right="0"/>
        <w:jc w:val="both"/>
        <w:textAlignment w:val="auto"/>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Evenimentul sau a mobilierului, instalațiilor, dotărilor, veselei, atrag răspunderea organizatorilor și plata de despăgubiri.</w:t>
      </w:r>
    </w:p>
    <w:p w14:paraId="7816661B">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right="0" w:firstLine="420" w:firstLineChars="0"/>
        <w:jc w:val="both"/>
        <w:textAlignment w:val="auto"/>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 xml:space="preserve">(3)Sunt scutite de la plata taxei de închiriere instituțiile publice ce organizează activități culturale, educative, didactice și pedagogice în incinta căminelor culturale. </w:t>
      </w:r>
    </w:p>
    <w:p w14:paraId="4ACD96E5">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ind w:left="0" w:right="0"/>
        <w:jc w:val="both"/>
        <w:textAlignment w:val="auto"/>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 xml:space="preserve">Art.4. </w:t>
      </w: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ab/>
      </w: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Persoanelor fizice (pentru construcţii de locuinţe, garaje, racorduri instalaţii gaze, apă, electricitate, canalizare, etc.) li se încasează numai suma de 100 lei, o singură dată, fie la eliberarea acordului de principiu fie la eliberarea autorizaţiei de amplasare şi execuţie a lucrării în zona drumului.</w:t>
      </w:r>
    </w:p>
    <w:p w14:paraId="3362F77B">
      <w:pPr>
        <w:keepNext w:val="0"/>
        <w:keepLines w:val="0"/>
        <w:pageBreakBefore w:val="0"/>
        <w:widowControl/>
        <w:kinsoku/>
        <w:wordWrap/>
        <w:overflowPunct/>
        <w:topLinePunct w:val="0"/>
        <w:autoSpaceDE/>
        <w:autoSpaceDN/>
        <w:bidi w:val="0"/>
        <w:adjustRightInd/>
        <w:snapToGrid/>
        <w:spacing w:after="0" w:line="240" w:lineRule="auto"/>
        <w:ind w:left="0" w:right="0"/>
        <w:jc w:val="both"/>
        <w:textAlignment w:val="auto"/>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ab/>
      </w: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Unităţile administrativ - teritoriale sunt scutite de tarifele menţionate în anexă.Tarifele nu includ TVA.</w:t>
      </w:r>
    </w:p>
    <w:p w14:paraId="48C2C2FB">
      <w:pPr>
        <w:keepNext w:val="0"/>
        <w:keepLines w:val="0"/>
        <w:pageBreakBefore w:val="0"/>
        <w:widowControl/>
        <w:kinsoku/>
        <w:wordWrap/>
        <w:overflowPunct/>
        <w:topLinePunct w:val="0"/>
        <w:autoSpaceDE/>
        <w:autoSpaceDN/>
        <w:bidi w:val="0"/>
        <w:adjustRightInd/>
        <w:snapToGrid/>
        <w:spacing w:after="0" w:line="240" w:lineRule="auto"/>
        <w:ind w:left="0" w:right="0"/>
        <w:jc w:val="both"/>
        <w:textAlignment w:val="auto"/>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u w:val="single"/>
          <w:lang w:val="ro-RO"/>
          <w14:textFill>
            <w14:solidFill>
              <w14:schemeClr w14:val="tx1"/>
            </w14:solidFill>
          </w14:textFill>
        </w:rPr>
        <w:t xml:space="preserve">TABEL nr. IX- </w:t>
      </w: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 xml:space="preserve">     TARIFE ALE UNOR SERVICII DE INTERES PUBLIC APLICABILE ÎN ANUL FISCAL 2026</w:t>
      </w:r>
    </w:p>
    <w:p w14:paraId="49DBC373">
      <w:pPr>
        <w:keepNext w:val="0"/>
        <w:keepLines w:val="0"/>
        <w:pageBreakBefore w:val="0"/>
        <w:widowControl/>
        <w:kinsoku/>
        <w:wordWrap/>
        <w:overflowPunct/>
        <w:topLinePunct w:val="0"/>
        <w:autoSpaceDE/>
        <w:autoSpaceDN/>
        <w:bidi w:val="0"/>
        <w:adjustRightInd/>
        <w:snapToGrid/>
        <w:spacing w:after="0" w:line="240" w:lineRule="auto"/>
        <w:ind w:left="0" w:right="0"/>
        <w:jc w:val="center"/>
        <w:textAlignment w:val="auto"/>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p>
    <w:tbl>
      <w:tblPr>
        <w:tblStyle w:val="26"/>
        <w:tblW w:w="89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07"/>
        <w:gridCol w:w="4920"/>
      </w:tblGrid>
      <w:tr w14:paraId="00C57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7" w:type="dxa"/>
          </w:tcPr>
          <w:p w14:paraId="29BC12BE">
            <w:pPr>
              <w:keepNext w:val="0"/>
              <w:keepLines w:val="0"/>
              <w:pageBreakBefore w:val="0"/>
              <w:widowControl/>
              <w:kinsoku/>
              <w:wordWrap/>
              <w:overflowPunct/>
              <w:topLinePunct w:val="0"/>
              <w:autoSpaceDE/>
              <w:autoSpaceDN/>
              <w:bidi w:val="0"/>
              <w:adjustRightInd/>
              <w:snapToGrid/>
              <w:spacing w:after="0" w:line="240" w:lineRule="auto"/>
              <w:ind w:left="0" w:right="0"/>
              <w:jc w:val="left"/>
              <w:textAlignment w:val="auto"/>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Taxă  afişaj</w:t>
            </w:r>
          </w:p>
        </w:tc>
        <w:tc>
          <w:tcPr>
            <w:tcW w:w="4920" w:type="dxa"/>
          </w:tcPr>
          <w:p w14:paraId="256EFDD9">
            <w:pPr>
              <w:keepNext w:val="0"/>
              <w:keepLines w:val="0"/>
              <w:pageBreakBefore w:val="0"/>
              <w:widowControl w:val="0"/>
              <w:numPr>
                <w:ilvl w:val="0"/>
                <w:numId w:val="9"/>
              </w:numPr>
              <w:shd w:val="clear" w:color="auto" w:fill="FFFFFF"/>
              <w:tabs>
                <w:tab w:val="left" w:pos="0"/>
              </w:tabs>
              <w:kinsoku/>
              <w:wordWrap/>
              <w:overflowPunct/>
              <w:topLinePunct w:val="0"/>
              <w:bidi w:val="0"/>
              <w:snapToGrid/>
              <w:spacing w:after="0" w:line="240" w:lineRule="auto"/>
              <w:ind w:left="0" w:right="0" w:firstLine="0"/>
              <w:jc w:val="both"/>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 xml:space="preserve"> 6 lei/ afiş;</w:t>
            </w:r>
          </w:p>
          <w:p w14:paraId="712EFDF7">
            <w:pPr>
              <w:keepNext w:val="0"/>
              <w:keepLines w:val="0"/>
              <w:pageBreakBefore w:val="0"/>
              <w:widowControl/>
              <w:kinsoku/>
              <w:wordWrap/>
              <w:overflowPunct/>
              <w:topLinePunct w:val="0"/>
              <w:autoSpaceDE/>
              <w:autoSpaceDN/>
              <w:bidi w:val="0"/>
              <w:adjustRightInd/>
              <w:snapToGrid/>
              <w:spacing w:after="0" w:line="240" w:lineRule="auto"/>
              <w:ind w:left="0" w:right="0"/>
              <w:jc w:val="center"/>
              <w:textAlignment w:val="auto"/>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p>
        </w:tc>
      </w:tr>
      <w:tr w14:paraId="7C06C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7" w:type="dxa"/>
          </w:tcPr>
          <w:p w14:paraId="3F488B34">
            <w:pPr>
              <w:keepNext w:val="0"/>
              <w:keepLines w:val="0"/>
              <w:pageBreakBefore w:val="0"/>
              <w:widowControl w:val="0"/>
              <w:numPr>
                <w:ilvl w:val="0"/>
                <w:numId w:val="9"/>
              </w:numPr>
              <w:shd w:val="clear" w:color="auto" w:fill="FFFFFF"/>
              <w:tabs>
                <w:tab w:val="left" w:pos="-426"/>
                <w:tab w:val="left" w:pos="0"/>
                <w:tab w:val="clear" w:pos="502"/>
              </w:tabs>
              <w:kinsoku/>
              <w:wordWrap/>
              <w:overflowPunct/>
              <w:topLinePunct w:val="0"/>
              <w:bidi w:val="0"/>
              <w:snapToGrid/>
              <w:spacing w:after="0" w:line="240" w:lineRule="auto"/>
              <w:ind w:left="0" w:leftChars="0" w:right="0" w:firstLine="0" w:firstLineChars="0"/>
              <w:jc w:val="both"/>
              <w:rPr>
                <w:rFonts w:hint="default" w:cs="Arial" w:asciiTheme="minorAscii" w:hAnsiTheme="minorAscii"/>
                <w:b w:val="0"/>
                <w:bCs w:val="0"/>
                <w:strike w:val="0"/>
                <w:dstrike w:val="0"/>
                <w:color w:val="000000" w:themeColor="text1"/>
                <w:sz w:val="20"/>
                <w:szCs w:val="20"/>
                <w:u w:val="singl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u w:val="single"/>
                <w:lang w:val="ro-RO"/>
                <w14:textFill>
                  <w14:solidFill>
                    <w14:schemeClr w14:val="tx1"/>
                  </w14:solidFill>
                </w14:textFill>
              </w:rPr>
              <w:t xml:space="preserve">Taxă  închiriere buldozer/ utilaje Primărie: </w:t>
            </w:r>
          </w:p>
          <w:p w14:paraId="18EAD496">
            <w:pPr>
              <w:keepNext w:val="0"/>
              <w:keepLines w:val="0"/>
              <w:pageBreakBefore w:val="0"/>
              <w:widowControl/>
              <w:kinsoku/>
              <w:wordWrap/>
              <w:overflowPunct/>
              <w:topLinePunct w:val="0"/>
              <w:autoSpaceDE/>
              <w:autoSpaceDN/>
              <w:bidi w:val="0"/>
              <w:adjustRightInd/>
              <w:snapToGrid/>
              <w:spacing w:after="0" w:line="240" w:lineRule="auto"/>
              <w:ind w:left="0" w:right="0"/>
              <w:jc w:val="center"/>
              <w:textAlignment w:val="auto"/>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p>
        </w:tc>
        <w:tc>
          <w:tcPr>
            <w:tcW w:w="4920" w:type="dxa"/>
          </w:tcPr>
          <w:p w14:paraId="46E6457B">
            <w:pPr>
              <w:keepNext w:val="0"/>
              <w:keepLines w:val="0"/>
              <w:pageBreakBefore w:val="0"/>
              <w:widowControl w:val="0"/>
              <w:numPr>
                <w:ilvl w:val="0"/>
                <w:numId w:val="9"/>
              </w:numPr>
              <w:shd w:val="clear" w:color="auto" w:fill="FFFFFF"/>
              <w:tabs>
                <w:tab w:val="left" w:pos="0"/>
              </w:tabs>
              <w:kinsoku/>
              <w:wordWrap/>
              <w:overflowPunct/>
              <w:topLinePunct w:val="0"/>
              <w:bidi w:val="0"/>
              <w:snapToGrid/>
              <w:spacing w:after="0" w:line="240" w:lineRule="auto"/>
              <w:ind w:left="0" w:right="0" w:firstLine="0"/>
              <w:jc w:val="both"/>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-80 lei /oră pentru persoane fizice;</w:t>
            </w:r>
          </w:p>
          <w:p w14:paraId="3BA03A2F">
            <w:pPr>
              <w:keepNext w:val="0"/>
              <w:keepLines w:val="0"/>
              <w:pageBreakBefore w:val="0"/>
              <w:widowControl w:val="0"/>
              <w:numPr>
                <w:ilvl w:val="0"/>
                <w:numId w:val="9"/>
              </w:numPr>
              <w:shd w:val="clear" w:color="auto" w:fill="FFFFFF"/>
              <w:tabs>
                <w:tab w:val="left" w:pos="0"/>
              </w:tabs>
              <w:kinsoku/>
              <w:wordWrap/>
              <w:overflowPunct/>
              <w:topLinePunct w:val="0"/>
              <w:bidi w:val="0"/>
              <w:snapToGrid/>
              <w:spacing w:after="0" w:line="240" w:lineRule="auto"/>
              <w:ind w:left="0" w:right="0" w:firstLine="0"/>
              <w:jc w:val="both"/>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-100 lei/pentru persoane juridice;</w:t>
            </w:r>
          </w:p>
          <w:p w14:paraId="44A34420">
            <w:pPr>
              <w:keepNext w:val="0"/>
              <w:keepLines w:val="0"/>
              <w:pageBreakBefore w:val="0"/>
              <w:widowControl/>
              <w:kinsoku/>
              <w:wordWrap/>
              <w:overflowPunct/>
              <w:topLinePunct w:val="0"/>
              <w:autoSpaceDE/>
              <w:autoSpaceDN/>
              <w:bidi w:val="0"/>
              <w:adjustRightInd/>
              <w:snapToGrid/>
              <w:spacing w:after="0" w:line="240" w:lineRule="auto"/>
              <w:ind w:left="0" w:right="0"/>
              <w:jc w:val="center"/>
              <w:textAlignment w:val="auto"/>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p>
        </w:tc>
      </w:tr>
      <w:tr w14:paraId="628C2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4007" w:type="dxa"/>
          </w:tcPr>
          <w:p w14:paraId="179CC96B">
            <w:pPr>
              <w:keepNext w:val="0"/>
              <w:keepLines w:val="0"/>
              <w:pageBreakBefore w:val="0"/>
              <w:widowControl w:val="0"/>
              <w:numPr>
                <w:ilvl w:val="0"/>
                <w:numId w:val="9"/>
              </w:numPr>
              <w:shd w:val="clear" w:color="auto" w:fill="FFFFFF"/>
              <w:tabs>
                <w:tab w:val="left" w:pos="0"/>
              </w:tabs>
              <w:kinsoku/>
              <w:wordWrap/>
              <w:overflowPunct/>
              <w:topLinePunct w:val="0"/>
              <w:bidi w:val="0"/>
              <w:snapToGrid/>
              <w:spacing w:after="0" w:line="240" w:lineRule="auto"/>
              <w:ind w:left="0" w:right="0" w:firstLine="0"/>
              <w:jc w:val="both"/>
              <w:rPr>
                <w:rFonts w:hint="default" w:cs="Arial" w:asciiTheme="minorAscii" w:hAnsiTheme="minorAscii"/>
                <w:b w:val="0"/>
                <w:bCs w:val="0"/>
                <w:strike w:val="0"/>
                <w:dstrike w:val="0"/>
                <w:color w:val="000000" w:themeColor="text1"/>
                <w:sz w:val="20"/>
                <w:szCs w:val="20"/>
                <w:u w:val="singl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u w:val="single"/>
                <w:lang w:val="ro-RO"/>
                <w14:textFill>
                  <w14:solidFill>
                    <w14:schemeClr w14:val="tx1"/>
                  </w14:solidFill>
                </w14:textFill>
              </w:rPr>
              <w:t xml:space="preserve">Taxă  vânzare stradală: </w:t>
            </w:r>
          </w:p>
          <w:p w14:paraId="4C854611">
            <w:pPr>
              <w:keepNext w:val="0"/>
              <w:keepLines w:val="0"/>
              <w:pageBreakBefore w:val="0"/>
              <w:widowControl/>
              <w:kinsoku/>
              <w:wordWrap/>
              <w:overflowPunct/>
              <w:topLinePunct w:val="0"/>
              <w:autoSpaceDE/>
              <w:autoSpaceDN/>
              <w:bidi w:val="0"/>
              <w:adjustRightInd/>
              <w:snapToGrid/>
              <w:spacing w:after="0" w:line="240" w:lineRule="auto"/>
              <w:ind w:left="0" w:right="0"/>
              <w:jc w:val="center"/>
              <w:textAlignment w:val="auto"/>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p>
        </w:tc>
        <w:tc>
          <w:tcPr>
            <w:tcW w:w="4920" w:type="dxa"/>
          </w:tcPr>
          <w:p w14:paraId="4EDF0204">
            <w:pPr>
              <w:keepNext w:val="0"/>
              <w:keepLines w:val="0"/>
              <w:pageBreakBefore w:val="0"/>
              <w:widowControl w:val="0"/>
              <w:numPr>
                <w:ilvl w:val="0"/>
                <w:numId w:val="10"/>
              </w:numPr>
              <w:shd w:val="clear" w:color="auto" w:fill="FFFFFF"/>
              <w:tabs>
                <w:tab w:val="left" w:pos="-426"/>
                <w:tab w:val="left" w:pos="0"/>
                <w:tab w:val="clear" w:pos="312"/>
              </w:tabs>
              <w:kinsoku/>
              <w:wordWrap/>
              <w:overflowPunct/>
              <w:topLinePunct w:val="0"/>
              <w:bidi w:val="0"/>
              <w:snapToGrid/>
              <w:spacing w:after="0" w:line="240" w:lineRule="auto"/>
              <w:ind w:left="0" w:leftChars="0" w:right="0" w:firstLineChars="0"/>
              <w:jc w:val="both"/>
              <w:rPr>
                <w:rFonts w:hint="default" w:cs="Arial" w:asciiTheme="minorAscii" w:hAnsiTheme="minorAscii"/>
                <w:b w:val="0"/>
                <w:bCs w:val="0"/>
                <w:strike w:val="0"/>
                <w:dstrike w:val="0"/>
                <w:color w:val="000000" w:themeColor="text1"/>
                <w:sz w:val="20"/>
                <w:szCs w:val="20"/>
                <w:vertAlign w:val="baseline"/>
                <w:lang w:val="ro-RO"/>
                <w14:textFill>
                  <w14:solidFill>
                    <w14:schemeClr w14:val="tx1"/>
                  </w14:solidFill>
                </w14:textFill>
              </w:rPr>
            </w:pPr>
            <w:r>
              <w:rPr>
                <w:rFonts w:hint="default" w:cs="Arial" w:asciiTheme="minorAscii" w:hAnsiTheme="minorAscii"/>
                <w:b w:val="0"/>
                <w:bCs w:val="0"/>
                <w:strike w:val="0"/>
                <w:dstrike w:val="0"/>
                <w:color w:val="000000" w:themeColor="text1"/>
                <w:sz w:val="20"/>
                <w:szCs w:val="20"/>
                <w:lang w:val="ro-RO"/>
                <w14:textFill>
                  <w14:solidFill>
                    <w14:schemeClr w14:val="tx1"/>
                  </w14:solidFill>
                </w14:textFill>
              </w:rPr>
              <w:t>50 lei / zi-pentru vânzarea legumelor și fructelor, vânzarea mărfurilor nealimentare;</w:t>
            </w:r>
          </w:p>
        </w:tc>
      </w:tr>
    </w:tbl>
    <w:p w14:paraId="0000049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Art. 33. (485) - Scutiri </w:t>
      </w:r>
    </w:p>
    <w:p w14:paraId="0000049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(1) Autorităţile deliberative pot acorda reduceri sau scutiri de la plata taxelor speciale  instituite conform art. 32, pentru următoarele persoane fizice sau juridice:   a) veteranii de război, văduvele de război şi văduvele nerecăsătorite ale veteranilor de război;   b) persoanele fizice prevăzute la </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14:textFill>
            <w14:solidFill>
              <w14:schemeClr w14:val="tx1"/>
            </w14:solidFill>
          </w14:textFill>
        </w:rPr>
        <w:t xml:space="preserve">art. 1 </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din Decretul-lege nr. 118/1990, republicat, cu  modificările şi completările ulterioare, si persoanele fizice prevazute la art. 1 din OG nr.  105/1999 aprobata cu modificari si completari prin Legea nr. 189/2000, cu modificarile si  completarile ulterioare;  </w:t>
      </w:r>
    </w:p>
    <w:p w14:paraId="0000049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c) instituţiile sau unităţile care funcţionează sub coordonarea Ministerului Educaţiei şi  Cercetării Ştiinţifice sau a Ministerului Tineretului şi Sportului, cu excepţia incintelor folosite  pentru activităţi economice;  </w:t>
      </w:r>
    </w:p>
    <w:p w14:paraId="0000049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d) fundaţiile înfiinţate prin testament, constituite conform legii, cu scopul de a întreţine,  dezvolta şi ajuta instituţii de cultură naţională, precum şi de a susţine acţiuni cu caracter  umanitar, social şi cultural;  </w:t>
      </w:r>
    </w:p>
    <w:p w14:paraId="0000049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1"/>
        <w:jc w:val="both"/>
        <w:rPr>
          <w:rFonts w:hint="default" w:eastAsia="Verdana"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e) organizaţiile care au ca unică activitate acordarea gratuită de servicii sociale în unităţi  specializate care asigură găzduire, îngrijire socială şi medicală, asistenţă, ocrotire, activităţi de  recuperare, reabilitare şi reinserţie socială pentru copil, familie, persoane cu handicap, persoane  vârstnice, precum şi pentru alte persoane aflate în dificultate, în condiţiile legii; </w:t>
      </w:r>
    </w:p>
    <w:p w14:paraId="0000049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7"/>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Verdana"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f) persoanele cu handicap grav sau accentuat, persoanele încadrate în gradul I de invaliditate  şi reprezentanţii legali ai minorilor cu handicap grav sau accentuat şi ai minorilor încadraţi în  gradul I de invaliditate.  </w:t>
      </w:r>
    </w:p>
    <w:p w14:paraId="0000049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7"/>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(2) Taxele speciale instituite conform art. 32 se reduc cu 50% pentru persoanele fizice care  domiciliază în localităţile precizate în:  </w:t>
      </w:r>
    </w:p>
    <w:p w14:paraId="000004A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a) Hotărârea Guvernulu</w:t>
      </w:r>
      <w:bookmarkStart w:id="2" w:name="_GoBack"/>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i nr. 323/1996, cu modificările ulterioare;  </w:t>
      </w:r>
    </w:p>
    <w:p w14:paraId="000004A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b) Hotărârea Guvernului nr. 395/1996, cu</w:t>
      </w:r>
      <w:bookmarkEnd w:id="2"/>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modificările ulterioare.  </w:t>
      </w:r>
    </w:p>
    <w:p w14:paraId="000004A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Alte taxe locale </w:t>
      </w:r>
    </w:p>
    <w:p w14:paraId="000004A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Art. 34. (486) - Alte taxe locale </w:t>
      </w:r>
    </w:p>
    <w:p w14:paraId="000004A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(1) Se instituie taxa pentru utilizarea temporară a locurilor publice şi pentru vizitarea  muzeelor, caselor memoriale, monumentelor istorice de arhitectură şi arheologice şi altele  asemenea la valoarea de </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t>1</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3 lei/zi. </w:t>
      </w:r>
    </w:p>
    <w:p w14:paraId="000004A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(2) Se instituie taxa pentru deţinerea sau utilizarea echipamentelor şi utilajelor  destinate obţinerii de venituri care folosesc infrastructura publică locală, pe raza  localităţii unde acestea sunt utilizate, la valoarea de 51 lei. </w:t>
      </w:r>
    </w:p>
    <w:p w14:paraId="64BDB19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(3) Prevederile referitoare la taxa de paza si taxa de protectie civila se abroga. </w:t>
      </w:r>
    </w:p>
    <w:p w14:paraId="000004A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(4)</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t xml:space="preserve"> Taxe pentru  SPCLEP Bucoșnița: T</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axa pentru îndeplinirea procedurii de divorţ pe cale administrativă este în cuantum de  </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14:textFill>
            <w14:solidFill>
              <w14:schemeClr w14:val="tx1"/>
            </w14:solidFill>
          </w14:textFill>
        </w:rPr>
        <w:t>5</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lang w:val="ro-RO"/>
          <w14:textFill>
            <w14:solidFill>
              <w14:schemeClr w14:val="tx1"/>
            </w14:solidFill>
          </w14:textFill>
        </w:rPr>
        <w:t>0</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14:textFill>
            <w14:solidFill>
              <w14:schemeClr w14:val="tx1"/>
            </w14:solidFill>
          </w14:textFill>
        </w:rPr>
        <w:t>0 lei</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Taxa se face venit la bugetul local.  </w:t>
      </w:r>
    </w:p>
    <w:p w14:paraId="23FE9A6A">
      <w:pPr>
        <w:keepNext w:val="0"/>
        <w:keepLines w:val="0"/>
        <w:pageBreakBefore w:val="0"/>
        <w:widowControl w:val="0"/>
        <w:numPr>
          <w:ilvl w:val="0"/>
          <w:numId w:val="11"/>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leftChars="0" w:right="0" w:hanging="425" w:firstLineChars="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t>Conform Legii nr.141/2025 de reactualizare  contravaloare acte de identitate, începând cu data de 01.07.2026 taxa pentru  eliberarea Cărții electronice de Identitate va fi de 70 lei;</w:t>
      </w:r>
    </w:p>
    <w:p w14:paraId="3AFF8A01">
      <w:pPr>
        <w:keepNext w:val="0"/>
        <w:keepLines w:val="0"/>
        <w:pageBreakBefore w:val="0"/>
        <w:widowControl w:val="0"/>
        <w:numPr>
          <w:ilvl w:val="0"/>
          <w:numId w:val="11"/>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leftChars="0" w:right="0" w:hanging="425" w:firstLineChars="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t>Taxa pentru eliberare carte simplă de identitate va fi de 40 lei;</w:t>
      </w:r>
    </w:p>
    <w:p w14:paraId="7E0968BC">
      <w:pPr>
        <w:keepNext w:val="0"/>
        <w:keepLines w:val="0"/>
        <w:pageBreakBefore w:val="0"/>
        <w:widowControl w:val="0"/>
        <w:numPr>
          <w:ilvl w:val="0"/>
          <w:numId w:val="11"/>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leftChars="0" w:right="0" w:hanging="425" w:firstLineChars="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t>Taxa de furnizare date  din RNEP este de 1 leu/persoană;</w:t>
      </w:r>
    </w:p>
    <w:p w14:paraId="7F42717A">
      <w:pPr>
        <w:keepNext w:val="0"/>
        <w:keepLines w:val="0"/>
        <w:pageBreakBefore w:val="0"/>
        <w:widowControl w:val="0"/>
        <w:numPr>
          <w:ilvl w:val="0"/>
          <w:numId w:val="11"/>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leftChars="0" w:right="0" w:hanging="425" w:firstLineChars="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t>carte identitate  provizorie 1 leu/buc;</w:t>
      </w:r>
    </w:p>
    <w:p w14:paraId="6489B5A1">
      <w:pPr>
        <w:keepNext w:val="0"/>
        <w:keepLines w:val="0"/>
        <w:pageBreakBefore w:val="0"/>
        <w:widowControl w:val="0"/>
        <w:numPr>
          <w:ilvl w:val="0"/>
          <w:numId w:val="11"/>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leftChars="0" w:right="0" w:hanging="425" w:firstLineChars="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t>Transcrierea în registrele de stare civilă române  a actelor de stare civilă înregistrate în strainătate-10 lei/act;</w:t>
      </w:r>
    </w:p>
    <w:p w14:paraId="28A715AC">
      <w:pPr>
        <w:keepNext w:val="0"/>
        <w:keepLines w:val="0"/>
        <w:pageBreakBefore w:val="0"/>
        <w:widowControl w:val="0"/>
        <w:numPr>
          <w:ilvl w:val="0"/>
          <w:numId w:val="11"/>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leftChars="0" w:right="0" w:hanging="425" w:firstLineChars="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t>Eliberarea Anexei 9 de Celibat și adeverinșă cu componența familiei-20 lei/act;</w:t>
      </w:r>
    </w:p>
    <w:p w14:paraId="5850FF76">
      <w:pPr>
        <w:keepNext w:val="0"/>
        <w:keepLines w:val="0"/>
        <w:pageBreakBefore w:val="0"/>
        <w:widowControl w:val="0"/>
        <w:numPr>
          <w:ilvl w:val="0"/>
          <w:numId w:val="11"/>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leftChars="0" w:right="0" w:hanging="425" w:firstLineChars="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t>Eliberarea duplicatelor certificatelor de pe actelel de stare civilă-20 lei/act;</w:t>
      </w:r>
    </w:p>
    <w:p w14:paraId="628FF3D7">
      <w:pPr>
        <w:keepNext w:val="0"/>
        <w:keepLines w:val="0"/>
        <w:pageBreakBefore w:val="0"/>
        <w:widowControl w:val="0"/>
        <w:numPr>
          <w:ilvl w:val="0"/>
          <w:numId w:val="11"/>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leftChars="0" w:right="0" w:hanging="425" w:firstLineChars="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t>Taxă pentru oficierea căsătoriilor în afara sediului Comunei Bucoșnița-100 lei;</w:t>
      </w:r>
    </w:p>
    <w:p w14:paraId="000004A8">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rightChars="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t>(5)</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Pentru eliberarea de copii heliografice de pe planuri cadastrale sau de pe alte asemenea  planuri, deţinute de consiliile locale, consiliul local stabileşte o taxă de </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lang w:val="ro-RO"/>
          <w14:textFill>
            <w14:solidFill>
              <w14:schemeClr w14:val="tx1"/>
            </w14:solidFill>
          </w14:textFill>
        </w:rPr>
        <w:t>32</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14:textFill>
            <w14:solidFill>
              <w14:schemeClr w14:val="tx1"/>
            </w14:solidFill>
          </w14:textFill>
        </w:rPr>
        <w:t xml:space="preserve"> lei. </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w:t>
      </w:r>
    </w:p>
    <w:p w14:paraId="50CF59DF">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leftChars="0" w:right="0" w:rightChars="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t>a) taxa Xerox 1 pagina A4-2 lei/pagina, pentru format A3 taxa este 5 lei/pagina;</w:t>
      </w:r>
    </w:p>
    <w:p w14:paraId="39052340">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rightChars="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t>(6) Taxă legalizare copii acte conform art.17 din Legea nr.36/1995 a noatrilor publici și art.243(8) din OUG nr.57/2019 Cod Administrativ.</w:t>
      </w:r>
    </w:p>
    <w:p w14:paraId="38DD197A">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rightChars="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t xml:space="preserve">        Legalizare înscrisuri și xerocopiere acte pentru legalizare copii după acte, cu excepția actelor sub semnătură privată-5 lei/pagină legalizată;</w:t>
      </w:r>
    </w:p>
    <w:p w14:paraId="0F9E4988">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leftChars="0" w:right="0" w:rightChars="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pPr>
    </w:p>
    <w:p w14:paraId="000004A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Art. 35. (487) - Scutiri </w:t>
      </w:r>
    </w:p>
    <w:p w14:paraId="000004A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8"/>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Autorităţile deliberative pot acorda reduceri sau scutiri de la plata taxelor instituite conform  art. 34</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t>, la cerere dacă este cazul,</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următoarelor persoane fizice sau juridice:  </w:t>
      </w:r>
    </w:p>
    <w:p w14:paraId="12806F3C">
      <w:pPr>
        <w:keepNext w:val="0"/>
        <w:keepLines w:val="0"/>
        <w:pageBreakBefore w:val="0"/>
        <w:widowControl w:val="0"/>
        <w:numPr>
          <w:ilvl w:val="0"/>
          <w:numId w:val="12"/>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leftChars="0" w:right="0" w:firstLine="0" w:firstLineChars="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veteranii de război, văduvele de război şi văduvele nerecăsătorite ale veteranilor de război;   </w:t>
      </w:r>
    </w:p>
    <w:p w14:paraId="000004AB">
      <w:pPr>
        <w:keepNext w:val="0"/>
        <w:keepLines w:val="0"/>
        <w:pageBreakBefore w:val="0"/>
        <w:widowControl w:val="0"/>
        <w:numPr>
          <w:ilvl w:val="0"/>
          <w:numId w:val="12"/>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leftChars="0" w:right="0" w:firstLine="0" w:firstLineChars="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persoanele fizice prevăzute la </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14:textFill>
            <w14:solidFill>
              <w14:schemeClr w14:val="tx1"/>
            </w14:solidFill>
          </w14:textFill>
        </w:rPr>
        <w:t xml:space="preserve">art. 1 </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din Decretul-lege nr. 118/1990, republicat, cu  modificările şi completările ulterioare;  </w:t>
      </w:r>
    </w:p>
    <w:p w14:paraId="000004A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c) instituţiile sau unităţile care funcţionează sub coordonarea Ministerului Educaţiei şi  Cercetării Ştiinţifice sau a Ministerului Tineretului şi Sportului, cu excepţia incintelor folosite  pentru activităţi economice;  </w:t>
      </w:r>
    </w:p>
    <w:p w14:paraId="000004A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d) fundaţiile înfiinţate prin testament, constituite conform legii, cu scopul de a întreţine,  dezvolta şi ajuta instituţii de cultură naţională, precum şi de a susţine acţiuni cu caracter  umanitar, social şi cultural;  </w:t>
      </w:r>
    </w:p>
    <w:p w14:paraId="000004A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1"/>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e) organizaţiile care au ca unică activitate acordarea gratuită de servicii sociale în unităţi  specializate care asigură găzduire, îngrijire socială şi medicală, asistenţă, ocrotire, activităţi de  recuperare, reabilitare şi reinserţie socială pentru copil, familie, persoane cu handicap, persoane  vârstnice, precum şi pentru alte persoane aflate în dificultate, în condiţiile legii.  </w:t>
      </w:r>
    </w:p>
    <w:p w14:paraId="000004B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Art. 36. (488) - Contracte de fiducie </w:t>
      </w:r>
    </w:p>
    <w:p w14:paraId="000004B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În cazul persoanelor fizice şi juridice care încheie contracte de fiducie conform</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Codului civil, impozitele şi taxele locale aferente masei patrimoniale fiduciare transferate în cadrul operaţiunii  de fiducie sunt plătite de către fiduciar la bugetele locale ale unităţilor administrativ-teritoriale  unde sunt înregistrate bunu</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rile care fac obiectul operaţiunii de fiducie, cu respectarea  prevederilor prezentului titlu, începând cu data de întâi a lunii următoare celei în care a fost  încheiat contractul de fiducie. </w:t>
      </w:r>
    </w:p>
    <w:p w14:paraId="000004B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Alte dispoziţii comune </w:t>
      </w:r>
    </w:p>
    <w:p w14:paraId="000004B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Art. 37. (489) - Majorarea impozitelor şi taxelor locale de consiliile locale</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t>.</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w:t>
      </w:r>
    </w:p>
    <w:p w14:paraId="000004B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(1) Autoritatea deliberativă a administraţiei publice locale, la propunerea autorităţii executive,  poate stabili cote adiţionale la impozitele şi taxele locale prevăzute în prezentul titlu, în funcţie  de următoarele criterii: economice, sociale, geografice, precum şi de necesităţile bugetare  locale, cu excepţia taxelor prevăzute la art. 494 alin. (10) </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14:textFill>
            <w14:solidFill>
              <w14:schemeClr w14:val="tx1"/>
            </w14:solidFill>
          </w14:textFill>
        </w:rPr>
        <w:t>lit. b)</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şi </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14:textFill>
            <w14:solidFill>
              <w14:schemeClr w14:val="tx1"/>
            </w14:solidFill>
          </w14:textFill>
        </w:rPr>
        <w:t>c)</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w:t>
      </w:r>
    </w:p>
    <w:p w14:paraId="000004B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8"/>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lang w:val="ro-RO"/>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(2) Cotele adiţionale stabilite conform alin. (1) pot fi de până la 100% faţă de nivelurile  maxime stabilite în cadrul prezentului titlu</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t>, dacă este cazul.</w:t>
      </w:r>
    </w:p>
    <w:p w14:paraId="000004B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(3) Criteriile prevăzute la alin. (1) se hotărăsc de către autoritatea deliberativă a administraţiei  publice locale.  </w:t>
      </w:r>
    </w:p>
    <w:p w14:paraId="000004B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5"/>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(4) Pentru terenul agricol nelucrat timp de 2 ani consecutiv, consiliul local poate majora  impozitul pe teren cu până la 500%, începând cu al treilea an, în condiţiile stabilite prin  hotărâre a consiliului local. </w:t>
      </w:r>
    </w:p>
    <w:p w14:paraId="000004B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8"/>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(5) Consiliul local poate majora impozitul pe clădiri şi impozitul pe teren cu până la  500% pentru clădirile şi terenurile neîngrijite, situate în intravilan</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t>, dacă este cazul.</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w:t>
      </w:r>
    </w:p>
    <w:p w14:paraId="000004B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(6) Criteriile de încadrare în categoria clădirilor şi terenurilor prevăzute la alin. (5) se adoptă  prin hotărâre a consiliului local</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t>, atunci când este cazul.</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w:t>
      </w:r>
    </w:p>
    <w:p w14:paraId="5AD61F8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(7) Clădirile şi terenurile care intră sub incidenţa alin. (5) se stabilesc prin hotărâre a  consiliului local conform elementelor de identificare potrivit nomenclaturii stradale</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t>, dacă este cazul.</w:t>
      </w:r>
    </w:p>
    <w:p w14:paraId="000004B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(8) Hotărârile consiliului local stabilite potrivit alin. (7) au caracter individual.  </w:t>
      </w:r>
    </w:p>
    <w:p w14:paraId="000004B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Art. 39. (489^1) – Stabilirea scutirilor și/sau reducerilor de la plata impozitelor și taxelor  locale la nivelul consiliului local </w:t>
      </w:r>
    </w:p>
    <w:p w14:paraId="000004B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1"/>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(1) Consiliul local poate hotărî să acorde scutirea sau reducerea de la plata impozitelor și  taxelor locale pe bază de analize cost-beneficiu, </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t xml:space="preserve">la cerere, dacă este cazul, </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pentru o perioadă determinată de timp, de cel  mult 2 ani fiscali, în funcție de anumite criterii predefinite prin hotărârea adoptată cu cel puțin  3 zile lucrătoare înainte de expirarea exercițiului bugetar, pentru anul fiscal următor. În cadrul  acestei perioade se efectuează evaluări intermediare din perspectiva atingerii scopului urmărit  la momentul la care a fost luată hotărârea de acordare și în funcție de constatări se decide prin  hotărâre, după caz, menținerea pentru restul perioadei rămase sau stoparea acordării pe viitor.  </w:t>
      </w:r>
    </w:p>
    <w:p w14:paraId="000004B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(2) Criteriile prevăzute la alin. (1) se stabilesc de către autoritatea deliberativă a administrației  publice locale prin hotărâre a consiliului local. </w:t>
      </w:r>
    </w:p>
    <w:p w14:paraId="000004C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8"/>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(3) Cuantumul total al scutirilor și/sau reducerilor ce se acordă prin hotărâre a consiliului local  este de cel mult 5% din totalul veniturilor din impozitele și taxele locale încasate până în ziua  anterioară adoptării hotărârii din anul fiscal precedent celui în care se acordă scutirea. </w:t>
      </w:r>
    </w:p>
    <w:p w14:paraId="000004C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Art. 40. (490) - Controlul şi colectarea impozitelor şi taxelor locale  </w:t>
      </w:r>
    </w:p>
    <w:p w14:paraId="000004C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1"/>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Autorităţile administraţiei publice locale şi organele speciale ale acestora, după caz, sunt  responsabile pentru stabilirea, controlul şi colectarea impozitelor şi taxelor locale, precum şi a  amenzilor şi penalizărilor aferente.  </w:t>
      </w:r>
    </w:p>
    <w:p w14:paraId="000004C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Art. 41. (491) - Indexarea impozitelor şi taxelor locale  </w:t>
      </w:r>
    </w:p>
    <w:p w14:paraId="000004C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7"/>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(1) În anul fiscal 2026, pentru impozitele și taxele locale care constau într-o anumită sumă în  lei sau care sunt stabilite pe baza unei anumite sume în lei, se aplică nivelurile prevăzute în mod  distinct pentru fiecare impozit/taxă în parte, în cadrul prezentului titlu.  </w:t>
      </w:r>
    </w:p>
    <w:p w14:paraId="000004C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(2) Prin excepție de la prevederile alin. (1), sumele prevăzute în tabelele prevăzute la art. 470  alin. (5) și (6) se indexează anual în funcție de rata de schimb a monedei euro în vigoare în  prima zi lucrătoare a lunii octombrie a fiecărui an și publicată în Jurnalul Uniunii Europene și  de nivelurile minime prevăzute în Directiva 1999/62/CE de aplicare la vehiculele grele de marfă  pentru utilizarea anumitor infrastructuri. Cursul de schimb a monedei euro și nivelurile minime,  exprimate în euro, prevăzute în Directiva 1999/62/CE de aplicare la vehiculele grele de marfă pentru utilizarea anumitor infrastructuri se comunică pe site-urile oficiale ale Ministerului  Finanțelor și Ministerului Dezvoltării Lucrărilor Publice și Administrației.   (3) Sumele indexate conform alin. (2) se aprobă prin hotărâre a consiliului local și se aplică  în anul fiscal următor.  </w:t>
      </w:r>
    </w:p>
    <w:p w14:paraId="000004C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8"/>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(4) Hotărârea consiliului local se adoptă cu cel puțin 3 zile lucrătoare înainte de expirarea  exercițiului bugetar, pentru anul fiscal următor. </w:t>
      </w:r>
    </w:p>
    <w:p w14:paraId="000004C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Art. 42. (492) - Elaborarea normelor  </w:t>
      </w:r>
    </w:p>
    <w:p w14:paraId="000004C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4"/>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Elaborarea normelor pentru prezentul titlu se face de către Ministerul Finanţelor Publice şi  Ministerul Dezvoltării Regionale şi Administraţiei Publice.  </w:t>
      </w:r>
    </w:p>
    <w:p w14:paraId="000004C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Sancţiuni </w:t>
      </w:r>
    </w:p>
    <w:p w14:paraId="000004C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Art. 43. (493) - Sancţiuni </w:t>
      </w:r>
    </w:p>
    <w:p w14:paraId="000004C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8"/>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(1) Nerespectarea prevederilor prezentului titlu atrage răspunderea disciplinară,  contravenţională sau penală, potrivit dispoziţiilor legale în vigoare.  </w:t>
      </w:r>
    </w:p>
    <w:p w14:paraId="000004C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1"/>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(2) Constituie contravenţii următoarele fapte, dacă nu au fost săvârşite în astfel de condiţii  încât să fie considerate, potrivit legii, infracţiuni:  </w:t>
      </w:r>
    </w:p>
    <w:p w14:paraId="000004D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5"/>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a) depunerea peste termen a declaraţiilor de impunere prevăzute la art. 9 (461) alin. (2), (6),  (7), alin. (10) lit. c), alin. (12) şi (13), art. 14 (466) alin. (2), (5), alin. (7) lit. c), alin. (9) şi (10),  art. 19 (471) alin. (2), (4), (5) şi alin. (6) lit. b) şi c), art. 22 (474) alin. (7) lit. c), alin. (11), art.  26 (478) alin. (5) şi art. 31 (483) alin. (2);  </w:t>
      </w:r>
    </w:p>
    <w:p w14:paraId="000004D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7"/>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b) nedepunerea declaraţiilor de impunere prevăzute la art. 9 (461) alin. (2), (6), (7), alin. (10)  lit. c), alin. (12) şi (13), art. 14 (466) alin. (2), (5) şi alin. (7) lit. c), alin. (9) şi (10), art. 19 (471)  alin. (2), (4), (5) şi alin. (6) lit. b) şi c), art. 22 (474) alin. (7) lit. c), alin. (11), art. 26 (478) alin.  (5) şi art. 31 (483) alin. (2).  </w:t>
      </w:r>
    </w:p>
    <w:p w14:paraId="000004D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6"/>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(3) Contravenţia prevăzută la alin. (2) lit. a) se sancţionează cu amendă de la 70 lei la 279 lei,  iar cele de la alin. (2) lit. b) cu amendă de la 279 lei la 696 lei.  </w:t>
      </w:r>
    </w:p>
    <w:p w14:paraId="000004D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7"/>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(4) Încălcarea normelor tehnice privind tipărirea, înregistrarea, vânzarea, evidenţa şi  gestionarea, după caz, a abonamentelor şi a biletelor de intrare la spectacole constituie  contravenţie şi se sancţionează cu amendă de la 325 lei la 1.578 lei.  </w:t>
      </w:r>
    </w:p>
    <w:p w14:paraId="000004D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9"/>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(4</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superscript"/>
          <w:rtl w:val="0"/>
          <w14:textFill>
            <w14:solidFill>
              <w14:schemeClr w14:val="tx1"/>
            </w14:solidFill>
          </w14:textFill>
        </w:rPr>
        <w:t>1</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Necomunicarea informaţiilor şi a documentelor de natura celor prevăzute la 43(494) alin.  (12) în termen de cel mult 15 zile lucrătoare de la data primirii solicitării constituie contravenţie  şi se sancţionează cu amendă de la 500 la 2.500 lei. </w:t>
      </w:r>
    </w:p>
    <w:p w14:paraId="000004D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9"/>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(5) În cazul persoanelor juridice, limitele minime şi maxime ale amenzilor prevăzute la alin.  (3) şi (4) se majorează cu 300%.  </w:t>
      </w:r>
    </w:p>
    <w:p w14:paraId="000004D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1"/>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(6) Constatarea contravenţiilor şi aplicarea sancţiunilor se fac de către primari şi persoane  împuternicite din cadrul autorităţii administraţiei publice locale.  </w:t>
      </w:r>
    </w:p>
    <w:p w14:paraId="000004D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7"/>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(7) Limitele amenzilor prevăzute la alin. (3) şi (4) se actualizează prin hotărâre a consiliilor  locale conform procedurii stabilite la art. 40 (491). </w:t>
      </w:r>
    </w:p>
    <w:p w14:paraId="000004D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8"/>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(8) Contravenţiilor prevăzute în prezentul capitol li se aplică dispoziţiile Ordonanţei  Guvernului nr. 2/2001 privind regimul juridic al contravenţiilor, aprobată cu modificări şi  completări prin Legea nr. 180/2002, cu modificările şi completările ulterioare.  </w:t>
      </w:r>
    </w:p>
    <w:p w14:paraId="000004D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cente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Dispoziţii finale </w:t>
      </w:r>
    </w:p>
    <w:p w14:paraId="1D13F3A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after="0" w:line="240" w:lineRule="auto"/>
        <w:ind w:left="0" w:right="0"/>
        <w:jc w:val="left"/>
        <w:textAlignment w:val="auto"/>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Art. 44. (494) - Implicaţii bugetare ale impozitelor şi taxelor locale</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t>.</w:t>
      </w:r>
    </w:p>
    <w:p w14:paraId="59F6BCEE">
      <w:pPr>
        <w:keepNext w:val="0"/>
        <w:keepLines w:val="0"/>
        <w:pageBreakBefore w:val="0"/>
        <w:widowControl w:val="0"/>
        <w:numPr>
          <w:ilvl w:val="0"/>
          <w:numId w:val="13"/>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after="0" w:line="240" w:lineRule="auto"/>
        <w:ind w:left="0" w:leftChars="0" w:right="0" w:firstLine="0" w:firstLineChars="0"/>
        <w:jc w:val="left"/>
        <w:textAlignment w:val="auto"/>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Impozitele şi taxele locale, majorările de întârziere, precum şi amenzile aferente acestora  constituie integral venituri la bugetele locale ale unităţilor administrativ- teritoriale. </w:t>
      </w:r>
    </w:p>
    <w:p w14:paraId="687A644E">
      <w:pPr>
        <w:keepNext w:val="0"/>
        <w:keepLines w:val="0"/>
        <w:pageBreakBefore w:val="0"/>
        <w:widowControl w:val="0"/>
        <w:numPr>
          <w:ilvl w:val="0"/>
          <w:numId w:val="13"/>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after="0" w:line="240" w:lineRule="auto"/>
        <w:ind w:left="0" w:leftChars="0" w:right="0" w:firstLine="0" w:firstLineChars="0"/>
        <w:jc w:val="left"/>
        <w:textAlignment w:val="auto"/>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Impozitul pe clădiri, precum şi amenzile aferente acestuia constituie venituri la bugetul  local al unităţii administrativ-teritoriale în raza căreia este situată clădirea respectivă. </w:t>
      </w:r>
    </w:p>
    <w:p w14:paraId="000004DB">
      <w:pPr>
        <w:keepNext w:val="0"/>
        <w:keepLines w:val="0"/>
        <w:pageBreakBefore w:val="0"/>
        <w:widowControl w:val="0"/>
        <w:numPr>
          <w:ilvl w:val="0"/>
          <w:numId w:val="13"/>
        </w:numPr>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after="0" w:line="240" w:lineRule="auto"/>
        <w:ind w:left="0" w:leftChars="0" w:right="0" w:firstLine="0" w:firstLineChars="0"/>
        <w:jc w:val="left"/>
        <w:textAlignment w:val="auto"/>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Impozitul pe teren, precum şi amenzile aferente acestuia constituie venituri la bugetul  local al unităţii administrativ-teritoriale în raza căreia este situat terenul respectiv. </w:t>
      </w:r>
    </w:p>
    <w:p w14:paraId="000004D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after="0" w:line="240" w:lineRule="auto"/>
        <w:ind w:left="0" w:right="0"/>
        <w:jc w:val="both"/>
        <w:textAlignment w:val="auto"/>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(4) Cu excepţiile prevăzute la alin. (5), impozitul pe mijlocul de transport, majorările de  întârziere, precum şi amenzile aferente acestuia constituie venituri la bugetul local al unităţii  administrativ-teritoriale în raza căreia trebuie înmatriculat sau înregistrat mijlocul de transport  respectiv.  </w:t>
      </w:r>
    </w:p>
    <w:p w14:paraId="000004D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lang w:val="ro-RO"/>
          <w14:textFill>
            <w14:solidFill>
              <w14:schemeClr w14:val="tx1"/>
            </w14:solidFill>
          </w14:textFill>
        </w:rPr>
        <w:t>(5</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Veniturile provenite din impozitul pe mijlocul de transport stabilit în concordanţă cu  prevederile art. 18 (470) </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14:textFill>
            <w14:solidFill>
              <w14:schemeClr w14:val="tx1"/>
            </w14:solidFill>
          </w14:textFill>
        </w:rPr>
        <w:t xml:space="preserve">alin. (5) </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şi </w:t>
      </w:r>
      <w:r>
        <w:rPr>
          <w:rFonts w:hint="default" w:eastAsia="Times New Roman" w:cs="Arial" w:asciiTheme="minorAscii" w:hAnsiTheme="minorAscii"/>
          <w:b w:val="0"/>
          <w:bCs w:val="0"/>
          <w:i w:val="0"/>
          <w:iCs w:val="0"/>
          <w:smallCaps w:val="0"/>
          <w:strike w:val="0"/>
          <w:dstrike w:val="0"/>
          <w:color w:val="000000" w:themeColor="text1"/>
          <w:sz w:val="20"/>
          <w:szCs w:val="20"/>
          <w:u w:val="single"/>
          <w:shd w:val="clear" w:fill="auto"/>
          <w:vertAlign w:val="baseline"/>
          <w:rtl w:val="0"/>
          <w14:textFill>
            <w14:solidFill>
              <w14:schemeClr w14:val="tx1"/>
            </w14:solidFill>
          </w14:textFill>
        </w:rPr>
        <w:t>(6)</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majorările de întârziere, precum şi amenzile aferente se  pot utiliza exclusiv pentru lucrări de întreţinere, modernizare, reabilitare şi construire a  drumurilor locale şi judeţene, din care 60% constituie venituri la bugetul local şi 40% constituie  venituri la bugetul judeţean.  </w:t>
      </w:r>
    </w:p>
    <w:p w14:paraId="000004D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(6) Taxele locale prevăzute la cap. V din prezentul titlu constituie venituri ale bugetelor locale  ale unităţilor administrativ-teritoriale. Pentru eliberarea certificatelor de urbanism şi a  autorizaţiilor de construire de către preşedinţii consiliilor judeţene, cu avizul primarilor  comunelor, taxele datorate constituie venit în proporţie de 50% la bugetul local al comunelor şi  de 50% la bugetul local al consiliului judeţean.  </w:t>
      </w:r>
    </w:p>
    <w:p w14:paraId="000004E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(7) Taxa pentru afişaj în scop de reclamă şi publicitate, precum şi amenzile aferente constituie  venituri la bugetul local al unităţii administrativ-teritoriale unde este situat afişajul, panoul sau  structura pentru afişajul în scop de reclamă şi publicitate. </w:t>
      </w:r>
    </w:p>
    <w:p w14:paraId="000004E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(8) Impozitul pe spectacole, precum şi amenzile aferente constituie venituri la bugetul local  al unităţii administrativ-teritoriale unde are loc manifestarea artistică, competiţia sportivă sau  altă activitate distractivă.  </w:t>
      </w:r>
    </w:p>
    <w:p w14:paraId="000004E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(9) Celelalte taxe loc</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ale prevăzute la art. 34 (486), precum </w:t>
      </w: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şi amenzile aferente constituie  venituri la bugetul local al unităţii administrativ-teritoriale unde este situat locul public sau  echipamentul respectiv ori unde trebuie înmatriculat vehiculul lent.  </w:t>
      </w:r>
    </w:p>
    <w:p w14:paraId="000004E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(10) Constituie venit la bugetul local sumele provenite din:  </w:t>
      </w:r>
    </w:p>
    <w:p w14:paraId="000004E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firstLine="0"/>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a) majorările pentru plata cu întârziere a impozitelor şi taxelor locale;   b) taxele judiciare de timbru şi alte taxe de timbru prevăzute de lege;  </w:t>
      </w:r>
    </w:p>
    <w:p w14:paraId="000004E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hanging="8"/>
        <w:jc w:val="left"/>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 c) taxele extrajudiciare de timbru prevăzute de lege, exclusiv contravaloarea cheltuielilor  efectuate cu difuzarea timbrelor fiscale.  </w:t>
      </w:r>
    </w:p>
    <w:p w14:paraId="000004E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(11) Sumele prevăzute la alin. (10) lit. b) şi c) se ajustează pentru a reflecta rata inflaţiei în  conformitate cu normele elaborate în comun de Ministerul Finanţelor Publice şi Ministerul  Dezvoltării Regionale şi Administraţiei Publice.  </w:t>
      </w:r>
    </w:p>
    <w:p w14:paraId="000004E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bidi w:val="0"/>
        <w:snapToGrid/>
        <w:spacing w:after="0" w:line="240" w:lineRule="auto"/>
        <w:ind w:left="0" w:right="0"/>
        <w:jc w:val="both"/>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14:textFill>
            <w14:solidFill>
              <w14:schemeClr w14:val="tx1"/>
            </w14:solidFill>
          </w14:textFill>
        </w:rPr>
      </w:pPr>
      <w:r>
        <w:rPr>
          <w:rFonts w:hint="default" w:eastAsia="Times New Roman" w:cs="Arial" w:asciiTheme="minorAscii" w:hAnsiTheme="minorAscii"/>
          <w:b w:val="0"/>
          <w:bCs w:val="0"/>
          <w:i w:val="0"/>
          <w:iCs w:val="0"/>
          <w:smallCaps w:val="0"/>
          <w:strike w:val="0"/>
          <w:dstrike w:val="0"/>
          <w:color w:val="000000" w:themeColor="text1"/>
          <w:sz w:val="20"/>
          <w:szCs w:val="20"/>
          <w:u w:val="none"/>
          <w:shd w:val="clear" w:fill="auto"/>
          <w:vertAlign w:val="baseline"/>
          <w:rtl w:val="0"/>
          <w14:textFill>
            <w14:solidFill>
              <w14:schemeClr w14:val="tx1"/>
            </w14:solidFill>
          </w14:textFill>
        </w:rPr>
        <w:t xml:space="preserve">(12) În vederea clarificării şi stabilirii reale a situaţiei fiscale a contribuabililor,  compartimentele de specialitate ale autorităţilor administraţiei publice locale au competenţa de  a solicita informaţii şi documente cu relevanţă fiscală sau pentru identificarea contribuabililor  sau a materiei impozabile ori taxabile, după caz, iar notarii, avocaţii, executorii judecătoreşti,  organele de poliţie, organele vamale, serviciile publice comunitare pentru regimul permiselor  de conducere şi înmatriculare a vehiculelor, serviciile publice comunitare pentru eliberarea  paşapoartelor simple, serviciile publice comunitare de evidenţă a persoanelor, precum şi orice  altă entitate care deţine informaţii sau documente cu privire la bunuri impozabile sau taxabile,  după caz, ori la persoane care au calitatea de contribuabil au obligaţia furnizării acestora fără  plată. </w:t>
      </w:r>
    </w:p>
    <w:p w14:paraId="148DC61C">
      <w:pPr>
        <w:keepNext w:val="0"/>
        <w:keepLines w:val="0"/>
        <w:pageBreakBefore w:val="0"/>
        <w:kinsoku/>
        <w:wordWrap/>
        <w:overflowPunct/>
        <w:topLinePunct w:val="0"/>
        <w:bidi w:val="0"/>
        <w:snapToGrid/>
        <w:spacing w:after="0" w:line="240" w:lineRule="auto"/>
        <w:ind w:left="0" w:right="0"/>
        <w:rPr>
          <w:rFonts w:hint="default" w:eastAsia="Times New Roman" w:cs="Arial" w:asciiTheme="minorAscii" w:hAnsiTheme="minorAscii"/>
          <w:b w:val="0"/>
          <w:bCs w:val="0"/>
          <w:strike w:val="0"/>
          <w:dstrike w:val="0"/>
          <w:color w:val="000000" w:themeColor="text1"/>
          <w:sz w:val="20"/>
          <w:szCs w:val="20"/>
          <w:lang w:val="ro-RO"/>
          <w14:textFill>
            <w14:solidFill>
              <w14:schemeClr w14:val="tx1"/>
            </w14:solidFill>
          </w14:textFill>
        </w:rPr>
      </w:pPr>
      <w:r>
        <w:rPr>
          <w:rFonts w:hint="default" w:eastAsia="Times New Roman" w:cs="Arial" w:asciiTheme="minorAscii" w:hAnsiTheme="minorAscii"/>
          <w:b w:val="0"/>
          <w:bCs w:val="0"/>
          <w:strike w:val="0"/>
          <w:dstrike w:val="0"/>
          <w:color w:val="000000" w:themeColor="text1"/>
          <w:sz w:val="20"/>
          <w:szCs w:val="20"/>
          <w:lang w:val="fr-FR"/>
          <w14:textFill>
            <w14:solidFill>
              <w14:schemeClr w14:val="tx1"/>
            </w14:solidFill>
          </w14:textFill>
        </w:rPr>
        <w:t xml:space="preserve">                      </w:t>
      </w:r>
    </w:p>
    <w:sectPr>
      <w:footerReference r:id="rId5" w:type="default"/>
      <w:pgSz w:w="12240" w:h="15840"/>
      <w:pgMar w:top="1440" w:right="476" w:bottom="851" w:left="1134" w:header="709" w:footer="125"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ArialMT">
    <w:altName w:val="Times New Roman"/>
    <w:panose1 w:val="00000000000000000000"/>
    <w:charset w:val="00"/>
    <w:family w:val="roman"/>
    <w:pitch w:val="default"/>
    <w:sig w:usb0="00000000" w:usb1="00000000" w:usb2="00000000" w:usb3="00000000" w:csb0="00000000" w:csb1="00000000"/>
  </w:font>
  <w:font w:name="Arial Black">
    <w:panose1 w:val="020B0A04020102020204"/>
    <w:charset w:val="00"/>
    <w:family w:val="swiss"/>
    <w:pitch w:val="default"/>
    <w:sig w:usb0="A00002AF" w:usb1="400078FB" w:usb2="00000000" w:usb3="00000000" w:csb0="6000009F" w:csb1="DFD70000"/>
  </w:font>
  <w:font w:name="Verdana">
    <w:panose1 w:val="020B0604030504040204"/>
    <w:charset w:val="00"/>
    <w:family w:val="auto"/>
    <w:pitch w:val="default"/>
    <w:sig w:usb0="A00006FF" w:usb1="4000205B" w:usb2="00000010" w:usb3="00000000" w:csb0="2000019F"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Calibri Light">
    <w:panose1 w:val="020F03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04813252"/>
      <w:docPartObj>
        <w:docPartGallery w:val="autotext"/>
      </w:docPartObj>
    </w:sdtPr>
    <w:sdtEndPr>
      <w:rPr>
        <w:color w:val="808080" w:themeColor="background1" w:themeShade="80"/>
        <w:spacing w:val="60"/>
      </w:rPr>
    </w:sdtEndPr>
    <w:sdtContent>
      <w:p w14:paraId="091E49DD">
        <w:pPr>
          <w:pStyle w:val="17"/>
          <w:pBdr>
            <w:top w:val="single" w:color="D8D8D8" w:themeColor="background1" w:themeShade="D9" w:sz="4" w:space="1"/>
          </w:pBdr>
          <w:jc w:val="right"/>
        </w:pPr>
        <w:r>
          <w:fldChar w:fldCharType="begin"/>
        </w:r>
        <w:r>
          <w:instrText xml:space="preserve"> PAGE   \* MERGEFORMAT </w:instrText>
        </w:r>
        <w:r>
          <w:fldChar w:fldCharType="separate"/>
        </w:r>
        <w:r>
          <w:t>2</w:t>
        </w:r>
        <w:r>
          <w:fldChar w:fldCharType="end"/>
        </w:r>
        <w:r>
          <w:t xml:space="preserve"> | </w:t>
        </w:r>
        <w:r>
          <w:rPr>
            <w:color w:val="808080" w:themeColor="background1" w:themeShade="80"/>
            <w:spacing w:val="60"/>
          </w:rPr>
          <w:t>Page</w:t>
        </w:r>
      </w:p>
    </w:sdtContent>
  </w:sdt>
  <w:p w14:paraId="6A045BDB">
    <w:pPr>
      <w:pStyle w:val="1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BA08C"/>
    <w:multiLevelType w:val="singleLevel"/>
    <w:tmpl w:val="923BA08C"/>
    <w:lvl w:ilvl="0" w:tentative="0">
      <w:start w:val="1"/>
      <w:numFmt w:val="decimal"/>
      <w:suff w:val="space"/>
      <w:lvlText w:val="(%1)"/>
      <w:lvlJc w:val="left"/>
      <w:pPr>
        <w:ind w:left="60" w:leftChars="0" w:firstLine="0" w:firstLineChars="0"/>
      </w:pPr>
    </w:lvl>
  </w:abstractNum>
  <w:abstractNum w:abstractNumId="1">
    <w:nsid w:val="C26549FA"/>
    <w:multiLevelType w:val="singleLevel"/>
    <w:tmpl w:val="C26549FA"/>
    <w:lvl w:ilvl="0" w:tentative="0">
      <w:start w:val="1"/>
      <w:numFmt w:val="decimal"/>
      <w:suff w:val="space"/>
      <w:lvlText w:val="(%1)"/>
      <w:lvlJc w:val="left"/>
    </w:lvl>
  </w:abstractNum>
  <w:abstractNum w:abstractNumId="2">
    <w:nsid w:val="CD3DC47C"/>
    <w:multiLevelType w:val="singleLevel"/>
    <w:tmpl w:val="CD3DC47C"/>
    <w:lvl w:ilvl="0" w:tentative="0">
      <w:start w:val="1"/>
      <w:numFmt w:val="decimal"/>
      <w:suff w:val="space"/>
      <w:lvlText w:val="(%1)"/>
      <w:lvlJc w:val="left"/>
      <w:pPr>
        <w:ind w:left="60" w:leftChars="0" w:firstLine="0" w:firstLineChars="0"/>
      </w:pPr>
    </w:lvl>
  </w:abstractNum>
  <w:abstractNum w:abstractNumId="3">
    <w:nsid w:val="DED7CE9C"/>
    <w:multiLevelType w:val="singleLevel"/>
    <w:tmpl w:val="DED7CE9C"/>
    <w:lvl w:ilvl="0" w:tentative="0">
      <w:start w:val="1"/>
      <w:numFmt w:val="lowerLetter"/>
      <w:lvlText w:val="%1)"/>
      <w:lvlJc w:val="left"/>
      <w:pPr>
        <w:tabs>
          <w:tab w:val="left" w:pos="425"/>
        </w:tabs>
        <w:ind w:left="425" w:leftChars="0" w:hanging="425" w:firstLineChars="0"/>
      </w:pPr>
      <w:rPr>
        <w:rFonts w:hint="default"/>
      </w:rPr>
    </w:lvl>
  </w:abstractNum>
  <w:abstractNum w:abstractNumId="4">
    <w:nsid w:val="F117B0AC"/>
    <w:multiLevelType w:val="singleLevel"/>
    <w:tmpl w:val="F117B0AC"/>
    <w:lvl w:ilvl="0" w:tentative="0">
      <w:start w:val="1"/>
      <w:numFmt w:val="decimal"/>
      <w:suff w:val="space"/>
      <w:lvlText w:val="(%1)"/>
      <w:lvlJc w:val="left"/>
      <w:pPr>
        <w:ind w:left="1474" w:leftChars="0" w:firstLine="0" w:firstLineChars="0"/>
      </w:pPr>
    </w:lvl>
  </w:abstractNum>
  <w:abstractNum w:abstractNumId="5">
    <w:nsid w:val="161F9675"/>
    <w:multiLevelType w:val="singleLevel"/>
    <w:tmpl w:val="161F9675"/>
    <w:lvl w:ilvl="0" w:tentative="0">
      <w:start w:val="1"/>
      <w:numFmt w:val="lowerLetter"/>
      <w:suff w:val="space"/>
      <w:lvlText w:val="%1)"/>
      <w:lvlJc w:val="left"/>
      <w:pPr>
        <w:ind w:left="1475" w:leftChars="0" w:firstLine="0" w:firstLineChars="0"/>
      </w:pPr>
    </w:lvl>
  </w:abstractNum>
  <w:abstractNum w:abstractNumId="6">
    <w:nsid w:val="1A84C538"/>
    <w:multiLevelType w:val="singleLevel"/>
    <w:tmpl w:val="1A84C538"/>
    <w:lvl w:ilvl="0" w:tentative="0">
      <w:start w:val="10"/>
      <w:numFmt w:val="decimal"/>
      <w:suff w:val="space"/>
      <w:lvlText w:val="(%1)"/>
      <w:lvlJc w:val="left"/>
    </w:lvl>
  </w:abstractNum>
  <w:abstractNum w:abstractNumId="7">
    <w:nsid w:val="344DB6AE"/>
    <w:multiLevelType w:val="singleLevel"/>
    <w:tmpl w:val="344DB6AE"/>
    <w:lvl w:ilvl="0" w:tentative="0">
      <w:start w:val="2"/>
      <w:numFmt w:val="decimal"/>
      <w:suff w:val="space"/>
      <w:lvlText w:val="(%1)"/>
      <w:lvlJc w:val="left"/>
    </w:lvl>
  </w:abstractNum>
  <w:abstractNum w:abstractNumId="8">
    <w:nsid w:val="36AF1219"/>
    <w:multiLevelType w:val="multilevel"/>
    <w:tmpl w:val="36AF1219"/>
    <w:lvl w:ilvl="0" w:tentative="0">
      <w:start w:val="1"/>
      <w:numFmt w:val="decimal"/>
      <w:lvlText w:val="%1."/>
      <w:lvlJc w:val="left"/>
      <w:pPr>
        <w:tabs>
          <w:tab w:val="left" w:pos="502"/>
        </w:tabs>
        <w:ind w:left="502" w:hanging="360"/>
      </w:pPr>
      <w:rPr>
        <w:rFonts w:hint="default"/>
        <w:b/>
        <w:sz w:val="22"/>
        <w:szCs w:val="22"/>
      </w:rPr>
    </w:lvl>
    <w:lvl w:ilvl="1" w:tentative="0">
      <w:start w:val="1"/>
      <w:numFmt w:val="lowerLetter"/>
      <w:lvlText w:val="%2."/>
      <w:lvlJc w:val="left"/>
      <w:pPr>
        <w:tabs>
          <w:tab w:val="left" w:pos="1086"/>
        </w:tabs>
        <w:ind w:left="1086" w:hanging="360"/>
      </w:pPr>
    </w:lvl>
    <w:lvl w:ilvl="2" w:tentative="0">
      <w:start w:val="1"/>
      <w:numFmt w:val="lowerRoman"/>
      <w:lvlText w:val="%3."/>
      <w:lvlJc w:val="right"/>
      <w:pPr>
        <w:tabs>
          <w:tab w:val="left" w:pos="1806"/>
        </w:tabs>
        <w:ind w:left="1806" w:hanging="180"/>
      </w:pPr>
    </w:lvl>
    <w:lvl w:ilvl="3" w:tentative="0">
      <w:start w:val="1"/>
      <w:numFmt w:val="decimal"/>
      <w:lvlText w:val="%4."/>
      <w:lvlJc w:val="left"/>
      <w:pPr>
        <w:tabs>
          <w:tab w:val="left" w:pos="2526"/>
        </w:tabs>
        <w:ind w:left="2526" w:hanging="360"/>
      </w:pPr>
    </w:lvl>
    <w:lvl w:ilvl="4" w:tentative="0">
      <w:start w:val="1"/>
      <w:numFmt w:val="lowerLetter"/>
      <w:lvlText w:val="%5."/>
      <w:lvlJc w:val="left"/>
      <w:pPr>
        <w:tabs>
          <w:tab w:val="left" w:pos="3246"/>
        </w:tabs>
        <w:ind w:left="3246" w:hanging="360"/>
      </w:pPr>
    </w:lvl>
    <w:lvl w:ilvl="5" w:tentative="0">
      <w:start w:val="1"/>
      <w:numFmt w:val="lowerRoman"/>
      <w:lvlText w:val="%6."/>
      <w:lvlJc w:val="right"/>
      <w:pPr>
        <w:tabs>
          <w:tab w:val="left" w:pos="3966"/>
        </w:tabs>
        <w:ind w:left="3966" w:hanging="180"/>
      </w:pPr>
    </w:lvl>
    <w:lvl w:ilvl="6" w:tentative="0">
      <w:start w:val="1"/>
      <w:numFmt w:val="decimal"/>
      <w:lvlText w:val="%7."/>
      <w:lvlJc w:val="left"/>
      <w:pPr>
        <w:tabs>
          <w:tab w:val="left" w:pos="4686"/>
        </w:tabs>
        <w:ind w:left="4686" w:hanging="360"/>
      </w:pPr>
    </w:lvl>
    <w:lvl w:ilvl="7" w:tentative="0">
      <w:start w:val="1"/>
      <w:numFmt w:val="lowerLetter"/>
      <w:lvlText w:val="%8."/>
      <w:lvlJc w:val="left"/>
      <w:pPr>
        <w:tabs>
          <w:tab w:val="left" w:pos="5406"/>
        </w:tabs>
        <w:ind w:left="5406" w:hanging="360"/>
      </w:pPr>
    </w:lvl>
    <w:lvl w:ilvl="8" w:tentative="0">
      <w:start w:val="1"/>
      <w:numFmt w:val="lowerRoman"/>
      <w:lvlText w:val="%9."/>
      <w:lvlJc w:val="right"/>
      <w:pPr>
        <w:tabs>
          <w:tab w:val="left" w:pos="6126"/>
        </w:tabs>
        <w:ind w:left="6126" w:hanging="180"/>
      </w:pPr>
    </w:lvl>
  </w:abstractNum>
  <w:abstractNum w:abstractNumId="9">
    <w:nsid w:val="57DE3996"/>
    <w:multiLevelType w:val="singleLevel"/>
    <w:tmpl w:val="57DE3996"/>
    <w:lvl w:ilvl="0" w:tentative="0">
      <w:start w:val="1"/>
      <w:numFmt w:val="decimal"/>
      <w:suff w:val="space"/>
      <w:lvlText w:val="(%1)"/>
      <w:lvlJc w:val="left"/>
      <w:pPr>
        <w:ind w:left="1475" w:leftChars="0" w:firstLine="0" w:firstLineChars="0"/>
      </w:pPr>
    </w:lvl>
  </w:abstractNum>
  <w:abstractNum w:abstractNumId="10">
    <w:nsid w:val="5A375F7C"/>
    <w:multiLevelType w:val="singleLevel"/>
    <w:tmpl w:val="5A375F7C"/>
    <w:lvl w:ilvl="0" w:tentative="0">
      <w:start w:val="1"/>
      <w:numFmt w:val="lowerLetter"/>
      <w:lvlText w:val="%1)"/>
      <w:lvlJc w:val="left"/>
      <w:pPr>
        <w:tabs>
          <w:tab w:val="left" w:pos="312"/>
        </w:tabs>
        <w:ind w:left="504"/>
      </w:pPr>
      <w:rPr>
        <w:rFonts w:hint="default"/>
        <w:b/>
        <w:bCs/>
      </w:rPr>
    </w:lvl>
  </w:abstractNum>
  <w:abstractNum w:abstractNumId="11">
    <w:nsid w:val="66406DA5"/>
    <w:multiLevelType w:val="singleLevel"/>
    <w:tmpl w:val="66406DA5"/>
    <w:lvl w:ilvl="0" w:tentative="0">
      <w:start w:val="1"/>
      <w:numFmt w:val="decimal"/>
      <w:suff w:val="space"/>
      <w:lvlText w:val="(%1)"/>
      <w:lvlJc w:val="left"/>
      <w:pPr>
        <w:ind w:left="1475" w:leftChars="0" w:firstLine="0" w:firstLineChars="0"/>
      </w:pPr>
    </w:lvl>
  </w:abstractNum>
  <w:abstractNum w:abstractNumId="12">
    <w:nsid w:val="78EB0FBA"/>
    <w:multiLevelType w:val="multilevel"/>
    <w:tmpl w:val="78EB0FBA"/>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1"/>
  </w:num>
  <w:num w:numId="2">
    <w:abstractNumId w:val="6"/>
  </w:num>
  <w:num w:numId="3">
    <w:abstractNumId w:val="2"/>
  </w:num>
  <w:num w:numId="4">
    <w:abstractNumId w:val="4"/>
  </w:num>
  <w:num w:numId="5">
    <w:abstractNumId w:val="9"/>
  </w:num>
  <w:num w:numId="6">
    <w:abstractNumId w:val="12"/>
  </w:num>
  <w:num w:numId="7">
    <w:abstractNumId w:val="1"/>
  </w:num>
  <w:num w:numId="8">
    <w:abstractNumId w:val="7"/>
  </w:num>
  <w:num w:numId="9">
    <w:abstractNumId w:val="8"/>
  </w:num>
  <w:num w:numId="10">
    <w:abstractNumId w:val="10"/>
  </w:num>
  <w:num w:numId="11">
    <w:abstractNumId w:val="3"/>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web"/>
  <w:zoom w:percent="130"/>
  <w:bordersDoNotSurroundHeader w:val="0"/>
  <w:bordersDoNotSurroundFooter w:val="0"/>
  <w:hideSpellingErrors/>
  <w:documentProtection w:enforcement="0"/>
  <w:defaultTabStop w:val="720"/>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3A1"/>
    <w:rsid w:val="000265EF"/>
    <w:rsid w:val="0005466F"/>
    <w:rsid w:val="000B558B"/>
    <w:rsid w:val="00102A41"/>
    <w:rsid w:val="00143EA0"/>
    <w:rsid w:val="00171375"/>
    <w:rsid w:val="00171719"/>
    <w:rsid w:val="00183180"/>
    <w:rsid w:val="001C706E"/>
    <w:rsid w:val="001D033D"/>
    <w:rsid w:val="001D0DE3"/>
    <w:rsid w:val="001E6327"/>
    <w:rsid w:val="001F0046"/>
    <w:rsid w:val="00245645"/>
    <w:rsid w:val="00266771"/>
    <w:rsid w:val="00283A92"/>
    <w:rsid w:val="0029405F"/>
    <w:rsid w:val="002C4B2D"/>
    <w:rsid w:val="00344264"/>
    <w:rsid w:val="003621FC"/>
    <w:rsid w:val="00383E29"/>
    <w:rsid w:val="003A2497"/>
    <w:rsid w:val="003D4F32"/>
    <w:rsid w:val="0042141D"/>
    <w:rsid w:val="00482335"/>
    <w:rsid w:val="0050625C"/>
    <w:rsid w:val="005064E8"/>
    <w:rsid w:val="005541C0"/>
    <w:rsid w:val="00735087"/>
    <w:rsid w:val="007B513D"/>
    <w:rsid w:val="007D7406"/>
    <w:rsid w:val="007F191B"/>
    <w:rsid w:val="00827EBF"/>
    <w:rsid w:val="00884F42"/>
    <w:rsid w:val="008953A1"/>
    <w:rsid w:val="008C0EED"/>
    <w:rsid w:val="008D4596"/>
    <w:rsid w:val="008D7664"/>
    <w:rsid w:val="008E3829"/>
    <w:rsid w:val="009119B8"/>
    <w:rsid w:val="00962709"/>
    <w:rsid w:val="009B32D6"/>
    <w:rsid w:val="009F5E48"/>
    <w:rsid w:val="00A2024E"/>
    <w:rsid w:val="00A442D5"/>
    <w:rsid w:val="00A7198F"/>
    <w:rsid w:val="00AA0DAA"/>
    <w:rsid w:val="00B24D8A"/>
    <w:rsid w:val="00B62586"/>
    <w:rsid w:val="00B852B2"/>
    <w:rsid w:val="00C04387"/>
    <w:rsid w:val="00C241B1"/>
    <w:rsid w:val="00C5046F"/>
    <w:rsid w:val="00C679CD"/>
    <w:rsid w:val="00C749D7"/>
    <w:rsid w:val="00CA0448"/>
    <w:rsid w:val="00D30717"/>
    <w:rsid w:val="00D41042"/>
    <w:rsid w:val="00D952B0"/>
    <w:rsid w:val="00DE24E1"/>
    <w:rsid w:val="00E24EEE"/>
    <w:rsid w:val="00E377E5"/>
    <w:rsid w:val="00E64FB1"/>
    <w:rsid w:val="00E76FCE"/>
    <w:rsid w:val="00E824CC"/>
    <w:rsid w:val="00EB3478"/>
    <w:rsid w:val="00EB3C65"/>
    <w:rsid w:val="00EC10AC"/>
    <w:rsid w:val="00F054FF"/>
    <w:rsid w:val="00F3797D"/>
    <w:rsid w:val="00F87ADC"/>
    <w:rsid w:val="00FA77C5"/>
    <w:rsid w:val="00FD6DD5"/>
    <w:rsid w:val="00FE0A5F"/>
    <w:rsid w:val="026A5142"/>
    <w:rsid w:val="0E3C12D7"/>
    <w:rsid w:val="11AC7ABD"/>
    <w:rsid w:val="16CB53ED"/>
    <w:rsid w:val="17AD5E42"/>
    <w:rsid w:val="1E5E289E"/>
    <w:rsid w:val="2C057AFC"/>
    <w:rsid w:val="2E1E226C"/>
    <w:rsid w:val="39630EB6"/>
    <w:rsid w:val="3CB43B66"/>
    <w:rsid w:val="41BD09C6"/>
    <w:rsid w:val="446F4ECF"/>
    <w:rsid w:val="4AFF6926"/>
    <w:rsid w:val="51755EBE"/>
    <w:rsid w:val="5C715B68"/>
    <w:rsid w:val="5EEF78AB"/>
    <w:rsid w:val="614E7260"/>
    <w:rsid w:val="6194723D"/>
    <w:rsid w:val="708F15D4"/>
    <w:rsid w:val="72972A72"/>
    <w:rsid w:val="7EB40C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31"/>
    <w:qFormat/>
    <w:uiPriority w:val="0"/>
    <w:pPr>
      <w:keepNext/>
      <w:autoSpaceDE w:val="0"/>
      <w:autoSpaceDN w:val="0"/>
      <w:adjustRightInd w:val="0"/>
      <w:spacing w:after="0" w:line="240" w:lineRule="auto"/>
      <w:ind w:left="720" w:firstLine="720"/>
      <w:jc w:val="center"/>
      <w:outlineLvl w:val="0"/>
    </w:pPr>
    <w:rPr>
      <w:rFonts w:ascii="Times New Roman" w:hAnsi="Times New Roman" w:eastAsia="Times New Roman" w:cs="Times New Roman"/>
      <w:b/>
      <w:bCs/>
      <w:sz w:val="32"/>
      <w:szCs w:val="28"/>
    </w:rPr>
  </w:style>
  <w:style w:type="paragraph" w:styleId="3">
    <w:name w:val="heading 2"/>
    <w:basedOn w:val="1"/>
    <w:next w:val="1"/>
    <w:link w:val="32"/>
    <w:qFormat/>
    <w:uiPriority w:val="0"/>
    <w:pPr>
      <w:keepNext/>
      <w:spacing w:after="0" w:line="240" w:lineRule="auto"/>
      <w:jc w:val="center"/>
      <w:outlineLvl w:val="1"/>
    </w:pPr>
    <w:rPr>
      <w:rFonts w:ascii="Arial" w:hAnsi="Arial" w:eastAsia="Times New Roman" w:cs="Arial"/>
      <w:b/>
      <w:bCs/>
      <w:sz w:val="36"/>
      <w:szCs w:val="24"/>
      <w:lang w:val="ro-RO" w:eastAsia="ro-RO"/>
    </w:rPr>
  </w:style>
  <w:style w:type="paragraph" w:styleId="4">
    <w:name w:val="heading 3"/>
    <w:basedOn w:val="1"/>
    <w:next w:val="1"/>
    <w:link w:val="33"/>
    <w:qFormat/>
    <w:uiPriority w:val="0"/>
    <w:pPr>
      <w:keepNext/>
      <w:spacing w:after="0" w:line="240" w:lineRule="auto"/>
      <w:ind w:firstLine="1080"/>
      <w:jc w:val="center"/>
      <w:outlineLvl w:val="2"/>
    </w:pPr>
    <w:rPr>
      <w:rFonts w:ascii="Arial" w:hAnsi="Arial" w:eastAsia="Times New Roman" w:cs="Arial"/>
      <w:b/>
      <w:bCs/>
      <w:sz w:val="28"/>
      <w:szCs w:val="24"/>
      <w:lang w:eastAsia="ro-RO"/>
    </w:rPr>
  </w:style>
  <w:style w:type="paragraph" w:styleId="5">
    <w:name w:val="heading 4"/>
    <w:basedOn w:val="1"/>
    <w:next w:val="1"/>
    <w:link w:val="34"/>
    <w:qFormat/>
    <w:uiPriority w:val="0"/>
    <w:pPr>
      <w:keepNext/>
      <w:spacing w:after="0" w:line="240" w:lineRule="auto"/>
      <w:jc w:val="both"/>
      <w:outlineLvl w:val="3"/>
    </w:pPr>
    <w:rPr>
      <w:rFonts w:ascii="Arial" w:hAnsi="Arial" w:eastAsia="Times New Roman" w:cs="Arial"/>
      <w:b/>
      <w:bCs/>
      <w:sz w:val="28"/>
      <w:szCs w:val="24"/>
      <w:lang w:val="fr-FR" w:eastAsia="ro-RO"/>
    </w:rPr>
  </w:style>
  <w:style w:type="paragraph" w:styleId="6">
    <w:name w:val="heading 6"/>
    <w:basedOn w:val="1"/>
    <w:next w:val="1"/>
    <w:link w:val="35"/>
    <w:qFormat/>
    <w:uiPriority w:val="0"/>
    <w:pPr>
      <w:keepNext/>
      <w:spacing w:after="0" w:line="240" w:lineRule="auto"/>
      <w:jc w:val="both"/>
      <w:outlineLvl w:val="5"/>
    </w:pPr>
    <w:rPr>
      <w:rFonts w:ascii="Arial" w:hAnsi="Arial" w:eastAsia="Times New Roman" w:cs="Arial"/>
      <w:b/>
      <w:szCs w:val="24"/>
      <w:lang w:val="ro-RO" w:eastAsia="ro-RO"/>
    </w:rPr>
  </w:style>
  <w:style w:type="paragraph" w:styleId="7">
    <w:name w:val="heading 7"/>
    <w:basedOn w:val="1"/>
    <w:next w:val="1"/>
    <w:link w:val="36"/>
    <w:qFormat/>
    <w:uiPriority w:val="0"/>
    <w:pPr>
      <w:keepNext/>
      <w:spacing w:after="0" w:line="240" w:lineRule="auto"/>
      <w:jc w:val="center"/>
      <w:outlineLvl w:val="6"/>
    </w:pPr>
    <w:rPr>
      <w:rFonts w:ascii="Arial" w:hAnsi="Arial" w:eastAsia="Times New Roman" w:cs="Arial"/>
      <w:b/>
      <w:sz w:val="24"/>
      <w:szCs w:val="24"/>
      <w:lang w:val="ro-RO" w:eastAsia="ro-RO"/>
    </w:rPr>
  </w:style>
  <w:style w:type="paragraph" w:styleId="8">
    <w:name w:val="heading 8"/>
    <w:basedOn w:val="1"/>
    <w:next w:val="1"/>
    <w:link w:val="37"/>
    <w:qFormat/>
    <w:uiPriority w:val="0"/>
    <w:pPr>
      <w:keepNext/>
      <w:spacing w:after="0" w:line="240" w:lineRule="auto"/>
      <w:ind w:left="1012" w:hanging="1012"/>
      <w:jc w:val="both"/>
      <w:outlineLvl w:val="7"/>
    </w:pPr>
    <w:rPr>
      <w:rFonts w:ascii="Arial" w:hAnsi="Arial" w:eastAsia="Times New Roman" w:cs="Arial"/>
      <w:b/>
      <w:szCs w:val="24"/>
      <w:lang w:val="ro-RO" w:eastAsia="ro-RO"/>
    </w:rPr>
  </w:style>
  <w:style w:type="character" w:default="1" w:styleId="9">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44"/>
    <w:qFormat/>
    <w:uiPriority w:val="0"/>
    <w:pPr>
      <w:spacing w:after="0" w:line="240" w:lineRule="auto"/>
    </w:pPr>
    <w:rPr>
      <w:rFonts w:ascii="Segoe UI" w:hAnsi="Segoe UI" w:eastAsia="Times New Roman" w:cs="Times New Roman"/>
      <w:sz w:val="18"/>
      <w:szCs w:val="18"/>
      <w:lang w:val="zh-CN" w:eastAsia="zh-CN"/>
    </w:rPr>
  </w:style>
  <w:style w:type="paragraph" w:styleId="12">
    <w:name w:val="Body Text"/>
    <w:basedOn w:val="1"/>
    <w:link w:val="39"/>
    <w:qFormat/>
    <w:uiPriority w:val="0"/>
    <w:pPr>
      <w:spacing w:after="0" w:line="240" w:lineRule="auto"/>
      <w:jc w:val="both"/>
    </w:pPr>
    <w:rPr>
      <w:rFonts w:ascii="Arial" w:hAnsi="Arial" w:eastAsia="Times New Roman" w:cs="Arial"/>
      <w:sz w:val="28"/>
      <w:szCs w:val="24"/>
      <w:lang w:val="ro-RO" w:eastAsia="ro-RO"/>
    </w:rPr>
  </w:style>
  <w:style w:type="paragraph" w:styleId="13">
    <w:name w:val="Body Text 2"/>
    <w:basedOn w:val="1"/>
    <w:link w:val="40"/>
    <w:qFormat/>
    <w:uiPriority w:val="0"/>
    <w:pPr>
      <w:spacing w:after="0" w:line="240" w:lineRule="auto"/>
    </w:pPr>
    <w:rPr>
      <w:rFonts w:ascii="Arial" w:hAnsi="Arial" w:eastAsia="Times New Roman" w:cs="Arial"/>
      <w:bCs/>
      <w:sz w:val="18"/>
      <w:szCs w:val="24"/>
      <w:lang w:val="ro-RO" w:eastAsia="ro-RO"/>
    </w:rPr>
  </w:style>
  <w:style w:type="paragraph" w:styleId="14">
    <w:name w:val="Body Text 3"/>
    <w:basedOn w:val="1"/>
    <w:link w:val="43"/>
    <w:qFormat/>
    <w:uiPriority w:val="0"/>
    <w:pPr>
      <w:spacing w:after="0" w:line="240" w:lineRule="auto"/>
      <w:jc w:val="both"/>
    </w:pPr>
    <w:rPr>
      <w:rFonts w:ascii="Arial" w:hAnsi="Arial" w:eastAsia="Times New Roman" w:cs="Arial"/>
      <w:bCs/>
      <w:sz w:val="20"/>
      <w:szCs w:val="24"/>
      <w:lang w:val="ro-RO" w:eastAsia="ro-RO"/>
    </w:rPr>
  </w:style>
  <w:style w:type="paragraph" w:styleId="15">
    <w:name w:val="Body Text Indent"/>
    <w:basedOn w:val="1"/>
    <w:link w:val="41"/>
    <w:qFormat/>
    <w:uiPriority w:val="0"/>
    <w:pPr>
      <w:spacing w:after="0" w:line="240" w:lineRule="auto"/>
      <w:ind w:left="1912" w:hanging="1912"/>
      <w:jc w:val="both"/>
    </w:pPr>
    <w:rPr>
      <w:rFonts w:ascii="Arial" w:hAnsi="Arial" w:eastAsia="Times New Roman" w:cs="Arial"/>
      <w:bCs/>
      <w:szCs w:val="24"/>
      <w:lang w:val="ro-RO" w:eastAsia="ro-RO"/>
    </w:rPr>
  </w:style>
  <w:style w:type="character" w:styleId="16">
    <w:name w:val="FollowedHyperlink"/>
    <w:qFormat/>
    <w:uiPriority w:val="0"/>
    <w:rPr>
      <w:color w:val="800080"/>
      <w:u w:val="single"/>
    </w:rPr>
  </w:style>
  <w:style w:type="paragraph" w:styleId="17">
    <w:name w:val="footer"/>
    <w:basedOn w:val="1"/>
    <w:link w:val="30"/>
    <w:unhideWhenUsed/>
    <w:qFormat/>
    <w:uiPriority w:val="99"/>
    <w:pPr>
      <w:tabs>
        <w:tab w:val="center" w:pos="4680"/>
        <w:tab w:val="right" w:pos="9360"/>
      </w:tabs>
      <w:spacing w:after="0" w:line="240" w:lineRule="auto"/>
    </w:pPr>
  </w:style>
  <w:style w:type="character" w:styleId="18">
    <w:name w:val="footnote reference"/>
    <w:semiHidden/>
    <w:qFormat/>
    <w:uiPriority w:val="0"/>
    <w:rPr>
      <w:vertAlign w:val="superscript"/>
    </w:rPr>
  </w:style>
  <w:style w:type="paragraph" w:styleId="19">
    <w:name w:val="footnote text"/>
    <w:basedOn w:val="1"/>
    <w:link w:val="45"/>
    <w:qFormat/>
    <w:uiPriority w:val="0"/>
    <w:pPr>
      <w:spacing w:after="0" w:line="240" w:lineRule="auto"/>
    </w:pPr>
    <w:rPr>
      <w:rFonts w:ascii="Arial" w:hAnsi="Arial" w:eastAsia="Times New Roman" w:cs="Times New Roman"/>
      <w:sz w:val="20"/>
      <w:szCs w:val="20"/>
      <w:lang w:val="zh-CN" w:eastAsia="zh-CN"/>
    </w:rPr>
  </w:style>
  <w:style w:type="paragraph" w:styleId="20">
    <w:name w:val="header"/>
    <w:basedOn w:val="1"/>
    <w:link w:val="29"/>
    <w:unhideWhenUsed/>
    <w:qFormat/>
    <w:uiPriority w:val="0"/>
    <w:pPr>
      <w:tabs>
        <w:tab w:val="center" w:pos="4680"/>
        <w:tab w:val="right" w:pos="9360"/>
      </w:tabs>
      <w:spacing w:after="0" w:line="240" w:lineRule="auto"/>
    </w:pPr>
  </w:style>
  <w:style w:type="paragraph" w:styleId="21">
    <w:name w:val="HTML Preformatted"/>
    <w:basedOn w:val="1"/>
    <w:link w:val="42"/>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Courier New" w:cs="Courier New"/>
      <w:sz w:val="20"/>
      <w:szCs w:val="20"/>
      <w:lang w:val="ro-RO" w:eastAsia="ro-RO"/>
    </w:rPr>
  </w:style>
  <w:style w:type="character" w:styleId="22">
    <w:name w:val="Hyperlink"/>
    <w:basedOn w:val="9"/>
    <w:qFormat/>
    <w:uiPriority w:val="0"/>
    <w:rPr>
      <w:color w:val="0000FF"/>
      <w:u w:val="single"/>
    </w:rPr>
  </w:style>
  <w:style w:type="paragraph" w:styleId="23">
    <w:name w:val="Normal (Web)"/>
    <w:basedOn w:val="1"/>
    <w:semiHidden/>
    <w:unhideWhenUsed/>
    <w:qFormat/>
    <w:uiPriority w:val="99"/>
    <w:pPr>
      <w:spacing w:after="0" w:line="240" w:lineRule="auto"/>
    </w:pPr>
    <w:rPr>
      <w:rFonts w:ascii="Times New Roman" w:hAnsi="Times New Roman" w:eastAsia="Times New Roman" w:cs="Times New Roman"/>
      <w:sz w:val="24"/>
      <w:szCs w:val="24"/>
      <w:lang w:eastAsia="ro-RO"/>
    </w:rPr>
  </w:style>
  <w:style w:type="character" w:styleId="24">
    <w:name w:val="page number"/>
    <w:basedOn w:val="9"/>
    <w:qFormat/>
    <w:uiPriority w:val="0"/>
  </w:style>
  <w:style w:type="paragraph" w:styleId="25">
    <w:name w:val="Subtitle"/>
    <w:basedOn w:val="1"/>
    <w:link w:val="38"/>
    <w:qFormat/>
    <w:uiPriority w:val="0"/>
    <w:pPr>
      <w:spacing w:after="0" w:line="240" w:lineRule="auto"/>
      <w:jc w:val="center"/>
    </w:pPr>
    <w:rPr>
      <w:rFonts w:ascii="Times New Roman" w:hAnsi="Times New Roman" w:eastAsia="Times New Roman" w:cs="Times New Roman"/>
      <w:b/>
      <w:bCs/>
      <w:sz w:val="28"/>
      <w:szCs w:val="24"/>
      <w:lang w:val="ro-RO"/>
    </w:rPr>
  </w:style>
  <w:style w:type="table" w:styleId="26">
    <w:name w:val="Table Grid"/>
    <w:basedOn w:val="10"/>
    <w:qFormat/>
    <w:uiPriority w:val="0"/>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7">
    <w:name w:val="Title"/>
    <w:basedOn w:val="1"/>
    <w:link w:val="28"/>
    <w:qFormat/>
    <w:uiPriority w:val="0"/>
    <w:pPr>
      <w:spacing w:after="0" w:line="240" w:lineRule="auto"/>
      <w:jc w:val="center"/>
    </w:pPr>
    <w:rPr>
      <w:rFonts w:ascii="Times New Roman" w:hAnsi="Times New Roman" w:eastAsia="Times New Roman" w:cs="Times New Roman"/>
      <w:b/>
      <w:bCs/>
      <w:sz w:val="24"/>
      <w:szCs w:val="24"/>
    </w:rPr>
  </w:style>
  <w:style w:type="character" w:customStyle="1" w:styleId="28">
    <w:name w:val="Titlu Caracter"/>
    <w:basedOn w:val="9"/>
    <w:link w:val="27"/>
    <w:qFormat/>
    <w:uiPriority w:val="0"/>
    <w:rPr>
      <w:rFonts w:ascii="Times New Roman" w:hAnsi="Times New Roman" w:eastAsia="Times New Roman" w:cs="Times New Roman"/>
      <w:b/>
      <w:bCs/>
      <w:sz w:val="24"/>
      <w:szCs w:val="24"/>
    </w:rPr>
  </w:style>
  <w:style w:type="character" w:customStyle="1" w:styleId="29">
    <w:name w:val="Antet Caracter"/>
    <w:basedOn w:val="9"/>
    <w:link w:val="20"/>
    <w:qFormat/>
    <w:uiPriority w:val="0"/>
  </w:style>
  <w:style w:type="character" w:customStyle="1" w:styleId="30">
    <w:name w:val="Subsol Caracter"/>
    <w:basedOn w:val="9"/>
    <w:link w:val="17"/>
    <w:qFormat/>
    <w:uiPriority w:val="99"/>
  </w:style>
  <w:style w:type="character" w:customStyle="1" w:styleId="31">
    <w:name w:val="Titlu 1 Caracter"/>
    <w:basedOn w:val="9"/>
    <w:link w:val="2"/>
    <w:qFormat/>
    <w:uiPriority w:val="0"/>
    <w:rPr>
      <w:rFonts w:ascii="Times New Roman" w:hAnsi="Times New Roman" w:eastAsia="Times New Roman" w:cs="Times New Roman"/>
      <w:b/>
      <w:bCs/>
      <w:sz w:val="32"/>
      <w:szCs w:val="28"/>
    </w:rPr>
  </w:style>
  <w:style w:type="character" w:customStyle="1" w:styleId="32">
    <w:name w:val="Titlu 2 Caracter"/>
    <w:basedOn w:val="9"/>
    <w:link w:val="3"/>
    <w:qFormat/>
    <w:uiPriority w:val="0"/>
    <w:rPr>
      <w:rFonts w:ascii="Arial" w:hAnsi="Arial" w:eastAsia="Times New Roman" w:cs="Arial"/>
      <w:b/>
      <w:bCs/>
      <w:sz w:val="36"/>
      <w:szCs w:val="24"/>
      <w:lang w:val="ro-RO" w:eastAsia="ro-RO"/>
    </w:rPr>
  </w:style>
  <w:style w:type="character" w:customStyle="1" w:styleId="33">
    <w:name w:val="Titlu 3 Caracter"/>
    <w:basedOn w:val="9"/>
    <w:link w:val="4"/>
    <w:qFormat/>
    <w:uiPriority w:val="0"/>
    <w:rPr>
      <w:rFonts w:ascii="Arial" w:hAnsi="Arial" w:eastAsia="Times New Roman" w:cs="Arial"/>
      <w:b/>
      <w:bCs/>
      <w:sz w:val="28"/>
      <w:szCs w:val="24"/>
      <w:lang w:eastAsia="ro-RO"/>
    </w:rPr>
  </w:style>
  <w:style w:type="character" w:customStyle="1" w:styleId="34">
    <w:name w:val="Titlu 4 Caracter"/>
    <w:basedOn w:val="9"/>
    <w:link w:val="5"/>
    <w:qFormat/>
    <w:uiPriority w:val="0"/>
    <w:rPr>
      <w:rFonts w:ascii="Arial" w:hAnsi="Arial" w:eastAsia="Times New Roman" w:cs="Arial"/>
      <w:b/>
      <w:bCs/>
      <w:sz w:val="28"/>
      <w:szCs w:val="24"/>
      <w:lang w:val="fr-FR" w:eastAsia="ro-RO"/>
    </w:rPr>
  </w:style>
  <w:style w:type="character" w:customStyle="1" w:styleId="35">
    <w:name w:val="Titlu 6 Caracter"/>
    <w:basedOn w:val="9"/>
    <w:link w:val="6"/>
    <w:qFormat/>
    <w:uiPriority w:val="0"/>
    <w:rPr>
      <w:rFonts w:ascii="Arial" w:hAnsi="Arial" w:eastAsia="Times New Roman" w:cs="Arial"/>
      <w:b/>
      <w:szCs w:val="24"/>
      <w:lang w:val="ro-RO" w:eastAsia="ro-RO"/>
    </w:rPr>
  </w:style>
  <w:style w:type="character" w:customStyle="1" w:styleId="36">
    <w:name w:val="Titlu 7 Caracter"/>
    <w:basedOn w:val="9"/>
    <w:link w:val="7"/>
    <w:qFormat/>
    <w:uiPriority w:val="0"/>
    <w:rPr>
      <w:rFonts w:ascii="Arial" w:hAnsi="Arial" w:eastAsia="Times New Roman" w:cs="Arial"/>
      <w:b/>
      <w:sz w:val="24"/>
      <w:szCs w:val="24"/>
      <w:lang w:val="ro-RO" w:eastAsia="ro-RO"/>
    </w:rPr>
  </w:style>
  <w:style w:type="character" w:customStyle="1" w:styleId="37">
    <w:name w:val="Titlu 8 Caracter"/>
    <w:basedOn w:val="9"/>
    <w:link w:val="8"/>
    <w:qFormat/>
    <w:uiPriority w:val="0"/>
    <w:rPr>
      <w:rFonts w:ascii="Arial" w:hAnsi="Arial" w:eastAsia="Times New Roman" w:cs="Arial"/>
      <w:b/>
      <w:szCs w:val="24"/>
      <w:lang w:val="ro-RO" w:eastAsia="ro-RO"/>
    </w:rPr>
  </w:style>
  <w:style w:type="character" w:customStyle="1" w:styleId="38">
    <w:name w:val="Subtitlu Caracter"/>
    <w:basedOn w:val="9"/>
    <w:link w:val="25"/>
    <w:qFormat/>
    <w:uiPriority w:val="0"/>
    <w:rPr>
      <w:rFonts w:ascii="Times New Roman" w:hAnsi="Times New Roman" w:eastAsia="Times New Roman" w:cs="Times New Roman"/>
      <w:b/>
      <w:bCs/>
      <w:sz w:val="28"/>
      <w:szCs w:val="24"/>
      <w:lang w:val="ro-RO"/>
    </w:rPr>
  </w:style>
  <w:style w:type="character" w:customStyle="1" w:styleId="39">
    <w:name w:val="Corp text Caracter"/>
    <w:basedOn w:val="9"/>
    <w:link w:val="12"/>
    <w:qFormat/>
    <w:uiPriority w:val="0"/>
    <w:rPr>
      <w:rFonts w:ascii="Arial" w:hAnsi="Arial" w:eastAsia="Times New Roman" w:cs="Arial"/>
      <w:sz w:val="28"/>
      <w:szCs w:val="24"/>
      <w:lang w:val="ro-RO" w:eastAsia="ro-RO"/>
    </w:rPr>
  </w:style>
  <w:style w:type="character" w:customStyle="1" w:styleId="40">
    <w:name w:val="Corp text 2 Caracter"/>
    <w:basedOn w:val="9"/>
    <w:link w:val="13"/>
    <w:qFormat/>
    <w:uiPriority w:val="0"/>
    <w:rPr>
      <w:rFonts w:ascii="Arial" w:hAnsi="Arial" w:eastAsia="Times New Roman" w:cs="Arial"/>
      <w:bCs/>
      <w:sz w:val="18"/>
      <w:szCs w:val="24"/>
      <w:lang w:val="ro-RO" w:eastAsia="ro-RO"/>
    </w:rPr>
  </w:style>
  <w:style w:type="character" w:customStyle="1" w:styleId="41">
    <w:name w:val="Indent corp text Caracter"/>
    <w:basedOn w:val="9"/>
    <w:link w:val="15"/>
    <w:uiPriority w:val="0"/>
    <w:rPr>
      <w:rFonts w:ascii="Arial" w:hAnsi="Arial" w:eastAsia="Times New Roman" w:cs="Arial"/>
      <w:bCs/>
      <w:szCs w:val="24"/>
      <w:lang w:val="ro-RO" w:eastAsia="ro-RO"/>
    </w:rPr>
  </w:style>
  <w:style w:type="character" w:customStyle="1" w:styleId="42">
    <w:name w:val="Preformatat HTML Caracter"/>
    <w:basedOn w:val="9"/>
    <w:link w:val="21"/>
    <w:qFormat/>
    <w:uiPriority w:val="0"/>
    <w:rPr>
      <w:rFonts w:ascii="Courier New" w:hAnsi="Courier New" w:eastAsia="Courier New" w:cs="Courier New"/>
      <w:sz w:val="20"/>
      <w:szCs w:val="20"/>
      <w:lang w:val="ro-RO" w:eastAsia="ro-RO"/>
    </w:rPr>
  </w:style>
  <w:style w:type="character" w:customStyle="1" w:styleId="43">
    <w:name w:val="Corp text 3 Caracter"/>
    <w:basedOn w:val="9"/>
    <w:link w:val="14"/>
    <w:qFormat/>
    <w:uiPriority w:val="0"/>
    <w:rPr>
      <w:rFonts w:ascii="Arial" w:hAnsi="Arial" w:eastAsia="Times New Roman" w:cs="Arial"/>
      <w:bCs/>
      <w:sz w:val="20"/>
      <w:szCs w:val="24"/>
      <w:lang w:val="ro-RO" w:eastAsia="ro-RO"/>
    </w:rPr>
  </w:style>
  <w:style w:type="character" w:customStyle="1" w:styleId="44">
    <w:name w:val="Text în Balon Caracter"/>
    <w:basedOn w:val="9"/>
    <w:link w:val="11"/>
    <w:qFormat/>
    <w:uiPriority w:val="0"/>
    <w:rPr>
      <w:rFonts w:ascii="Segoe UI" w:hAnsi="Segoe UI" w:eastAsia="Times New Roman" w:cs="Times New Roman"/>
      <w:sz w:val="18"/>
      <w:szCs w:val="18"/>
      <w:lang w:val="zh-CN" w:eastAsia="zh-CN"/>
    </w:rPr>
  </w:style>
  <w:style w:type="character" w:customStyle="1" w:styleId="45">
    <w:name w:val="Text notă de subsol Caracter"/>
    <w:basedOn w:val="9"/>
    <w:link w:val="19"/>
    <w:qFormat/>
    <w:uiPriority w:val="0"/>
    <w:rPr>
      <w:rFonts w:ascii="Arial" w:hAnsi="Arial" w:eastAsia="Times New Roman" w:cs="Times New Roman"/>
      <w:sz w:val="20"/>
      <w:szCs w:val="20"/>
      <w:lang w:val="zh-CN" w:eastAsia="zh-CN"/>
    </w:rPr>
  </w:style>
  <w:style w:type="character" w:customStyle="1" w:styleId="46">
    <w:name w:val="nota1"/>
    <w:qFormat/>
    <w:uiPriority w:val="0"/>
    <w:rPr>
      <w:b/>
      <w:bCs/>
      <w:color w:val="000000"/>
    </w:rPr>
  </w:style>
  <w:style w:type="character" w:customStyle="1" w:styleId="47">
    <w:name w:val="paragraf1"/>
    <w:qFormat/>
    <w:uiPriority w:val="0"/>
    <w:rPr>
      <w:shd w:val="clear" w:color="auto" w:fill="auto"/>
    </w:rPr>
  </w:style>
  <w:style w:type="character" w:customStyle="1" w:styleId="48">
    <w:name w:val="articol1"/>
    <w:qFormat/>
    <w:uiPriority w:val="0"/>
    <w:rPr>
      <w:b/>
      <w:bCs/>
      <w:color w:val="009500"/>
    </w:rPr>
  </w:style>
  <w:style w:type="character" w:customStyle="1" w:styleId="49">
    <w:name w:val="litera1"/>
    <w:qFormat/>
    <w:uiPriority w:val="0"/>
    <w:rPr>
      <w:b/>
      <w:bCs/>
      <w:color w:val="000000"/>
    </w:rPr>
  </w:style>
  <w:style w:type="character" w:customStyle="1" w:styleId="50">
    <w:name w:val="alineat1"/>
    <w:qFormat/>
    <w:uiPriority w:val="0"/>
    <w:rPr>
      <w:b/>
      <w:bCs/>
      <w:color w:val="000000"/>
    </w:rPr>
  </w:style>
  <w:style w:type="character" w:customStyle="1" w:styleId="51">
    <w:name w:val="search_idx_01"/>
    <w:qFormat/>
    <w:uiPriority w:val="0"/>
    <w:rPr>
      <w:color w:val="000000"/>
      <w:shd w:val="clear" w:color="auto" w:fill="FFD700"/>
    </w:rPr>
  </w:style>
  <w:style w:type="character" w:customStyle="1" w:styleId="52">
    <w:name w:val="fontstyle01"/>
    <w:qFormat/>
    <w:uiPriority w:val="0"/>
    <w:rPr>
      <w:rFonts w:hint="default" w:ascii="ArialMT" w:hAnsi="ArialMT"/>
      <w:color w:val="000000"/>
      <w:sz w:val="22"/>
      <w:szCs w:val="22"/>
    </w:rPr>
  </w:style>
  <w:style w:type="paragraph" w:styleId="53">
    <w:name w:val="List Paragraph"/>
    <w:basedOn w:val="1"/>
    <w:link w:val="54"/>
    <w:qFormat/>
    <w:uiPriority w:val="34"/>
    <w:pPr>
      <w:spacing w:after="200" w:line="276" w:lineRule="auto"/>
      <w:ind w:left="720"/>
      <w:contextualSpacing/>
    </w:pPr>
    <w:rPr>
      <w:rFonts w:ascii="Calibri" w:hAnsi="Calibri" w:eastAsia="Calibri" w:cs="Times New Roman"/>
      <w:lang w:val="ro-RO"/>
    </w:rPr>
  </w:style>
  <w:style w:type="character" w:customStyle="1" w:styleId="54">
    <w:name w:val="Listă paragraf Caracter"/>
    <w:link w:val="53"/>
    <w:qFormat/>
    <w:locked/>
    <w:uiPriority w:val="34"/>
    <w:rPr>
      <w:rFonts w:ascii="Calibri" w:hAnsi="Calibri" w:eastAsia="Calibri" w:cs="Times New Roman"/>
      <w:lang w:val="ro-RO"/>
    </w:rPr>
  </w:style>
  <w:style w:type="table" w:customStyle="1" w:styleId="55">
    <w:name w:val="_Style 10"/>
    <w:basedOn w:val="56"/>
    <w:qFormat/>
    <w:uiPriority w:val="0"/>
  </w:style>
  <w:style w:type="table" w:customStyle="1" w:styleId="56">
    <w:name w:val="TableNormal"/>
    <w:uiPriority w:val="0"/>
    <w:tblPr>
      <w:tblCellMar>
        <w:top w:w="100" w:type="dxa"/>
        <w:left w:w="100" w:type="dxa"/>
        <w:bottom w:w="100" w:type="dxa"/>
        <w:right w:w="100" w:type="dxa"/>
      </w:tblCellMar>
    </w:tblPr>
  </w:style>
  <w:style w:type="table" w:customStyle="1" w:styleId="57">
    <w:name w:val="_Style 11"/>
    <w:basedOn w:val="56"/>
    <w:uiPriority w:val="0"/>
  </w:style>
  <w:style w:type="table" w:customStyle="1" w:styleId="58">
    <w:name w:val="_Style 12"/>
    <w:basedOn w:val="56"/>
    <w:qFormat/>
    <w:uiPriority w:val="0"/>
  </w:style>
  <w:style w:type="table" w:customStyle="1" w:styleId="59">
    <w:name w:val="_Style 14"/>
    <w:basedOn w:val="56"/>
    <w:qFormat/>
    <w:uiPriority w:val="0"/>
  </w:style>
  <w:style w:type="table" w:customStyle="1" w:styleId="60">
    <w:name w:val="_Style 15"/>
    <w:basedOn w:val="56"/>
    <w:qFormat/>
    <w:uiPriority w:val="0"/>
  </w:style>
  <w:style w:type="table" w:customStyle="1" w:styleId="61">
    <w:name w:val="_Style 16"/>
    <w:basedOn w:val="56"/>
    <w:qFormat/>
    <w:uiPriority w:val="0"/>
  </w:style>
  <w:style w:type="table" w:customStyle="1" w:styleId="62">
    <w:name w:val="_Style 17"/>
    <w:basedOn w:val="56"/>
    <w:qFormat/>
    <w:uiPriority w:val="0"/>
  </w:style>
  <w:style w:type="table" w:customStyle="1" w:styleId="63">
    <w:name w:val="_Style 18"/>
    <w:basedOn w:val="56"/>
    <w:qFormat/>
    <w:uiPriority w:val="0"/>
  </w:style>
  <w:style w:type="table" w:customStyle="1" w:styleId="64">
    <w:name w:val="_Style 20"/>
    <w:basedOn w:val="56"/>
    <w:qFormat/>
    <w:uiPriority w:val="0"/>
  </w:style>
  <w:style w:type="table" w:customStyle="1" w:styleId="65">
    <w:name w:val="_Style 21"/>
    <w:basedOn w:val="56"/>
    <w:qFormat/>
    <w:uiPriority w:val="0"/>
  </w:style>
  <w:style w:type="table" w:customStyle="1" w:styleId="66">
    <w:name w:val="_Style 22"/>
    <w:basedOn w:val="56"/>
    <w:qFormat/>
    <w:uiPriority w:val="0"/>
  </w:style>
  <w:style w:type="table" w:customStyle="1" w:styleId="67">
    <w:name w:val="_Style 23"/>
    <w:basedOn w:val="56"/>
    <w:qFormat/>
    <w:uiPriority w:val="0"/>
  </w:style>
  <w:style w:type="table" w:customStyle="1" w:styleId="68">
    <w:name w:val="_Style 24"/>
    <w:basedOn w:val="56"/>
    <w:qFormat/>
    <w:uiPriority w:val="0"/>
  </w:style>
  <w:style w:type="table" w:customStyle="1" w:styleId="69">
    <w:name w:val="_Style 25"/>
    <w:basedOn w:val="56"/>
    <w:qFormat/>
    <w:uiPriority w:val="0"/>
  </w:style>
  <w:style w:type="table" w:customStyle="1" w:styleId="70">
    <w:name w:val="_Style 26"/>
    <w:basedOn w:val="56"/>
    <w:qFormat/>
    <w:uiPriority w:val="0"/>
  </w:style>
  <w:style w:type="table" w:customStyle="1" w:styleId="71">
    <w:name w:val="_Style 27"/>
    <w:basedOn w:val="56"/>
    <w:qFormat/>
    <w:uiPriority w:val="0"/>
  </w:style>
  <w:style w:type="paragraph" w:styleId="72">
    <w:name w:val="No Spacing"/>
    <w:basedOn w:val="1"/>
    <w:qFormat/>
    <w:uiPriority w:val="1"/>
    <w:pPr>
      <w:spacing w:after="0" w:line="240" w:lineRule="auto"/>
    </w:pPr>
    <w:rPr>
      <w:rFonts w:ascii="Times New Roman" w:hAnsi="Times New Roman" w:eastAsia="Times New Roman" w:cs="Times New Roman"/>
      <w:sz w:val="24"/>
      <w:szCs w:val="24"/>
      <w:lang w:eastAsia="ro-RO"/>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15</Pages>
  <Words>21240</Words>
  <Characters>123192</Characters>
  <Lines>1026</Lines>
  <Paragraphs>288</Paragraphs>
  <TotalTime>28</TotalTime>
  <ScaleCrop>false</ScaleCrop>
  <LinksUpToDate>false</LinksUpToDate>
  <CharactersWithSpaces>144144</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2025-12-22T10:37:00Z</dcterms:created>
  <dc:creator>ilie gheorghe</dc:creator>
  <cp:lastModifiedBy>Secretar general UAT Bucosnita</cp:lastModifiedBy>
  <cp:lastPrinted>2025-12-23T15:59:00Z</cp:lastPrinted>
  <dcterms:modified xsi:type="dcterms:W3CDTF">2025-12-24T07:19:09Z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461AEAA80063490DAFC26EA8495D4E70_13</vt:lpwstr>
  </property>
</Properties>
</file>