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73" w:rsidRPr="00F17C73" w:rsidRDefault="00F17C73" w:rsidP="00443C66">
      <w:pPr>
        <w:pStyle w:val="BodyText"/>
        <w:jc w:val="both"/>
        <w:rPr>
          <w:rFonts w:ascii="Times New Roman" w:hAnsi="Times New Roman" w:cs="Times New Roman"/>
          <w:b/>
        </w:rPr>
      </w:pPr>
      <w:r w:rsidRPr="00F17C73">
        <w:rPr>
          <w:rFonts w:ascii="Times New Roman" w:hAnsi="Times New Roman" w:cs="Times New Roman"/>
          <w:b/>
        </w:rPr>
        <w:t xml:space="preserve">ANEXA </w:t>
      </w:r>
      <w:r w:rsidR="00115CB7">
        <w:rPr>
          <w:rFonts w:ascii="Times New Roman" w:hAnsi="Times New Roman" w:cs="Times New Roman"/>
          <w:b/>
        </w:rPr>
        <w:t>4 LA HCL nr.64</w:t>
      </w:r>
      <w:r w:rsidR="00D464D6">
        <w:rPr>
          <w:rFonts w:ascii="Times New Roman" w:hAnsi="Times New Roman" w:cs="Times New Roman"/>
          <w:b/>
        </w:rPr>
        <w:t>/</w:t>
      </w:r>
      <w:r w:rsidR="00115CB7">
        <w:rPr>
          <w:rFonts w:ascii="Times New Roman" w:hAnsi="Times New Roman" w:cs="Times New Roman"/>
          <w:b/>
        </w:rPr>
        <w:t>25.11.</w:t>
      </w:r>
      <w:r w:rsidR="00D464D6">
        <w:rPr>
          <w:rFonts w:ascii="Times New Roman" w:hAnsi="Times New Roman" w:cs="Times New Roman"/>
          <w:b/>
        </w:rPr>
        <w:t>2021</w:t>
      </w:r>
    </w:p>
    <w:p w:rsidR="00F17C73" w:rsidRPr="00F17C73" w:rsidRDefault="00F17C73" w:rsidP="00443C66">
      <w:pPr>
        <w:pStyle w:val="BodyText"/>
        <w:jc w:val="both"/>
        <w:rPr>
          <w:rFonts w:ascii="Times New Roman" w:hAnsi="Times New Roman" w:cs="Times New Roman"/>
          <w:b/>
        </w:rPr>
      </w:pPr>
    </w:p>
    <w:p w:rsidR="00443C66" w:rsidRPr="00F17C73" w:rsidRDefault="00A2145E" w:rsidP="00443C66">
      <w:pPr>
        <w:pStyle w:val="BodyText"/>
        <w:jc w:val="both"/>
        <w:rPr>
          <w:rFonts w:ascii="Times New Roman" w:hAnsi="Times New Roman" w:cs="Times New Roman"/>
          <w:b/>
          <w:i/>
        </w:rPr>
      </w:pPr>
      <w:r w:rsidRPr="00F17C73">
        <w:rPr>
          <w:rFonts w:ascii="Times New Roman" w:hAnsi="Times New Roman" w:cs="Times New Roman"/>
          <w:b/>
        </w:rPr>
        <w:t xml:space="preserve">Studiu de oportunitate a deciziei pentru gestiunea directa a </w:t>
      </w:r>
      <w:r w:rsidR="00974F08" w:rsidRPr="00F17C73">
        <w:rPr>
          <w:rFonts w:ascii="Times New Roman" w:hAnsi="Times New Roman" w:cs="Times New Roman"/>
          <w:b/>
        </w:rPr>
        <w:t>servi</w:t>
      </w:r>
      <w:r w:rsidR="00443C66" w:rsidRPr="00F17C73">
        <w:rPr>
          <w:rFonts w:ascii="Times New Roman" w:hAnsi="Times New Roman" w:cs="Times New Roman"/>
          <w:b/>
        </w:rPr>
        <w:t>ciului de iluminat public din</w:t>
      </w:r>
      <w:r w:rsidR="007F502B" w:rsidRPr="00F17C73">
        <w:rPr>
          <w:rFonts w:ascii="Times New Roman" w:hAnsi="Times New Roman" w:cs="Times New Roman"/>
          <w:b/>
        </w:rPr>
        <w:t xml:space="preserve"> comuna </w:t>
      </w:r>
      <w:r w:rsidR="00811B82">
        <w:rPr>
          <w:rFonts w:ascii="Times New Roman" w:hAnsi="Times New Roman" w:cs="Times New Roman"/>
          <w:b/>
        </w:rPr>
        <w:t>Lupac</w:t>
      </w:r>
    </w:p>
    <w:p w:rsidR="00443C66" w:rsidRPr="00F17C73" w:rsidRDefault="00443C66" w:rsidP="00443C66">
      <w:pPr>
        <w:pStyle w:val="BodyText"/>
        <w:jc w:val="both"/>
        <w:rPr>
          <w:rFonts w:ascii="Times New Roman" w:hAnsi="Times New Roman" w:cs="Times New Roman"/>
          <w:i/>
        </w:rPr>
      </w:pP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Conform unui studiu al A.N.R.S.C., în anul 2011 în România, serviciul de iluminat public era organizat la nivelul mediului urban în peste 250 de localități, iar în mediul rural în 1370 de localități. În aceste condiții existau un număr de 86 de agenți economici care aveau licență de operare în domeniul iluminatului 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În acord cu dispozițiile art. 4 din Legea nr. 230/2006 a serviciului de iluminat </w:t>
      </w:r>
      <w:proofErr w:type="gramStart"/>
      <w:r w:rsidRPr="00F17C73">
        <w:rPr>
          <w:rFonts w:ascii="Times New Roman" w:hAnsi="Times New Roman" w:cs="Times New Roman"/>
        </w:rPr>
        <w:t>public,  sistemul</w:t>
      </w:r>
      <w:proofErr w:type="gramEnd"/>
      <w:r w:rsidRPr="00F17C73">
        <w:rPr>
          <w:rFonts w:ascii="Times New Roman" w:hAnsi="Times New Roman" w:cs="Times New Roman"/>
        </w:rPr>
        <w:t xml:space="preserve"> reprezintă o componentă a infrastructurii tehnico-edilitare a fiecărei unități administrativ-teritoriale, care în conformitate cu Legea serviciilor comunitare de utilități public nr. 51/2006, publicată în Monitorul Oficial al României, Partea I, nr. 254 din 12 martie 2006, aparţine proprietăţii publice a</w:t>
      </w:r>
      <w:r w:rsidRPr="00F17C73">
        <w:rPr>
          <w:rFonts w:ascii="Times New Roman" w:hAnsi="Times New Roman" w:cs="Times New Roman"/>
          <w:spacing w:val="-3"/>
        </w:rPr>
        <w:t xml:space="preserve"> </w:t>
      </w:r>
      <w:r w:rsidRPr="00F17C73">
        <w:rPr>
          <w:rFonts w:ascii="Times New Roman" w:hAnsi="Times New Roman" w:cs="Times New Roman"/>
        </w:rPr>
        <w:t>acesteia.</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Organizarea și desfășurarea serviciului de iluminat public trebuie să asigure satisfacerea unor cerințe și nevoi de utilitate publică ale comunității locale, după cum urmează:</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 xml:space="preserve">îmbunătăţirea calităţii iluminatului public din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optimizarea consumului de</w:t>
      </w:r>
      <w:r w:rsidRPr="00F17C73">
        <w:rPr>
          <w:rFonts w:ascii="Times New Roman" w:hAnsi="Times New Roman" w:cs="Times New Roman"/>
          <w:spacing w:val="-4"/>
        </w:rPr>
        <w:t xml:space="preserve"> </w:t>
      </w:r>
      <w:r w:rsidRPr="00F17C73">
        <w:rPr>
          <w:rFonts w:ascii="Times New Roman" w:hAnsi="Times New Roman" w:cs="Times New Roman"/>
        </w:rPr>
        <w:t>energie;</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garantarea permanenţei în funcţionarea iluminatului</w:t>
      </w:r>
      <w:r w:rsidRPr="00F17C73">
        <w:rPr>
          <w:rFonts w:ascii="Times New Roman" w:hAnsi="Times New Roman" w:cs="Times New Roman"/>
          <w:spacing w:val="-8"/>
        </w:rPr>
        <w:t xml:space="preserve"> </w:t>
      </w:r>
      <w:r w:rsidRPr="00F17C73">
        <w:rPr>
          <w:rFonts w:ascii="Times New Roman" w:hAnsi="Times New Roman" w:cs="Times New Roman"/>
        </w:rPr>
        <w:t>public;</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realizarea unui raport optim calitate/cost pentru perioada de derulare a contractului de cooperare şi un echilibru între riscurile şi beneficiile asumate prin contract (structura şi nivelul tarifelor practicate vor reflecta costul efectiv al prestaţiei şi vor fi în conformitate cu prevederile legale);</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administrarea corectă și eficientă a bunurilor din proprietatea publică și a banilor publici;</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ridicarea gradului de civilizație, a confortului și a calității</w:t>
      </w:r>
      <w:r w:rsidRPr="00F17C73">
        <w:rPr>
          <w:rFonts w:ascii="Times New Roman" w:hAnsi="Times New Roman" w:cs="Times New Roman"/>
          <w:spacing w:val="-9"/>
        </w:rPr>
        <w:t xml:space="preserve"> </w:t>
      </w:r>
      <w:r w:rsidRPr="00F17C73">
        <w:rPr>
          <w:rFonts w:ascii="Times New Roman" w:hAnsi="Times New Roman" w:cs="Times New Roman"/>
        </w:rPr>
        <w:t>vieții;</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creșterea gradului de securitate individuală și colectivă în cadrul comunităților</w:t>
      </w:r>
      <w:r w:rsidRPr="00F17C73">
        <w:rPr>
          <w:rFonts w:ascii="Times New Roman" w:hAnsi="Times New Roman" w:cs="Times New Roman"/>
          <w:spacing w:val="-18"/>
        </w:rPr>
        <w:t xml:space="preserve"> </w:t>
      </w:r>
      <w:r w:rsidR="00974F08" w:rsidRPr="00F17C73">
        <w:rPr>
          <w:rFonts w:ascii="Times New Roman" w:hAnsi="Times New Roman" w:cs="Times New Roman"/>
        </w:rPr>
        <w:t>locales</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creşterea gradului de siguranță a circulației rutiere și</w:t>
      </w:r>
      <w:r w:rsidRPr="00F17C73">
        <w:rPr>
          <w:rFonts w:ascii="Times New Roman" w:hAnsi="Times New Roman" w:cs="Times New Roman"/>
          <w:spacing w:val="-8"/>
        </w:rPr>
        <w:t xml:space="preserve"> </w:t>
      </w:r>
      <w:r w:rsidRPr="00F17C73">
        <w:rPr>
          <w:rFonts w:ascii="Times New Roman" w:hAnsi="Times New Roman" w:cs="Times New Roman"/>
        </w:rPr>
        <w:t>pietonale;</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susținerea și stimularea dezvoltării economico-sociale a</w:t>
      </w:r>
      <w:r w:rsidRPr="00F17C73">
        <w:rPr>
          <w:rFonts w:ascii="Times New Roman" w:hAnsi="Times New Roman" w:cs="Times New Roman"/>
          <w:spacing w:val="-9"/>
        </w:rPr>
        <w:t xml:space="preserve"> </w:t>
      </w:r>
      <w:r w:rsidRPr="00F17C73">
        <w:rPr>
          <w:rFonts w:ascii="Times New Roman" w:hAnsi="Times New Roman" w:cs="Times New Roman"/>
        </w:rPr>
        <w:t>localităților;</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punerea în valoare, printr-un iluminat adecvat, a elementelor arhitectonice și peisagistice ale localităților, precum și marcarea evenimentelor festive, a sărbătorilor naţionale, locale sau</w:t>
      </w:r>
      <w:r w:rsidRPr="00F17C73">
        <w:rPr>
          <w:rFonts w:ascii="Times New Roman" w:hAnsi="Times New Roman" w:cs="Times New Roman"/>
          <w:spacing w:val="-1"/>
        </w:rPr>
        <w:t xml:space="preserve"> </w:t>
      </w:r>
      <w:r w:rsidRPr="00F17C73">
        <w:rPr>
          <w:rFonts w:ascii="Times New Roman" w:hAnsi="Times New Roman" w:cs="Times New Roman"/>
        </w:rPr>
        <w:t>religioase;</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funcţionarea şi exploatarea în condiţii de siguranţă, rentabilitate şi eficienţă economică a infrastructurii aferente</w:t>
      </w:r>
      <w:r w:rsidRPr="00F17C73">
        <w:rPr>
          <w:rFonts w:ascii="Times New Roman" w:hAnsi="Times New Roman" w:cs="Times New Roman"/>
          <w:spacing w:val="-5"/>
        </w:rPr>
        <w:t xml:space="preserve"> </w:t>
      </w:r>
      <w:r w:rsidRPr="00F17C73">
        <w:rPr>
          <w:rFonts w:ascii="Times New Roman" w:hAnsi="Times New Roman" w:cs="Times New Roman"/>
        </w:rPr>
        <w:t>serviciului;</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nediscriminarea și egalitatea tuturor consumatorilor prin asigurarea unui standard unitar calitativ și uniform răspândit teritorial în</w:t>
      </w:r>
      <w:r w:rsidRPr="00F17C73">
        <w:rPr>
          <w:rFonts w:ascii="Times New Roman" w:hAnsi="Times New Roman" w:cs="Times New Roman"/>
          <w:spacing w:val="-3"/>
        </w:rPr>
        <w:t xml:space="preserve"> </w:t>
      </w:r>
      <w:r w:rsidRPr="00F17C73">
        <w:rPr>
          <w:rFonts w:ascii="Times New Roman" w:hAnsi="Times New Roman" w:cs="Times New Roman"/>
        </w:rPr>
        <w:t>comunitate;</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dezvoltarea durabilă a sistemului de iluminat</w:t>
      </w:r>
      <w:r w:rsidRPr="00F17C73">
        <w:rPr>
          <w:rFonts w:ascii="Times New Roman" w:hAnsi="Times New Roman" w:cs="Times New Roman"/>
          <w:spacing w:val="-6"/>
        </w:rPr>
        <w:t xml:space="preserve"> </w:t>
      </w:r>
      <w:r w:rsidRPr="00F17C73">
        <w:rPr>
          <w:rFonts w:ascii="Times New Roman" w:hAnsi="Times New Roman" w:cs="Times New Roman"/>
        </w:rPr>
        <w:t>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Eficiența serviciului de iluminat public influențează în mod direct mediul economic și social al unității administrativ-teritoriale. Calitatea iluminatului ca și serviciu comunitar poate determina în mod cert creșterea nivelului de siguranță la nivel local, descurajând săvârșirea de infracțiuni și contravenții în spațiul public. La nivelul întregii țări s-a manifestat în ultimii ani o preocupare deosebită în privința optimizării acestui serviciu, fiind verificate constant opțiunile autorităților locale pentru implementarea unor sisteme complexe de gestiune a iluminatului public, în paralel cu dezvoltarea unei infrastructuri pentru supravegherea video din municipiile reședințe de județ.</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Infrastructura iluminatului public poate fi utilizată și în scopul implementării structurilor pentru supraveghere video a zonelor comunitare cu risc ridicat pentru producerea de infracțiuni sau contravenții. În asemenea condiții, prima etapă pentru atingerea climatului de siguranță specific unei comunități europene îl reprezintă îmbunătățirea calității iluminatului 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lastRenderedPageBreak/>
        <w:t>În acord cu cele expuse, un sistem de iluminat public deficitar impietează elementelor de securitate ce activează zilnic în comunitate (poliție, jandarmerie, agenți de securitate ai companiilor private), afectând chiar și eficacitatea unei soluții de supraveghere video. Din perspectiva securității comunității, efectul imediat al unui iluminat public ineficient este suprasolicitarea personalul disponibil însărcinat cu activitatea de prevenție a faptelor antisociale, fie ele infracționale sau contravenționale. Iluminatul public poate conduce așadar la creșterea gradului de monitorizare activă sau pasivă a spațiilor publice din cadrul comunității, ajutând la prevenirea și combaterea infracțiunilor si criminalității, sporind eficiența intervențiilor operative în cazul unor amenințări la adresa integrității persoanelor sau a bunurilor proprietate publică sau privată.</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Numărul de infracțiuni de furt, de tâlhărie, de distrugere, de loviri și alte violențe crește în cadrul acelor comunități care nu beneficiază de un iluminat corespunzător pe timpul nopții, astfel încât fenomenele antisociale să fie descurajate. Administrarea eficientă a acestui serviciu apare ca o necesitate pentru creșterea gradului de securitate de la nivelul comunității locale, impunându-se ca resursele investite să fie în acord cu gradul de uzură al sistemului, iar extinderea sistemului să fie proportională cu evoluția ariei ce include spațiilor publice pe care trebuie să le deservească.</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Legea nr. 230/2006 privind iluminatul public stabilește în cuprinsul art. 8 alin. (1) o competență exclusivă a autorităților administrației publice locale în privința înființării, organizării, coordonării, monitorizării și controlului funcționării serviciului de iluminat public de la nivelul unităților administrativ-teritoriale. Totodată, în sarcina autorităților publice locale legea impune și atributul dezvoltării, modernizării, administrării și exploatării serviciului de iluminat public astfel încât parametrii reali ai acestui serviciu să fie în acord cu principiile enunțate în art. 9 și art. 10 din cuprinsul Ordinului nr. 86 din 20/03/2007 al Autorității Naționale de Reglementare pentru Serviciile Publice de Gospodărire Comunală.</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noProof/>
          <w:lang w:val="ro-RO" w:eastAsia="ro-RO"/>
        </w:rPr>
        <w:drawing>
          <wp:anchor distT="0" distB="0" distL="0" distR="0" simplePos="0" relativeHeight="251661312" behindDoc="0" locked="0" layoutInCell="1" allowOverlap="1" wp14:anchorId="15FAFA89" wp14:editId="586A1603">
            <wp:simplePos x="0" y="0"/>
            <wp:positionH relativeFrom="page">
              <wp:posOffset>548728</wp:posOffset>
            </wp:positionH>
            <wp:positionV relativeFrom="paragraph">
              <wp:posOffset>171229</wp:posOffset>
            </wp:positionV>
            <wp:extent cx="484631" cy="2375916"/>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7" cstate="print"/>
                    <a:stretch>
                      <a:fillRect/>
                    </a:stretch>
                  </pic:blipFill>
                  <pic:spPr>
                    <a:xfrm>
                      <a:off x="0" y="0"/>
                      <a:ext cx="484631" cy="2375916"/>
                    </a:xfrm>
                    <a:prstGeom prst="rect">
                      <a:avLst/>
                    </a:prstGeom>
                  </pic:spPr>
                </pic:pic>
              </a:graphicData>
            </a:graphic>
          </wp:anchor>
        </w:drawing>
      </w:r>
      <w:r w:rsidRPr="00F17C73">
        <w:rPr>
          <w:rFonts w:ascii="Times New Roman" w:hAnsi="Times New Roman" w:cs="Times New Roman"/>
          <w:noProof/>
          <w:lang w:val="ro-RO" w:eastAsia="ro-RO"/>
        </w:rPr>
        <mc:AlternateContent>
          <mc:Choice Requires="wps">
            <w:drawing>
              <wp:anchor distT="0" distB="0" distL="114300" distR="114300" simplePos="0" relativeHeight="251662336" behindDoc="0" locked="0" layoutInCell="1" allowOverlap="1" wp14:anchorId="78DB4C6D" wp14:editId="100FDB8D">
                <wp:simplePos x="0" y="0"/>
                <wp:positionH relativeFrom="page">
                  <wp:posOffset>723265</wp:posOffset>
                </wp:positionH>
                <wp:positionV relativeFrom="paragraph">
                  <wp:posOffset>679450</wp:posOffset>
                </wp:positionV>
                <wp:extent cx="127635" cy="1803400"/>
                <wp:effectExtent l="0" t="3175"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66" w:rsidRDefault="00443C66" w:rsidP="00443C66">
                            <w:pPr>
                              <w:spacing w:line="184" w:lineRule="exact"/>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B4C6D" id="_x0000_t202" coordsize="21600,21600" o:spt="202" path="m,l,21600r21600,l21600,xe">
                <v:stroke joinstyle="miter"/>
                <v:path gradientshapeok="t" o:connecttype="rect"/>
              </v:shapetype>
              <v:shape id="Text Box 2" o:spid="_x0000_s1026" type="#_x0000_t202" style="position:absolute;left:0;text-align:left;margin-left:56.95pt;margin-top:53.5pt;width:10.05pt;height:14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" filled="f" stroked="f">
                <v:textbox style="layout-flow:vertical;mso-layout-flow-alt:bottom-to-top" inset="0,0,0,0">
                  <w:txbxContent>
                    <w:p w:rsidR="00443C66" w:rsidRDefault="00443C66" w:rsidP="00443C66">
                      <w:pPr>
                        <w:spacing w:line="184" w:lineRule="exact"/>
                        <w:ind w:left="20"/>
                        <w:rPr>
                          <w:sz w:val="16"/>
                        </w:rPr>
                      </w:pPr>
                    </w:p>
                  </w:txbxContent>
                </v:textbox>
                <w10:wrap anchorx="page"/>
              </v:shape>
            </w:pict>
          </mc:Fallback>
        </mc:AlternateContent>
      </w:r>
      <w:r w:rsidRPr="00F17C73">
        <w:rPr>
          <w:rFonts w:ascii="Times New Roman" w:hAnsi="Times New Roman" w:cs="Times New Roman"/>
        </w:rPr>
        <w:t>Autorităţile administraţiei publice locale sunt obligate așadar ope legis să 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și implicit prin legislația menționată anterior.</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Aceeași competență exclusivă în domeniul iluminatului public este stabilită și prin prevederile Regulamentului cadru al Serviciului de iluminat public din Ordinul nr. 86 din 20/03/2007 al Autorității Naționale de Reglementare pentru Serviciile Publice de Gospodărire Comunală,</w:t>
      </w:r>
      <w:r w:rsidR="00974F08" w:rsidRPr="00F17C73">
        <w:rPr>
          <w:rFonts w:ascii="Times New Roman" w:hAnsi="Times New Roman" w:cs="Times New Roman"/>
        </w:rPr>
        <w:t xml:space="preserve"> respectiv, în art. 4 alin. (1). </w:t>
      </w:r>
      <w:r w:rsidRPr="00F17C73">
        <w:rPr>
          <w:rFonts w:ascii="Times New Roman" w:hAnsi="Times New Roman" w:cs="Times New Roman"/>
        </w:rPr>
        <w:t>În conformitate cu prevederile art. 10, lit. d din Legea 230/2006 a serviciului de iluminat public, în sarcina autorităților administrației publice locale intră adoptarea/emiterea hotărârilor/dispozițiilor privind darea în administrare sau delegarea gestiunii serviciului de iluminat public, precum și încredințarea exploatării bunurilor aparținând patrimoniului public sau privat al localităților, aferente serviciului, conform prevederilor legale in vigoare. Dispozițiile art. 10 lit. d) din Lege sunt prevăzute în mod complementar celor de la lit. h) a aceluiași articol, unde se prevede o responsabilitate a autorității publice locale în privința gestionării contractului de delegare a gestiunii serviciului, astfel încât în ipoteza nerespectării obiectivelor stabilite prin convenția în cauză, prin regulament, caiet de sarcini sau chiar lege, autoritatea să aibă posibilitatea denunțării unilaterale. Totodată, autoritatea publică care adoptă soluția delegării serviciului are obligația de a verifica respectarea permanentă a indicatorilor de performanță ai serviciului de către persoana juridică care a preluat gestiunea.</w:t>
      </w:r>
    </w:p>
    <w:p w:rsidR="00443C66" w:rsidRPr="00F17C73" w:rsidRDefault="00443C66" w:rsidP="00443C66">
      <w:pPr>
        <w:pStyle w:val="BodyText"/>
        <w:jc w:val="both"/>
        <w:rPr>
          <w:rFonts w:ascii="Times New Roman" w:hAnsi="Times New Roman" w:cs="Times New Roman"/>
          <w:i/>
        </w:rPr>
      </w:pPr>
      <w:r w:rsidRPr="00F17C73">
        <w:rPr>
          <w:rFonts w:ascii="Times New Roman" w:hAnsi="Times New Roman" w:cs="Times New Roman"/>
        </w:rPr>
        <w:t xml:space="preserve">În mod similar, atribuțiile autorității publice locale în privința iluminatului public atunci când se optează pentru formula delegării gestiunii se regăsesc și în art. 4 alin. 2 din Ordinul nr. 86 din 20/03/2007 al Autorității Naționale de Reglementare pentru Serviciile Publice de Gospodărire Comunală, evaluarea activității din domeniu fiind realizată pe criterii de </w:t>
      </w:r>
      <w:r w:rsidRPr="00F17C73">
        <w:rPr>
          <w:rFonts w:ascii="Times New Roman" w:hAnsi="Times New Roman" w:cs="Times New Roman"/>
        </w:rPr>
        <w:lastRenderedPageBreak/>
        <w:t xml:space="preserve">competitivitate și eficiență economică și managerială, </w:t>
      </w:r>
      <w:r w:rsidRPr="00F17C73">
        <w:rPr>
          <w:rFonts w:ascii="Times New Roman" w:hAnsi="Times New Roman" w:cs="Times New Roman"/>
          <w:i/>
        </w:rPr>
        <w:t>“având ca obiectiv atingerea şi respectarea indicatorilor de performanţă a serviciului, stabiliţi prin contractul de delegare a gestiunii, respectiv prin hotărârea de dare în administrare, în cazul gestiunii directe”.</w:t>
      </w:r>
    </w:p>
    <w:p w:rsidR="00443C66" w:rsidRPr="00F17C73" w:rsidRDefault="00443C66" w:rsidP="00443C66">
      <w:pPr>
        <w:pStyle w:val="BodyText"/>
        <w:jc w:val="both"/>
        <w:rPr>
          <w:rFonts w:ascii="Times New Roman" w:hAnsi="Times New Roman" w:cs="Times New Roman"/>
          <w:i/>
        </w:rPr>
      </w:pPr>
      <w:r w:rsidRPr="00F17C73">
        <w:rPr>
          <w:rFonts w:ascii="Times New Roman" w:hAnsi="Times New Roman" w:cs="Times New Roman"/>
        </w:rPr>
        <w:t xml:space="preserve">În definitiv, norma legală menționată stabilește în art. 4 alin. 3 că în vederea asigurării criteriilor de performanță ale sistemului de iluminat așa cum au fost menționate anterior, indiferent de forma de gestiune, </w:t>
      </w:r>
      <w:r w:rsidRPr="00F17C73">
        <w:rPr>
          <w:rFonts w:ascii="Times New Roman" w:hAnsi="Times New Roman" w:cs="Times New Roman"/>
          <w:i/>
        </w:rPr>
        <w:t>“autoritățile administrației publice locale vor urmări obținerea unui serviciu de iluminat public corespunzător interesului general al comunităților locale pe care le reprezintă, în conformitate cu legislația în vigoare și cu reglementările C.I.E”.</w:t>
      </w:r>
    </w:p>
    <w:p w:rsidR="00443C66" w:rsidRPr="00F17C73" w:rsidRDefault="00443C66" w:rsidP="00443C66">
      <w:pPr>
        <w:pStyle w:val="BodyText"/>
        <w:jc w:val="both"/>
        <w:rPr>
          <w:rFonts w:ascii="Times New Roman" w:hAnsi="Times New Roman" w:cs="Times New Roman"/>
          <w:b/>
        </w:rPr>
      </w:pPr>
      <w:r w:rsidRPr="00F17C73">
        <w:rPr>
          <w:rFonts w:ascii="Times New Roman" w:hAnsi="Times New Roman" w:cs="Times New Roman"/>
          <w:b/>
        </w:rPr>
        <w:t>Gestiunea serviciului de iluminat public se poate realiza prin două modalități:</w:t>
      </w:r>
    </w:p>
    <w:p w:rsidR="00443C66" w:rsidRPr="00F17C73" w:rsidRDefault="00443C66" w:rsidP="00974F08">
      <w:pPr>
        <w:pStyle w:val="BodyText"/>
        <w:numPr>
          <w:ilvl w:val="0"/>
          <w:numId w:val="14"/>
        </w:numPr>
        <w:jc w:val="both"/>
        <w:rPr>
          <w:rFonts w:ascii="Times New Roman" w:hAnsi="Times New Roman" w:cs="Times New Roman"/>
          <w:b/>
        </w:rPr>
      </w:pPr>
      <w:r w:rsidRPr="00F17C73">
        <w:rPr>
          <w:rFonts w:ascii="Times New Roman" w:hAnsi="Times New Roman" w:cs="Times New Roman"/>
          <w:b/>
        </w:rPr>
        <w:t>gestiunea</w:t>
      </w:r>
      <w:r w:rsidRPr="00F17C73">
        <w:rPr>
          <w:rFonts w:ascii="Times New Roman" w:hAnsi="Times New Roman" w:cs="Times New Roman"/>
          <w:b/>
          <w:spacing w:val="-2"/>
        </w:rPr>
        <w:t xml:space="preserve"> </w:t>
      </w:r>
      <w:r w:rsidRPr="00F17C73">
        <w:rPr>
          <w:rFonts w:ascii="Times New Roman" w:hAnsi="Times New Roman" w:cs="Times New Roman"/>
          <w:b/>
        </w:rPr>
        <w:t>directă;</w:t>
      </w:r>
    </w:p>
    <w:p w:rsidR="00443C66" w:rsidRPr="00F17C73" w:rsidRDefault="00443C66" w:rsidP="00974F08">
      <w:pPr>
        <w:pStyle w:val="BodyText"/>
        <w:numPr>
          <w:ilvl w:val="0"/>
          <w:numId w:val="14"/>
        </w:numPr>
        <w:jc w:val="both"/>
        <w:rPr>
          <w:rFonts w:ascii="Times New Roman" w:hAnsi="Times New Roman" w:cs="Times New Roman"/>
          <w:b/>
        </w:rPr>
      </w:pPr>
      <w:r w:rsidRPr="00F17C73">
        <w:rPr>
          <w:rFonts w:ascii="Times New Roman" w:hAnsi="Times New Roman" w:cs="Times New Roman"/>
          <w:b/>
        </w:rPr>
        <w:t>gestiunea</w:t>
      </w:r>
      <w:r w:rsidRPr="00F17C73">
        <w:rPr>
          <w:rFonts w:ascii="Times New Roman" w:hAnsi="Times New Roman" w:cs="Times New Roman"/>
          <w:b/>
          <w:spacing w:val="-2"/>
        </w:rPr>
        <w:t xml:space="preserve"> </w:t>
      </w:r>
      <w:r w:rsidRPr="00F17C73">
        <w:rPr>
          <w:rFonts w:ascii="Times New Roman" w:hAnsi="Times New Roman" w:cs="Times New Roman"/>
          <w:b/>
        </w:rPr>
        <w:t>delegată.</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Este de subliniat faptul că toate activitățile specifice serviciului de iluminat public, indiferent de forma de gestiune adoptată, se organizează și se defasoară în conformitate cu prevederile regulamentului-propriu și ale caietului de sarcini, elaborate si aprobate de consiliul local, în baza regulamentului-cadru și a caietului de sarcini-cadru al A.N.R.S.C.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noProof/>
          <w:lang w:val="ro-RO" w:eastAsia="ro-RO"/>
        </w:rPr>
        <w:drawing>
          <wp:anchor distT="0" distB="0" distL="0" distR="0" simplePos="0" relativeHeight="251663360" behindDoc="0" locked="0" layoutInCell="1" allowOverlap="1" wp14:anchorId="4B665DB4" wp14:editId="3125A60C">
            <wp:simplePos x="0" y="0"/>
            <wp:positionH relativeFrom="page">
              <wp:posOffset>548640</wp:posOffset>
            </wp:positionH>
            <wp:positionV relativeFrom="paragraph">
              <wp:posOffset>101600</wp:posOffset>
            </wp:positionV>
            <wp:extent cx="484505" cy="2375535"/>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7" cstate="print"/>
                    <a:stretch>
                      <a:fillRect/>
                    </a:stretch>
                  </pic:blipFill>
                  <pic:spPr>
                    <a:xfrm>
                      <a:off x="0" y="0"/>
                      <a:ext cx="484505" cy="2375535"/>
                    </a:xfrm>
                    <a:prstGeom prst="rect">
                      <a:avLst/>
                    </a:prstGeom>
                  </pic:spPr>
                </pic:pic>
              </a:graphicData>
            </a:graphic>
          </wp:anchor>
        </w:drawing>
      </w:r>
      <w:r w:rsidRPr="00F17C73">
        <w:rPr>
          <w:rFonts w:ascii="Times New Roman" w:hAnsi="Times New Roman" w:cs="Times New Roman"/>
          <w:noProof/>
          <w:lang w:val="ro-RO" w:eastAsia="ro-RO"/>
        </w:rPr>
        <mc:AlternateContent>
          <mc:Choice Requires="wps">
            <w:drawing>
              <wp:anchor distT="0" distB="0" distL="114300" distR="114300" simplePos="0" relativeHeight="251664384" behindDoc="0" locked="0" layoutInCell="1" allowOverlap="1" wp14:anchorId="0C5FE42B" wp14:editId="55C0F5E0">
                <wp:simplePos x="0" y="0"/>
                <wp:positionH relativeFrom="page">
                  <wp:posOffset>723265</wp:posOffset>
                </wp:positionH>
                <wp:positionV relativeFrom="paragraph">
                  <wp:posOffset>451485</wp:posOffset>
                </wp:positionV>
                <wp:extent cx="127635" cy="1803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66" w:rsidRDefault="00443C66" w:rsidP="00443C66">
                            <w:pPr>
                              <w:spacing w:line="184" w:lineRule="exact"/>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E42B" id="Text Box 3" o:spid="_x0000_s1027" type="#_x0000_t202" style="position:absolute;left:0;text-align:left;margin-left:56.95pt;margin-top:35.55pt;width:10.05pt;height:14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" filled="f" stroked="f">
                <v:textbox style="layout-flow:vertical;mso-layout-flow-alt:bottom-to-top" inset="0,0,0,0">
                  <w:txbxContent>
                    <w:p w:rsidR="00443C66" w:rsidRDefault="00443C66" w:rsidP="00443C66">
                      <w:pPr>
                        <w:spacing w:line="184" w:lineRule="exact"/>
                        <w:ind w:left="20"/>
                        <w:rPr>
                          <w:sz w:val="16"/>
                        </w:rPr>
                      </w:pPr>
                    </w:p>
                  </w:txbxContent>
                </v:textbox>
                <w10:wrap anchorx="page"/>
              </v:shape>
            </w:pict>
          </mc:Fallback>
        </mc:AlternateContent>
      </w:r>
      <w:r w:rsidRPr="00F17C73">
        <w:rPr>
          <w:rFonts w:ascii="Times New Roman" w:hAnsi="Times New Roman" w:cs="Times New Roman"/>
          <w:b/>
        </w:rPr>
        <w:t xml:space="preserve">Gestiunea directă </w:t>
      </w:r>
      <w:r w:rsidRPr="00F17C73">
        <w:rPr>
          <w:rFonts w:ascii="Times New Roman" w:hAnsi="Times New Roman" w:cs="Times New Roman"/>
        </w:rPr>
        <w:t>presupune asumarea nemijlocită de către autoritatea publică locală a sarcinilor și responsabilitatilor cu privire la înființarea, organizarea, finanțarea, coordonarea, administrarea, gestionarea, exploatarea și asigurarea funcționării serviciului de iluminat 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b/>
        </w:rPr>
        <w:t xml:space="preserve">Gestiunea delegată </w:t>
      </w:r>
      <w:r w:rsidRPr="00F17C73">
        <w:rPr>
          <w:rFonts w:ascii="Times New Roman" w:hAnsi="Times New Roman" w:cs="Times New Roman"/>
        </w:rPr>
        <w:t>presupune transferul din partea autorităților administrației publice locale, în baza unui contract de delegare a gestiunii (contract de concesiune), unuia sau mai multor operatori cu statut de societăți comerciale cu capital public, privat sau mixt, sarcinile si responsabilitățile proprii cu privire la prestarea, exploatarea și administrarea sistemului de iluminat public.</w:t>
      </w:r>
    </w:p>
    <w:p w:rsidR="00443C66" w:rsidRPr="00F17C73" w:rsidRDefault="00443C66" w:rsidP="00443C66">
      <w:pPr>
        <w:pStyle w:val="BodyText"/>
        <w:jc w:val="both"/>
        <w:rPr>
          <w:rFonts w:ascii="Times New Roman" w:hAnsi="Times New Roman" w:cs="Times New Roman"/>
        </w:rPr>
      </w:pPr>
    </w:p>
    <w:p w:rsidR="00443C66" w:rsidRPr="00F17C73" w:rsidRDefault="00443C66" w:rsidP="00443C66">
      <w:pPr>
        <w:pStyle w:val="BodyText"/>
        <w:jc w:val="both"/>
        <w:rPr>
          <w:rFonts w:ascii="Times New Roman" w:hAnsi="Times New Roman" w:cs="Times New Roman"/>
        </w:rPr>
      </w:pPr>
      <w:bookmarkStart w:id="0" w:name="_TOC_250012"/>
      <w:r w:rsidRPr="00F17C73">
        <w:rPr>
          <w:rFonts w:ascii="Times New Roman" w:hAnsi="Times New Roman" w:cs="Times New Roman"/>
        </w:rPr>
        <w:t>Descrierea serviciului de iluminat</w:t>
      </w:r>
      <w:r w:rsidRPr="00F17C73">
        <w:rPr>
          <w:rFonts w:ascii="Times New Roman" w:hAnsi="Times New Roman" w:cs="Times New Roman"/>
          <w:spacing w:val="-6"/>
        </w:rPr>
        <w:t xml:space="preserve"> </w:t>
      </w:r>
      <w:bookmarkEnd w:id="0"/>
      <w:r w:rsidRPr="00F17C73">
        <w:rPr>
          <w:rFonts w:ascii="Times New Roman" w:hAnsi="Times New Roman" w:cs="Times New Roman"/>
        </w:rPr>
        <w:t>public</w:t>
      </w:r>
    </w:p>
    <w:p w:rsidR="00443C66" w:rsidRPr="00F17C73" w:rsidRDefault="00443C66" w:rsidP="00443C66">
      <w:pPr>
        <w:pStyle w:val="BodyText"/>
        <w:jc w:val="both"/>
        <w:rPr>
          <w:rFonts w:ascii="Times New Roman" w:hAnsi="Times New Roman" w:cs="Times New Roman"/>
        </w:rPr>
      </w:pP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Serviciul de iluminat public face parte din sfera serviciilor comunitare de utilităţi publice, sub reglementarea, conducerea, monitorizarea şi controlul Administrației Publice Locale a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 reprezentând o parte componentă a infrastructurii tehnico-edilitare a acestei unități administrativ-teritoriale.</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Iluminatul public se referă la domeniul public sau privat al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 existent la nivelul acelor spatii aflate în proprietatea actuala sau viitoare a localității, cuprinzând în linii mari următoarele tipuri de</w:t>
      </w:r>
      <w:r w:rsidRPr="00F17C73">
        <w:rPr>
          <w:rFonts w:ascii="Times New Roman" w:hAnsi="Times New Roman" w:cs="Times New Roman"/>
          <w:spacing w:val="-1"/>
        </w:rPr>
        <w:t xml:space="preserve"> </w:t>
      </w:r>
      <w:r w:rsidRPr="00F17C73">
        <w:rPr>
          <w:rFonts w:ascii="Times New Roman" w:hAnsi="Times New Roman" w:cs="Times New Roman"/>
        </w:rPr>
        <w:t>servicii:</w:t>
      </w:r>
    </w:p>
    <w:p w:rsidR="00443C66" w:rsidRPr="00F17C73" w:rsidRDefault="00443C66" w:rsidP="00974F08">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căilor de circulaţie (auto, zone pentru pietoni şi biciclişti), tunelurilor şi pasajelor</w:t>
      </w:r>
      <w:r w:rsidRPr="00F17C73">
        <w:rPr>
          <w:rFonts w:ascii="Times New Roman" w:hAnsi="Times New Roman" w:cs="Times New Roman"/>
          <w:spacing w:val="-2"/>
        </w:rPr>
        <w:t xml:space="preserve"> </w:t>
      </w:r>
      <w:r w:rsidRPr="00F17C73">
        <w:rPr>
          <w:rFonts w:ascii="Times New Roman" w:hAnsi="Times New Roman" w:cs="Times New Roman"/>
        </w:rPr>
        <w:t>auto;</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decorativ-arhitectural (pentru monumente, clădiri,</w:t>
      </w:r>
      <w:r w:rsidRPr="00F17C73">
        <w:rPr>
          <w:rFonts w:ascii="Times New Roman" w:hAnsi="Times New Roman" w:cs="Times New Roman"/>
          <w:spacing w:val="-9"/>
        </w:rPr>
        <w:t xml:space="preserve"> </w:t>
      </w:r>
      <w:r w:rsidRPr="00F17C73">
        <w:rPr>
          <w:rFonts w:ascii="Times New Roman" w:hAnsi="Times New Roman" w:cs="Times New Roman"/>
        </w:rPr>
        <w:t>fântâni);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parcurilor si al</w:t>
      </w:r>
      <w:r w:rsidRPr="00F17C73">
        <w:rPr>
          <w:rFonts w:ascii="Times New Roman" w:hAnsi="Times New Roman" w:cs="Times New Roman"/>
          <w:spacing w:val="-7"/>
        </w:rPr>
        <w:t xml:space="preserve"> </w:t>
      </w:r>
      <w:r w:rsidRPr="00F17C73">
        <w:rPr>
          <w:rFonts w:ascii="Times New Roman" w:hAnsi="Times New Roman" w:cs="Times New Roman"/>
        </w:rPr>
        <w:t>gradinilor;</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 de gări, triaje, porturi,</w:t>
      </w:r>
      <w:r w:rsidRPr="00F17C73">
        <w:rPr>
          <w:rFonts w:ascii="Times New Roman" w:hAnsi="Times New Roman" w:cs="Times New Roman"/>
          <w:spacing w:val="-4"/>
        </w:rPr>
        <w:t xml:space="preserve"> </w:t>
      </w:r>
      <w:r w:rsidRPr="00F17C73">
        <w:rPr>
          <w:rFonts w:ascii="Times New Roman" w:hAnsi="Times New Roman" w:cs="Times New Roman"/>
        </w:rPr>
        <w:t>aeroporturi;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terenurilor de</w:t>
      </w:r>
      <w:r w:rsidRPr="00F17C73">
        <w:rPr>
          <w:rFonts w:ascii="Times New Roman" w:hAnsi="Times New Roman" w:cs="Times New Roman"/>
          <w:spacing w:val="-9"/>
        </w:rPr>
        <w:t xml:space="preserve"> </w:t>
      </w:r>
      <w:r w:rsidRPr="00F17C73">
        <w:rPr>
          <w:rFonts w:ascii="Times New Roman" w:hAnsi="Times New Roman" w:cs="Times New Roman"/>
        </w:rPr>
        <w:t>sport;</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ariilor utilitare (parcări, platforme utilitare</w:t>
      </w:r>
      <w:r w:rsidRPr="00F17C73">
        <w:rPr>
          <w:rFonts w:ascii="Times New Roman" w:hAnsi="Times New Roman" w:cs="Times New Roman"/>
          <w:spacing w:val="-4"/>
        </w:rPr>
        <w:t xml:space="preserve"> </w:t>
      </w:r>
      <w:r w:rsidRPr="00F17C73">
        <w:rPr>
          <w:rFonts w:ascii="Times New Roman" w:hAnsi="Times New Roman" w:cs="Times New Roman"/>
        </w:rPr>
        <w:t>etc.);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publicitar și de</w:t>
      </w:r>
      <w:r w:rsidRPr="00F17C73">
        <w:rPr>
          <w:rFonts w:ascii="Times New Roman" w:hAnsi="Times New Roman" w:cs="Times New Roman"/>
          <w:spacing w:val="-3"/>
        </w:rPr>
        <w:t xml:space="preserve"> </w:t>
      </w:r>
      <w:r w:rsidRPr="00F17C73">
        <w:rPr>
          <w:rFonts w:ascii="Times New Roman" w:hAnsi="Times New Roman" w:cs="Times New Roman"/>
        </w:rPr>
        <w:t>reclamă;</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iluminatul ornamental și</w:t>
      </w:r>
      <w:r w:rsidRPr="00F17C73">
        <w:rPr>
          <w:rFonts w:ascii="Times New Roman" w:hAnsi="Times New Roman" w:cs="Times New Roman"/>
          <w:spacing w:val="-8"/>
        </w:rPr>
        <w:t xml:space="preserve"> </w:t>
      </w:r>
      <w:r w:rsidRPr="00F17C73">
        <w:rPr>
          <w:rFonts w:ascii="Times New Roman" w:hAnsi="Times New Roman" w:cs="Times New Roman"/>
        </w:rPr>
        <w:t>festiv.</w:t>
      </w:r>
    </w:p>
    <w:p w:rsidR="0024309F" w:rsidRPr="00F17C73" w:rsidRDefault="0024309F" w:rsidP="0024309F">
      <w:pPr>
        <w:pStyle w:val="BodyText"/>
        <w:numPr>
          <w:ilvl w:val="0"/>
          <w:numId w:val="14"/>
        </w:numPr>
        <w:jc w:val="both"/>
        <w:rPr>
          <w:rFonts w:ascii="Times New Roman" w:hAnsi="Times New Roman" w:cs="Times New Roman"/>
        </w:rPr>
      </w:pP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Organizarea și desfășurarea serviciului de iluminat public trebuie să asigure satisfacerea unor cerințe și nevoi de utilitate publică ale comunității locale, după cum urmează:</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garantarea permanenţei în funcţionare a iluminatului public prin îndeplinirea parametrilor proiectați și menținerea lor în standardele în</w:t>
      </w:r>
      <w:r w:rsidRPr="00F17C73">
        <w:rPr>
          <w:rFonts w:ascii="Times New Roman" w:hAnsi="Times New Roman" w:cs="Times New Roman"/>
          <w:spacing w:val="-7"/>
        </w:rPr>
        <w:t xml:space="preserve"> </w:t>
      </w:r>
      <w:r w:rsidRPr="00F17C73">
        <w:rPr>
          <w:rFonts w:ascii="Times New Roman" w:hAnsi="Times New Roman" w:cs="Times New Roman"/>
        </w:rPr>
        <w:t>vigoare;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asigurarea siguranței circulatiei rutiere și</w:t>
      </w:r>
      <w:r w:rsidRPr="00F17C73">
        <w:rPr>
          <w:rFonts w:ascii="Times New Roman" w:hAnsi="Times New Roman" w:cs="Times New Roman"/>
          <w:spacing w:val="-7"/>
        </w:rPr>
        <w:t xml:space="preserve"> </w:t>
      </w:r>
      <w:r w:rsidRPr="00F17C73">
        <w:rPr>
          <w:rFonts w:ascii="Times New Roman" w:hAnsi="Times New Roman" w:cs="Times New Roman"/>
        </w:rPr>
        <w:t>pietonale;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lastRenderedPageBreak/>
        <w:t>creșterea gradului de securitate individuală și colectivă în cadrul comunităților</w:t>
      </w:r>
      <w:r w:rsidRPr="00F17C73">
        <w:rPr>
          <w:rFonts w:ascii="Times New Roman" w:hAnsi="Times New Roman" w:cs="Times New Roman"/>
          <w:spacing w:val="-19"/>
        </w:rPr>
        <w:t xml:space="preserve"> </w:t>
      </w:r>
      <w:r w:rsidRPr="00F17C73">
        <w:rPr>
          <w:rFonts w:ascii="Times New Roman" w:hAnsi="Times New Roman" w:cs="Times New Roman"/>
        </w:rPr>
        <w:t>locale;</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punerea în valoare, printr-un iluminat adecvat, a elementelor arhitectonice și peisagistice ale localităților, precum și marcarea evenimentelor festive și a sărbătorilor legale sau</w:t>
      </w:r>
      <w:r w:rsidRPr="00F17C73">
        <w:rPr>
          <w:rFonts w:ascii="Times New Roman" w:hAnsi="Times New Roman" w:cs="Times New Roman"/>
          <w:spacing w:val="-1"/>
        </w:rPr>
        <w:t xml:space="preserve"> </w:t>
      </w:r>
      <w:r w:rsidRPr="00F17C73">
        <w:rPr>
          <w:rFonts w:ascii="Times New Roman" w:hAnsi="Times New Roman" w:cs="Times New Roman"/>
        </w:rPr>
        <w:t>religioase;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 xml:space="preserve">optimizarea consumului de energie în paralel cu îmbunătăţirea calităţii iluminatului public din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noProof/>
          <w:lang w:val="ro-RO" w:eastAsia="ro-RO"/>
        </w:rPr>
        <mc:AlternateContent>
          <mc:Choice Requires="wps">
            <w:drawing>
              <wp:anchor distT="0" distB="0" distL="114300" distR="114300" simplePos="0" relativeHeight="251666432" behindDoc="0" locked="0" layoutInCell="1" allowOverlap="1" wp14:anchorId="43758332" wp14:editId="0E36F7EC">
                <wp:simplePos x="0" y="0"/>
                <wp:positionH relativeFrom="page">
                  <wp:posOffset>723265</wp:posOffset>
                </wp:positionH>
                <wp:positionV relativeFrom="paragraph">
                  <wp:posOffset>379095</wp:posOffset>
                </wp:positionV>
                <wp:extent cx="127635" cy="1803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66" w:rsidRDefault="00443C66" w:rsidP="00443C66">
                            <w:pPr>
                              <w:spacing w:line="184" w:lineRule="exact"/>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58332" id="Text Box 4" o:spid="_x0000_s1028" type="#_x0000_t202" style="position:absolute;left:0;text-align:left;margin-left:56.95pt;margin-top:29.85pt;width:10.05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" filled="f" stroked="f">
                <v:textbox style="layout-flow:vertical;mso-layout-flow-alt:bottom-to-top" inset="0,0,0,0">
                  <w:txbxContent>
                    <w:p w:rsidR="00443C66" w:rsidRDefault="00443C66" w:rsidP="00443C66">
                      <w:pPr>
                        <w:spacing w:line="184" w:lineRule="exact"/>
                        <w:ind w:left="20"/>
                        <w:rPr>
                          <w:sz w:val="16"/>
                        </w:rPr>
                      </w:pPr>
                    </w:p>
                  </w:txbxContent>
                </v:textbox>
                <w10:wrap anchorx="page"/>
              </v:shape>
            </w:pict>
          </mc:Fallback>
        </mc:AlternateContent>
      </w:r>
      <w:r w:rsidRPr="00F17C73">
        <w:rPr>
          <w:rFonts w:ascii="Times New Roman" w:hAnsi="Times New Roman" w:cs="Times New Roman"/>
        </w:rPr>
        <w:t>realizarea unui raport optim calitate/cost şi a unui echilibru între riscurile şi beneficiile asumate prin contract; structura şi nivelul tarifelor practicate vor reflecta costul efectiv al prestaţiei şi vor fi în conformitate cu prevederile</w:t>
      </w:r>
      <w:r w:rsidRPr="00F17C73">
        <w:rPr>
          <w:rFonts w:ascii="Times New Roman" w:hAnsi="Times New Roman" w:cs="Times New Roman"/>
          <w:spacing w:val="-5"/>
        </w:rPr>
        <w:t xml:space="preserve"> </w:t>
      </w:r>
      <w:r w:rsidRPr="00F17C73">
        <w:rPr>
          <w:rFonts w:ascii="Times New Roman" w:hAnsi="Times New Roman" w:cs="Times New Roman"/>
        </w:rPr>
        <w:t>legale;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administrarea corecta si eficienta a bunurilor din proprietatea publică și a banilor publici;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ridicarea gradului de civilizație, a confortului și a calității</w:t>
      </w:r>
      <w:r w:rsidRPr="00F17C73">
        <w:rPr>
          <w:rFonts w:ascii="Times New Roman" w:hAnsi="Times New Roman" w:cs="Times New Roman"/>
          <w:spacing w:val="-9"/>
        </w:rPr>
        <w:t xml:space="preserve"> </w:t>
      </w:r>
      <w:r w:rsidRPr="00F17C73">
        <w:rPr>
          <w:rFonts w:ascii="Times New Roman" w:hAnsi="Times New Roman" w:cs="Times New Roman"/>
        </w:rPr>
        <w:t>vieții;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susținerea și stimularea dezvoltării economico-sociale a</w:t>
      </w:r>
      <w:r w:rsidRPr="00F17C73">
        <w:rPr>
          <w:rFonts w:ascii="Times New Roman" w:hAnsi="Times New Roman" w:cs="Times New Roman"/>
          <w:spacing w:val="-9"/>
        </w:rPr>
        <w:t xml:space="preserve"> </w:t>
      </w:r>
      <w:r w:rsidRPr="00F17C73">
        <w:rPr>
          <w:rFonts w:ascii="Times New Roman" w:hAnsi="Times New Roman" w:cs="Times New Roman"/>
        </w:rPr>
        <w:t>localităților;</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Operatorul are obligatia să îndeplinească și gestionarea consumului de energie pentru sistemul de iluminat public ce implică asumarea următoarelor atributii: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monitorizarea și raportarea consumului de</w:t>
      </w:r>
      <w:r w:rsidRPr="00F17C73">
        <w:rPr>
          <w:rFonts w:ascii="Times New Roman" w:hAnsi="Times New Roman" w:cs="Times New Roman"/>
          <w:spacing w:val="-18"/>
        </w:rPr>
        <w:t xml:space="preserve"> </w:t>
      </w:r>
      <w:r w:rsidRPr="00F17C73">
        <w:rPr>
          <w:rFonts w:ascii="Times New Roman" w:hAnsi="Times New Roman" w:cs="Times New Roman"/>
        </w:rPr>
        <w:t>energie;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optimizarea și reducerea cheltuielilor de întreținere și mentenanță, ca și costuri de operare aferente sistemului de iluminat</w:t>
      </w:r>
      <w:r w:rsidRPr="00F17C73">
        <w:rPr>
          <w:rFonts w:ascii="Times New Roman" w:hAnsi="Times New Roman" w:cs="Times New Roman"/>
          <w:spacing w:val="-7"/>
        </w:rPr>
        <w:t xml:space="preserve"> </w:t>
      </w:r>
      <w:r w:rsidRPr="00F17C73">
        <w:rPr>
          <w:rFonts w:ascii="Times New Roman" w:hAnsi="Times New Roman" w:cs="Times New Roman"/>
        </w:rPr>
        <w:t>public;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aplicarea măsurilor de eficiență energetică conform legislației și reglementărilor în vigoare aplicabile elementelor infrastructurii SIP.</w:t>
      </w:r>
    </w:p>
    <w:p w:rsidR="00443C66" w:rsidRPr="00F17C73" w:rsidRDefault="00443C66" w:rsidP="00443C66">
      <w:pPr>
        <w:pStyle w:val="BodyText"/>
        <w:jc w:val="both"/>
        <w:rPr>
          <w:rFonts w:ascii="Times New Roman" w:hAnsi="Times New Roman" w:cs="Times New Roman"/>
        </w:rPr>
      </w:pP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Obligațiile operatorului sunt înscrise în </w:t>
      </w:r>
      <w:r w:rsidR="0024309F" w:rsidRPr="00F17C73">
        <w:rPr>
          <w:rFonts w:ascii="Times New Roman" w:hAnsi="Times New Roman" w:cs="Times New Roman"/>
        </w:rPr>
        <w:t>caietul de sarcini</w:t>
      </w:r>
      <w:r w:rsidRPr="00F17C73">
        <w:rPr>
          <w:rFonts w:ascii="Times New Roman" w:hAnsi="Times New Roman" w:cs="Times New Roman"/>
        </w:rPr>
        <w:t xml:space="preserve"> a gestiunii serviciului de iluminat public in ipoteza gestiunii delegate, respectiv, în </w:t>
      </w:r>
      <w:r w:rsidR="0024309F" w:rsidRPr="00F17C73">
        <w:rPr>
          <w:rFonts w:ascii="Times New Roman" w:hAnsi="Times New Roman" w:cs="Times New Roman"/>
        </w:rPr>
        <w:t xml:space="preserve">darea </w:t>
      </w:r>
      <w:r w:rsidR="0024309F" w:rsidRPr="00F17C73">
        <w:rPr>
          <w:rFonts w:ascii="Times New Roman" w:hAnsi="Times New Roman" w:cs="Times New Roman"/>
          <w:lang w:val="ro-RO"/>
        </w:rPr>
        <w:t>în</w:t>
      </w:r>
      <w:r w:rsidRPr="00F17C73">
        <w:rPr>
          <w:rFonts w:ascii="Times New Roman" w:hAnsi="Times New Roman" w:cs="Times New Roman"/>
        </w:rPr>
        <w:t xml:space="preserve"> administrare în ipoteza gestiunii directe. Cuprinsul prevederilor din aceste documente trebuie să fie în acord cu legislația incidentă, respectiv, cu regulamentul cadru adoptat de ANRSC prin Ordinul nr. 86/2007, precum și regulamentul autorității publice locale privind iluminatul</w:t>
      </w:r>
      <w:r w:rsidRPr="00F17C73">
        <w:rPr>
          <w:rFonts w:ascii="Times New Roman" w:hAnsi="Times New Roman" w:cs="Times New Roman"/>
          <w:spacing w:val="-12"/>
        </w:rPr>
        <w:t xml:space="preserve"> </w:t>
      </w:r>
      <w:r w:rsidRPr="00F17C73">
        <w:rPr>
          <w:rFonts w:ascii="Times New Roman" w:hAnsi="Times New Roman" w:cs="Times New Roman"/>
        </w:rPr>
        <w:t>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Pe de altă parte, răspunderea personalului operativ al operatorului sunt cuprinse în regulamentul de serviciu (regulamentul de serviciu se întocmeşte pe baza regulamentului-cadru al serviciului de iluminat public). În caietele de sarcini se vor preciza condiţiile de realizare a reparaţiilor (curente şi capitale), a investiţiilor precum şi a altor cheltuieli pe care </w:t>
      </w:r>
      <w:r w:rsidRPr="00F17C73">
        <w:rPr>
          <w:rFonts w:ascii="Times New Roman" w:hAnsi="Times New Roman" w:cs="Times New Roman"/>
          <w:spacing w:val="2"/>
        </w:rPr>
        <w:t xml:space="preserve">le </w:t>
      </w:r>
      <w:r w:rsidRPr="00F17C73">
        <w:rPr>
          <w:rFonts w:ascii="Times New Roman" w:hAnsi="Times New Roman" w:cs="Times New Roman"/>
        </w:rPr>
        <w:t>va face operatorul, specificându-se modul de aprobare şi decontare a acestora în cadrul relaţiilor contractuale dintre autoritatea administraţiei publice locale şi</w:t>
      </w:r>
      <w:r w:rsidRPr="00F17C73">
        <w:rPr>
          <w:rFonts w:ascii="Times New Roman" w:hAnsi="Times New Roman" w:cs="Times New Roman"/>
          <w:spacing w:val="-6"/>
        </w:rPr>
        <w:t xml:space="preserve"> </w:t>
      </w:r>
      <w:r w:rsidRPr="00F17C73">
        <w:rPr>
          <w:rFonts w:ascii="Times New Roman" w:hAnsi="Times New Roman" w:cs="Times New Roman"/>
        </w:rPr>
        <w:t>operator.</w:t>
      </w:r>
    </w:p>
    <w:p w:rsidR="00443C66" w:rsidRPr="00F17C73" w:rsidRDefault="00443C66" w:rsidP="00443C66">
      <w:pPr>
        <w:pStyle w:val="BodyText"/>
        <w:jc w:val="both"/>
        <w:rPr>
          <w:rFonts w:ascii="Times New Roman" w:hAnsi="Times New Roman" w:cs="Times New Roman"/>
        </w:rPr>
      </w:pP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b/>
        </w:rPr>
        <w:t xml:space="preserve">Gestionarea si administrarea serviciului </w:t>
      </w:r>
      <w:r w:rsidRPr="00F17C73">
        <w:rPr>
          <w:rFonts w:ascii="Times New Roman" w:hAnsi="Times New Roman" w:cs="Times New Roman"/>
        </w:rPr>
        <w:t>de iluminat public se va executa astfel încât să se realizeze: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verificarea şi supravegherea continuă a funcţionării reţelelor electrice de joasă tensiune, posturilor de transformare, cutiilor de distribuţie şi a corpurilor de</w:t>
      </w:r>
      <w:r w:rsidRPr="00F17C73">
        <w:rPr>
          <w:rFonts w:ascii="Times New Roman" w:hAnsi="Times New Roman" w:cs="Times New Roman"/>
          <w:spacing w:val="-31"/>
        </w:rPr>
        <w:t xml:space="preserve"> </w:t>
      </w:r>
      <w:r w:rsidRPr="00F17C73">
        <w:rPr>
          <w:rFonts w:ascii="Times New Roman" w:hAnsi="Times New Roman" w:cs="Times New Roman"/>
        </w:rPr>
        <w:t>iluminat;</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corectarea şi adaptarea regimului de exploatare la cerinţele</w:t>
      </w:r>
      <w:r w:rsidRPr="00F17C73">
        <w:rPr>
          <w:rFonts w:ascii="Times New Roman" w:hAnsi="Times New Roman" w:cs="Times New Roman"/>
          <w:spacing w:val="-12"/>
        </w:rPr>
        <w:t xml:space="preserve"> </w:t>
      </w:r>
      <w:r w:rsidRPr="00F17C73">
        <w:rPr>
          <w:rFonts w:ascii="Times New Roman" w:hAnsi="Times New Roman" w:cs="Times New Roman"/>
        </w:rPr>
        <w:t>utilizatorului;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controlul calităţii serviciului</w:t>
      </w:r>
      <w:r w:rsidRPr="00F17C73">
        <w:rPr>
          <w:rFonts w:ascii="Times New Roman" w:hAnsi="Times New Roman" w:cs="Times New Roman"/>
          <w:spacing w:val="-3"/>
        </w:rPr>
        <w:t xml:space="preserve"> </w:t>
      </w:r>
      <w:r w:rsidRPr="00F17C73">
        <w:rPr>
          <w:rFonts w:ascii="Times New Roman" w:hAnsi="Times New Roman" w:cs="Times New Roman"/>
        </w:rPr>
        <w:t>asigurat;</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întreţinerea tuturor componentelor sistemului de iluminat</w:t>
      </w:r>
      <w:r w:rsidRPr="00F17C73">
        <w:rPr>
          <w:rFonts w:ascii="Times New Roman" w:hAnsi="Times New Roman" w:cs="Times New Roman"/>
          <w:spacing w:val="-8"/>
        </w:rPr>
        <w:t xml:space="preserve"> </w:t>
      </w:r>
      <w:r w:rsidRPr="00F17C73">
        <w:rPr>
          <w:rFonts w:ascii="Times New Roman" w:hAnsi="Times New Roman" w:cs="Times New Roman"/>
        </w:rPr>
        <w:t>public;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menţinerea în stare de funcţionare la parametrii proiectaţi a sistemului de iluminat</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măsurile necesare pentru prevenirea deteriorării componentelor sistemului de iluminat public;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întocmirea sau reactualizarea, după caz, a documentaţiei tehnice necesare realizării unei exploatări economice şi în condiţii de</w:t>
      </w:r>
      <w:r w:rsidRPr="00F17C73">
        <w:rPr>
          <w:rFonts w:ascii="Times New Roman" w:hAnsi="Times New Roman" w:cs="Times New Roman"/>
          <w:spacing w:val="-10"/>
        </w:rPr>
        <w:t xml:space="preserve"> </w:t>
      </w:r>
      <w:r w:rsidRPr="00F17C73">
        <w:rPr>
          <w:rFonts w:ascii="Times New Roman" w:hAnsi="Times New Roman" w:cs="Times New Roman"/>
        </w:rPr>
        <w:t>siguranţă;</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respectarea instrucţiunilor furnizorilor de echipamente;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funcţionarea instalaţiilor de iluminat, în conformitate cu programele</w:t>
      </w:r>
      <w:r w:rsidRPr="00F17C73">
        <w:rPr>
          <w:rFonts w:ascii="Times New Roman" w:hAnsi="Times New Roman" w:cs="Times New Roman"/>
          <w:spacing w:val="-10"/>
        </w:rPr>
        <w:t xml:space="preserve"> </w:t>
      </w:r>
      <w:r w:rsidRPr="00F17C73">
        <w:rPr>
          <w:rFonts w:ascii="Times New Roman" w:hAnsi="Times New Roman" w:cs="Times New Roman"/>
        </w:rPr>
        <w:t>aprobate;</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respectarea instrucţiunilor/procedurilor interne şi actualizarea</w:t>
      </w:r>
      <w:r w:rsidRPr="00F17C73">
        <w:rPr>
          <w:rFonts w:ascii="Times New Roman" w:hAnsi="Times New Roman" w:cs="Times New Roman"/>
          <w:spacing w:val="-9"/>
        </w:rPr>
        <w:t xml:space="preserve"> </w:t>
      </w:r>
      <w:r w:rsidRPr="00F17C73">
        <w:rPr>
          <w:rFonts w:ascii="Times New Roman" w:hAnsi="Times New Roman" w:cs="Times New Roman"/>
        </w:rPr>
        <w:t>documentaţiei;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respectarea regulamentului de serviciu aprobat de autoritatea administraţiei publice locale, în condiţiile legii;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 xml:space="preserve">funcţionarea pe baza principiilor de eficiență economică, având ca obiectiv reducerea </w:t>
      </w:r>
      <w:r w:rsidRPr="00F17C73">
        <w:rPr>
          <w:rFonts w:ascii="Times New Roman" w:hAnsi="Times New Roman" w:cs="Times New Roman"/>
        </w:rPr>
        <w:lastRenderedPageBreak/>
        <w:t>costurilor specifice pentru realizare a serviciului de iluminat</w:t>
      </w:r>
      <w:r w:rsidRPr="00F17C73">
        <w:rPr>
          <w:rFonts w:ascii="Times New Roman" w:hAnsi="Times New Roman" w:cs="Times New Roman"/>
          <w:spacing w:val="-10"/>
        </w:rPr>
        <w:t xml:space="preserve"> </w:t>
      </w:r>
      <w:r w:rsidRPr="00F17C73">
        <w:rPr>
          <w:rFonts w:ascii="Times New Roman" w:hAnsi="Times New Roman" w:cs="Times New Roman"/>
        </w:rPr>
        <w:t>public;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menţinerea capacităţilor de realizare a serviciului şi exploatarea eficientă a acestora, prin urmărirea sistematică a comportării reţelelor electrice, echipamentelor, întreţinerea acestora, planificarea reparaţiilor capitale, realizarea operativă şi cu costuri minime a reviziilor/reparaţiilor</w:t>
      </w:r>
      <w:r w:rsidRPr="00F17C73">
        <w:rPr>
          <w:rFonts w:ascii="Times New Roman" w:hAnsi="Times New Roman" w:cs="Times New Roman"/>
          <w:spacing w:val="-3"/>
        </w:rPr>
        <w:t xml:space="preserve"> </w:t>
      </w:r>
      <w:r w:rsidRPr="00F17C73">
        <w:rPr>
          <w:rFonts w:ascii="Times New Roman" w:hAnsi="Times New Roman" w:cs="Times New Roman"/>
        </w:rPr>
        <w:t>curente;</w:t>
      </w:r>
    </w:p>
    <w:p w:rsidR="00443C66" w:rsidRPr="00F17C73" w:rsidRDefault="00443C66" w:rsidP="00443C66">
      <w:pPr>
        <w:pStyle w:val="BodyText"/>
        <w:numPr>
          <w:ilvl w:val="0"/>
          <w:numId w:val="14"/>
        </w:numPr>
        <w:jc w:val="both"/>
        <w:rPr>
          <w:rFonts w:ascii="Times New Roman" w:hAnsi="Times New Roman" w:cs="Times New Roman"/>
        </w:rPr>
      </w:pPr>
      <w:r w:rsidRPr="00F17C73">
        <w:rPr>
          <w:rFonts w:ascii="Times New Roman" w:hAnsi="Times New Roman" w:cs="Times New Roman"/>
        </w:rPr>
        <w:t>îndeplinirea indicatorilor de performanță și calitate ai serviciului prestat, specificaţi în regulamentul</w:t>
      </w:r>
      <w:r w:rsidRPr="00F17C73">
        <w:rPr>
          <w:rFonts w:ascii="Times New Roman" w:hAnsi="Times New Roman" w:cs="Times New Roman"/>
          <w:spacing w:val="-1"/>
        </w:rPr>
        <w:t xml:space="preserve"> </w:t>
      </w:r>
      <w:r w:rsidRPr="00F17C73">
        <w:rPr>
          <w:rFonts w:ascii="Times New Roman" w:hAnsi="Times New Roman" w:cs="Times New Roman"/>
        </w:rPr>
        <w:t>serviciului;</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asigurarea, pe toată durata de executare a serviciului, de personal calificat şi în număr suficient pentru îndeplinirea activităţilor ce fac obiectul serviciului de iluminat</w:t>
      </w:r>
      <w:r w:rsidRPr="00F17C73">
        <w:rPr>
          <w:rFonts w:ascii="Times New Roman" w:hAnsi="Times New Roman" w:cs="Times New Roman"/>
          <w:spacing w:val="-22"/>
        </w:rPr>
        <w:t xml:space="preserve"> </w:t>
      </w:r>
      <w:r w:rsidRPr="00F17C73">
        <w:rPr>
          <w:rFonts w:ascii="Times New Roman" w:hAnsi="Times New Roman" w:cs="Times New Roman"/>
        </w:rPr>
        <w:t>public;</w:t>
      </w:r>
    </w:p>
    <w:p w:rsidR="00443C66" w:rsidRPr="00F17C73" w:rsidRDefault="00443C66" w:rsidP="0024309F">
      <w:pPr>
        <w:pStyle w:val="BodyText"/>
        <w:numPr>
          <w:ilvl w:val="0"/>
          <w:numId w:val="14"/>
        </w:numPr>
        <w:jc w:val="both"/>
        <w:rPr>
          <w:rFonts w:ascii="Times New Roman" w:hAnsi="Times New Roman" w:cs="Times New Roman"/>
        </w:rPr>
      </w:pPr>
      <w:r w:rsidRPr="00F17C73">
        <w:rPr>
          <w:rFonts w:ascii="Times New Roman" w:hAnsi="Times New Roman" w:cs="Times New Roman"/>
        </w:rPr>
        <w:t>informarea utilizatorului şi a beneficiarilor despre planificarea anuală a reparaţiilor/reviziilor ce se vor efectua la sistemul de iluminat</w:t>
      </w:r>
      <w:r w:rsidRPr="00F17C73">
        <w:rPr>
          <w:rFonts w:ascii="Times New Roman" w:hAnsi="Times New Roman" w:cs="Times New Roman"/>
          <w:spacing w:val="-8"/>
        </w:rPr>
        <w:t xml:space="preserve"> </w:t>
      </w:r>
      <w:r w:rsidRPr="00F17C73">
        <w:rPr>
          <w:rFonts w:ascii="Times New Roman" w:hAnsi="Times New Roman" w:cs="Times New Roman"/>
        </w:rPr>
        <w:t>public.</w:t>
      </w:r>
    </w:p>
    <w:p w:rsidR="0024309F" w:rsidRPr="00F17C73" w:rsidRDefault="0024309F" w:rsidP="00F17C73">
      <w:pPr>
        <w:pStyle w:val="BodyText"/>
        <w:ind w:left="720"/>
        <w:jc w:val="both"/>
        <w:rPr>
          <w:rFonts w:ascii="Times New Roman" w:hAnsi="Times New Roman" w:cs="Times New Roman"/>
        </w:rPr>
      </w:pPr>
    </w:p>
    <w:p w:rsidR="0024309F" w:rsidRPr="00F17C73" w:rsidRDefault="00443C66" w:rsidP="00443C66">
      <w:pPr>
        <w:pStyle w:val="BodyText"/>
        <w:jc w:val="both"/>
        <w:rPr>
          <w:rFonts w:ascii="Times New Roman" w:hAnsi="Times New Roman" w:cs="Times New Roman"/>
        </w:rPr>
      </w:pPr>
      <w:bookmarkStart w:id="1" w:name="_TOC_250011"/>
      <w:r w:rsidRPr="00F17C73">
        <w:rPr>
          <w:rFonts w:ascii="Times New Roman" w:hAnsi="Times New Roman" w:cs="Times New Roman"/>
        </w:rPr>
        <w:t>Structura actuală a sistemului de iluminat</w:t>
      </w:r>
      <w:r w:rsidRPr="00F17C73">
        <w:rPr>
          <w:rFonts w:ascii="Times New Roman" w:hAnsi="Times New Roman" w:cs="Times New Roman"/>
          <w:spacing w:val="-6"/>
        </w:rPr>
        <w:t xml:space="preserve"> </w:t>
      </w:r>
      <w:bookmarkEnd w:id="1"/>
      <w:proofErr w:type="gramStart"/>
      <w:r w:rsidRPr="00F17C73">
        <w:rPr>
          <w:rFonts w:ascii="Times New Roman" w:hAnsi="Times New Roman" w:cs="Times New Roman"/>
        </w:rPr>
        <w:t>public</w:t>
      </w:r>
      <w:r w:rsidR="0024309F" w:rsidRPr="00F17C73">
        <w:rPr>
          <w:rFonts w:ascii="Times New Roman" w:hAnsi="Times New Roman" w:cs="Times New Roman"/>
        </w:rPr>
        <w:t xml:space="preserve"> </w:t>
      </w:r>
      <w:r w:rsidRPr="00F17C73">
        <w:rPr>
          <w:rFonts w:ascii="Times New Roman" w:hAnsi="Times New Roman" w:cs="Times New Roman"/>
        </w:rPr>
        <w:t xml:space="preserve"> </w:t>
      </w:r>
      <w:r w:rsidR="0024309F" w:rsidRPr="00F17C73">
        <w:rPr>
          <w:rFonts w:ascii="Times New Roman" w:hAnsi="Times New Roman" w:cs="Times New Roman"/>
        </w:rPr>
        <w:t>Comuna</w:t>
      </w:r>
      <w:proofErr w:type="gramEnd"/>
      <w:r w:rsidR="0024309F" w:rsidRPr="00F17C73">
        <w:rPr>
          <w:rFonts w:ascii="Times New Roman" w:hAnsi="Times New Roman" w:cs="Times New Roman"/>
        </w:rPr>
        <w:t xml:space="preserve"> </w:t>
      </w:r>
      <w:r w:rsidR="00811B82">
        <w:rPr>
          <w:rFonts w:ascii="Times New Roman" w:hAnsi="Times New Roman" w:cs="Times New Roman"/>
        </w:rPr>
        <w:t>Lupac</w:t>
      </w:r>
      <w:r w:rsidRPr="00F17C73">
        <w:rPr>
          <w:rFonts w:ascii="Times New Roman" w:hAnsi="Times New Roman" w:cs="Times New Roman"/>
        </w:rPr>
        <w:t xml:space="preserve"> </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Serviciul de iluminat public este constituit </w:t>
      </w:r>
      <w:proofErr w:type="gramStart"/>
      <w:r w:rsidRPr="00F17C73">
        <w:rPr>
          <w:rFonts w:ascii="Times New Roman" w:hAnsi="Times New Roman" w:cs="Times New Roman"/>
        </w:rPr>
        <w:t>din :</w:t>
      </w:r>
      <w:proofErr w:type="gramEnd"/>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infrastructura de transport a energiei electrice necesară furnizării iluminatului</w:t>
      </w:r>
      <w:r w:rsidRPr="00F17C73">
        <w:rPr>
          <w:rFonts w:ascii="Times New Roman" w:hAnsi="Times New Roman" w:cs="Times New Roman"/>
          <w:spacing w:val="-17"/>
        </w:rPr>
        <w:t xml:space="preserve"> </w:t>
      </w:r>
      <w:r w:rsidRPr="00F17C73">
        <w:rPr>
          <w:rFonts w:ascii="Times New Roman" w:hAnsi="Times New Roman" w:cs="Times New Roman"/>
        </w:rPr>
        <w:t>public;</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sistemul de comandă (aprindere şi automatizare) a iluminatului public – proprietatea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 xml:space="preserve">sistemul de iluminat public, aşa cum este definit în Regulamentul Serviciului de iluminat public în conformitate cu Legea nr. 230/2006 si care este proprietate a </w:t>
      </w:r>
      <w:r w:rsidR="00974F08" w:rsidRPr="00F17C73">
        <w:rPr>
          <w:rFonts w:ascii="Times New Roman" w:hAnsi="Times New Roman" w:cs="Times New Roman"/>
        </w:rPr>
        <w:t xml:space="preserve">Comuna </w:t>
      </w:r>
      <w:r w:rsidR="00811B82">
        <w:rPr>
          <w:rFonts w:ascii="Times New Roman" w:hAnsi="Times New Roman" w:cs="Times New Roman"/>
        </w:rPr>
        <w:t>Lupac</w:t>
      </w:r>
      <w:r w:rsidRPr="00F17C73">
        <w:rPr>
          <w:rFonts w:ascii="Times New Roman" w:hAnsi="Times New Roman" w:cs="Times New Roman"/>
        </w:rPr>
        <w:t>;</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elemente de susținere –</w:t>
      </w:r>
      <w:r w:rsidRPr="00F17C73">
        <w:rPr>
          <w:rFonts w:ascii="Times New Roman" w:hAnsi="Times New Roman" w:cs="Times New Roman"/>
          <w:spacing w:val="-3"/>
        </w:rPr>
        <w:t xml:space="preserve"> </w:t>
      </w:r>
      <w:r w:rsidRPr="00F17C73">
        <w:rPr>
          <w:rFonts w:ascii="Times New Roman" w:hAnsi="Times New Roman" w:cs="Times New Roman"/>
        </w:rPr>
        <w:t>stâlpi;</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console;</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rețele de alimentare de tip LEA</w:t>
      </w:r>
      <w:r w:rsidRPr="00F17C73">
        <w:rPr>
          <w:rFonts w:ascii="Times New Roman" w:hAnsi="Times New Roman" w:cs="Times New Roman"/>
          <w:spacing w:val="-7"/>
        </w:rPr>
        <w:t xml:space="preserve"> </w:t>
      </w:r>
      <w:r w:rsidRPr="00F17C73">
        <w:rPr>
          <w:rFonts w:ascii="Times New Roman" w:hAnsi="Times New Roman" w:cs="Times New Roman"/>
        </w:rPr>
        <w:t>/LES;</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aparate de iluminat.</w:t>
      </w:r>
    </w:p>
    <w:p w:rsidR="00443C66" w:rsidRPr="00F17C73" w:rsidRDefault="00443C66" w:rsidP="00443C66">
      <w:pPr>
        <w:pStyle w:val="BodyText"/>
        <w:jc w:val="both"/>
        <w:rPr>
          <w:rFonts w:ascii="Times New Roman" w:hAnsi="Times New Roman" w:cs="Times New Roman"/>
        </w:rPr>
      </w:pPr>
      <w:r w:rsidRPr="00F17C73">
        <w:rPr>
          <w:rFonts w:ascii="Times New Roman" w:hAnsi="Times New Roman" w:cs="Times New Roman"/>
        </w:rPr>
        <w:t>Principalele elemente ce compun sistemul de iluminat public actual sunt următoarele:</w:t>
      </w:r>
    </w:p>
    <w:p w:rsidR="00854115" w:rsidRPr="00F17C73" w:rsidRDefault="00854115" w:rsidP="00443C66">
      <w:pPr>
        <w:pStyle w:val="BodyText"/>
        <w:jc w:val="both"/>
        <w:rPr>
          <w:rFonts w:ascii="Times New Roman" w:hAnsi="Times New Roman" w:cs="Times New Roman"/>
        </w:rPr>
      </w:pPr>
    </w:p>
    <w:p w:rsidR="00854115" w:rsidRDefault="00854115" w:rsidP="00854115">
      <w:pPr>
        <w:pStyle w:val="BodyText"/>
        <w:spacing w:before="1" w:line="256" w:lineRule="auto"/>
        <w:ind w:left="196" w:right="201" w:firstLine="5"/>
      </w:pPr>
      <w:r>
        <w:rPr>
          <w:color w:val="0A0A11"/>
          <w:w w:val="110"/>
        </w:rPr>
        <w:t xml:space="preserve">Lista corpuri de iluminat aflate </w:t>
      </w:r>
      <w:r>
        <w:rPr>
          <w:color w:val="13131A"/>
          <w:w w:val="115"/>
        </w:rPr>
        <w:t xml:space="preserve">aflate </w:t>
      </w:r>
      <w:r>
        <w:rPr>
          <w:color w:val="23232A"/>
          <w:w w:val="115"/>
        </w:rPr>
        <w:t xml:space="preserve">în </w:t>
      </w:r>
      <w:r>
        <w:rPr>
          <w:color w:val="13131A"/>
          <w:w w:val="115"/>
        </w:rPr>
        <w:t xml:space="preserve">proprietatea Autoritatii </w:t>
      </w:r>
      <w:r>
        <w:rPr>
          <w:color w:val="23232A"/>
          <w:w w:val="115"/>
        </w:rPr>
        <w:t xml:space="preserve">locale </w:t>
      </w:r>
      <w:r>
        <w:rPr>
          <w:color w:val="13131A"/>
          <w:w w:val="115"/>
        </w:rPr>
        <w:t xml:space="preserve">si amplasate </w:t>
      </w:r>
      <w:r>
        <w:rPr>
          <w:color w:val="23232A"/>
          <w:w w:val="115"/>
        </w:rPr>
        <w:t xml:space="preserve">în intravilanul </w:t>
      </w:r>
      <w:r>
        <w:rPr>
          <w:color w:val="13131A"/>
          <w:w w:val="115"/>
        </w:rPr>
        <w:t xml:space="preserve">Unitatii Administrativ Teritoriale </w:t>
      </w:r>
      <w:r w:rsidR="00811B82">
        <w:rPr>
          <w:rFonts w:ascii="Times New Roman" w:hAnsi="Times New Roman" w:cs="Times New Roman"/>
          <w:color w:val="23232A"/>
          <w:w w:val="115"/>
        </w:rPr>
        <w:t>LUPAC</w:t>
      </w:r>
      <w:r w:rsidRPr="00CC345C">
        <w:rPr>
          <w:rFonts w:ascii="Times New Roman" w:hAnsi="Times New Roman" w:cs="Times New Roman"/>
          <w:color w:val="23232A"/>
          <w:w w:val="115"/>
        </w:rPr>
        <w:t>,</w:t>
      </w:r>
      <w:r>
        <w:rPr>
          <w:b/>
          <w:color w:val="23232A"/>
          <w:w w:val="115"/>
          <w:sz w:val="19"/>
        </w:rPr>
        <w:t xml:space="preserve"> </w:t>
      </w:r>
      <w:r>
        <w:rPr>
          <w:color w:val="23232A"/>
          <w:w w:val="115"/>
        </w:rPr>
        <w:t xml:space="preserve">jud. </w:t>
      </w:r>
      <w:r w:rsidR="004A0520">
        <w:rPr>
          <w:color w:val="13131A"/>
          <w:w w:val="115"/>
        </w:rPr>
        <w:t>Caras-Severin</w:t>
      </w:r>
    </w:p>
    <w:p w:rsidR="00854115" w:rsidRDefault="00854115" w:rsidP="00854115">
      <w:pPr>
        <w:pStyle w:val="Heading4"/>
        <w:tabs>
          <w:tab w:val="left" w:pos="3559"/>
        </w:tabs>
        <w:rPr>
          <w:rFonts w:ascii="Calibri"/>
        </w:rPr>
      </w:pPr>
      <w:r>
        <w:rPr>
          <w:rFonts w:ascii="Calibri"/>
        </w:rPr>
        <w:tab/>
      </w:r>
    </w:p>
    <w:tbl>
      <w:tblPr>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78"/>
        <w:gridCol w:w="981"/>
        <w:gridCol w:w="1205"/>
        <w:gridCol w:w="2169"/>
      </w:tblGrid>
      <w:tr w:rsidR="00811B82" w:rsidTr="005F0098">
        <w:trPr>
          <w:trHeight w:val="282"/>
        </w:trPr>
        <w:tc>
          <w:tcPr>
            <w:tcW w:w="2878" w:type="dxa"/>
            <w:tcBorders>
              <w:left w:val="single" w:sz="4" w:space="0" w:color="000000"/>
              <w:bottom w:val="single" w:sz="4" w:space="0" w:color="000000"/>
              <w:right w:val="single" w:sz="4" w:space="0" w:color="000000"/>
            </w:tcBorders>
          </w:tcPr>
          <w:p w:rsidR="00811B82" w:rsidRDefault="00811B82" w:rsidP="005F0098">
            <w:pPr>
              <w:pStyle w:val="TableParagraph"/>
              <w:spacing w:before="56" w:line="206" w:lineRule="exact"/>
              <w:ind w:left="686" w:right="648"/>
              <w:rPr>
                <w:rFonts w:ascii="Times New Roman"/>
                <w:sz w:val="24"/>
              </w:rPr>
            </w:pPr>
            <w:r>
              <w:rPr>
                <w:rFonts w:ascii="Times New Roman"/>
                <w:sz w:val="24"/>
              </w:rPr>
              <w:t>LOCALITATE</w:t>
            </w:r>
          </w:p>
        </w:tc>
        <w:tc>
          <w:tcPr>
            <w:tcW w:w="981" w:type="dxa"/>
            <w:tcBorders>
              <w:left w:val="single" w:sz="4" w:space="0" w:color="000000"/>
              <w:bottom w:val="single" w:sz="4" w:space="0" w:color="000000"/>
              <w:right w:val="single" w:sz="4" w:space="0" w:color="000000"/>
            </w:tcBorders>
          </w:tcPr>
          <w:p w:rsidR="00811B82" w:rsidRDefault="00811B82" w:rsidP="005F0098">
            <w:pPr>
              <w:pStyle w:val="TableParagraph"/>
              <w:spacing w:before="66" w:line="197" w:lineRule="exact"/>
              <w:ind w:left="186" w:right="122"/>
              <w:rPr>
                <w:rFonts w:ascii="Times New Roman"/>
                <w:sz w:val="23"/>
              </w:rPr>
            </w:pPr>
            <w:r>
              <w:rPr>
                <w:rFonts w:ascii="Times New Roman"/>
                <w:w w:val="105"/>
                <w:sz w:val="23"/>
              </w:rPr>
              <w:t>KM</w:t>
            </w:r>
          </w:p>
        </w:tc>
        <w:tc>
          <w:tcPr>
            <w:tcW w:w="1205" w:type="dxa"/>
            <w:tcBorders>
              <w:left w:val="single" w:sz="4" w:space="0" w:color="000000"/>
              <w:bottom w:val="single" w:sz="4" w:space="0" w:color="000000"/>
              <w:right w:val="single" w:sz="4" w:space="0" w:color="000000"/>
            </w:tcBorders>
          </w:tcPr>
          <w:p w:rsidR="00811B82" w:rsidRDefault="00811B82" w:rsidP="005F0098">
            <w:pPr>
              <w:pStyle w:val="TableParagraph"/>
              <w:spacing w:before="102" w:line="160" w:lineRule="exact"/>
              <w:ind w:left="126" w:right="53"/>
              <w:rPr>
                <w:sz w:val="19"/>
              </w:rPr>
            </w:pPr>
            <w:r>
              <w:rPr>
                <w:sz w:val="19"/>
              </w:rPr>
              <w:t>Nr. corpuri iluminat</w:t>
            </w:r>
          </w:p>
        </w:tc>
        <w:tc>
          <w:tcPr>
            <w:tcW w:w="2169" w:type="dxa"/>
            <w:tcBorders>
              <w:top w:val="single" w:sz="4" w:space="0" w:color="000000"/>
              <w:left w:val="single" w:sz="4" w:space="0" w:color="000000"/>
              <w:bottom w:val="single" w:sz="4" w:space="0" w:color="000000"/>
              <w:right w:val="single" w:sz="4" w:space="0" w:color="000000"/>
            </w:tcBorders>
          </w:tcPr>
          <w:p w:rsidR="00811B82" w:rsidRDefault="00811B82" w:rsidP="005F0098">
            <w:pPr>
              <w:pStyle w:val="TableParagraph"/>
              <w:spacing w:before="117" w:line="146" w:lineRule="exact"/>
              <w:ind w:left="666" w:right="591"/>
              <w:rPr>
                <w:sz w:val="19"/>
              </w:rPr>
            </w:pPr>
            <w:r>
              <w:rPr>
                <w:w w:val="105"/>
                <w:sz w:val="19"/>
              </w:rPr>
              <w:t>Nr. puncte aprindere</w:t>
            </w:r>
          </w:p>
        </w:tc>
      </w:tr>
      <w:tr w:rsidR="0010098C" w:rsidTr="005F0098">
        <w:trPr>
          <w:trHeight w:val="365"/>
        </w:trPr>
        <w:tc>
          <w:tcPr>
            <w:tcW w:w="2878"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119"/>
              <w:ind w:left="686" w:right="628"/>
              <w:rPr>
                <w:sz w:val="19"/>
              </w:rPr>
            </w:pPr>
            <w:r>
              <w:rPr>
                <w:sz w:val="19"/>
              </w:rPr>
              <w:t>LUPAC</w:t>
            </w:r>
          </w:p>
        </w:tc>
        <w:tc>
          <w:tcPr>
            <w:tcW w:w="981"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119"/>
              <w:ind w:left="186" w:right="124"/>
              <w:rPr>
                <w:sz w:val="19"/>
              </w:rPr>
            </w:pPr>
            <w:r>
              <w:rPr>
                <w:sz w:val="19"/>
              </w:rPr>
              <w:t>5,2</w:t>
            </w:r>
          </w:p>
        </w:tc>
        <w:tc>
          <w:tcPr>
            <w:tcW w:w="1205"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112"/>
              <w:ind w:left="126" w:right="56"/>
              <w:rPr>
                <w:sz w:val="19"/>
              </w:rPr>
            </w:pPr>
            <w:r>
              <w:rPr>
                <w:w w:val="105"/>
                <w:sz w:val="19"/>
              </w:rPr>
              <w:t>Aorox. 78</w:t>
            </w:r>
          </w:p>
        </w:tc>
        <w:tc>
          <w:tcPr>
            <w:tcW w:w="2169"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127" w:line="218" w:lineRule="exact"/>
              <w:ind w:left="96"/>
              <w:rPr>
                <w:sz w:val="19"/>
              </w:rPr>
            </w:pPr>
            <w:r>
              <w:rPr>
                <w:w w:val="110"/>
                <w:sz w:val="19"/>
              </w:rPr>
              <w:t>2</w:t>
            </w:r>
          </w:p>
        </w:tc>
      </w:tr>
      <w:tr w:rsidR="0010098C" w:rsidTr="005F0098">
        <w:trPr>
          <w:trHeight w:val="285"/>
        </w:trPr>
        <w:tc>
          <w:tcPr>
            <w:tcW w:w="2878"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0"/>
              <w:ind w:left="686" w:right="629"/>
              <w:rPr>
                <w:sz w:val="19"/>
              </w:rPr>
            </w:pPr>
            <w:r>
              <w:rPr>
                <w:sz w:val="19"/>
              </w:rPr>
              <w:t>RAFNIC</w:t>
            </w:r>
          </w:p>
        </w:tc>
        <w:tc>
          <w:tcPr>
            <w:tcW w:w="981"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0"/>
              <w:ind w:left="183" w:right="134"/>
              <w:rPr>
                <w:sz w:val="19"/>
              </w:rPr>
            </w:pPr>
            <w:r>
              <w:rPr>
                <w:w w:val="105"/>
                <w:sz w:val="19"/>
              </w:rPr>
              <w:t>2,5</w:t>
            </w:r>
          </w:p>
        </w:tc>
        <w:tc>
          <w:tcPr>
            <w:tcW w:w="1205"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33"/>
              <w:ind w:left="126" w:right="54"/>
              <w:rPr>
                <w:sz w:val="19"/>
              </w:rPr>
            </w:pPr>
            <w:r>
              <w:rPr>
                <w:w w:val="105"/>
                <w:sz w:val="19"/>
              </w:rPr>
              <w:t>Anrox. 35</w:t>
            </w:r>
          </w:p>
        </w:tc>
        <w:tc>
          <w:tcPr>
            <w:tcW w:w="2169"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7" w:line="218" w:lineRule="exact"/>
              <w:ind w:left="91"/>
              <w:rPr>
                <w:sz w:val="19"/>
              </w:rPr>
            </w:pPr>
            <w:r>
              <w:rPr>
                <w:w w:val="106"/>
                <w:sz w:val="19"/>
              </w:rPr>
              <w:t>1</w:t>
            </w:r>
          </w:p>
        </w:tc>
      </w:tr>
      <w:tr w:rsidR="0010098C" w:rsidTr="005F0098">
        <w:trPr>
          <w:trHeight w:val="300"/>
        </w:trPr>
        <w:tc>
          <w:tcPr>
            <w:tcW w:w="2878"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0"/>
              <w:ind w:left="686" w:right="634"/>
              <w:rPr>
                <w:sz w:val="19"/>
              </w:rPr>
            </w:pPr>
            <w:r>
              <w:rPr>
                <w:sz w:val="19"/>
              </w:rPr>
              <w:t>VODNIC</w:t>
            </w:r>
          </w:p>
        </w:tc>
        <w:tc>
          <w:tcPr>
            <w:tcW w:w="981"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0"/>
              <w:ind w:left="186" w:right="126"/>
              <w:rPr>
                <w:sz w:val="19"/>
              </w:rPr>
            </w:pPr>
            <w:r>
              <w:rPr>
                <w:w w:val="105"/>
                <w:sz w:val="19"/>
              </w:rPr>
              <w:t>1,9</w:t>
            </w:r>
          </w:p>
        </w:tc>
        <w:tc>
          <w:tcPr>
            <w:tcW w:w="1205"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33"/>
              <w:ind w:left="126" w:right="63"/>
              <w:rPr>
                <w:sz w:val="19"/>
              </w:rPr>
            </w:pPr>
            <w:r>
              <w:rPr>
                <w:sz w:val="19"/>
              </w:rPr>
              <w:t>Anrox. 25</w:t>
            </w:r>
          </w:p>
        </w:tc>
        <w:tc>
          <w:tcPr>
            <w:tcW w:w="2169"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7"/>
              <w:ind w:left="86"/>
              <w:rPr>
                <w:sz w:val="19"/>
              </w:rPr>
            </w:pPr>
            <w:r>
              <w:rPr>
                <w:w w:val="102"/>
                <w:sz w:val="19"/>
              </w:rPr>
              <w:t>1</w:t>
            </w:r>
          </w:p>
        </w:tc>
      </w:tr>
      <w:tr w:rsidR="0010098C" w:rsidTr="005F0098">
        <w:trPr>
          <w:trHeight w:val="213"/>
        </w:trPr>
        <w:tc>
          <w:tcPr>
            <w:tcW w:w="2878"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33" w:line="160" w:lineRule="exact"/>
              <w:ind w:left="686" w:right="636"/>
              <w:rPr>
                <w:sz w:val="19"/>
              </w:rPr>
            </w:pPr>
            <w:r>
              <w:rPr>
                <w:sz w:val="19"/>
              </w:rPr>
              <w:t>CLOCOTICI</w:t>
            </w:r>
          </w:p>
        </w:tc>
        <w:tc>
          <w:tcPr>
            <w:tcW w:w="981"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33" w:line="160" w:lineRule="exact"/>
              <w:ind w:left="186" w:right="134"/>
              <w:rPr>
                <w:sz w:val="19"/>
              </w:rPr>
            </w:pPr>
            <w:r>
              <w:rPr>
                <w:w w:val="105"/>
                <w:sz w:val="19"/>
              </w:rPr>
              <w:t>5,5</w:t>
            </w:r>
          </w:p>
        </w:tc>
        <w:tc>
          <w:tcPr>
            <w:tcW w:w="1205"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26" w:line="168" w:lineRule="exact"/>
              <w:ind w:left="126" w:right="63"/>
              <w:rPr>
                <w:sz w:val="19"/>
              </w:rPr>
            </w:pPr>
            <w:r>
              <w:rPr>
                <w:w w:val="105"/>
                <w:sz w:val="19"/>
              </w:rPr>
              <w:t>Anrox. 77</w:t>
            </w:r>
          </w:p>
        </w:tc>
        <w:tc>
          <w:tcPr>
            <w:tcW w:w="2169" w:type="dxa"/>
            <w:tcBorders>
              <w:top w:val="single" w:sz="4" w:space="0" w:color="000000"/>
              <w:left w:val="single" w:sz="4" w:space="0" w:color="000000"/>
              <w:bottom w:val="single" w:sz="4" w:space="0" w:color="000000"/>
              <w:right w:val="single" w:sz="4" w:space="0" w:color="000000"/>
            </w:tcBorders>
          </w:tcPr>
          <w:p w:rsidR="0010098C" w:rsidRDefault="0010098C" w:rsidP="0010098C">
            <w:pPr>
              <w:pStyle w:val="TableParagraph"/>
              <w:spacing w:before="40" w:line="153" w:lineRule="exact"/>
              <w:ind w:left="87"/>
              <w:rPr>
                <w:sz w:val="19"/>
              </w:rPr>
            </w:pPr>
            <w:r>
              <w:rPr>
                <w:w w:val="106"/>
                <w:sz w:val="19"/>
              </w:rPr>
              <w:t>1</w:t>
            </w:r>
          </w:p>
        </w:tc>
      </w:tr>
    </w:tbl>
    <w:p w:rsidR="00443C66" w:rsidRPr="00443C66" w:rsidRDefault="00443C66" w:rsidP="00443C66">
      <w:pPr>
        <w:pStyle w:val="BodyText"/>
        <w:jc w:val="both"/>
      </w:pPr>
    </w:p>
    <w:p w:rsidR="00443C66" w:rsidRPr="00443C66" w:rsidRDefault="00443C66" w:rsidP="00443C66">
      <w:pPr>
        <w:pStyle w:val="BodyText"/>
        <w:jc w:val="both"/>
      </w:pPr>
    </w:p>
    <w:p w:rsidR="00443C66" w:rsidRPr="00443C66" w:rsidRDefault="00443C66" w:rsidP="00443C66">
      <w:pPr>
        <w:pStyle w:val="BodyText"/>
        <w:jc w:val="both"/>
      </w:pPr>
    </w:p>
    <w:p w:rsidR="00443C66" w:rsidRPr="00443C66" w:rsidRDefault="00443C66" w:rsidP="00443C66">
      <w:pPr>
        <w:pStyle w:val="BodyText"/>
        <w:jc w:val="both"/>
      </w:pPr>
      <w:r w:rsidRPr="00443C66">
        <w:t xml:space="preserve">În prezent contractele cu cei doi foști operatori ai sistemului de iluminat public sunt încheiate. </w:t>
      </w:r>
      <w:r w:rsidR="009439C3">
        <w:t>UAT</w:t>
      </w:r>
      <w:r w:rsidRPr="00443C66">
        <w:t xml:space="preserve"> are contractate doar lucrările de menținere / întreținere a sistemului de iluminat public existent.</w:t>
      </w:r>
    </w:p>
    <w:p w:rsidR="00443C66" w:rsidRPr="00443C66" w:rsidRDefault="00443C66" w:rsidP="00443C66">
      <w:pPr>
        <w:pStyle w:val="BodyText"/>
        <w:jc w:val="both"/>
        <w:rPr>
          <w:b/>
        </w:rPr>
      </w:pPr>
    </w:p>
    <w:p w:rsidR="00443C66" w:rsidRPr="00443C66" w:rsidRDefault="00443C66" w:rsidP="00443C66">
      <w:pPr>
        <w:pStyle w:val="BodyText"/>
        <w:jc w:val="both"/>
      </w:pPr>
      <w:r w:rsidRPr="00443C66">
        <w:t xml:space="preserve">Aria teritorială de desfășurare a serviciului de iluminat </w:t>
      </w:r>
      <w:proofErr w:type="gramStart"/>
      <w:r w:rsidRPr="00443C66">
        <w:t>public</w:t>
      </w:r>
      <w:r w:rsidR="0024309F">
        <w:t xml:space="preserve">  comuna</w:t>
      </w:r>
      <w:proofErr w:type="gramEnd"/>
      <w:r w:rsidR="0024309F">
        <w:t xml:space="preserve"> </w:t>
      </w:r>
      <w:r w:rsidR="00811B82">
        <w:t>Lupac</w:t>
      </w:r>
      <w:r w:rsidR="0024309F">
        <w:t xml:space="preserve"> si satele apartinatoare. </w:t>
      </w:r>
    </w:p>
    <w:p w:rsidR="00443C66" w:rsidRPr="00443C66" w:rsidRDefault="00443C66" w:rsidP="00443C66">
      <w:pPr>
        <w:pStyle w:val="BodyText"/>
        <w:jc w:val="both"/>
      </w:pPr>
    </w:p>
    <w:p w:rsidR="00443C66" w:rsidRPr="00443C66" w:rsidRDefault="00443C66" w:rsidP="00443C66">
      <w:pPr>
        <w:pStyle w:val="BodyText"/>
        <w:jc w:val="both"/>
      </w:pPr>
      <w:r w:rsidRPr="00443C66">
        <w:t>Aspecte generale privind gestiunea serviciului de iluminat public</w:t>
      </w:r>
    </w:p>
    <w:p w:rsidR="00443C66" w:rsidRPr="00443C66" w:rsidRDefault="00443C66" w:rsidP="00443C66">
      <w:pPr>
        <w:pStyle w:val="BodyText"/>
        <w:jc w:val="both"/>
      </w:pPr>
      <w:r w:rsidRPr="00443C66">
        <w:rPr>
          <w:noProof/>
          <w:lang w:val="ro-RO" w:eastAsia="ro-RO"/>
        </w:rPr>
        <w:drawing>
          <wp:anchor distT="0" distB="0" distL="0" distR="0" simplePos="0" relativeHeight="251671552" behindDoc="0" locked="0" layoutInCell="1" allowOverlap="1" wp14:anchorId="3E3E24CF" wp14:editId="7116E852">
            <wp:simplePos x="0" y="0"/>
            <wp:positionH relativeFrom="page">
              <wp:posOffset>548640</wp:posOffset>
            </wp:positionH>
            <wp:positionV relativeFrom="paragraph">
              <wp:posOffset>2211524</wp:posOffset>
            </wp:positionV>
            <wp:extent cx="484631" cy="2375916"/>
            <wp:effectExtent l="0" t="0" r="0" b="0"/>
            <wp:wrapNone/>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7" cstate="print"/>
                    <a:stretch>
                      <a:fillRect/>
                    </a:stretch>
                  </pic:blipFill>
                  <pic:spPr>
                    <a:xfrm>
                      <a:off x="0" y="0"/>
                      <a:ext cx="484631" cy="2375916"/>
                    </a:xfrm>
                    <a:prstGeom prst="rect">
                      <a:avLst/>
                    </a:prstGeom>
                  </pic:spPr>
                </pic:pic>
              </a:graphicData>
            </a:graphic>
          </wp:anchor>
        </w:drawing>
      </w:r>
      <w:r w:rsidRPr="00443C66">
        <w:t xml:space="preserve">Legea nr. 230/2006 stabilește la art. 18 alin. (1) modalitatea în care autoritatea publică locală competentă poate realiza gestiunea serviciului de iluminat public, indicând punctual liniile </w:t>
      </w:r>
      <w:r w:rsidRPr="00443C66">
        <w:lastRenderedPageBreak/>
        <w:t xml:space="preserve">directoare de către trebuie să se țină cont în acțiunile desfășurare în acest domeniu: </w:t>
      </w:r>
      <w:r w:rsidRPr="00443C66">
        <w:rPr>
          <w:i/>
        </w:rPr>
        <w:t xml:space="preserve">“a) mărimea, gradul de dezvoltare și particularitățile economico-sociale ale localităților; b) starea sistemului de iluminat public existent; c) posibilitățile locale de finanțare a exploatării, întreținerii și dezvoltării serviciului și a structurii tehnico-edilitare aferente”. </w:t>
      </w:r>
      <w:r w:rsidRPr="00443C66">
        <w:t>Pe baza informațiilor rezultate în conformitate cu elementele enunțate anterior autoritatea publică locală va elabora indicatorii de performanță care trebuie îndepliniți de serviciul de iluminat public, stabilindu-i prin hotărâre de consiliu local, cu respectarea prevederilor regulamentului-cadrul al serviciului (Anexă la Ordinul nr. 86/2006 al ANRSC). În art. 7 alin. (2) din Legea nr. 230/2006 se menționează expres faptul că indicatorii de performanță care vor influența evaluarea și opțiunea gestiunii serviciului trebuie să se supună cu prioritare necesităților reale ale comunităților locale, să țină cont de starea tehnică precum și de eficiența sistemului de iluminat public existent. Propunerea și adoptarea acestor parametrii de evaluare a serviciului de iluminat public trebuie conform legii să se realizeze în urma unor consultări și dezbateri publice (art. 18 alin. 2 din Legea nr.</w:t>
      </w:r>
      <w:r w:rsidRPr="00443C66">
        <w:rPr>
          <w:spacing w:val="-20"/>
        </w:rPr>
        <w:t xml:space="preserve"> </w:t>
      </w:r>
      <w:r w:rsidRPr="00443C66">
        <w:t>230/2006).</w:t>
      </w:r>
    </w:p>
    <w:p w:rsidR="00443C66" w:rsidRPr="00443C66" w:rsidRDefault="00443C66" w:rsidP="00443C66">
      <w:pPr>
        <w:pStyle w:val="BodyText"/>
        <w:jc w:val="both"/>
      </w:pPr>
      <w:r w:rsidRPr="00443C66">
        <w:t>O evaluare corectă a modalității de gestiune a serviciului de iluminat public se supune astfel cum am subliniat anterior atât legii – care stabilește criterii generale de evaluare – însă mai ales regulamentului propriu local al servicului și eventual caietului de sarcini aferent. Prevederile care trebuie avute în vedere trebuie să cuprindă informații reale privitoare la</w:t>
      </w:r>
    </w:p>
    <w:p w:rsidR="00443C66" w:rsidRPr="00443C66" w:rsidRDefault="00443C66" w:rsidP="00443C66">
      <w:pPr>
        <w:pStyle w:val="BodyText"/>
        <w:jc w:val="both"/>
      </w:pPr>
      <w:bookmarkStart w:id="2" w:name="_TOC_250005"/>
      <w:r w:rsidRPr="00443C66">
        <w:t>Gestiunea</w:t>
      </w:r>
      <w:r w:rsidRPr="00443C66">
        <w:rPr>
          <w:spacing w:val="-1"/>
        </w:rPr>
        <w:t xml:space="preserve"> </w:t>
      </w:r>
      <w:bookmarkEnd w:id="2"/>
      <w:r w:rsidRPr="00443C66">
        <w:t>directă</w:t>
      </w:r>
    </w:p>
    <w:p w:rsidR="00443C66" w:rsidRPr="00443C66" w:rsidRDefault="00443C66" w:rsidP="00443C66">
      <w:pPr>
        <w:pStyle w:val="BodyText"/>
        <w:jc w:val="both"/>
        <w:rPr>
          <w:i/>
        </w:rPr>
      </w:pPr>
      <w:r w:rsidRPr="00443C66">
        <w:t xml:space="preserve">Legea nr. 230/2006 oferă autorității publice locale posibilitatea ca pe baza unei evaluări realizate conform celor menționate anterior să opteze pentru gestiunea directă serviciului de iluminat public sau pentru gestiunea delegată a acestui serviciu. Conform prevederilor art. 19 din actul normativ indicat, în cazul gesiunii directe </w:t>
      </w:r>
      <w:r w:rsidRPr="00443C66">
        <w:rPr>
          <w:i/>
        </w:rPr>
        <w:t>“autorităţile administraţiei publice locale sau asociaţiile de dezvoltare comunitară, după caz, îşi asumă nemijlocit toate sarcinile şi responsabilităţile cu privire la înfiinţarea, organizarea, finanţarea, coordonarea, administrarea, gestionarea, exploatarea şi asigurarea funcţionării serviciului de iluminat public”.</w:t>
      </w:r>
    </w:p>
    <w:p w:rsidR="00443C66" w:rsidRPr="00443C66" w:rsidRDefault="00443C66" w:rsidP="00443C66">
      <w:pPr>
        <w:pStyle w:val="BodyText"/>
        <w:jc w:val="both"/>
      </w:pPr>
      <w:r w:rsidRPr="00443C66">
        <w:t>Gestiunea directă presupune totodată utilizarea unor operatori definiți și licențiați în conformitate cu dispozițiile Legii nr. 51/2006. În cazul acestei modalități de gestiune a serviciului autoritatea publică locală emite o hotărâre de dare în administrare a infrastructurii tehnico- edilitare, pe baza licenței eliberată de către A.N.R.S.C.</w:t>
      </w:r>
    </w:p>
    <w:p w:rsidR="00443C66" w:rsidRPr="00443C66" w:rsidRDefault="00443C66" w:rsidP="00443C66">
      <w:pPr>
        <w:pStyle w:val="BodyText"/>
        <w:jc w:val="both"/>
      </w:pPr>
      <w:r w:rsidRPr="00443C66">
        <w:t>Legea nr. 230/2006 menționează așadar faptul că în cadrul acestei modalități de gestiune autoritatea publică locală emite doar un mandat de administrare către operatori specializați și acreditați a serviciului, astfel încât atribuțiile privitoare la finanțare, coordonare, administrare, exploatare și mentenanță revin acesteia. Opțiunea manifestată de către autoritatea  publică locală pentru gestiunea directă poate fi argumentată doar atunci când din evaluarea dimensiunii sistemului, a gradului de dezvoltare a acestuia, a particularităților economico-sociale ale localităților și implicit a posibilității autorității de finanțare ar rezulta un raport care să respecte în integralitate principiile de funcționare ale serviciului stabilite prin art. 9 și 10 din Regulamentul- cadru din 20 martie 2007 al serviciului de iluminat public, Anexă a Ordinului nr. 86/2007 emis de</w:t>
      </w:r>
      <w:r w:rsidRPr="00443C66">
        <w:rPr>
          <w:spacing w:val="-5"/>
        </w:rPr>
        <w:t xml:space="preserve"> </w:t>
      </w:r>
      <w:r w:rsidRPr="00443C66">
        <w:t>A.N.R.S.C.</w:t>
      </w:r>
    </w:p>
    <w:p w:rsidR="00443C66" w:rsidRPr="00443C66" w:rsidRDefault="00443C66" w:rsidP="00443C66">
      <w:pPr>
        <w:pStyle w:val="BodyText"/>
        <w:jc w:val="both"/>
      </w:pPr>
      <w:r w:rsidRPr="00443C66">
        <w:t xml:space="preserve">Legea nr. 51/2006 privind serviciile comunitare de utilități publice menționează în art. 28 </w:t>
      </w:r>
      <w:proofErr w:type="gramStart"/>
      <w:r w:rsidRPr="00443C66">
        <w:t>alin.(</w:t>
      </w:r>
      <w:proofErr w:type="gramEnd"/>
      <w:r w:rsidRPr="00443C66">
        <w:t>2) faptul că pentru realizarea gestiunii directe este necesar ca la nivelul autorității administrației publice locale să poată exista structuri proprii care să desășoare activitatea aferentă. Aceste structuri pot fi:</w:t>
      </w:r>
    </w:p>
    <w:p w:rsidR="00443C66" w:rsidRPr="00443C66" w:rsidRDefault="00443C66" w:rsidP="00443C66">
      <w:pPr>
        <w:pStyle w:val="BodyText"/>
        <w:jc w:val="both"/>
      </w:pPr>
      <w:r w:rsidRPr="00443C66">
        <w:rPr>
          <w:noProof/>
          <w:lang w:val="ro-RO" w:eastAsia="ro-RO"/>
        </w:rPr>
        <mc:AlternateContent>
          <mc:Choice Requires="wps">
            <w:drawing>
              <wp:anchor distT="0" distB="0" distL="114300" distR="114300" simplePos="0" relativeHeight="251672576" behindDoc="0" locked="0" layoutInCell="1" allowOverlap="1" wp14:anchorId="16DB8ACD" wp14:editId="7F689B6F">
                <wp:simplePos x="0" y="0"/>
                <wp:positionH relativeFrom="page">
                  <wp:posOffset>723265</wp:posOffset>
                </wp:positionH>
                <wp:positionV relativeFrom="paragraph">
                  <wp:posOffset>319405</wp:posOffset>
                </wp:positionV>
                <wp:extent cx="127635" cy="18034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C66" w:rsidRDefault="00443C66" w:rsidP="00443C66">
                            <w:pPr>
                              <w:spacing w:line="184" w:lineRule="exact"/>
                              <w:ind w:left="20"/>
                              <w:rPr>
                                <w:sz w:val="16"/>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B8ACD" id="Text Box 24" o:spid="_x0000_s1029" type="#_x0000_t202" style="position:absolute;left:0;text-align:left;margin-left:56.95pt;margin-top:25.15pt;width:10.05pt;height:14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" filled="f" stroked="f">
                <v:textbox style="layout-flow:vertical;mso-layout-flow-alt:bottom-to-top" inset="0,0,0,0">
                  <w:txbxContent>
                    <w:p w:rsidR="00443C66" w:rsidRDefault="00443C66" w:rsidP="00443C66">
                      <w:pPr>
                        <w:spacing w:line="184" w:lineRule="exact"/>
                        <w:ind w:left="20"/>
                        <w:rPr>
                          <w:sz w:val="16"/>
                        </w:rPr>
                      </w:pPr>
                    </w:p>
                  </w:txbxContent>
                </v:textbox>
                <w10:wrap anchorx="page"/>
              </v:shape>
            </w:pict>
          </mc:Fallback>
        </mc:AlternateContent>
      </w:r>
      <w:r w:rsidRPr="00443C66">
        <w:t>compartimente de specialitate, fără personalitate juridică, organizate în cadrul aparatului propriu al consiliului local ori judeţean al unităţii</w:t>
      </w:r>
      <w:r w:rsidRPr="00443C66">
        <w:rPr>
          <w:spacing w:val="-7"/>
        </w:rPr>
        <w:t xml:space="preserve"> </w:t>
      </w:r>
      <w:r w:rsidRPr="00443C66">
        <w:t>administrativ-teritoriale;</w:t>
      </w:r>
    </w:p>
    <w:p w:rsidR="00443C66" w:rsidRPr="00443C66" w:rsidRDefault="00443C66" w:rsidP="00443C66">
      <w:pPr>
        <w:pStyle w:val="BodyText"/>
        <w:jc w:val="both"/>
      </w:pPr>
      <w:r w:rsidRPr="00443C66">
        <w:lastRenderedPageBreak/>
        <w:t xml:space="preserve">servicii publice sau direcţii de specialitate, </w:t>
      </w:r>
      <w:r w:rsidR="0024309F">
        <w:t>cu</w:t>
      </w:r>
      <w:r w:rsidRPr="00443C66">
        <w:t xml:space="preserve"> personalitate juridică, organizate în cadrul aparatului propriu al consiliului local ori judeţean al unităţii administrativ-teritoriale, având autonomie financiară şi</w:t>
      </w:r>
      <w:r w:rsidRPr="00443C66">
        <w:rPr>
          <w:spacing w:val="-5"/>
        </w:rPr>
        <w:t xml:space="preserve"> </w:t>
      </w:r>
      <w:r w:rsidRPr="00443C66">
        <w:t>funcţională;</w:t>
      </w:r>
    </w:p>
    <w:p w:rsidR="00AE7906" w:rsidRDefault="00443C66" w:rsidP="00AE7906">
      <w:pPr>
        <w:pStyle w:val="BodyText"/>
        <w:jc w:val="both"/>
      </w:pPr>
      <w:r w:rsidRPr="00443C66">
        <w:t xml:space="preserve">Conform art. 22 alin. (5) din Legea nr. 230/2006 autoritatea publică locală are competența exclusivă de a impune în acord cu legea toate exigențele necesare pentru realizarea în bune condiții a delegării. Astfel legea nu limitează accesul la procedura de selecție a delegării, fiind permisă participarea oricăror operatori, inclusiv a celor nou-înființați, cu respectarea însă a condițiilor impuse de către autoritatea publică locală. În virtutea atribuțiilor de reprezentare ale administrației publice locale, așa cum reies din cuprinsul Legii nr. 215/2001, aceasta va impune exigențele necesare privitoare la asigurarea existenţei garanţiilor profesionale şi financiare ale operatorului, precum şi modalitatea de respectare a indicatorilor de performanţă. Prin </w:t>
      </w:r>
      <w:proofErr w:type="gramStart"/>
      <w:r w:rsidRPr="00443C66">
        <w:t xml:space="preserve">cuprinsul </w:t>
      </w:r>
      <w:r w:rsidR="00AD6288">
        <w:t xml:space="preserve"> Regulamentului</w:t>
      </w:r>
      <w:proofErr w:type="gramEnd"/>
      <w:r w:rsidR="00AD6288">
        <w:t xml:space="preserve"> si a Caietului de sarcini</w:t>
      </w:r>
      <w:r w:rsidR="00D92DC9">
        <w:t>,</w:t>
      </w:r>
      <w:r w:rsidRPr="00443C66">
        <w:t xml:space="preserve"> autoritatea publică locală poate</w:t>
      </w:r>
      <w:r w:rsidR="00AE7906" w:rsidRPr="00AE7906">
        <w:t xml:space="preserve"> </w:t>
      </w:r>
      <w:r w:rsidR="00AE7906" w:rsidRPr="00443C66">
        <w:t xml:space="preserve">impune prevederi și cu privire </w:t>
      </w:r>
      <w:r w:rsidR="00D92DC9">
        <w:t>indicatorii de performanţă privind prestarea serviciului.</w:t>
      </w:r>
    </w:p>
    <w:p w:rsidR="00AD6288" w:rsidRDefault="00AD6288" w:rsidP="00AE7906">
      <w:pPr>
        <w:pStyle w:val="BodyText"/>
        <w:jc w:val="both"/>
        <w:rPr>
          <w:b/>
        </w:rPr>
      </w:pPr>
    </w:p>
    <w:p w:rsidR="00AE7906" w:rsidRPr="00C759E4" w:rsidRDefault="00AE7906" w:rsidP="00AE7906">
      <w:pPr>
        <w:pStyle w:val="BodyText"/>
        <w:jc w:val="both"/>
        <w:rPr>
          <w:b/>
        </w:rPr>
      </w:pPr>
      <w:r w:rsidRPr="00C759E4">
        <w:rPr>
          <w:b/>
        </w:rPr>
        <w:t>Concluzii si recomandari</w:t>
      </w:r>
    </w:p>
    <w:p w:rsidR="00AE7906" w:rsidRDefault="00AE7906" w:rsidP="00AE7906">
      <w:pPr>
        <w:pStyle w:val="BodyText"/>
        <w:jc w:val="both"/>
      </w:pPr>
    </w:p>
    <w:p w:rsidR="00AE7906" w:rsidRDefault="00AE7906" w:rsidP="00AE7906">
      <w:pPr>
        <w:pStyle w:val="BodyText"/>
        <w:jc w:val="both"/>
      </w:pPr>
      <w:r w:rsidRPr="00443C66">
        <w:rPr>
          <w:b/>
        </w:rPr>
        <w:t xml:space="preserve">Motivele prezentate recomandă ca fiind oportună </w:t>
      </w:r>
      <w:r>
        <w:rPr>
          <w:b/>
        </w:rPr>
        <w:t>gestiunea directa</w:t>
      </w:r>
      <w:r w:rsidRPr="00443C66">
        <w:rPr>
          <w:b/>
        </w:rPr>
        <w:t xml:space="preserve"> sistemului de iluminat public</w:t>
      </w:r>
      <w:r>
        <w:rPr>
          <w:b/>
        </w:rPr>
        <w:t>.</w:t>
      </w:r>
      <w:r w:rsidRPr="00443C66">
        <w:rPr>
          <w:b/>
        </w:rPr>
        <w:t xml:space="preserve"> </w:t>
      </w:r>
      <w:r>
        <w:rPr>
          <w:b/>
        </w:rPr>
        <w:t>A</w:t>
      </w:r>
      <w:r w:rsidRPr="00443C66">
        <w:t xml:space="preserve">vantaje al gestiunii directe în raport cu gestiunea delegată, recomandă în prima faza adoptarea </w:t>
      </w:r>
      <w:r>
        <w:t>primei</w:t>
      </w:r>
      <w:r w:rsidRPr="00443C66">
        <w:t xml:space="preserve"> variante. Posibilitatea extinsă de exploatare a serviciului, finalitatea </w:t>
      </w:r>
      <w:proofErr w:type="gramStart"/>
      <w:r w:rsidRPr="00443C66">
        <w:t>și  ritmul</w:t>
      </w:r>
      <w:proofErr w:type="gramEnd"/>
      <w:r w:rsidRPr="00443C66">
        <w:t xml:space="preserve"> investițiilor din infrastructură determină ca formula</w:t>
      </w:r>
      <w:r w:rsidR="00AD6288">
        <w:t xml:space="preserve"> a</w:t>
      </w:r>
      <w:r w:rsidRPr="00443C66">
        <w:t xml:space="preserve"> gestiunii </w:t>
      </w:r>
      <w:r>
        <w:t>directe</w:t>
      </w:r>
      <w:r w:rsidRPr="00443C66">
        <w:t xml:space="preserve"> să fie mai ușor de pus în acord cu interesele generale ale comunității și implicit, cu principiile care guvernează serviciul.</w:t>
      </w:r>
      <w:r>
        <w:t xml:space="preserve"> </w:t>
      </w:r>
      <w:r w:rsidRPr="00443C66">
        <w:t>Înființarea și existența unui serviciu propriu al Primăriei, cu personal specializat și cu dotare tehnică necesară prestării unui serviciu de calitate</w:t>
      </w:r>
      <w:r w:rsidR="00AD6288">
        <w:t>,</w:t>
      </w:r>
      <w:r w:rsidRPr="00443C66">
        <w:t xml:space="preserve"> poate conduce la stabilirea unor tarife reale și acceptate de către toti utilizatorii,</w:t>
      </w:r>
      <w:r w:rsidR="00AD6288">
        <w:t xml:space="preserve"> aspect </w:t>
      </w:r>
      <w:proofErr w:type="gramStart"/>
      <w:r w:rsidR="00AD6288">
        <w:t xml:space="preserve">care </w:t>
      </w:r>
      <w:r w:rsidRPr="00443C66">
        <w:t xml:space="preserve"> </w:t>
      </w:r>
      <w:r>
        <w:t>demonstrează</w:t>
      </w:r>
      <w:proofErr w:type="gramEnd"/>
      <w:r>
        <w:t xml:space="preserve"> că pentru Primăria Comuna </w:t>
      </w:r>
      <w:r w:rsidR="00811B82">
        <w:t>Lupac</w:t>
      </w:r>
      <w:r>
        <w:t xml:space="preserve"> este avantajos</w:t>
      </w:r>
      <w:r w:rsidR="00AD6288">
        <w:t xml:space="preserve"> gestionarea directa,</w:t>
      </w:r>
      <w:r>
        <w:t xml:space="preserve"> atât din punct de vedere economic, cât si din punct de vedere urbanistic-calitativ</w:t>
      </w:r>
      <w:r w:rsidR="00AD6288">
        <w:t>.</w:t>
      </w:r>
      <w:r>
        <w:t xml:space="preserve"> </w:t>
      </w:r>
    </w:p>
    <w:p w:rsidR="00AE7906" w:rsidRDefault="00AE7906" w:rsidP="00AE7906">
      <w:pPr>
        <w:pStyle w:val="BodyText"/>
        <w:spacing w:before="144"/>
        <w:ind w:right="493"/>
        <w:jc w:val="both"/>
      </w:pPr>
      <w:r>
        <w:t>Prezentul studiu a fost elaborat pe baza datelor și informațiilor puse la dispoziție de către beneficarul acestuia. Orice omisiune, lipsă sau incorectitudine a datelor si informațiilor furnizate de către beneficiar poate afecta partial sau total rezultatele prezentului studiu față de care redactorul acestuia este exonerat de răspundere.</w:t>
      </w:r>
    </w:p>
    <w:p w:rsidR="00AD6288" w:rsidRDefault="00AD6288" w:rsidP="00AE7906">
      <w:pPr>
        <w:pStyle w:val="BodyText"/>
        <w:spacing w:before="144"/>
        <w:ind w:right="493"/>
        <w:jc w:val="both"/>
      </w:pPr>
    </w:p>
    <w:p w:rsidR="00F17C73" w:rsidRDefault="003A1E70" w:rsidP="00AE7906">
      <w:pPr>
        <w:pStyle w:val="BodyText"/>
        <w:spacing w:before="144"/>
        <w:ind w:right="493"/>
        <w:jc w:val="both"/>
        <w:rPr>
          <w:b/>
        </w:rPr>
      </w:pPr>
      <w:r>
        <w:rPr>
          <w:b/>
        </w:rPr>
        <w:t xml:space="preserve">      </w:t>
      </w:r>
    </w:p>
    <w:p w:rsidR="00F17C73" w:rsidRDefault="003A1E70" w:rsidP="00AE7906">
      <w:pPr>
        <w:pStyle w:val="BodyText"/>
        <w:spacing w:before="144"/>
        <w:ind w:right="493"/>
        <w:jc w:val="both"/>
        <w:rPr>
          <w:b/>
        </w:rPr>
      </w:pPr>
      <w:r>
        <w:rPr>
          <w:b/>
        </w:rPr>
        <w:t xml:space="preserve">                                                                 </w:t>
      </w:r>
      <w:r w:rsidR="00CC345C">
        <w:rPr>
          <w:b/>
          <w:noProof/>
          <w:lang w:val="ro-RO" w:eastAsia="ro-RO"/>
        </w:rPr>
        <w:drawing>
          <wp:inline distT="0" distB="0" distL="0" distR="0" wp14:anchorId="634B1902">
            <wp:extent cx="1122045" cy="10242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1024255"/>
                    </a:xfrm>
                    <a:prstGeom prst="rect">
                      <a:avLst/>
                    </a:prstGeom>
                    <a:noFill/>
                  </pic:spPr>
                </pic:pic>
              </a:graphicData>
            </a:graphic>
          </wp:inline>
        </w:drawing>
      </w:r>
    </w:p>
    <w:p w:rsidR="00F17C73" w:rsidRDefault="00F17C73" w:rsidP="00AE7906">
      <w:pPr>
        <w:pStyle w:val="BodyText"/>
        <w:spacing w:before="144"/>
        <w:ind w:right="493"/>
        <w:jc w:val="both"/>
        <w:rPr>
          <w:b/>
        </w:rPr>
      </w:pPr>
    </w:p>
    <w:p w:rsidR="00F17C73" w:rsidRDefault="00F17C73" w:rsidP="00AE7906">
      <w:pPr>
        <w:pStyle w:val="BodyText"/>
        <w:spacing w:before="144"/>
        <w:ind w:right="493"/>
        <w:jc w:val="both"/>
        <w:rPr>
          <w:b/>
        </w:rPr>
      </w:pPr>
    </w:p>
    <w:p w:rsidR="00F17C73" w:rsidRDefault="00F17C73" w:rsidP="00AE7906">
      <w:pPr>
        <w:pStyle w:val="BodyText"/>
        <w:spacing w:before="144"/>
        <w:ind w:right="493"/>
        <w:jc w:val="both"/>
        <w:rPr>
          <w:b/>
        </w:rPr>
      </w:pPr>
    </w:p>
    <w:p w:rsidR="00F17C73" w:rsidRDefault="00F17C73" w:rsidP="00AE7906">
      <w:pPr>
        <w:pStyle w:val="BodyText"/>
        <w:spacing w:before="144"/>
        <w:ind w:right="493"/>
        <w:jc w:val="both"/>
        <w:rPr>
          <w:b/>
        </w:rPr>
      </w:pPr>
    </w:p>
    <w:p w:rsidR="00811B82" w:rsidRDefault="00811B82" w:rsidP="00AE7906">
      <w:pPr>
        <w:pStyle w:val="BodyText"/>
        <w:spacing w:before="144"/>
        <w:ind w:right="493"/>
        <w:jc w:val="both"/>
        <w:rPr>
          <w:b/>
        </w:rPr>
      </w:pPr>
    </w:p>
    <w:p w:rsidR="00AD6288" w:rsidRPr="00D92DC9" w:rsidRDefault="00AD6288" w:rsidP="00AE7906">
      <w:pPr>
        <w:pStyle w:val="BodyText"/>
        <w:spacing w:before="144"/>
        <w:ind w:right="493"/>
        <w:jc w:val="both"/>
        <w:rPr>
          <w:b/>
        </w:rPr>
      </w:pPr>
      <w:r w:rsidRPr="00D92DC9">
        <w:rPr>
          <w:b/>
        </w:rPr>
        <w:t>Anexa</w:t>
      </w:r>
      <w:r w:rsidR="00D92DC9">
        <w:rPr>
          <w:b/>
        </w:rPr>
        <w:t xml:space="preserve"> </w:t>
      </w:r>
      <w:r w:rsidRPr="00D92DC9">
        <w:rPr>
          <w:b/>
        </w:rPr>
        <w:t>1</w:t>
      </w:r>
    </w:p>
    <w:p w:rsidR="00AD6288" w:rsidRDefault="00AD6288" w:rsidP="00AE7906">
      <w:pPr>
        <w:pStyle w:val="BodyText"/>
        <w:spacing w:before="144"/>
        <w:ind w:right="493"/>
        <w:jc w:val="both"/>
      </w:pPr>
    </w:p>
    <w:tbl>
      <w:tblPr>
        <w:tblpPr w:leftFromText="180" w:rightFromText="180" w:vertAnchor="text" w:horzAnchor="margin" w:tblpY="74"/>
        <w:tblW w:w="9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424"/>
        <w:gridCol w:w="4573"/>
      </w:tblGrid>
      <w:tr w:rsidR="00AD6288" w:rsidTr="00AD6288">
        <w:trPr>
          <w:trHeight w:val="515"/>
        </w:trPr>
        <w:tc>
          <w:tcPr>
            <w:tcW w:w="746" w:type="dxa"/>
          </w:tcPr>
          <w:p w:rsidR="00AD6288" w:rsidRDefault="00AD6288" w:rsidP="00AD6288">
            <w:pPr>
              <w:pStyle w:val="TableParagraph"/>
              <w:rPr>
                <w:rFonts w:ascii="Times New Roman"/>
                <w:sz w:val="20"/>
              </w:rPr>
            </w:pPr>
          </w:p>
        </w:tc>
        <w:tc>
          <w:tcPr>
            <w:tcW w:w="4424" w:type="dxa"/>
          </w:tcPr>
          <w:p w:rsidR="00AD6288" w:rsidRDefault="00AD6288" w:rsidP="00AD6288">
            <w:pPr>
              <w:pStyle w:val="TableParagraph"/>
              <w:spacing w:before="117"/>
              <w:ind w:left="108"/>
              <w:rPr>
                <w:rFonts w:ascii="Arial"/>
                <w:sz w:val="20"/>
              </w:rPr>
            </w:pPr>
            <w:r>
              <w:rPr>
                <w:rFonts w:ascii="Arial"/>
                <w:sz w:val="20"/>
              </w:rPr>
              <w:t>GESTIUNE DIRECTA</w:t>
            </w:r>
          </w:p>
        </w:tc>
        <w:tc>
          <w:tcPr>
            <w:tcW w:w="4573" w:type="dxa"/>
          </w:tcPr>
          <w:p w:rsidR="00AD6288" w:rsidRDefault="00AD6288" w:rsidP="00AD6288">
            <w:pPr>
              <w:pStyle w:val="TableParagraph"/>
              <w:spacing w:before="117"/>
              <w:ind w:left="108"/>
              <w:rPr>
                <w:rFonts w:ascii="Arial"/>
                <w:sz w:val="20"/>
              </w:rPr>
            </w:pPr>
            <w:r>
              <w:rPr>
                <w:rFonts w:ascii="Arial"/>
                <w:sz w:val="20"/>
              </w:rPr>
              <w:t>GESTIUNEA INDIRECTA (DELEGATA)</w:t>
            </w:r>
          </w:p>
        </w:tc>
      </w:tr>
      <w:tr w:rsidR="00AD6288" w:rsidTr="00AD6288">
        <w:trPr>
          <w:trHeight w:val="6778"/>
        </w:trPr>
        <w:tc>
          <w:tcPr>
            <w:tcW w:w="746" w:type="dxa"/>
            <w:textDirection w:val="btLr"/>
          </w:tcPr>
          <w:p w:rsidR="00AD6288" w:rsidRDefault="00AD6288" w:rsidP="00AD6288">
            <w:pPr>
              <w:pStyle w:val="TableParagraph"/>
              <w:spacing w:before="11"/>
              <w:rPr>
                <w:rFonts w:ascii="Arial"/>
                <w:sz w:val="19"/>
              </w:rPr>
            </w:pPr>
          </w:p>
          <w:p w:rsidR="00AD6288" w:rsidRDefault="00AD6288" w:rsidP="00AD6288">
            <w:pPr>
              <w:pStyle w:val="TableParagraph"/>
              <w:ind w:left="2615" w:right="2656"/>
              <w:jc w:val="center"/>
              <w:rPr>
                <w:rFonts w:ascii="Arial"/>
                <w:b/>
                <w:sz w:val="20"/>
              </w:rPr>
            </w:pPr>
            <w:r>
              <w:rPr>
                <w:rFonts w:ascii="Arial"/>
                <w:b/>
                <w:sz w:val="20"/>
              </w:rPr>
              <w:t>A V A N T A J E</w:t>
            </w:r>
          </w:p>
        </w:tc>
        <w:tc>
          <w:tcPr>
            <w:tcW w:w="4424" w:type="dxa"/>
          </w:tcPr>
          <w:p w:rsidR="00AD6288" w:rsidRDefault="00AD6288" w:rsidP="00AD6288">
            <w:pPr>
              <w:pStyle w:val="TableParagraph"/>
              <w:numPr>
                <w:ilvl w:val="0"/>
                <w:numId w:val="12"/>
              </w:numPr>
              <w:tabs>
                <w:tab w:val="left" w:pos="332"/>
              </w:tabs>
              <w:spacing w:before="2" w:line="235" w:lineRule="auto"/>
              <w:ind w:right="112" w:hanging="223"/>
              <w:rPr>
                <w:rFonts w:ascii="Arial" w:hAnsi="Arial"/>
                <w:sz w:val="20"/>
              </w:rPr>
            </w:pPr>
            <w:r>
              <w:rPr>
                <w:rFonts w:ascii="Arial" w:hAnsi="Arial"/>
                <w:sz w:val="20"/>
              </w:rPr>
              <w:t>menținerea responsabilității față de</w:t>
            </w:r>
            <w:r>
              <w:rPr>
                <w:rFonts w:ascii="Arial" w:hAnsi="Arial"/>
                <w:spacing w:val="-24"/>
                <w:sz w:val="20"/>
              </w:rPr>
              <w:t xml:space="preserve"> </w:t>
            </w:r>
            <w:r>
              <w:rPr>
                <w:rFonts w:ascii="Arial" w:hAnsi="Arial"/>
                <w:sz w:val="20"/>
              </w:rPr>
              <w:t>populația deservită;</w:t>
            </w:r>
          </w:p>
          <w:p w:rsidR="00AD6288" w:rsidRDefault="00AD6288" w:rsidP="00AD6288">
            <w:pPr>
              <w:pStyle w:val="TableParagraph"/>
              <w:numPr>
                <w:ilvl w:val="0"/>
                <w:numId w:val="12"/>
              </w:numPr>
              <w:tabs>
                <w:tab w:val="left" w:pos="332"/>
              </w:tabs>
              <w:spacing w:before="3"/>
              <w:ind w:right="768" w:hanging="223"/>
              <w:rPr>
                <w:rFonts w:ascii="Arial" w:hAnsi="Arial"/>
                <w:sz w:val="20"/>
              </w:rPr>
            </w:pPr>
            <w:r>
              <w:rPr>
                <w:rFonts w:ascii="Arial" w:hAnsi="Arial"/>
                <w:sz w:val="20"/>
              </w:rPr>
              <w:t>tarife mai mici decât în cazul gestiunii delegate, neexistând</w:t>
            </w:r>
            <w:r>
              <w:rPr>
                <w:rFonts w:ascii="Arial" w:hAnsi="Arial"/>
                <w:spacing w:val="-1"/>
                <w:sz w:val="20"/>
              </w:rPr>
              <w:t xml:space="preserve"> </w:t>
            </w:r>
            <w:r>
              <w:rPr>
                <w:rFonts w:ascii="Arial" w:hAnsi="Arial"/>
                <w:sz w:val="20"/>
              </w:rPr>
              <w:t>profit;</w:t>
            </w:r>
          </w:p>
          <w:p w:rsidR="00AD6288" w:rsidRDefault="00AD6288" w:rsidP="00AD6288">
            <w:pPr>
              <w:pStyle w:val="TableParagraph"/>
              <w:numPr>
                <w:ilvl w:val="0"/>
                <w:numId w:val="12"/>
              </w:numPr>
              <w:tabs>
                <w:tab w:val="left" w:pos="332"/>
              </w:tabs>
              <w:spacing w:before="4" w:line="235" w:lineRule="auto"/>
              <w:ind w:right="1047" w:hanging="223"/>
              <w:rPr>
                <w:rFonts w:ascii="Arial" w:hAnsi="Arial"/>
                <w:sz w:val="20"/>
              </w:rPr>
            </w:pPr>
            <w:r>
              <w:rPr>
                <w:rFonts w:ascii="Arial" w:hAnsi="Arial"/>
                <w:sz w:val="20"/>
              </w:rPr>
              <w:t>menținerea autorității nemijlocite</w:t>
            </w:r>
            <w:r>
              <w:rPr>
                <w:rFonts w:ascii="Arial" w:hAnsi="Arial"/>
                <w:spacing w:val="-15"/>
                <w:sz w:val="20"/>
              </w:rPr>
              <w:t xml:space="preserve"> </w:t>
            </w:r>
            <w:r>
              <w:rPr>
                <w:rFonts w:ascii="Arial" w:hAnsi="Arial"/>
                <w:sz w:val="20"/>
              </w:rPr>
              <w:t>a Municipalitatii asupra</w:t>
            </w:r>
            <w:r>
              <w:rPr>
                <w:rFonts w:ascii="Arial" w:hAnsi="Arial"/>
                <w:spacing w:val="-6"/>
                <w:sz w:val="20"/>
              </w:rPr>
              <w:t xml:space="preserve"> </w:t>
            </w:r>
            <w:r>
              <w:rPr>
                <w:rFonts w:ascii="Arial" w:hAnsi="Arial"/>
                <w:sz w:val="20"/>
              </w:rPr>
              <w:t>activității;</w:t>
            </w:r>
          </w:p>
          <w:p w:rsidR="00AD6288" w:rsidRDefault="00AD6288" w:rsidP="00AD6288">
            <w:pPr>
              <w:pStyle w:val="TableParagraph"/>
              <w:numPr>
                <w:ilvl w:val="0"/>
                <w:numId w:val="12"/>
              </w:numPr>
              <w:tabs>
                <w:tab w:val="left" w:pos="332"/>
              </w:tabs>
              <w:spacing w:before="5" w:line="237" w:lineRule="auto"/>
              <w:ind w:right="757" w:hanging="223"/>
              <w:rPr>
                <w:rFonts w:ascii="Arial" w:hAnsi="Arial"/>
                <w:sz w:val="20"/>
              </w:rPr>
            </w:pPr>
            <w:r>
              <w:rPr>
                <w:rFonts w:ascii="Arial" w:hAnsi="Arial"/>
                <w:sz w:val="20"/>
              </w:rPr>
              <w:t>accesul la fonduri europene</w:t>
            </w:r>
            <w:r>
              <w:rPr>
                <w:rFonts w:ascii="Arial" w:hAnsi="Arial"/>
                <w:spacing w:val="-15"/>
                <w:sz w:val="20"/>
              </w:rPr>
              <w:t xml:space="preserve"> </w:t>
            </w:r>
            <w:r>
              <w:rPr>
                <w:rFonts w:ascii="Arial" w:hAnsi="Arial"/>
                <w:sz w:val="20"/>
              </w:rPr>
              <w:t>destinate autorităților</w:t>
            </w:r>
            <w:r>
              <w:rPr>
                <w:rFonts w:ascii="Arial" w:hAnsi="Arial"/>
                <w:spacing w:val="-2"/>
                <w:sz w:val="20"/>
              </w:rPr>
              <w:t xml:space="preserve"> </w:t>
            </w:r>
            <w:r>
              <w:rPr>
                <w:rFonts w:ascii="Arial" w:hAnsi="Arial"/>
                <w:sz w:val="20"/>
              </w:rPr>
              <w:t>publice.</w:t>
            </w:r>
          </w:p>
        </w:tc>
        <w:tc>
          <w:tcPr>
            <w:tcW w:w="4573" w:type="dxa"/>
          </w:tcPr>
          <w:p w:rsidR="00AD6288" w:rsidRDefault="00AD6288" w:rsidP="00AD6288">
            <w:pPr>
              <w:pStyle w:val="TableParagraph"/>
              <w:numPr>
                <w:ilvl w:val="0"/>
                <w:numId w:val="11"/>
              </w:numPr>
              <w:tabs>
                <w:tab w:val="left" w:pos="332"/>
              </w:tabs>
              <w:ind w:right="239" w:hanging="223"/>
              <w:jc w:val="both"/>
              <w:rPr>
                <w:rFonts w:ascii="Arial" w:hAnsi="Arial"/>
                <w:sz w:val="20"/>
              </w:rPr>
            </w:pPr>
            <w:r>
              <w:rPr>
                <w:rFonts w:ascii="Arial" w:hAnsi="Arial"/>
                <w:sz w:val="20"/>
              </w:rPr>
              <w:t>parametrii serviciilor și necesarul de investiții vor fi clar definite în contract, cu mecanisme care impun ca majoritatea riscurilor sa treacă la</w:t>
            </w:r>
            <w:r>
              <w:rPr>
                <w:rFonts w:ascii="Arial" w:hAnsi="Arial"/>
                <w:spacing w:val="-2"/>
                <w:sz w:val="20"/>
              </w:rPr>
              <w:t xml:space="preserve"> </w:t>
            </w:r>
            <w:r>
              <w:rPr>
                <w:rFonts w:ascii="Arial" w:hAnsi="Arial"/>
                <w:sz w:val="20"/>
              </w:rPr>
              <w:t>operator;</w:t>
            </w:r>
          </w:p>
          <w:p w:rsidR="00AD6288" w:rsidRDefault="00AD6288" w:rsidP="00AD6288">
            <w:pPr>
              <w:pStyle w:val="TableParagraph"/>
              <w:numPr>
                <w:ilvl w:val="0"/>
                <w:numId w:val="11"/>
              </w:numPr>
              <w:tabs>
                <w:tab w:val="left" w:pos="332"/>
              </w:tabs>
              <w:ind w:right="194" w:hanging="223"/>
              <w:rPr>
                <w:rFonts w:ascii="Arial" w:hAnsi="Arial"/>
                <w:sz w:val="20"/>
              </w:rPr>
            </w:pPr>
            <w:r>
              <w:rPr>
                <w:rFonts w:ascii="Arial" w:hAnsi="Arial"/>
                <w:sz w:val="20"/>
              </w:rPr>
              <w:t>accelelarea investițiilor din momentul când operatorul își intra in drepturi; nevoia de profit a operatorului va genera schimbarea rapidă a proceselor interne și a relatiilor cu</w:t>
            </w:r>
            <w:r>
              <w:rPr>
                <w:rFonts w:ascii="Arial" w:hAnsi="Arial"/>
                <w:spacing w:val="-11"/>
                <w:sz w:val="20"/>
              </w:rPr>
              <w:t xml:space="preserve"> </w:t>
            </w:r>
            <w:r>
              <w:rPr>
                <w:rFonts w:ascii="Arial" w:hAnsi="Arial"/>
                <w:sz w:val="20"/>
              </w:rPr>
              <w:t>clientii;</w:t>
            </w:r>
          </w:p>
          <w:p w:rsidR="00AD6288" w:rsidRDefault="00AD6288" w:rsidP="00AD6288">
            <w:pPr>
              <w:pStyle w:val="TableParagraph"/>
              <w:numPr>
                <w:ilvl w:val="0"/>
                <w:numId w:val="11"/>
              </w:numPr>
              <w:tabs>
                <w:tab w:val="left" w:pos="332"/>
              </w:tabs>
              <w:spacing w:line="237" w:lineRule="auto"/>
              <w:ind w:right="166" w:hanging="223"/>
              <w:rPr>
                <w:rFonts w:ascii="Arial" w:hAnsi="Arial"/>
                <w:sz w:val="20"/>
              </w:rPr>
            </w:pPr>
            <w:r>
              <w:rPr>
                <w:rFonts w:ascii="Arial" w:hAnsi="Arial"/>
                <w:sz w:val="20"/>
              </w:rPr>
              <w:t>Municipalitatea transferă sarcina investițiilor</w:t>
            </w:r>
            <w:r>
              <w:rPr>
                <w:rFonts w:ascii="Arial" w:hAnsi="Arial"/>
                <w:spacing w:val="-32"/>
                <w:sz w:val="20"/>
              </w:rPr>
              <w:t xml:space="preserve"> </w:t>
            </w:r>
            <w:r>
              <w:rPr>
                <w:rFonts w:ascii="Arial" w:hAnsi="Arial"/>
                <w:sz w:val="20"/>
              </w:rPr>
              <w:t>și (potențial a) finantării către operatorul pentru partea ce îi</w:t>
            </w:r>
            <w:r>
              <w:rPr>
                <w:rFonts w:ascii="Arial" w:hAnsi="Arial"/>
                <w:spacing w:val="-2"/>
                <w:sz w:val="20"/>
              </w:rPr>
              <w:t xml:space="preserve"> </w:t>
            </w:r>
            <w:r>
              <w:rPr>
                <w:rFonts w:ascii="Arial" w:hAnsi="Arial"/>
                <w:sz w:val="20"/>
              </w:rPr>
              <w:t>revine;</w:t>
            </w:r>
          </w:p>
          <w:p w:rsidR="00AD6288" w:rsidRDefault="00AD6288" w:rsidP="00AD6288">
            <w:pPr>
              <w:pStyle w:val="TableParagraph"/>
              <w:numPr>
                <w:ilvl w:val="0"/>
                <w:numId w:val="11"/>
              </w:numPr>
              <w:tabs>
                <w:tab w:val="left" w:pos="332"/>
              </w:tabs>
              <w:spacing w:before="1"/>
              <w:ind w:right="263" w:hanging="223"/>
              <w:rPr>
                <w:rFonts w:ascii="Arial" w:hAnsi="Arial"/>
                <w:sz w:val="20"/>
              </w:rPr>
            </w:pPr>
            <w:r>
              <w:rPr>
                <w:rFonts w:ascii="Arial" w:hAnsi="Arial"/>
                <w:sz w:val="20"/>
              </w:rPr>
              <w:t>Municipalitatea va avea calitatea de a superviza și a reglementa conformarea operatorului la cerințele impuse în contract</w:t>
            </w:r>
            <w:r>
              <w:rPr>
                <w:rFonts w:ascii="Arial" w:hAnsi="Arial"/>
                <w:spacing w:val="-27"/>
                <w:sz w:val="20"/>
              </w:rPr>
              <w:t xml:space="preserve"> </w:t>
            </w:r>
            <w:r>
              <w:rPr>
                <w:rFonts w:ascii="Arial" w:hAnsi="Arial"/>
                <w:sz w:val="20"/>
              </w:rPr>
              <w:t>și nu de gestiune directă a</w:t>
            </w:r>
            <w:r>
              <w:rPr>
                <w:rFonts w:ascii="Arial" w:hAnsi="Arial"/>
                <w:spacing w:val="-7"/>
                <w:sz w:val="20"/>
              </w:rPr>
              <w:t xml:space="preserve"> </w:t>
            </w:r>
            <w:r>
              <w:rPr>
                <w:rFonts w:ascii="Arial" w:hAnsi="Arial"/>
                <w:sz w:val="20"/>
              </w:rPr>
              <w:t>serviciului;</w:t>
            </w:r>
          </w:p>
          <w:p w:rsidR="00AD6288" w:rsidRDefault="00AD6288" w:rsidP="00AD6288">
            <w:pPr>
              <w:pStyle w:val="TableParagraph"/>
              <w:numPr>
                <w:ilvl w:val="0"/>
                <w:numId w:val="11"/>
              </w:numPr>
              <w:tabs>
                <w:tab w:val="left" w:pos="332"/>
              </w:tabs>
              <w:ind w:right="153" w:hanging="223"/>
              <w:rPr>
                <w:rFonts w:ascii="Arial" w:hAnsi="Arial"/>
                <w:sz w:val="20"/>
              </w:rPr>
            </w:pPr>
            <w:r>
              <w:rPr>
                <w:rFonts w:ascii="Arial" w:hAnsi="Arial"/>
                <w:sz w:val="20"/>
              </w:rPr>
              <w:t>Municipalitatea va avea drept de control final asupra derulării serviciului, avand</w:t>
            </w:r>
            <w:r>
              <w:rPr>
                <w:rFonts w:ascii="Arial" w:hAnsi="Arial"/>
                <w:spacing w:val="-20"/>
                <w:sz w:val="20"/>
              </w:rPr>
              <w:t xml:space="preserve"> </w:t>
            </w:r>
            <w:r>
              <w:rPr>
                <w:rFonts w:ascii="Arial" w:hAnsi="Arial"/>
                <w:sz w:val="20"/>
              </w:rPr>
              <w:t>posibilitatea de a întrerupe delegarea de gestiune în cazul în care operatorul are o</w:t>
            </w:r>
            <w:r>
              <w:rPr>
                <w:rFonts w:ascii="Arial" w:hAnsi="Arial"/>
                <w:spacing w:val="-5"/>
                <w:sz w:val="20"/>
              </w:rPr>
              <w:t xml:space="preserve"> </w:t>
            </w:r>
            <w:r>
              <w:rPr>
                <w:rFonts w:ascii="Arial" w:hAnsi="Arial"/>
                <w:sz w:val="20"/>
              </w:rPr>
              <w:t>activitatea</w:t>
            </w:r>
          </w:p>
          <w:p w:rsidR="00AD6288" w:rsidRDefault="00AD6288" w:rsidP="00AD6288">
            <w:pPr>
              <w:pStyle w:val="TableParagraph"/>
              <w:ind w:left="331"/>
              <w:rPr>
                <w:rFonts w:ascii="Arial" w:hAnsi="Arial"/>
                <w:sz w:val="20"/>
              </w:rPr>
            </w:pPr>
            <w:r>
              <w:rPr>
                <w:rFonts w:ascii="Arial" w:hAnsi="Arial"/>
                <w:sz w:val="20"/>
              </w:rPr>
              <w:t>defectuoasă care persistă – prin clauzele de penalizare și de reziliere ale contractului;</w:t>
            </w:r>
          </w:p>
          <w:p w:rsidR="00AD6288" w:rsidRDefault="00AD6288" w:rsidP="00AD6288">
            <w:pPr>
              <w:pStyle w:val="TableParagraph"/>
              <w:numPr>
                <w:ilvl w:val="0"/>
                <w:numId w:val="11"/>
              </w:numPr>
              <w:tabs>
                <w:tab w:val="left" w:pos="332"/>
              </w:tabs>
              <w:ind w:right="254" w:hanging="223"/>
              <w:rPr>
                <w:rFonts w:ascii="Arial" w:hAnsi="Arial"/>
                <w:sz w:val="20"/>
              </w:rPr>
            </w:pPr>
            <w:r>
              <w:rPr>
                <w:rFonts w:ascii="Arial" w:hAnsi="Arial"/>
                <w:sz w:val="20"/>
              </w:rPr>
              <w:t>Municipalitatea are putere decizională</w:t>
            </w:r>
            <w:r>
              <w:rPr>
                <w:rFonts w:ascii="Arial" w:hAnsi="Arial"/>
                <w:spacing w:val="-26"/>
                <w:sz w:val="20"/>
              </w:rPr>
              <w:t xml:space="preserve"> </w:t>
            </w:r>
            <w:r>
              <w:rPr>
                <w:rFonts w:ascii="Arial" w:hAnsi="Arial"/>
                <w:sz w:val="20"/>
              </w:rPr>
              <w:t>pentru ca în momentul încredințării contractului, acesta să includă toate prevederile</w:t>
            </w:r>
            <w:r>
              <w:rPr>
                <w:rFonts w:ascii="Arial" w:hAnsi="Arial"/>
                <w:spacing w:val="-12"/>
                <w:sz w:val="20"/>
              </w:rPr>
              <w:t xml:space="preserve"> </w:t>
            </w:r>
            <w:r>
              <w:rPr>
                <w:rFonts w:ascii="Arial" w:hAnsi="Arial"/>
                <w:sz w:val="20"/>
              </w:rPr>
              <w:t>optime;</w:t>
            </w:r>
          </w:p>
          <w:p w:rsidR="00AD6288" w:rsidRDefault="00AD6288" w:rsidP="00AD6288">
            <w:pPr>
              <w:pStyle w:val="TableParagraph"/>
              <w:numPr>
                <w:ilvl w:val="0"/>
                <w:numId w:val="11"/>
              </w:numPr>
              <w:tabs>
                <w:tab w:val="left" w:pos="332"/>
              </w:tabs>
              <w:ind w:right="362" w:hanging="223"/>
              <w:rPr>
                <w:rFonts w:ascii="Arial" w:hAnsi="Arial"/>
                <w:sz w:val="20"/>
              </w:rPr>
            </w:pPr>
            <w:r>
              <w:rPr>
                <w:rFonts w:ascii="Arial" w:hAnsi="Arial"/>
                <w:sz w:val="20"/>
              </w:rPr>
              <w:t xml:space="preserve">reducerea imixtiunii politicului </w:t>
            </w:r>
            <w:r>
              <w:rPr>
                <w:rFonts w:ascii="Arial" w:hAnsi="Arial"/>
                <w:spacing w:val="1"/>
                <w:sz w:val="20"/>
              </w:rPr>
              <w:t xml:space="preserve">în </w:t>
            </w:r>
            <w:r>
              <w:rPr>
                <w:rFonts w:ascii="Arial" w:hAnsi="Arial"/>
                <w:sz w:val="20"/>
              </w:rPr>
              <w:t>deciziile</w:t>
            </w:r>
            <w:r>
              <w:rPr>
                <w:rFonts w:ascii="Arial" w:hAnsi="Arial"/>
                <w:spacing w:val="-22"/>
                <w:sz w:val="20"/>
              </w:rPr>
              <w:t xml:space="preserve"> </w:t>
            </w:r>
            <w:r>
              <w:rPr>
                <w:rFonts w:ascii="Arial" w:hAnsi="Arial"/>
                <w:sz w:val="20"/>
              </w:rPr>
              <w:t>de afaceri, investiții și</w:t>
            </w:r>
            <w:r>
              <w:rPr>
                <w:rFonts w:ascii="Arial" w:hAnsi="Arial"/>
                <w:spacing w:val="-5"/>
                <w:sz w:val="20"/>
              </w:rPr>
              <w:t xml:space="preserve"> </w:t>
            </w:r>
            <w:r>
              <w:rPr>
                <w:rFonts w:ascii="Arial" w:hAnsi="Arial"/>
                <w:sz w:val="20"/>
              </w:rPr>
              <w:t>personal;</w:t>
            </w:r>
          </w:p>
          <w:p w:rsidR="00AD6288" w:rsidRDefault="00AD6288" w:rsidP="00AD6288">
            <w:pPr>
              <w:pStyle w:val="TableParagraph"/>
              <w:numPr>
                <w:ilvl w:val="0"/>
                <w:numId w:val="11"/>
              </w:numPr>
              <w:tabs>
                <w:tab w:val="left" w:pos="332"/>
              </w:tabs>
              <w:spacing w:line="235" w:lineRule="auto"/>
              <w:ind w:right="531" w:hanging="223"/>
              <w:rPr>
                <w:rFonts w:ascii="Arial" w:hAnsi="Arial"/>
                <w:sz w:val="20"/>
              </w:rPr>
            </w:pPr>
            <w:r>
              <w:rPr>
                <w:rFonts w:ascii="Arial" w:hAnsi="Arial"/>
                <w:sz w:val="20"/>
              </w:rPr>
              <w:t>criteriile de management comercial se</w:t>
            </w:r>
            <w:r>
              <w:rPr>
                <w:rFonts w:ascii="Arial" w:hAnsi="Arial"/>
                <w:spacing w:val="-13"/>
                <w:sz w:val="20"/>
              </w:rPr>
              <w:t xml:space="preserve"> </w:t>
            </w:r>
            <w:r>
              <w:rPr>
                <w:rFonts w:ascii="Arial" w:hAnsi="Arial"/>
                <w:sz w:val="20"/>
              </w:rPr>
              <w:t>pot îndeplini pentru a avea acces la</w:t>
            </w:r>
            <w:r>
              <w:rPr>
                <w:rFonts w:ascii="Arial" w:hAnsi="Arial"/>
                <w:spacing w:val="-10"/>
                <w:sz w:val="20"/>
              </w:rPr>
              <w:t xml:space="preserve"> </w:t>
            </w:r>
            <w:r>
              <w:rPr>
                <w:rFonts w:ascii="Arial" w:hAnsi="Arial"/>
                <w:sz w:val="20"/>
              </w:rPr>
              <w:t>fonduri</w:t>
            </w:r>
          </w:p>
          <w:p w:rsidR="00AD6288" w:rsidRDefault="00AD6288" w:rsidP="00AD6288">
            <w:pPr>
              <w:pStyle w:val="TableParagraph"/>
              <w:spacing w:before="1" w:line="213" w:lineRule="exact"/>
              <w:ind w:left="331"/>
              <w:rPr>
                <w:rFonts w:ascii="Arial"/>
                <w:sz w:val="20"/>
              </w:rPr>
            </w:pPr>
            <w:r>
              <w:rPr>
                <w:rFonts w:ascii="Arial"/>
                <w:sz w:val="20"/>
              </w:rPr>
              <w:t>bancare.</w:t>
            </w:r>
          </w:p>
        </w:tc>
      </w:tr>
      <w:tr w:rsidR="00AD6288" w:rsidTr="00AD6288">
        <w:trPr>
          <w:trHeight w:val="4452"/>
        </w:trPr>
        <w:tc>
          <w:tcPr>
            <w:tcW w:w="746" w:type="dxa"/>
            <w:textDirection w:val="btLr"/>
          </w:tcPr>
          <w:p w:rsidR="00AD6288" w:rsidRDefault="00AD6288" w:rsidP="00AD6288">
            <w:pPr>
              <w:pStyle w:val="TableParagraph"/>
              <w:spacing w:before="11"/>
              <w:rPr>
                <w:rFonts w:ascii="Arial"/>
                <w:sz w:val="19"/>
              </w:rPr>
            </w:pPr>
          </w:p>
          <w:p w:rsidR="00AD6288" w:rsidRDefault="00AD6288" w:rsidP="00AD6288">
            <w:pPr>
              <w:pStyle w:val="TableParagraph"/>
              <w:ind w:left="1489" w:right="1489"/>
              <w:jc w:val="center"/>
              <w:rPr>
                <w:rFonts w:ascii="Arial"/>
                <w:sz w:val="20"/>
              </w:rPr>
            </w:pPr>
            <w:r>
              <w:rPr>
                <w:rFonts w:ascii="Arial"/>
                <w:sz w:val="20"/>
              </w:rPr>
              <w:t>DEZAVANTAJE</w:t>
            </w:r>
          </w:p>
        </w:tc>
        <w:tc>
          <w:tcPr>
            <w:tcW w:w="4424" w:type="dxa"/>
          </w:tcPr>
          <w:p w:rsidR="00AD6288" w:rsidRDefault="00AD6288" w:rsidP="00AD6288">
            <w:pPr>
              <w:pStyle w:val="TableParagraph"/>
              <w:numPr>
                <w:ilvl w:val="0"/>
                <w:numId w:val="10"/>
              </w:numPr>
              <w:tabs>
                <w:tab w:val="left" w:pos="332"/>
              </w:tabs>
              <w:ind w:right="157" w:hanging="223"/>
              <w:rPr>
                <w:rFonts w:ascii="Arial" w:hAnsi="Arial"/>
                <w:sz w:val="20"/>
              </w:rPr>
            </w:pPr>
            <w:r>
              <w:rPr>
                <w:rFonts w:ascii="Arial" w:hAnsi="Arial"/>
                <w:sz w:val="20"/>
              </w:rPr>
              <w:t>ritm lent de investiții, bazat exclusiv pe fluxul de numerar din exploatare și pe sumele puse la dispozitie de către ordonatorul de credite;</w:t>
            </w:r>
          </w:p>
          <w:p w:rsidR="00AD6288" w:rsidRDefault="00AD6288" w:rsidP="00AD6288">
            <w:pPr>
              <w:pStyle w:val="TableParagraph"/>
              <w:numPr>
                <w:ilvl w:val="0"/>
                <w:numId w:val="10"/>
              </w:numPr>
              <w:tabs>
                <w:tab w:val="left" w:pos="332"/>
              </w:tabs>
              <w:ind w:right="269" w:hanging="223"/>
              <w:rPr>
                <w:rFonts w:ascii="Arial" w:hAnsi="Arial"/>
                <w:sz w:val="20"/>
              </w:rPr>
            </w:pPr>
            <w:r>
              <w:rPr>
                <w:rFonts w:ascii="Arial" w:hAnsi="Arial"/>
                <w:sz w:val="20"/>
              </w:rPr>
              <w:t>Municipalitatea ar trebui să furnizeze in continuare fonduri și garanții în calitatea</w:t>
            </w:r>
            <w:r>
              <w:rPr>
                <w:rFonts w:ascii="Arial" w:hAnsi="Arial"/>
                <w:spacing w:val="-16"/>
                <w:sz w:val="20"/>
              </w:rPr>
              <w:t xml:space="preserve"> </w:t>
            </w:r>
            <w:r>
              <w:rPr>
                <w:rFonts w:ascii="Arial" w:hAnsi="Arial"/>
                <w:sz w:val="20"/>
              </w:rPr>
              <w:t>de acționar unic (dacă se organizează o societate pe acțiuni pentru operarea serviciului);</w:t>
            </w:r>
          </w:p>
          <w:p w:rsidR="00AD6288" w:rsidRDefault="00AD6288" w:rsidP="00AD6288">
            <w:pPr>
              <w:pStyle w:val="TableParagraph"/>
              <w:numPr>
                <w:ilvl w:val="0"/>
                <w:numId w:val="10"/>
              </w:numPr>
              <w:tabs>
                <w:tab w:val="left" w:pos="332"/>
              </w:tabs>
              <w:spacing w:line="237" w:lineRule="auto"/>
              <w:ind w:right="224" w:hanging="223"/>
              <w:rPr>
                <w:rFonts w:ascii="Arial" w:hAnsi="Arial"/>
                <w:sz w:val="20"/>
              </w:rPr>
            </w:pPr>
            <w:r>
              <w:rPr>
                <w:rFonts w:ascii="Arial" w:hAnsi="Arial"/>
                <w:sz w:val="20"/>
              </w:rPr>
              <w:t>creșterea numărului de persoane din</w:t>
            </w:r>
            <w:r>
              <w:rPr>
                <w:rFonts w:ascii="Arial" w:hAnsi="Arial"/>
                <w:spacing w:val="-18"/>
                <w:sz w:val="20"/>
              </w:rPr>
              <w:t xml:space="preserve"> </w:t>
            </w:r>
            <w:r>
              <w:rPr>
                <w:rFonts w:ascii="Arial" w:hAnsi="Arial"/>
                <w:sz w:val="20"/>
              </w:rPr>
              <w:t>cadrul aparatului propriu al Primarului, personal care să se ocupe de serviciul</w:t>
            </w:r>
            <w:r>
              <w:rPr>
                <w:rFonts w:ascii="Arial" w:hAnsi="Arial"/>
                <w:spacing w:val="-13"/>
                <w:sz w:val="20"/>
              </w:rPr>
              <w:t xml:space="preserve"> </w:t>
            </w:r>
            <w:r>
              <w:rPr>
                <w:rFonts w:ascii="Arial" w:hAnsi="Arial"/>
                <w:sz w:val="20"/>
              </w:rPr>
              <w:t>respectiv;</w:t>
            </w:r>
          </w:p>
          <w:p w:rsidR="00AD6288" w:rsidRDefault="00AD6288" w:rsidP="00AD6288">
            <w:pPr>
              <w:pStyle w:val="TableParagraph"/>
              <w:numPr>
                <w:ilvl w:val="0"/>
                <w:numId w:val="10"/>
              </w:numPr>
              <w:tabs>
                <w:tab w:val="left" w:pos="332"/>
              </w:tabs>
              <w:spacing w:before="5" w:line="235" w:lineRule="auto"/>
              <w:ind w:right="892" w:hanging="223"/>
              <w:rPr>
                <w:rFonts w:ascii="Arial" w:hAnsi="Arial"/>
                <w:sz w:val="20"/>
              </w:rPr>
            </w:pPr>
            <w:r>
              <w:rPr>
                <w:rFonts w:ascii="Arial" w:hAnsi="Arial"/>
                <w:sz w:val="20"/>
              </w:rPr>
              <w:t>activitatea de atragerea de surse</w:t>
            </w:r>
            <w:r>
              <w:rPr>
                <w:rFonts w:ascii="Arial" w:hAnsi="Arial"/>
                <w:spacing w:val="-10"/>
                <w:sz w:val="20"/>
              </w:rPr>
              <w:t xml:space="preserve"> </w:t>
            </w:r>
            <w:r>
              <w:rPr>
                <w:rFonts w:ascii="Arial" w:hAnsi="Arial"/>
                <w:sz w:val="20"/>
              </w:rPr>
              <w:t>de finanțare;</w:t>
            </w:r>
          </w:p>
          <w:p w:rsidR="00AD6288" w:rsidRDefault="00AD6288" w:rsidP="00AD6288">
            <w:pPr>
              <w:pStyle w:val="TableParagraph"/>
              <w:numPr>
                <w:ilvl w:val="0"/>
                <w:numId w:val="10"/>
              </w:numPr>
              <w:tabs>
                <w:tab w:val="left" w:pos="332"/>
              </w:tabs>
              <w:spacing w:before="3"/>
              <w:ind w:right="201" w:hanging="223"/>
              <w:rPr>
                <w:rFonts w:ascii="Arial" w:hAnsi="Arial"/>
                <w:sz w:val="20"/>
              </w:rPr>
            </w:pPr>
            <w:r>
              <w:rPr>
                <w:rFonts w:ascii="Arial" w:hAnsi="Arial"/>
                <w:sz w:val="20"/>
              </w:rPr>
              <w:t>costuri suplimentare cu: dotări cu echipamente și utilaje specifice, mijloace de transport și intervenție, personal, instruire personal, autorizare</w:t>
            </w:r>
            <w:r>
              <w:rPr>
                <w:rFonts w:ascii="Arial" w:hAnsi="Arial"/>
                <w:spacing w:val="-2"/>
                <w:sz w:val="20"/>
              </w:rPr>
              <w:t xml:space="preserve"> </w:t>
            </w:r>
            <w:r>
              <w:rPr>
                <w:rFonts w:ascii="Arial" w:hAnsi="Arial"/>
                <w:sz w:val="20"/>
              </w:rPr>
              <w:t>personal;</w:t>
            </w:r>
          </w:p>
          <w:p w:rsidR="00AD6288" w:rsidRDefault="00AD6288" w:rsidP="00AD6288">
            <w:pPr>
              <w:pStyle w:val="TableParagraph"/>
              <w:numPr>
                <w:ilvl w:val="0"/>
                <w:numId w:val="10"/>
              </w:numPr>
              <w:tabs>
                <w:tab w:val="left" w:pos="332"/>
              </w:tabs>
              <w:spacing w:line="225" w:lineRule="exact"/>
              <w:ind w:hanging="223"/>
              <w:rPr>
                <w:rFonts w:ascii="Arial" w:hAnsi="Arial"/>
                <w:sz w:val="20"/>
              </w:rPr>
            </w:pPr>
            <w:r>
              <w:rPr>
                <w:rFonts w:ascii="Arial" w:hAnsi="Arial"/>
                <w:sz w:val="20"/>
              </w:rPr>
              <w:t>costuri de licențiere la</w:t>
            </w:r>
            <w:r>
              <w:rPr>
                <w:rFonts w:ascii="Arial" w:hAnsi="Arial"/>
                <w:spacing w:val="-1"/>
                <w:sz w:val="20"/>
              </w:rPr>
              <w:t xml:space="preserve"> </w:t>
            </w:r>
            <w:r>
              <w:rPr>
                <w:rFonts w:ascii="Arial" w:hAnsi="Arial"/>
                <w:sz w:val="20"/>
              </w:rPr>
              <w:t>ANRSC.</w:t>
            </w:r>
          </w:p>
        </w:tc>
        <w:tc>
          <w:tcPr>
            <w:tcW w:w="4573" w:type="dxa"/>
          </w:tcPr>
          <w:p w:rsidR="00AD6288" w:rsidRDefault="00AD6288" w:rsidP="00AD6288">
            <w:pPr>
              <w:pStyle w:val="TableParagraph"/>
              <w:numPr>
                <w:ilvl w:val="0"/>
                <w:numId w:val="9"/>
              </w:numPr>
              <w:tabs>
                <w:tab w:val="left" w:pos="332"/>
              </w:tabs>
              <w:spacing w:before="2" w:line="235" w:lineRule="auto"/>
              <w:ind w:right="382" w:hanging="223"/>
              <w:rPr>
                <w:rFonts w:ascii="Arial" w:hAnsi="Arial"/>
                <w:sz w:val="20"/>
              </w:rPr>
            </w:pPr>
            <w:r>
              <w:rPr>
                <w:rFonts w:ascii="Arial" w:hAnsi="Arial"/>
                <w:sz w:val="20"/>
              </w:rPr>
              <w:t>negocierea unui contract detaliat pe termen lung, în special pentru prima parte</w:t>
            </w:r>
            <w:r>
              <w:rPr>
                <w:rFonts w:ascii="Arial" w:hAnsi="Arial"/>
                <w:spacing w:val="-4"/>
                <w:sz w:val="20"/>
              </w:rPr>
              <w:t xml:space="preserve"> </w:t>
            </w:r>
            <w:r>
              <w:rPr>
                <w:rFonts w:ascii="Arial" w:hAnsi="Arial"/>
                <w:sz w:val="20"/>
              </w:rPr>
              <w:t>a</w:t>
            </w:r>
          </w:p>
          <w:p w:rsidR="00AD6288" w:rsidRDefault="00AD6288" w:rsidP="00AD6288">
            <w:pPr>
              <w:pStyle w:val="TableParagraph"/>
              <w:spacing w:before="2"/>
              <w:ind w:left="331"/>
              <w:rPr>
                <w:rFonts w:ascii="Arial" w:hAnsi="Arial"/>
                <w:sz w:val="20"/>
              </w:rPr>
            </w:pPr>
            <w:r>
              <w:rPr>
                <w:rFonts w:ascii="Arial" w:hAnsi="Arial"/>
                <w:sz w:val="20"/>
              </w:rPr>
              <w:t>contractului, cea în care se realizează investitiile;</w:t>
            </w:r>
          </w:p>
          <w:p w:rsidR="00AD6288" w:rsidRDefault="00AD6288" w:rsidP="00AD6288">
            <w:pPr>
              <w:pStyle w:val="TableParagraph"/>
              <w:numPr>
                <w:ilvl w:val="0"/>
                <w:numId w:val="9"/>
              </w:numPr>
              <w:tabs>
                <w:tab w:val="left" w:pos="332"/>
              </w:tabs>
              <w:spacing w:before="2"/>
              <w:ind w:right="173" w:hanging="223"/>
              <w:rPr>
                <w:rFonts w:ascii="Arial" w:hAnsi="Arial"/>
                <w:sz w:val="20"/>
              </w:rPr>
            </w:pPr>
            <w:r>
              <w:rPr>
                <w:rFonts w:ascii="Arial" w:hAnsi="Arial"/>
                <w:sz w:val="20"/>
              </w:rPr>
              <w:t>Municipalitatea trebuie să își adapteze</w:t>
            </w:r>
            <w:r>
              <w:rPr>
                <w:rFonts w:ascii="Arial" w:hAnsi="Arial"/>
                <w:spacing w:val="-23"/>
                <w:sz w:val="20"/>
              </w:rPr>
              <w:t xml:space="preserve"> </w:t>
            </w:r>
            <w:r>
              <w:rPr>
                <w:rFonts w:ascii="Arial" w:hAnsi="Arial"/>
                <w:sz w:val="20"/>
              </w:rPr>
              <w:t>rolurile de administrator si reglementator pe durata contractului si va trebui să se concentreze pe negociere, monitorizare și</w:t>
            </w:r>
            <w:r>
              <w:rPr>
                <w:rFonts w:ascii="Arial" w:hAnsi="Arial"/>
                <w:spacing w:val="-8"/>
                <w:sz w:val="20"/>
              </w:rPr>
              <w:t xml:space="preserve"> </w:t>
            </w:r>
            <w:r>
              <w:rPr>
                <w:rFonts w:ascii="Arial" w:hAnsi="Arial"/>
                <w:sz w:val="20"/>
              </w:rPr>
              <w:t>supervizare.</w:t>
            </w:r>
          </w:p>
          <w:p w:rsidR="00AD6288" w:rsidRDefault="00AD6288" w:rsidP="00AD6288">
            <w:pPr>
              <w:pStyle w:val="TableParagraph"/>
              <w:numPr>
                <w:ilvl w:val="0"/>
                <w:numId w:val="9"/>
              </w:numPr>
              <w:tabs>
                <w:tab w:val="left" w:pos="332"/>
              </w:tabs>
              <w:spacing w:before="1" w:line="237" w:lineRule="auto"/>
              <w:ind w:right="253" w:hanging="223"/>
              <w:rPr>
                <w:rFonts w:ascii="Arial" w:hAnsi="Arial"/>
                <w:sz w:val="20"/>
              </w:rPr>
            </w:pPr>
            <w:r>
              <w:rPr>
                <w:rFonts w:ascii="Arial" w:hAnsi="Arial"/>
                <w:sz w:val="20"/>
              </w:rPr>
              <w:t>monopol pe termen lung atribuit</w:t>
            </w:r>
            <w:r>
              <w:rPr>
                <w:rFonts w:ascii="Arial" w:hAnsi="Arial"/>
                <w:spacing w:val="-14"/>
                <w:sz w:val="20"/>
              </w:rPr>
              <w:t xml:space="preserve"> </w:t>
            </w:r>
            <w:r>
              <w:rPr>
                <w:rFonts w:ascii="Arial" w:hAnsi="Arial"/>
                <w:sz w:val="20"/>
              </w:rPr>
              <w:t>operatorului, cu dificultăți de ieșire din contract în caz de neperformanță;</w:t>
            </w:r>
          </w:p>
          <w:p w:rsidR="00AD6288" w:rsidRDefault="00AD6288" w:rsidP="00AD6288">
            <w:pPr>
              <w:pStyle w:val="TableParagraph"/>
              <w:numPr>
                <w:ilvl w:val="0"/>
                <w:numId w:val="9"/>
              </w:numPr>
              <w:tabs>
                <w:tab w:val="left" w:pos="332"/>
              </w:tabs>
              <w:spacing w:before="7" w:line="235" w:lineRule="auto"/>
              <w:ind w:right="304" w:hanging="223"/>
              <w:rPr>
                <w:rFonts w:ascii="Arial" w:hAnsi="Arial"/>
                <w:sz w:val="20"/>
              </w:rPr>
            </w:pPr>
            <w:r>
              <w:rPr>
                <w:rFonts w:ascii="Arial" w:hAnsi="Arial"/>
                <w:sz w:val="20"/>
              </w:rPr>
              <w:t>Municipalitatea trebuie să asigura finanțarea prestării serviciului</w:t>
            </w:r>
          </w:p>
        </w:tc>
      </w:tr>
    </w:tbl>
    <w:p w:rsidR="00AD6288" w:rsidRDefault="00AD6288" w:rsidP="00D92DC9">
      <w:pPr>
        <w:pStyle w:val="BodyText"/>
        <w:spacing w:before="144"/>
        <w:ind w:right="493"/>
        <w:jc w:val="both"/>
      </w:pPr>
    </w:p>
    <w:p w:rsidR="00115CB7" w:rsidRDefault="00115CB7" w:rsidP="00D92DC9">
      <w:pPr>
        <w:pStyle w:val="BodyText"/>
        <w:spacing w:before="144"/>
        <w:ind w:right="493"/>
        <w:jc w:val="both"/>
      </w:pPr>
    </w:p>
    <w:p w:rsidR="00115CB7" w:rsidRPr="00443C66" w:rsidRDefault="00115CB7" w:rsidP="00115CB7">
      <w:pPr>
        <w:pStyle w:val="BodyText"/>
        <w:jc w:val="both"/>
      </w:pPr>
      <w:r w:rsidRPr="00443C66">
        <w:lastRenderedPageBreak/>
        <w:t xml:space="preserve">servicii publice sau direcţii de specialitate, </w:t>
      </w:r>
      <w:r>
        <w:t>cu</w:t>
      </w:r>
      <w:r w:rsidRPr="00443C66">
        <w:t xml:space="preserve"> personalitate juridică, organizate în cadrul aparatului propriu al consiliului local ori judeţean al unităţii administrativ-teritoriale, având autonomie financiară şi</w:t>
      </w:r>
      <w:r w:rsidRPr="00443C66">
        <w:rPr>
          <w:spacing w:val="-5"/>
        </w:rPr>
        <w:t xml:space="preserve"> </w:t>
      </w:r>
      <w:r w:rsidRPr="00443C66">
        <w:t>funcţională;</w:t>
      </w:r>
    </w:p>
    <w:p w:rsidR="00115CB7" w:rsidRDefault="00115CB7" w:rsidP="00115CB7">
      <w:pPr>
        <w:pStyle w:val="BodyText"/>
        <w:jc w:val="both"/>
      </w:pPr>
      <w:r w:rsidRPr="00443C66">
        <w:t xml:space="preserve">Conform art. 22 alin. (5) din Legea nr. 230/2006 autoritatea publică locală are competența exclusivă de a impune în acord cu legea toate exigențele necesare pentru realizarea în bune condiții a delegării. Astfel legea nu limitează accesul la procedura de selecție a delegării, fiind permisă participarea oricăror operatori, inclusiv a celor nou-înființați, cu respectarea însă a condițiilor impuse de către autoritatea publică locală. În virtutea atribuțiilor de reprezentare ale administrației publice locale, așa cum reies din cuprinsul Legii nr. 215/2001, aceasta va impune exigențele necesare privitoare la asigurarea existenţei garanţiilor profesionale şi financiare ale operatorului, precum şi modalitatea de respectare a indicatorilor de performanţă. Prin </w:t>
      </w:r>
      <w:proofErr w:type="gramStart"/>
      <w:r w:rsidRPr="00443C66">
        <w:t xml:space="preserve">cuprinsul </w:t>
      </w:r>
      <w:r>
        <w:t xml:space="preserve"> Regulamentului</w:t>
      </w:r>
      <w:proofErr w:type="gramEnd"/>
      <w:r>
        <w:t xml:space="preserve"> si a Caietului de sarcini,</w:t>
      </w:r>
      <w:r w:rsidRPr="00443C66">
        <w:t xml:space="preserve"> autoritatea publică locală poate</w:t>
      </w:r>
      <w:r w:rsidRPr="00AE7906">
        <w:t xml:space="preserve"> </w:t>
      </w:r>
      <w:r w:rsidRPr="00443C66">
        <w:t xml:space="preserve">impune prevederi și cu privire </w:t>
      </w:r>
      <w:r>
        <w:t>indicatorii de performanţă privind prestarea serviciului.</w:t>
      </w:r>
    </w:p>
    <w:p w:rsidR="00115CB7" w:rsidRDefault="00115CB7" w:rsidP="00115CB7">
      <w:pPr>
        <w:pStyle w:val="BodyText"/>
        <w:jc w:val="both"/>
        <w:rPr>
          <w:b/>
        </w:rPr>
      </w:pPr>
    </w:p>
    <w:p w:rsidR="00115CB7" w:rsidRPr="00C759E4" w:rsidRDefault="00115CB7" w:rsidP="00115CB7">
      <w:pPr>
        <w:pStyle w:val="BodyText"/>
        <w:jc w:val="both"/>
        <w:rPr>
          <w:b/>
        </w:rPr>
      </w:pPr>
      <w:r w:rsidRPr="00C759E4">
        <w:rPr>
          <w:b/>
        </w:rPr>
        <w:t>Concluzii si recomandari</w:t>
      </w:r>
    </w:p>
    <w:p w:rsidR="00115CB7" w:rsidRDefault="00115CB7" w:rsidP="00115CB7">
      <w:pPr>
        <w:pStyle w:val="BodyText"/>
        <w:jc w:val="both"/>
      </w:pPr>
    </w:p>
    <w:p w:rsidR="00115CB7" w:rsidRDefault="00115CB7" w:rsidP="00115CB7">
      <w:pPr>
        <w:pStyle w:val="BodyText"/>
        <w:jc w:val="both"/>
      </w:pPr>
      <w:r w:rsidRPr="00443C66">
        <w:rPr>
          <w:b/>
        </w:rPr>
        <w:t xml:space="preserve">Motivele prezentate recomandă ca fiind oportună </w:t>
      </w:r>
      <w:r>
        <w:rPr>
          <w:b/>
        </w:rPr>
        <w:t>gestiunea directa</w:t>
      </w:r>
      <w:r w:rsidRPr="00443C66">
        <w:rPr>
          <w:b/>
        </w:rPr>
        <w:t xml:space="preserve"> sistemului de iluminat public</w:t>
      </w:r>
      <w:r>
        <w:rPr>
          <w:b/>
        </w:rPr>
        <w:t>.</w:t>
      </w:r>
      <w:r w:rsidRPr="00443C66">
        <w:rPr>
          <w:b/>
        </w:rPr>
        <w:t xml:space="preserve"> </w:t>
      </w:r>
      <w:r>
        <w:rPr>
          <w:b/>
        </w:rPr>
        <w:t>A</w:t>
      </w:r>
      <w:r w:rsidRPr="00443C66">
        <w:t xml:space="preserve">vantaje al gestiunii directe în raport cu gestiunea delegată, recomandă în prima faza adoptarea </w:t>
      </w:r>
      <w:r>
        <w:t>primei</w:t>
      </w:r>
      <w:r w:rsidRPr="00443C66">
        <w:t xml:space="preserve"> variante. Posibilitatea extinsă de exploatare a serviciului, finalitatea </w:t>
      </w:r>
      <w:proofErr w:type="gramStart"/>
      <w:r w:rsidRPr="00443C66">
        <w:t>și  ritmul</w:t>
      </w:r>
      <w:proofErr w:type="gramEnd"/>
      <w:r w:rsidRPr="00443C66">
        <w:t xml:space="preserve"> investițiilor din infrastructură determină ca formula</w:t>
      </w:r>
      <w:r>
        <w:t xml:space="preserve"> a</w:t>
      </w:r>
      <w:r w:rsidRPr="00443C66">
        <w:t xml:space="preserve"> gestiunii </w:t>
      </w:r>
      <w:r>
        <w:t>directe</w:t>
      </w:r>
      <w:r w:rsidRPr="00443C66">
        <w:t xml:space="preserve"> să fie mai ușor de pus în acord cu interesele generale ale comunității și implicit, cu principiile care guvernează serviciul.</w:t>
      </w:r>
      <w:r>
        <w:t xml:space="preserve"> </w:t>
      </w:r>
      <w:r w:rsidRPr="00443C66">
        <w:t>Înființarea și existența unui serviciu propriu al Primăriei, cu personal specializat și cu dotare tehnică necesară prestării unui serviciu de calitate</w:t>
      </w:r>
      <w:r>
        <w:t>,</w:t>
      </w:r>
      <w:r w:rsidRPr="00443C66">
        <w:t xml:space="preserve"> poate conduce la stabilirea unor tarife reale și acceptate de către toti utilizatorii,</w:t>
      </w:r>
      <w:r>
        <w:t xml:space="preserve"> aspect </w:t>
      </w:r>
      <w:proofErr w:type="gramStart"/>
      <w:r>
        <w:t xml:space="preserve">care </w:t>
      </w:r>
      <w:r w:rsidRPr="00443C66">
        <w:t xml:space="preserve"> </w:t>
      </w:r>
      <w:r>
        <w:t>demonstrează</w:t>
      </w:r>
      <w:proofErr w:type="gramEnd"/>
      <w:r>
        <w:t xml:space="preserve"> că pentru Primăria Comuna Lupac este avantajos gestionarea directa, atât din punct de vedere economic, cât si din punct de vedere urbanistic-calitativ. </w:t>
      </w:r>
    </w:p>
    <w:p w:rsidR="00115CB7" w:rsidRDefault="00115CB7" w:rsidP="00115CB7">
      <w:pPr>
        <w:pStyle w:val="BodyText"/>
        <w:spacing w:before="144"/>
        <w:ind w:right="493"/>
        <w:jc w:val="both"/>
      </w:pPr>
      <w:r>
        <w:t>Prezentul studiu a fost elaborat pe baza datelor și informațiilor puse la dispoziție de către beneficarul acestuia. Orice omisiune, lipsă sau incorectitudine a datelor si informațiilor furnizate de către beneficiar poate afecta partial sau total rezultatele prezentului studiu față de care redactorul acestuia este exonerat de răspundere</w:t>
      </w:r>
      <w:bookmarkStart w:id="3" w:name="_GoBack"/>
      <w:bookmarkEnd w:id="3"/>
    </w:p>
    <w:p w:rsidR="00115CB7" w:rsidRDefault="00115CB7" w:rsidP="00D92DC9">
      <w:pPr>
        <w:pStyle w:val="BodyText"/>
        <w:spacing w:before="144"/>
        <w:ind w:right="493"/>
        <w:jc w:val="both"/>
      </w:pPr>
    </w:p>
    <w:p w:rsidR="00115CB7" w:rsidRDefault="00115CB7" w:rsidP="00D92DC9">
      <w:pPr>
        <w:pStyle w:val="BodyText"/>
        <w:spacing w:before="144"/>
        <w:ind w:right="493"/>
        <w:jc w:val="both"/>
      </w:pPr>
    </w:p>
    <w:p w:rsidR="00115CB7" w:rsidRDefault="00115CB7" w:rsidP="00D92DC9">
      <w:pPr>
        <w:pStyle w:val="BodyText"/>
        <w:spacing w:before="144"/>
        <w:ind w:right="493"/>
        <w:jc w:val="both"/>
      </w:pPr>
    </w:p>
    <w:p w:rsidR="00115CB7" w:rsidRDefault="00115CB7" w:rsidP="00115CB7">
      <w:pPr>
        <w:jc w:val="both"/>
        <w:rPr>
          <w:rFonts w:ascii="Times New Roman" w:eastAsia="Arial Narrow" w:hAnsi="Times New Roman" w:cs="Times New Roman"/>
          <w:b/>
          <w:sz w:val="24"/>
          <w:szCs w:val="24"/>
        </w:rPr>
      </w:pPr>
      <w:r>
        <w:rPr>
          <w:rFonts w:ascii="Times New Roman" w:hAnsi="Times New Roman" w:cs="Times New Roman"/>
          <w:b/>
          <w:sz w:val="24"/>
          <w:szCs w:val="24"/>
        </w:rPr>
        <w:t xml:space="preserve">          Preşedinte de şedinţă                                                             </w:t>
      </w:r>
      <w:r>
        <w:rPr>
          <w:rFonts w:ascii="Times New Roman" w:hAnsi="Times New Roman" w:cs="Times New Roman"/>
          <w:b/>
          <w:sz w:val="24"/>
          <w:szCs w:val="24"/>
          <w:u w:val="single"/>
        </w:rPr>
        <w:t>Contrasemnează:</w:t>
      </w:r>
    </w:p>
    <w:p w:rsidR="00115CB7" w:rsidRDefault="00115CB7" w:rsidP="00115CB7">
      <w:pPr>
        <w:jc w:val="both"/>
        <w:rPr>
          <w:rFonts w:ascii="Times New Roman" w:hAnsi="Times New Roman" w:cs="Times New Roman"/>
          <w:b/>
          <w:sz w:val="24"/>
          <w:szCs w:val="24"/>
        </w:rPr>
      </w:pPr>
      <w:r>
        <w:rPr>
          <w:rFonts w:ascii="Times New Roman" w:hAnsi="Times New Roman" w:cs="Times New Roman"/>
          <w:b/>
          <w:sz w:val="24"/>
          <w:szCs w:val="24"/>
        </w:rPr>
        <w:t xml:space="preserve">               Lugojan Petru                                                                    Secretar General,</w:t>
      </w:r>
    </w:p>
    <w:p w:rsidR="00115CB7" w:rsidRDefault="00115CB7" w:rsidP="00115CB7">
      <w:pPr>
        <w:jc w:val="both"/>
        <w:rPr>
          <w:rFonts w:ascii="Times New Roman" w:hAnsi="Times New Roman" w:cs="Times New Roman"/>
          <w:b/>
          <w:sz w:val="24"/>
          <w:szCs w:val="24"/>
        </w:rPr>
      </w:pPr>
      <w:r>
        <w:rPr>
          <w:rFonts w:ascii="Times New Roman" w:hAnsi="Times New Roman" w:cs="Times New Roman"/>
          <w:b/>
          <w:sz w:val="24"/>
          <w:szCs w:val="24"/>
        </w:rPr>
        <w:t xml:space="preserve">                                                                                                           Moteca Alin-Dorin</w:t>
      </w:r>
    </w:p>
    <w:p w:rsidR="00115CB7" w:rsidRDefault="00115CB7" w:rsidP="00D92DC9">
      <w:pPr>
        <w:pStyle w:val="BodyText"/>
        <w:spacing w:before="144"/>
        <w:ind w:right="493"/>
        <w:jc w:val="both"/>
      </w:pPr>
    </w:p>
    <w:sectPr w:rsidR="00115C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FCF" w:rsidRDefault="00DE1FCF" w:rsidP="00562391">
      <w:r>
        <w:separator/>
      </w:r>
    </w:p>
  </w:endnote>
  <w:endnote w:type="continuationSeparator" w:id="0">
    <w:p w:rsidR="00DE1FCF" w:rsidRDefault="00DE1FCF" w:rsidP="0056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FCF" w:rsidRDefault="00DE1FCF" w:rsidP="00562391">
      <w:r>
        <w:separator/>
      </w:r>
    </w:p>
  </w:footnote>
  <w:footnote w:type="continuationSeparator" w:id="0">
    <w:p w:rsidR="00DE1FCF" w:rsidRDefault="00DE1FCF" w:rsidP="00562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29A" w:rsidRDefault="00443C66">
    <w:pPr>
      <w:pStyle w:val="BodyText"/>
      <w:spacing w:line="14" w:lineRule="auto"/>
      <w:rPr>
        <w:sz w:val="20"/>
      </w:rPr>
    </w:pPr>
    <w:r>
      <w:rPr>
        <w:noProof/>
        <w:lang w:val="ro-RO" w:eastAsia="ro-RO"/>
      </w:rPr>
      <mc:AlternateContent>
        <mc:Choice Requires="wps">
          <w:drawing>
            <wp:anchor distT="0" distB="0" distL="114300" distR="114300" simplePos="0" relativeHeight="251659264" behindDoc="0" locked="0" layoutInCell="1" allowOverlap="1" wp14:anchorId="4E3FBBDA" wp14:editId="7E1670E2">
              <wp:simplePos x="0" y="0"/>
              <wp:positionH relativeFrom="page">
                <wp:posOffset>844550</wp:posOffset>
              </wp:positionH>
              <wp:positionV relativeFrom="page">
                <wp:posOffset>354965</wp:posOffset>
              </wp:positionV>
              <wp:extent cx="6525895" cy="1018540"/>
              <wp:effectExtent l="0" t="2540" r="190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895" cy="101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29A" w:rsidRDefault="00DE1FC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FBBDA" id="_x0000_t202" coordsize="21600,21600" o:spt="202" path="m,l,21600r21600,l21600,xe">
              <v:stroke joinstyle="miter"/>
              <v:path gradientshapeok="t" o:connecttype="rect"/>
            </v:shapetype>
            <v:shape id="Text Box 27" o:spid="_x0000_s1030" type="#_x0000_t202" style="position:absolute;margin-left:66.5pt;margin-top:27.95pt;width:513.85pt;height:8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MvsQIAAKw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" filled="f" stroked="f">
              <v:textbox inset="0,0,0,0">
                <w:txbxContent>
                  <w:p w:rsidR="0037129A" w:rsidRDefault="00DE1FCF">
                    <w:pPr>
                      <w:pStyle w:val="Body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E6DA6"/>
    <w:multiLevelType w:val="multilevel"/>
    <w:tmpl w:val="E452C6AE"/>
    <w:lvl w:ilvl="0">
      <w:start w:val="8"/>
      <w:numFmt w:val="decimal"/>
      <w:lvlText w:val="%1"/>
      <w:lvlJc w:val="left"/>
      <w:pPr>
        <w:ind w:left="2158" w:hanging="682"/>
        <w:jc w:val="left"/>
      </w:pPr>
      <w:rPr>
        <w:rFonts w:hint="default"/>
      </w:rPr>
    </w:lvl>
    <w:lvl w:ilvl="1">
      <w:start w:val="1"/>
      <w:numFmt w:val="decimal"/>
      <w:lvlText w:val="%1.%2"/>
      <w:lvlJc w:val="left"/>
      <w:pPr>
        <w:ind w:left="2158" w:hanging="682"/>
        <w:jc w:val="left"/>
      </w:pPr>
      <w:rPr>
        <w:rFonts w:hint="default"/>
        <w:w w:val="99"/>
      </w:rPr>
    </w:lvl>
    <w:lvl w:ilvl="2">
      <w:start w:val="1"/>
      <w:numFmt w:val="lowerLetter"/>
      <w:lvlText w:val="%3)"/>
      <w:lvlJc w:val="left"/>
      <w:pPr>
        <w:ind w:left="2544" w:hanging="243"/>
        <w:jc w:val="left"/>
      </w:pPr>
      <w:rPr>
        <w:rFonts w:ascii="Calibri" w:eastAsia="Calibri" w:hAnsi="Calibri" w:cs="Calibri" w:hint="default"/>
        <w:spacing w:val="-3"/>
        <w:w w:val="100"/>
        <w:sz w:val="24"/>
        <w:szCs w:val="24"/>
      </w:rPr>
    </w:lvl>
    <w:lvl w:ilvl="3">
      <w:numFmt w:val="bullet"/>
      <w:lvlText w:val="•"/>
      <w:lvlJc w:val="left"/>
      <w:pPr>
        <w:ind w:left="4554" w:hanging="243"/>
      </w:pPr>
      <w:rPr>
        <w:rFonts w:hint="default"/>
      </w:rPr>
    </w:lvl>
    <w:lvl w:ilvl="4">
      <w:numFmt w:val="bullet"/>
      <w:lvlText w:val="•"/>
      <w:lvlJc w:val="left"/>
      <w:pPr>
        <w:ind w:left="5562" w:hanging="243"/>
      </w:pPr>
      <w:rPr>
        <w:rFonts w:hint="default"/>
      </w:rPr>
    </w:lvl>
    <w:lvl w:ilvl="5">
      <w:numFmt w:val="bullet"/>
      <w:lvlText w:val="•"/>
      <w:lvlJc w:val="left"/>
      <w:pPr>
        <w:ind w:left="6569" w:hanging="243"/>
      </w:pPr>
      <w:rPr>
        <w:rFonts w:hint="default"/>
      </w:rPr>
    </w:lvl>
    <w:lvl w:ilvl="6">
      <w:numFmt w:val="bullet"/>
      <w:lvlText w:val="•"/>
      <w:lvlJc w:val="left"/>
      <w:pPr>
        <w:ind w:left="7576" w:hanging="243"/>
      </w:pPr>
      <w:rPr>
        <w:rFonts w:hint="default"/>
      </w:rPr>
    </w:lvl>
    <w:lvl w:ilvl="7">
      <w:numFmt w:val="bullet"/>
      <w:lvlText w:val="•"/>
      <w:lvlJc w:val="left"/>
      <w:pPr>
        <w:ind w:left="8584" w:hanging="243"/>
      </w:pPr>
      <w:rPr>
        <w:rFonts w:hint="default"/>
      </w:rPr>
    </w:lvl>
    <w:lvl w:ilvl="8">
      <w:numFmt w:val="bullet"/>
      <w:lvlText w:val="•"/>
      <w:lvlJc w:val="left"/>
      <w:pPr>
        <w:ind w:left="9591" w:hanging="243"/>
      </w:pPr>
      <w:rPr>
        <w:rFonts w:hint="default"/>
      </w:rPr>
    </w:lvl>
  </w:abstractNum>
  <w:abstractNum w:abstractNumId="1" w15:restartNumberingAfterBreak="0">
    <w:nsid w:val="1F3D15CB"/>
    <w:multiLevelType w:val="hybridMultilevel"/>
    <w:tmpl w:val="9EE43408"/>
    <w:lvl w:ilvl="0" w:tplc="A2D0A2DE">
      <w:numFmt w:val="bullet"/>
      <w:lvlText w:val=""/>
      <w:lvlJc w:val="left"/>
      <w:pPr>
        <w:ind w:left="331" w:hanging="224"/>
      </w:pPr>
      <w:rPr>
        <w:rFonts w:ascii="Symbol" w:eastAsia="Symbol" w:hAnsi="Symbol" w:cs="Symbol" w:hint="default"/>
        <w:w w:val="99"/>
        <w:sz w:val="20"/>
        <w:szCs w:val="20"/>
      </w:rPr>
    </w:lvl>
    <w:lvl w:ilvl="1" w:tplc="B9360580">
      <w:numFmt w:val="bullet"/>
      <w:lvlText w:val="•"/>
      <w:lvlJc w:val="left"/>
      <w:pPr>
        <w:ind w:left="747" w:hanging="224"/>
      </w:pPr>
      <w:rPr>
        <w:rFonts w:hint="default"/>
      </w:rPr>
    </w:lvl>
    <w:lvl w:ilvl="2" w:tplc="59D00DDC">
      <w:numFmt w:val="bullet"/>
      <w:lvlText w:val="•"/>
      <w:lvlJc w:val="left"/>
      <w:pPr>
        <w:ind w:left="1154" w:hanging="224"/>
      </w:pPr>
      <w:rPr>
        <w:rFonts w:hint="default"/>
      </w:rPr>
    </w:lvl>
    <w:lvl w:ilvl="3" w:tplc="237A6FA6">
      <w:numFmt w:val="bullet"/>
      <w:lvlText w:val="•"/>
      <w:lvlJc w:val="left"/>
      <w:pPr>
        <w:ind w:left="1562" w:hanging="224"/>
      </w:pPr>
      <w:rPr>
        <w:rFonts w:hint="default"/>
      </w:rPr>
    </w:lvl>
    <w:lvl w:ilvl="4" w:tplc="BA0CE75C">
      <w:numFmt w:val="bullet"/>
      <w:lvlText w:val="•"/>
      <w:lvlJc w:val="left"/>
      <w:pPr>
        <w:ind w:left="1969" w:hanging="224"/>
      </w:pPr>
      <w:rPr>
        <w:rFonts w:hint="default"/>
      </w:rPr>
    </w:lvl>
    <w:lvl w:ilvl="5" w:tplc="4C48D5FA">
      <w:numFmt w:val="bullet"/>
      <w:lvlText w:val="•"/>
      <w:lvlJc w:val="left"/>
      <w:pPr>
        <w:ind w:left="2377" w:hanging="224"/>
      </w:pPr>
      <w:rPr>
        <w:rFonts w:hint="default"/>
      </w:rPr>
    </w:lvl>
    <w:lvl w:ilvl="6" w:tplc="55AC1E70">
      <w:numFmt w:val="bullet"/>
      <w:lvlText w:val="•"/>
      <w:lvlJc w:val="left"/>
      <w:pPr>
        <w:ind w:left="2784" w:hanging="224"/>
      </w:pPr>
      <w:rPr>
        <w:rFonts w:hint="default"/>
      </w:rPr>
    </w:lvl>
    <w:lvl w:ilvl="7" w:tplc="1D7215D0">
      <w:numFmt w:val="bullet"/>
      <w:lvlText w:val="•"/>
      <w:lvlJc w:val="left"/>
      <w:pPr>
        <w:ind w:left="3191" w:hanging="224"/>
      </w:pPr>
      <w:rPr>
        <w:rFonts w:hint="default"/>
      </w:rPr>
    </w:lvl>
    <w:lvl w:ilvl="8" w:tplc="43F0D2F6">
      <w:numFmt w:val="bullet"/>
      <w:lvlText w:val="•"/>
      <w:lvlJc w:val="left"/>
      <w:pPr>
        <w:ind w:left="3599" w:hanging="224"/>
      </w:pPr>
      <w:rPr>
        <w:rFonts w:hint="default"/>
      </w:rPr>
    </w:lvl>
  </w:abstractNum>
  <w:abstractNum w:abstractNumId="2" w15:restartNumberingAfterBreak="0">
    <w:nsid w:val="1F542441"/>
    <w:multiLevelType w:val="hybridMultilevel"/>
    <w:tmpl w:val="2692F284"/>
    <w:lvl w:ilvl="0" w:tplc="49941060">
      <w:numFmt w:val="bullet"/>
      <w:lvlText w:val=""/>
      <w:lvlJc w:val="left"/>
      <w:pPr>
        <w:ind w:left="331" w:hanging="224"/>
      </w:pPr>
      <w:rPr>
        <w:rFonts w:ascii="Symbol" w:eastAsia="Symbol" w:hAnsi="Symbol" w:cs="Symbol" w:hint="default"/>
        <w:w w:val="99"/>
        <w:sz w:val="20"/>
        <w:szCs w:val="20"/>
      </w:rPr>
    </w:lvl>
    <w:lvl w:ilvl="1" w:tplc="A2844810">
      <w:numFmt w:val="bullet"/>
      <w:lvlText w:val="•"/>
      <w:lvlJc w:val="left"/>
      <w:pPr>
        <w:ind w:left="762" w:hanging="224"/>
      </w:pPr>
      <w:rPr>
        <w:rFonts w:hint="default"/>
      </w:rPr>
    </w:lvl>
    <w:lvl w:ilvl="2" w:tplc="24C64994">
      <w:numFmt w:val="bullet"/>
      <w:lvlText w:val="•"/>
      <w:lvlJc w:val="left"/>
      <w:pPr>
        <w:ind w:left="1184" w:hanging="224"/>
      </w:pPr>
      <w:rPr>
        <w:rFonts w:hint="default"/>
      </w:rPr>
    </w:lvl>
    <w:lvl w:ilvl="3" w:tplc="1FFC6910">
      <w:numFmt w:val="bullet"/>
      <w:lvlText w:val="•"/>
      <w:lvlJc w:val="left"/>
      <w:pPr>
        <w:ind w:left="1606" w:hanging="224"/>
      </w:pPr>
      <w:rPr>
        <w:rFonts w:hint="default"/>
      </w:rPr>
    </w:lvl>
    <w:lvl w:ilvl="4" w:tplc="27D8FA2C">
      <w:numFmt w:val="bullet"/>
      <w:lvlText w:val="•"/>
      <w:lvlJc w:val="left"/>
      <w:pPr>
        <w:ind w:left="2029" w:hanging="224"/>
      </w:pPr>
      <w:rPr>
        <w:rFonts w:hint="default"/>
      </w:rPr>
    </w:lvl>
    <w:lvl w:ilvl="5" w:tplc="2110C0D8">
      <w:numFmt w:val="bullet"/>
      <w:lvlText w:val="•"/>
      <w:lvlJc w:val="left"/>
      <w:pPr>
        <w:ind w:left="2451" w:hanging="224"/>
      </w:pPr>
      <w:rPr>
        <w:rFonts w:hint="default"/>
      </w:rPr>
    </w:lvl>
    <w:lvl w:ilvl="6" w:tplc="BEB26860">
      <w:numFmt w:val="bullet"/>
      <w:lvlText w:val="•"/>
      <w:lvlJc w:val="left"/>
      <w:pPr>
        <w:ind w:left="2873" w:hanging="224"/>
      </w:pPr>
      <w:rPr>
        <w:rFonts w:hint="default"/>
      </w:rPr>
    </w:lvl>
    <w:lvl w:ilvl="7" w:tplc="8340BF34">
      <w:numFmt w:val="bullet"/>
      <w:lvlText w:val="•"/>
      <w:lvlJc w:val="left"/>
      <w:pPr>
        <w:ind w:left="3296" w:hanging="224"/>
      </w:pPr>
      <w:rPr>
        <w:rFonts w:hint="default"/>
      </w:rPr>
    </w:lvl>
    <w:lvl w:ilvl="8" w:tplc="B0E82674">
      <w:numFmt w:val="bullet"/>
      <w:lvlText w:val="•"/>
      <w:lvlJc w:val="left"/>
      <w:pPr>
        <w:ind w:left="3718" w:hanging="224"/>
      </w:pPr>
      <w:rPr>
        <w:rFonts w:hint="default"/>
      </w:rPr>
    </w:lvl>
  </w:abstractNum>
  <w:abstractNum w:abstractNumId="3" w15:restartNumberingAfterBreak="0">
    <w:nsid w:val="20592032"/>
    <w:multiLevelType w:val="multilevel"/>
    <w:tmpl w:val="73201304"/>
    <w:lvl w:ilvl="0">
      <w:start w:val="1"/>
      <w:numFmt w:val="decimal"/>
      <w:lvlText w:val="%1."/>
      <w:lvlJc w:val="left"/>
      <w:pPr>
        <w:ind w:left="1582" w:hanging="440"/>
        <w:jc w:val="left"/>
      </w:pPr>
      <w:rPr>
        <w:rFonts w:ascii="Arial" w:eastAsia="Arial" w:hAnsi="Arial" w:cs="Arial" w:hint="default"/>
        <w:spacing w:val="-1"/>
        <w:w w:val="99"/>
        <w:sz w:val="20"/>
        <w:szCs w:val="20"/>
      </w:rPr>
    </w:lvl>
    <w:lvl w:ilvl="1">
      <w:start w:val="1"/>
      <w:numFmt w:val="decimal"/>
      <w:lvlText w:val="%1.%2"/>
      <w:lvlJc w:val="left"/>
      <w:pPr>
        <w:ind w:left="2462" w:hanging="682"/>
        <w:jc w:val="left"/>
      </w:pPr>
      <w:rPr>
        <w:rFonts w:hint="default"/>
        <w:spacing w:val="-1"/>
        <w:w w:val="99"/>
      </w:rPr>
    </w:lvl>
    <w:lvl w:ilvl="2">
      <w:numFmt w:val="bullet"/>
      <w:lvlText w:val="•"/>
      <w:lvlJc w:val="left"/>
      <w:pPr>
        <w:ind w:left="3476" w:hanging="682"/>
      </w:pPr>
      <w:rPr>
        <w:rFonts w:hint="default"/>
      </w:rPr>
    </w:lvl>
    <w:lvl w:ilvl="3">
      <w:numFmt w:val="bullet"/>
      <w:lvlText w:val="•"/>
      <w:lvlJc w:val="left"/>
      <w:pPr>
        <w:ind w:left="4492" w:hanging="682"/>
      </w:pPr>
      <w:rPr>
        <w:rFonts w:hint="default"/>
      </w:rPr>
    </w:lvl>
    <w:lvl w:ilvl="4">
      <w:numFmt w:val="bullet"/>
      <w:lvlText w:val="•"/>
      <w:lvlJc w:val="left"/>
      <w:pPr>
        <w:ind w:left="5508" w:hanging="682"/>
      </w:pPr>
      <w:rPr>
        <w:rFonts w:hint="default"/>
      </w:rPr>
    </w:lvl>
    <w:lvl w:ilvl="5">
      <w:numFmt w:val="bullet"/>
      <w:lvlText w:val="•"/>
      <w:lvlJc w:val="left"/>
      <w:pPr>
        <w:ind w:left="6525" w:hanging="682"/>
      </w:pPr>
      <w:rPr>
        <w:rFonts w:hint="default"/>
      </w:rPr>
    </w:lvl>
    <w:lvl w:ilvl="6">
      <w:numFmt w:val="bullet"/>
      <w:lvlText w:val="•"/>
      <w:lvlJc w:val="left"/>
      <w:pPr>
        <w:ind w:left="7541" w:hanging="682"/>
      </w:pPr>
      <w:rPr>
        <w:rFonts w:hint="default"/>
      </w:rPr>
    </w:lvl>
    <w:lvl w:ilvl="7">
      <w:numFmt w:val="bullet"/>
      <w:lvlText w:val="•"/>
      <w:lvlJc w:val="left"/>
      <w:pPr>
        <w:ind w:left="8557" w:hanging="682"/>
      </w:pPr>
      <w:rPr>
        <w:rFonts w:hint="default"/>
      </w:rPr>
    </w:lvl>
    <w:lvl w:ilvl="8">
      <w:numFmt w:val="bullet"/>
      <w:lvlText w:val="•"/>
      <w:lvlJc w:val="left"/>
      <w:pPr>
        <w:ind w:left="9573" w:hanging="682"/>
      </w:pPr>
      <w:rPr>
        <w:rFonts w:hint="default"/>
      </w:rPr>
    </w:lvl>
  </w:abstractNum>
  <w:abstractNum w:abstractNumId="4" w15:restartNumberingAfterBreak="0">
    <w:nsid w:val="251605DD"/>
    <w:multiLevelType w:val="hybridMultilevel"/>
    <w:tmpl w:val="4B84996A"/>
    <w:lvl w:ilvl="0" w:tplc="1AC69C2E">
      <w:numFmt w:val="bullet"/>
      <w:lvlText w:val=""/>
      <w:lvlJc w:val="left"/>
      <w:pPr>
        <w:ind w:left="331" w:hanging="224"/>
      </w:pPr>
      <w:rPr>
        <w:rFonts w:ascii="Symbol" w:eastAsia="Symbol" w:hAnsi="Symbol" w:cs="Symbol" w:hint="default"/>
        <w:w w:val="99"/>
        <w:sz w:val="20"/>
        <w:szCs w:val="20"/>
      </w:rPr>
    </w:lvl>
    <w:lvl w:ilvl="1" w:tplc="02D2B0F8">
      <w:numFmt w:val="bullet"/>
      <w:lvlText w:val="•"/>
      <w:lvlJc w:val="left"/>
      <w:pPr>
        <w:ind w:left="762" w:hanging="224"/>
      </w:pPr>
      <w:rPr>
        <w:rFonts w:hint="default"/>
      </w:rPr>
    </w:lvl>
    <w:lvl w:ilvl="2" w:tplc="C21EA62E">
      <w:numFmt w:val="bullet"/>
      <w:lvlText w:val="•"/>
      <w:lvlJc w:val="left"/>
      <w:pPr>
        <w:ind w:left="1184" w:hanging="224"/>
      </w:pPr>
      <w:rPr>
        <w:rFonts w:hint="default"/>
      </w:rPr>
    </w:lvl>
    <w:lvl w:ilvl="3" w:tplc="C01A38CE">
      <w:numFmt w:val="bullet"/>
      <w:lvlText w:val="•"/>
      <w:lvlJc w:val="left"/>
      <w:pPr>
        <w:ind w:left="1606" w:hanging="224"/>
      </w:pPr>
      <w:rPr>
        <w:rFonts w:hint="default"/>
      </w:rPr>
    </w:lvl>
    <w:lvl w:ilvl="4" w:tplc="A41C7276">
      <w:numFmt w:val="bullet"/>
      <w:lvlText w:val="•"/>
      <w:lvlJc w:val="left"/>
      <w:pPr>
        <w:ind w:left="2029" w:hanging="224"/>
      </w:pPr>
      <w:rPr>
        <w:rFonts w:hint="default"/>
      </w:rPr>
    </w:lvl>
    <w:lvl w:ilvl="5" w:tplc="736C7DB4">
      <w:numFmt w:val="bullet"/>
      <w:lvlText w:val="•"/>
      <w:lvlJc w:val="left"/>
      <w:pPr>
        <w:ind w:left="2451" w:hanging="224"/>
      </w:pPr>
      <w:rPr>
        <w:rFonts w:hint="default"/>
      </w:rPr>
    </w:lvl>
    <w:lvl w:ilvl="6" w:tplc="C1C8B0D8">
      <w:numFmt w:val="bullet"/>
      <w:lvlText w:val="•"/>
      <w:lvlJc w:val="left"/>
      <w:pPr>
        <w:ind w:left="2873" w:hanging="224"/>
      </w:pPr>
      <w:rPr>
        <w:rFonts w:hint="default"/>
      </w:rPr>
    </w:lvl>
    <w:lvl w:ilvl="7" w:tplc="F4142BEA">
      <w:numFmt w:val="bullet"/>
      <w:lvlText w:val="•"/>
      <w:lvlJc w:val="left"/>
      <w:pPr>
        <w:ind w:left="3296" w:hanging="224"/>
      </w:pPr>
      <w:rPr>
        <w:rFonts w:hint="default"/>
      </w:rPr>
    </w:lvl>
    <w:lvl w:ilvl="8" w:tplc="02DC0C6E">
      <w:numFmt w:val="bullet"/>
      <w:lvlText w:val="•"/>
      <w:lvlJc w:val="left"/>
      <w:pPr>
        <w:ind w:left="3718" w:hanging="224"/>
      </w:pPr>
      <w:rPr>
        <w:rFonts w:hint="default"/>
      </w:rPr>
    </w:lvl>
  </w:abstractNum>
  <w:abstractNum w:abstractNumId="5" w15:restartNumberingAfterBreak="0">
    <w:nsid w:val="2D902E4A"/>
    <w:multiLevelType w:val="hybridMultilevel"/>
    <w:tmpl w:val="018EEB04"/>
    <w:lvl w:ilvl="0" w:tplc="7E5CFE16">
      <w:start w:val="2"/>
      <w:numFmt w:val="decimal"/>
      <w:lvlText w:val="%1."/>
      <w:lvlJc w:val="left"/>
      <w:pPr>
        <w:ind w:left="2122" w:hanging="360"/>
        <w:jc w:val="left"/>
      </w:pPr>
      <w:rPr>
        <w:rFonts w:ascii="Arial" w:eastAsia="Arial" w:hAnsi="Arial" w:cs="Arial" w:hint="default"/>
        <w:spacing w:val="-1"/>
        <w:w w:val="100"/>
        <w:sz w:val="36"/>
        <w:szCs w:val="36"/>
      </w:rPr>
    </w:lvl>
    <w:lvl w:ilvl="1" w:tplc="258E3F90">
      <w:numFmt w:val="bullet"/>
      <w:lvlText w:val=""/>
      <w:lvlJc w:val="left"/>
      <w:pPr>
        <w:ind w:left="2573" w:hanging="272"/>
      </w:pPr>
      <w:rPr>
        <w:rFonts w:hint="default"/>
        <w:w w:val="100"/>
      </w:rPr>
    </w:lvl>
    <w:lvl w:ilvl="2" w:tplc="00C4CDA2">
      <w:numFmt w:val="bullet"/>
      <w:lvlText w:val="•"/>
      <w:lvlJc w:val="left"/>
      <w:pPr>
        <w:ind w:left="2580" w:hanging="272"/>
      </w:pPr>
      <w:rPr>
        <w:rFonts w:hint="default"/>
      </w:rPr>
    </w:lvl>
    <w:lvl w:ilvl="3" w:tplc="355EDABC">
      <w:numFmt w:val="bullet"/>
      <w:lvlText w:val="•"/>
      <w:lvlJc w:val="left"/>
      <w:pPr>
        <w:ind w:left="3708" w:hanging="272"/>
      </w:pPr>
      <w:rPr>
        <w:rFonts w:hint="default"/>
      </w:rPr>
    </w:lvl>
    <w:lvl w:ilvl="4" w:tplc="D9345412">
      <w:numFmt w:val="bullet"/>
      <w:lvlText w:val="•"/>
      <w:lvlJc w:val="left"/>
      <w:pPr>
        <w:ind w:left="4836" w:hanging="272"/>
      </w:pPr>
      <w:rPr>
        <w:rFonts w:hint="default"/>
      </w:rPr>
    </w:lvl>
    <w:lvl w:ilvl="5" w:tplc="97B6A65E">
      <w:numFmt w:val="bullet"/>
      <w:lvlText w:val="•"/>
      <w:lvlJc w:val="left"/>
      <w:pPr>
        <w:ind w:left="5964" w:hanging="272"/>
      </w:pPr>
      <w:rPr>
        <w:rFonts w:hint="default"/>
      </w:rPr>
    </w:lvl>
    <w:lvl w:ilvl="6" w:tplc="07327726">
      <w:numFmt w:val="bullet"/>
      <w:lvlText w:val="•"/>
      <w:lvlJc w:val="left"/>
      <w:pPr>
        <w:ind w:left="7093" w:hanging="272"/>
      </w:pPr>
      <w:rPr>
        <w:rFonts w:hint="default"/>
      </w:rPr>
    </w:lvl>
    <w:lvl w:ilvl="7" w:tplc="775ED748">
      <w:numFmt w:val="bullet"/>
      <w:lvlText w:val="•"/>
      <w:lvlJc w:val="left"/>
      <w:pPr>
        <w:ind w:left="8221" w:hanging="272"/>
      </w:pPr>
      <w:rPr>
        <w:rFonts w:hint="default"/>
      </w:rPr>
    </w:lvl>
    <w:lvl w:ilvl="8" w:tplc="943E8B36">
      <w:numFmt w:val="bullet"/>
      <w:lvlText w:val="•"/>
      <w:lvlJc w:val="left"/>
      <w:pPr>
        <w:ind w:left="9349" w:hanging="272"/>
      </w:pPr>
      <w:rPr>
        <w:rFonts w:hint="default"/>
      </w:rPr>
    </w:lvl>
  </w:abstractNum>
  <w:abstractNum w:abstractNumId="6" w15:restartNumberingAfterBreak="0">
    <w:nsid w:val="336F6ACC"/>
    <w:multiLevelType w:val="hybridMultilevel"/>
    <w:tmpl w:val="018EEB04"/>
    <w:lvl w:ilvl="0" w:tplc="7E5CFE16">
      <w:start w:val="2"/>
      <w:numFmt w:val="decimal"/>
      <w:lvlText w:val="%1."/>
      <w:lvlJc w:val="left"/>
      <w:pPr>
        <w:ind w:left="2122" w:hanging="360"/>
        <w:jc w:val="left"/>
      </w:pPr>
      <w:rPr>
        <w:rFonts w:ascii="Arial" w:eastAsia="Arial" w:hAnsi="Arial" w:cs="Arial" w:hint="default"/>
        <w:spacing w:val="-1"/>
        <w:w w:val="100"/>
        <w:sz w:val="36"/>
        <w:szCs w:val="36"/>
      </w:rPr>
    </w:lvl>
    <w:lvl w:ilvl="1" w:tplc="258E3F90">
      <w:numFmt w:val="bullet"/>
      <w:lvlText w:val=""/>
      <w:lvlJc w:val="left"/>
      <w:pPr>
        <w:ind w:left="2573" w:hanging="272"/>
      </w:pPr>
      <w:rPr>
        <w:rFonts w:hint="default"/>
        <w:w w:val="100"/>
      </w:rPr>
    </w:lvl>
    <w:lvl w:ilvl="2" w:tplc="00C4CDA2">
      <w:numFmt w:val="bullet"/>
      <w:lvlText w:val="•"/>
      <w:lvlJc w:val="left"/>
      <w:pPr>
        <w:ind w:left="2580" w:hanging="272"/>
      </w:pPr>
      <w:rPr>
        <w:rFonts w:hint="default"/>
      </w:rPr>
    </w:lvl>
    <w:lvl w:ilvl="3" w:tplc="355EDABC">
      <w:numFmt w:val="bullet"/>
      <w:lvlText w:val="•"/>
      <w:lvlJc w:val="left"/>
      <w:pPr>
        <w:ind w:left="3708" w:hanging="272"/>
      </w:pPr>
      <w:rPr>
        <w:rFonts w:hint="default"/>
      </w:rPr>
    </w:lvl>
    <w:lvl w:ilvl="4" w:tplc="D9345412">
      <w:numFmt w:val="bullet"/>
      <w:lvlText w:val="•"/>
      <w:lvlJc w:val="left"/>
      <w:pPr>
        <w:ind w:left="4836" w:hanging="272"/>
      </w:pPr>
      <w:rPr>
        <w:rFonts w:hint="default"/>
      </w:rPr>
    </w:lvl>
    <w:lvl w:ilvl="5" w:tplc="97B6A65E">
      <w:numFmt w:val="bullet"/>
      <w:lvlText w:val="•"/>
      <w:lvlJc w:val="left"/>
      <w:pPr>
        <w:ind w:left="5964" w:hanging="272"/>
      </w:pPr>
      <w:rPr>
        <w:rFonts w:hint="default"/>
      </w:rPr>
    </w:lvl>
    <w:lvl w:ilvl="6" w:tplc="07327726">
      <w:numFmt w:val="bullet"/>
      <w:lvlText w:val="•"/>
      <w:lvlJc w:val="left"/>
      <w:pPr>
        <w:ind w:left="7093" w:hanging="272"/>
      </w:pPr>
      <w:rPr>
        <w:rFonts w:hint="default"/>
      </w:rPr>
    </w:lvl>
    <w:lvl w:ilvl="7" w:tplc="775ED748">
      <w:numFmt w:val="bullet"/>
      <w:lvlText w:val="•"/>
      <w:lvlJc w:val="left"/>
      <w:pPr>
        <w:ind w:left="8221" w:hanging="272"/>
      </w:pPr>
      <w:rPr>
        <w:rFonts w:hint="default"/>
      </w:rPr>
    </w:lvl>
    <w:lvl w:ilvl="8" w:tplc="943E8B36">
      <w:numFmt w:val="bullet"/>
      <w:lvlText w:val="•"/>
      <w:lvlJc w:val="left"/>
      <w:pPr>
        <w:ind w:left="9349" w:hanging="272"/>
      </w:pPr>
      <w:rPr>
        <w:rFonts w:hint="default"/>
      </w:rPr>
    </w:lvl>
  </w:abstractNum>
  <w:abstractNum w:abstractNumId="7" w15:restartNumberingAfterBreak="0">
    <w:nsid w:val="3379655A"/>
    <w:multiLevelType w:val="hybridMultilevel"/>
    <w:tmpl w:val="046C20CA"/>
    <w:lvl w:ilvl="0" w:tplc="42DE9CEC">
      <w:numFmt w:val="bullet"/>
      <w:lvlText w:val="-"/>
      <w:lvlJc w:val="left"/>
      <w:pPr>
        <w:ind w:left="1012" w:hanging="195"/>
      </w:pPr>
      <w:rPr>
        <w:rFonts w:ascii="Verdana" w:eastAsia="Verdana" w:hAnsi="Verdana" w:cs="Verdana" w:hint="default"/>
        <w:w w:val="100"/>
        <w:sz w:val="22"/>
        <w:szCs w:val="22"/>
      </w:rPr>
    </w:lvl>
    <w:lvl w:ilvl="1" w:tplc="ADA89824">
      <w:start w:val="1"/>
      <w:numFmt w:val="decimal"/>
      <w:lvlText w:val="%2."/>
      <w:lvlJc w:val="left"/>
      <w:pPr>
        <w:ind w:left="2122" w:hanging="360"/>
        <w:jc w:val="left"/>
      </w:pPr>
      <w:rPr>
        <w:rFonts w:ascii="Arial" w:eastAsia="Arial" w:hAnsi="Arial" w:cs="Arial" w:hint="default"/>
        <w:spacing w:val="-1"/>
        <w:w w:val="100"/>
        <w:sz w:val="36"/>
        <w:szCs w:val="36"/>
      </w:rPr>
    </w:lvl>
    <w:lvl w:ilvl="2" w:tplc="447A76E0">
      <w:numFmt w:val="bullet"/>
      <w:lvlText w:val="•"/>
      <w:lvlJc w:val="left"/>
      <w:pPr>
        <w:ind w:left="3174" w:hanging="360"/>
      </w:pPr>
      <w:rPr>
        <w:rFonts w:hint="default"/>
      </w:rPr>
    </w:lvl>
    <w:lvl w:ilvl="3" w:tplc="DA52F540">
      <w:numFmt w:val="bullet"/>
      <w:lvlText w:val="•"/>
      <w:lvlJc w:val="left"/>
      <w:pPr>
        <w:ind w:left="4228" w:hanging="360"/>
      </w:pPr>
      <w:rPr>
        <w:rFonts w:hint="default"/>
      </w:rPr>
    </w:lvl>
    <w:lvl w:ilvl="4" w:tplc="2B941E6A">
      <w:numFmt w:val="bullet"/>
      <w:lvlText w:val="•"/>
      <w:lvlJc w:val="left"/>
      <w:pPr>
        <w:ind w:left="5282" w:hanging="360"/>
      </w:pPr>
      <w:rPr>
        <w:rFonts w:hint="default"/>
      </w:rPr>
    </w:lvl>
    <w:lvl w:ilvl="5" w:tplc="0D4A2672">
      <w:numFmt w:val="bullet"/>
      <w:lvlText w:val="•"/>
      <w:lvlJc w:val="left"/>
      <w:pPr>
        <w:ind w:left="6336" w:hanging="360"/>
      </w:pPr>
      <w:rPr>
        <w:rFonts w:hint="default"/>
      </w:rPr>
    </w:lvl>
    <w:lvl w:ilvl="6" w:tplc="3552D248">
      <w:numFmt w:val="bullet"/>
      <w:lvlText w:val="•"/>
      <w:lvlJc w:val="left"/>
      <w:pPr>
        <w:ind w:left="7390" w:hanging="360"/>
      </w:pPr>
      <w:rPr>
        <w:rFonts w:hint="default"/>
      </w:rPr>
    </w:lvl>
    <w:lvl w:ilvl="7" w:tplc="D2C090C8">
      <w:numFmt w:val="bullet"/>
      <w:lvlText w:val="•"/>
      <w:lvlJc w:val="left"/>
      <w:pPr>
        <w:ind w:left="8444" w:hanging="360"/>
      </w:pPr>
      <w:rPr>
        <w:rFonts w:hint="default"/>
      </w:rPr>
    </w:lvl>
    <w:lvl w:ilvl="8" w:tplc="D9E4BF5E">
      <w:numFmt w:val="bullet"/>
      <w:lvlText w:val="•"/>
      <w:lvlJc w:val="left"/>
      <w:pPr>
        <w:ind w:left="9498" w:hanging="360"/>
      </w:pPr>
      <w:rPr>
        <w:rFonts w:hint="default"/>
      </w:rPr>
    </w:lvl>
  </w:abstractNum>
  <w:abstractNum w:abstractNumId="8" w15:restartNumberingAfterBreak="0">
    <w:nsid w:val="405E1A8C"/>
    <w:multiLevelType w:val="hybridMultilevel"/>
    <w:tmpl w:val="018EEB04"/>
    <w:lvl w:ilvl="0" w:tplc="7E5CFE16">
      <w:start w:val="2"/>
      <w:numFmt w:val="decimal"/>
      <w:lvlText w:val="%1."/>
      <w:lvlJc w:val="left"/>
      <w:pPr>
        <w:ind w:left="2122" w:hanging="360"/>
        <w:jc w:val="left"/>
      </w:pPr>
      <w:rPr>
        <w:rFonts w:ascii="Arial" w:eastAsia="Arial" w:hAnsi="Arial" w:cs="Arial" w:hint="default"/>
        <w:spacing w:val="-1"/>
        <w:w w:val="100"/>
        <w:sz w:val="36"/>
        <w:szCs w:val="36"/>
      </w:rPr>
    </w:lvl>
    <w:lvl w:ilvl="1" w:tplc="258E3F90">
      <w:numFmt w:val="bullet"/>
      <w:lvlText w:val=""/>
      <w:lvlJc w:val="left"/>
      <w:pPr>
        <w:ind w:left="2573" w:hanging="272"/>
      </w:pPr>
      <w:rPr>
        <w:rFonts w:hint="default"/>
        <w:w w:val="100"/>
      </w:rPr>
    </w:lvl>
    <w:lvl w:ilvl="2" w:tplc="00C4CDA2">
      <w:numFmt w:val="bullet"/>
      <w:lvlText w:val="•"/>
      <w:lvlJc w:val="left"/>
      <w:pPr>
        <w:ind w:left="2580" w:hanging="272"/>
      </w:pPr>
      <w:rPr>
        <w:rFonts w:hint="default"/>
      </w:rPr>
    </w:lvl>
    <w:lvl w:ilvl="3" w:tplc="355EDABC">
      <w:numFmt w:val="bullet"/>
      <w:lvlText w:val="•"/>
      <w:lvlJc w:val="left"/>
      <w:pPr>
        <w:ind w:left="3708" w:hanging="272"/>
      </w:pPr>
      <w:rPr>
        <w:rFonts w:hint="default"/>
      </w:rPr>
    </w:lvl>
    <w:lvl w:ilvl="4" w:tplc="D9345412">
      <w:numFmt w:val="bullet"/>
      <w:lvlText w:val="•"/>
      <w:lvlJc w:val="left"/>
      <w:pPr>
        <w:ind w:left="4836" w:hanging="272"/>
      </w:pPr>
      <w:rPr>
        <w:rFonts w:hint="default"/>
      </w:rPr>
    </w:lvl>
    <w:lvl w:ilvl="5" w:tplc="97B6A65E">
      <w:numFmt w:val="bullet"/>
      <w:lvlText w:val="•"/>
      <w:lvlJc w:val="left"/>
      <w:pPr>
        <w:ind w:left="5964" w:hanging="272"/>
      </w:pPr>
      <w:rPr>
        <w:rFonts w:hint="default"/>
      </w:rPr>
    </w:lvl>
    <w:lvl w:ilvl="6" w:tplc="07327726">
      <w:numFmt w:val="bullet"/>
      <w:lvlText w:val="•"/>
      <w:lvlJc w:val="left"/>
      <w:pPr>
        <w:ind w:left="7093" w:hanging="272"/>
      </w:pPr>
      <w:rPr>
        <w:rFonts w:hint="default"/>
      </w:rPr>
    </w:lvl>
    <w:lvl w:ilvl="7" w:tplc="775ED748">
      <w:numFmt w:val="bullet"/>
      <w:lvlText w:val="•"/>
      <w:lvlJc w:val="left"/>
      <w:pPr>
        <w:ind w:left="8221" w:hanging="272"/>
      </w:pPr>
      <w:rPr>
        <w:rFonts w:hint="default"/>
      </w:rPr>
    </w:lvl>
    <w:lvl w:ilvl="8" w:tplc="943E8B36">
      <w:numFmt w:val="bullet"/>
      <w:lvlText w:val="•"/>
      <w:lvlJc w:val="left"/>
      <w:pPr>
        <w:ind w:left="9349" w:hanging="272"/>
      </w:pPr>
      <w:rPr>
        <w:rFonts w:hint="default"/>
      </w:rPr>
    </w:lvl>
  </w:abstractNum>
  <w:abstractNum w:abstractNumId="9" w15:restartNumberingAfterBreak="0">
    <w:nsid w:val="580B604F"/>
    <w:multiLevelType w:val="hybridMultilevel"/>
    <w:tmpl w:val="1F4AD120"/>
    <w:lvl w:ilvl="0" w:tplc="5856424C">
      <w:numFmt w:val="bullet"/>
      <w:lvlText w:val=""/>
      <w:lvlJc w:val="left"/>
      <w:pPr>
        <w:ind w:left="331" w:hanging="224"/>
      </w:pPr>
      <w:rPr>
        <w:rFonts w:ascii="Symbol" w:eastAsia="Symbol" w:hAnsi="Symbol" w:cs="Symbol" w:hint="default"/>
        <w:w w:val="99"/>
        <w:sz w:val="20"/>
        <w:szCs w:val="20"/>
      </w:rPr>
    </w:lvl>
    <w:lvl w:ilvl="1" w:tplc="D75C8DEE">
      <w:numFmt w:val="bullet"/>
      <w:lvlText w:val="•"/>
      <w:lvlJc w:val="left"/>
      <w:pPr>
        <w:ind w:left="747" w:hanging="224"/>
      </w:pPr>
      <w:rPr>
        <w:rFonts w:hint="default"/>
      </w:rPr>
    </w:lvl>
    <w:lvl w:ilvl="2" w:tplc="52F63728">
      <w:numFmt w:val="bullet"/>
      <w:lvlText w:val="•"/>
      <w:lvlJc w:val="left"/>
      <w:pPr>
        <w:ind w:left="1154" w:hanging="224"/>
      </w:pPr>
      <w:rPr>
        <w:rFonts w:hint="default"/>
      </w:rPr>
    </w:lvl>
    <w:lvl w:ilvl="3" w:tplc="52BEB454">
      <w:numFmt w:val="bullet"/>
      <w:lvlText w:val="•"/>
      <w:lvlJc w:val="left"/>
      <w:pPr>
        <w:ind w:left="1562" w:hanging="224"/>
      </w:pPr>
      <w:rPr>
        <w:rFonts w:hint="default"/>
      </w:rPr>
    </w:lvl>
    <w:lvl w:ilvl="4" w:tplc="8974B538">
      <w:numFmt w:val="bullet"/>
      <w:lvlText w:val="•"/>
      <w:lvlJc w:val="left"/>
      <w:pPr>
        <w:ind w:left="1969" w:hanging="224"/>
      </w:pPr>
      <w:rPr>
        <w:rFonts w:hint="default"/>
      </w:rPr>
    </w:lvl>
    <w:lvl w:ilvl="5" w:tplc="D57EDD4A">
      <w:numFmt w:val="bullet"/>
      <w:lvlText w:val="•"/>
      <w:lvlJc w:val="left"/>
      <w:pPr>
        <w:ind w:left="2377" w:hanging="224"/>
      </w:pPr>
      <w:rPr>
        <w:rFonts w:hint="default"/>
      </w:rPr>
    </w:lvl>
    <w:lvl w:ilvl="6" w:tplc="244CEC82">
      <w:numFmt w:val="bullet"/>
      <w:lvlText w:val="•"/>
      <w:lvlJc w:val="left"/>
      <w:pPr>
        <w:ind w:left="2784" w:hanging="224"/>
      </w:pPr>
      <w:rPr>
        <w:rFonts w:hint="default"/>
      </w:rPr>
    </w:lvl>
    <w:lvl w:ilvl="7" w:tplc="CAE66C4A">
      <w:numFmt w:val="bullet"/>
      <w:lvlText w:val="•"/>
      <w:lvlJc w:val="left"/>
      <w:pPr>
        <w:ind w:left="3191" w:hanging="224"/>
      </w:pPr>
      <w:rPr>
        <w:rFonts w:hint="default"/>
      </w:rPr>
    </w:lvl>
    <w:lvl w:ilvl="8" w:tplc="E1D2DD88">
      <w:numFmt w:val="bullet"/>
      <w:lvlText w:val="•"/>
      <w:lvlJc w:val="left"/>
      <w:pPr>
        <w:ind w:left="3599" w:hanging="224"/>
      </w:pPr>
      <w:rPr>
        <w:rFonts w:hint="default"/>
      </w:rPr>
    </w:lvl>
  </w:abstractNum>
  <w:abstractNum w:abstractNumId="10" w15:restartNumberingAfterBreak="0">
    <w:nsid w:val="5B8C58E6"/>
    <w:multiLevelType w:val="hybridMultilevel"/>
    <w:tmpl w:val="6D68B71E"/>
    <w:lvl w:ilvl="0" w:tplc="999EBE52">
      <w:numFmt w:val="bullet"/>
      <w:lvlText w:val="o"/>
      <w:lvlJc w:val="left"/>
      <w:pPr>
        <w:ind w:left="4102" w:hanging="360"/>
      </w:pPr>
      <w:rPr>
        <w:rFonts w:ascii="Courier New" w:eastAsia="Courier New" w:hAnsi="Courier New" w:cs="Courier New" w:hint="default"/>
        <w:w w:val="100"/>
        <w:sz w:val="24"/>
        <w:szCs w:val="24"/>
      </w:rPr>
    </w:lvl>
    <w:lvl w:ilvl="1" w:tplc="F4167F5E">
      <w:numFmt w:val="bullet"/>
      <w:lvlText w:val="•"/>
      <w:lvlJc w:val="left"/>
      <w:pPr>
        <w:ind w:left="4850" w:hanging="360"/>
      </w:pPr>
      <w:rPr>
        <w:rFonts w:hint="default"/>
      </w:rPr>
    </w:lvl>
    <w:lvl w:ilvl="2" w:tplc="D42C3D0E">
      <w:numFmt w:val="bullet"/>
      <w:lvlText w:val="•"/>
      <w:lvlJc w:val="left"/>
      <w:pPr>
        <w:ind w:left="5601" w:hanging="360"/>
      </w:pPr>
      <w:rPr>
        <w:rFonts w:hint="default"/>
      </w:rPr>
    </w:lvl>
    <w:lvl w:ilvl="3" w:tplc="8F20394E">
      <w:numFmt w:val="bullet"/>
      <w:lvlText w:val="•"/>
      <w:lvlJc w:val="left"/>
      <w:pPr>
        <w:ind w:left="6351" w:hanging="360"/>
      </w:pPr>
      <w:rPr>
        <w:rFonts w:hint="default"/>
      </w:rPr>
    </w:lvl>
    <w:lvl w:ilvl="4" w:tplc="D8A4A742">
      <w:numFmt w:val="bullet"/>
      <w:lvlText w:val="•"/>
      <w:lvlJc w:val="left"/>
      <w:pPr>
        <w:ind w:left="7102" w:hanging="360"/>
      </w:pPr>
      <w:rPr>
        <w:rFonts w:hint="default"/>
      </w:rPr>
    </w:lvl>
    <w:lvl w:ilvl="5" w:tplc="08A03160">
      <w:numFmt w:val="bullet"/>
      <w:lvlText w:val="•"/>
      <w:lvlJc w:val="left"/>
      <w:pPr>
        <w:ind w:left="7853" w:hanging="360"/>
      </w:pPr>
      <w:rPr>
        <w:rFonts w:hint="default"/>
      </w:rPr>
    </w:lvl>
    <w:lvl w:ilvl="6" w:tplc="935C9F22">
      <w:numFmt w:val="bullet"/>
      <w:lvlText w:val="•"/>
      <w:lvlJc w:val="left"/>
      <w:pPr>
        <w:ind w:left="8603" w:hanging="360"/>
      </w:pPr>
      <w:rPr>
        <w:rFonts w:hint="default"/>
      </w:rPr>
    </w:lvl>
    <w:lvl w:ilvl="7" w:tplc="73D89238">
      <w:numFmt w:val="bullet"/>
      <w:lvlText w:val="•"/>
      <w:lvlJc w:val="left"/>
      <w:pPr>
        <w:ind w:left="9354" w:hanging="360"/>
      </w:pPr>
      <w:rPr>
        <w:rFonts w:hint="default"/>
      </w:rPr>
    </w:lvl>
    <w:lvl w:ilvl="8" w:tplc="00622590">
      <w:numFmt w:val="bullet"/>
      <w:lvlText w:val="•"/>
      <w:lvlJc w:val="left"/>
      <w:pPr>
        <w:ind w:left="10105" w:hanging="360"/>
      </w:pPr>
      <w:rPr>
        <w:rFonts w:hint="default"/>
      </w:rPr>
    </w:lvl>
  </w:abstractNum>
  <w:abstractNum w:abstractNumId="11" w15:restartNumberingAfterBreak="0">
    <w:nsid w:val="694F5822"/>
    <w:multiLevelType w:val="hybridMultilevel"/>
    <w:tmpl w:val="C9987AD6"/>
    <w:lvl w:ilvl="0" w:tplc="D1A8A8A0">
      <w:start w:val="1"/>
      <w:numFmt w:val="lowerLetter"/>
      <w:lvlText w:val="%1)"/>
      <w:lvlJc w:val="left"/>
      <w:pPr>
        <w:ind w:left="1582" w:hanging="300"/>
        <w:jc w:val="left"/>
      </w:pPr>
      <w:rPr>
        <w:rFonts w:ascii="Calibri" w:eastAsia="Calibri" w:hAnsi="Calibri" w:cs="Calibri" w:hint="default"/>
        <w:spacing w:val="-3"/>
        <w:w w:val="100"/>
        <w:sz w:val="24"/>
        <w:szCs w:val="24"/>
      </w:rPr>
    </w:lvl>
    <w:lvl w:ilvl="1" w:tplc="70BC4B60">
      <w:numFmt w:val="bullet"/>
      <w:lvlText w:val="•"/>
      <w:lvlJc w:val="left"/>
      <w:pPr>
        <w:ind w:left="2582" w:hanging="300"/>
      </w:pPr>
      <w:rPr>
        <w:rFonts w:hint="default"/>
      </w:rPr>
    </w:lvl>
    <w:lvl w:ilvl="2" w:tplc="04A0C4CC">
      <w:numFmt w:val="bullet"/>
      <w:lvlText w:val="•"/>
      <w:lvlJc w:val="left"/>
      <w:pPr>
        <w:ind w:left="3585" w:hanging="300"/>
      </w:pPr>
      <w:rPr>
        <w:rFonts w:hint="default"/>
      </w:rPr>
    </w:lvl>
    <w:lvl w:ilvl="3" w:tplc="447810E0">
      <w:numFmt w:val="bullet"/>
      <w:lvlText w:val="•"/>
      <w:lvlJc w:val="left"/>
      <w:pPr>
        <w:ind w:left="4587" w:hanging="300"/>
      </w:pPr>
      <w:rPr>
        <w:rFonts w:hint="default"/>
      </w:rPr>
    </w:lvl>
    <w:lvl w:ilvl="4" w:tplc="DAA6A0AC">
      <w:numFmt w:val="bullet"/>
      <w:lvlText w:val="•"/>
      <w:lvlJc w:val="left"/>
      <w:pPr>
        <w:ind w:left="5590" w:hanging="300"/>
      </w:pPr>
      <w:rPr>
        <w:rFonts w:hint="default"/>
      </w:rPr>
    </w:lvl>
    <w:lvl w:ilvl="5" w:tplc="7DFA3C6C">
      <w:numFmt w:val="bullet"/>
      <w:lvlText w:val="•"/>
      <w:lvlJc w:val="left"/>
      <w:pPr>
        <w:ind w:left="6593" w:hanging="300"/>
      </w:pPr>
      <w:rPr>
        <w:rFonts w:hint="default"/>
      </w:rPr>
    </w:lvl>
    <w:lvl w:ilvl="6" w:tplc="7D361C72">
      <w:numFmt w:val="bullet"/>
      <w:lvlText w:val="•"/>
      <w:lvlJc w:val="left"/>
      <w:pPr>
        <w:ind w:left="7595" w:hanging="300"/>
      </w:pPr>
      <w:rPr>
        <w:rFonts w:hint="default"/>
      </w:rPr>
    </w:lvl>
    <w:lvl w:ilvl="7" w:tplc="ADD2DA54">
      <w:numFmt w:val="bullet"/>
      <w:lvlText w:val="•"/>
      <w:lvlJc w:val="left"/>
      <w:pPr>
        <w:ind w:left="8598" w:hanging="300"/>
      </w:pPr>
      <w:rPr>
        <w:rFonts w:hint="default"/>
      </w:rPr>
    </w:lvl>
    <w:lvl w:ilvl="8" w:tplc="66762B64">
      <w:numFmt w:val="bullet"/>
      <w:lvlText w:val="•"/>
      <w:lvlJc w:val="left"/>
      <w:pPr>
        <w:ind w:left="9601" w:hanging="300"/>
      </w:pPr>
      <w:rPr>
        <w:rFonts w:hint="default"/>
      </w:rPr>
    </w:lvl>
  </w:abstractNum>
  <w:abstractNum w:abstractNumId="12" w15:restartNumberingAfterBreak="0">
    <w:nsid w:val="71F815B5"/>
    <w:multiLevelType w:val="hybridMultilevel"/>
    <w:tmpl w:val="D7FC7054"/>
    <w:lvl w:ilvl="0" w:tplc="CB503836">
      <w:start w:val="8"/>
      <w:numFmt w:val="decimal"/>
      <w:lvlText w:val="%1."/>
      <w:lvlJc w:val="left"/>
      <w:pPr>
        <w:ind w:left="2122" w:hanging="360"/>
        <w:jc w:val="left"/>
      </w:pPr>
      <w:rPr>
        <w:rFonts w:ascii="Arial" w:eastAsia="Arial" w:hAnsi="Arial" w:cs="Arial" w:hint="default"/>
        <w:spacing w:val="-1"/>
        <w:w w:val="100"/>
        <w:sz w:val="36"/>
        <w:szCs w:val="36"/>
      </w:rPr>
    </w:lvl>
    <w:lvl w:ilvl="1" w:tplc="D2B04F72">
      <w:numFmt w:val="bullet"/>
      <w:lvlText w:val=""/>
      <w:lvlJc w:val="left"/>
      <w:pPr>
        <w:ind w:left="2575" w:hanging="272"/>
      </w:pPr>
      <w:rPr>
        <w:rFonts w:ascii="Symbol" w:eastAsia="Symbol" w:hAnsi="Symbol" w:cs="Symbol" w:hint="default"/>
        <w:w w:val="100"/>
        <w:sz w:val="24"/>
        <w:szCs w:val="24"/>
      </w:rPr>
    </w:lvl>
    <w:lvl w:ilvl="2" w:tplc="26FE5832">
      <w:numFmt w:val="bullet"/>
      <w:lvlText w:val="•"/>
      <w:lvlJc w:val="left"/>
      <w:pPr>
        <w:ind w:left="3582" w:hanging="272"/>
      </w:pPr>
      <w:rPr>
        <w:rFonts w:hint="default"/>
      </w:rPr>
    </w:lvl>
    <w:lvl w:ilvl="3" w:tplc="E26031F6">
      <w:numFmt w:val="bullet"/>
      <w:lvlText w:val="•"/>
      <w:lvlJc w:val="left"/>
      <w:pPr>
        <w:ind w:left="4585" w:hanging="272"/>
      </w:pPr>
      <w:rPr>
        <w:rFonts w:hint="default"/>
      </w:rPr>
    </w:lvl>
    <w:lvl w:ilvl="4" w:tplc="F49EE410">
      <w:numFmt w:val="bullet"/>
      <w:lvlText w:val="•"/>
      <w:lvlJc w:val="left"/>
      <w:pPr>
        <w:ind w:left="5588" w:hanging="272"/>
      </w:pPr>
      <w:rPr>
        <w:rFonts w:hint="default"/>
      </w:rPr>
    </w:lvl>
    <w:lvl w:ilvl="5" w:tplc="F17483BE">
      <w:numFmt w:val="bullet"/>
      <w:lvlText w:val="•"/>
      <w:lvlJc w:val="left"/>
      <w:pPr>
        <w:ind w:left="6591" w:hanging="272"/>
      </w:pPr>
      <w:rPr>
        <w:rFonts w:hint="default"/>
      </w:rPr>
    </w:lvl>
    <w:lvl w:ilvl="6" w:tplc="80583F60">
      <w:numFmt w:val="bullet"/>
      <w:lvlText w:val="•"/>
      <w:lvlJc w:val="left"/>
      <w:pPr>
        <w:ind w:left="7594" w:hanging="272"/>
      </w:pPr>
      <w:rPr>
        <w:rFonts w:hint="default"/>
      </w:rPr>
    </w:lvl>
    <w:lvl w:ilvl="7" w:tplc="A15026BA">
      <w:numFmt w:val="bullet"/>
      <w:lvlText w:val="•"/>
      <w:lvlJc w:val="left"/>
      <w:pPr>
        <w:ind w:left="8597" w:hanging="272"/>
      </w:pPr>
      <w:rPr>
        <w:rFonts w:hint="default"/>
      </w:rPr>
    </w:lvl>
    <w:lvl w:ilvl="8" w:tplc="F04296C6">
      <w:numFmt w:val="bullet"/>
      <w:lvlText w:val="•"/>
      <w:lvlJc w:val="left"/>
      <w:pPr>
        <w:ind w:left="9600" w:hanging="272"/>
      </w:pPr>
      <w:rPr>
        <w:rFonts w:hint="default"/>
      </w:rPr>
    </w:lvl>
  </w:abstractNum>
  <w:abstractNum w:abstractNumId="13" w15:restartNumberingAfterBreak="0">
    <w:nsid w:val="7B3206CD"/>
    <w:multiLevelType w:val="hybridMultilevel"/>
    <w:tmpl w:val="153CF27A"/>
    <w:lvl w:ilvl="0" w:tplc="1752E386">
      <w:start w:val="1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10"/>
  </w:num>
  <w:num w:numId="5">
    <w:abstractNumId w:val="6"/>
  </w:num>
  <w:num w:numId="6">
    <w:abstractNumId w:val="8"/>
  </w:num>
  <w:num w:numId="7">
    <w:abstractNumId w:val="0"/>
  </w:num>
  <w:num w:numId="8">
    <w:abstractNumId w:val="11"/>
  </w:num>
  <w:num w:numId="9">
    <w:abstractNumId w:val="2"/>
  </w:num>
  <w:num w:numId="10">
    <w:abstractNumId w:val="9"/>
  </w:num>
  <w:num w:numId="11">
    <w:abstractNumId w:val="4"/>
  </w:num>
  <w:num w:numId="12">
    <w:abstractNumId w:val="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5E"/>
    <w:rsid w:val="0001465C"/>
    <w:rsid w:val="0009474F"/>
    <w:rsid w:val="000F46F6"/>
    <w:rsid w:val="00100231"/>
    <w:rsid w:val="0010098C"/>
    <w:rsid w:val="00115CB7"/>
    <w:rsid w:val="0024309F"/>
    <w:rsid w:val="003707A6"/>
    <w:rsid w:val="003A1E70"/>
    <w:rsid w:val="004074A3"/>
    <w:rsid w:val="00443C66"/>
    <w:rsid w:val="00457614"/>
    <w:rsid w:val="004A0520"/>
    <w:rsid w:val="004A30A8"/>
    <w:rsid w:val="00562391"/>
    <w:rsid w:val="005A6F0F"/>
    <w:rsid w:val="00685279"/>
    <w:rsid w:val="007F502B"/>
    <w:rsid w:val="00811B82"/>
    <w:rsid w:val="00854115"/>
    <w:rsid w:val="009439C3"/>
    <w:rsid w:val="00974F08"/>
    <w:rsid w:val="00981241"/>
    <w:rsid w:val="009C71B1"/>
    <w:rsid w:val="00A2145E"/>
    <w:rsid w:val="00AD6288"/>
    <w:rsid w:val="00AE7906"/>
    <w:rsid w:val="00C5767E"/>
    <w:rsid w:val="00C759E4"/>
    <w:rsid w:val="00CC345C"/>
    <w:rsid w:val="00D40C5F"/>
    <w:rsid w:val="00D464D6"/>
    <w:rsid w:val="00D92DC9"/>
    <w:rsid w:val="00DE1FCF"/>
    <w:rsid w:val="00E65C6B"/>
    <w:rsid w:val="00E71289"/>
    <w:rsid w:val="00E91058"/>
    <w:rsid w:val="00F17C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BFFBD"/>
  <w15:docId w15:val="{D9E29EC8-AD10-46AD-8959-EC9AC9CF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145E"/>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A2145E"/>
    <w:pPr>
      <w:ind w:left="2122" w:hanging="360"/>
      <w:outlineLvl w:val="0"/>
    </w:pPr>
    <w:rPr>
      <w:rFonts w:ascii="Arial" w:eastAsia="Arial" w:hAnsi="Arial" w:cs="Arial"/>
      <w:sz w:val="36"/>
      <w:szCs w:val="36"/>
    </w:rPr>
  </w:style>
  <w:style w:type="paragraph" w:styleId="Heading2">
    <w:name w:val="heading 2"/>
    <w:basedOn w:val="Normal"/>
    <w:next w:val="Normal"/>
    <w:link w:val="Heading2Char"/>
    <w:uiPriority w:val="9"/>
    <w:semiHidden/>
    <w:unhideWhenUsed/>
    <w:qFormat/>
    <w:rsid w:val="005623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9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145E"/>
    <w:rPr>
      <w:sz w:val="24"/>
      <w:szCs w:val="24"/>
    </w:rPr>
  </w:style>
  <w:style w:type="character" w:customStyle="1" w:styleId="BodyTextChar">
    <w:name w:val="Body Text Char"/>
    <w:basedOn w:val="DefaultParagraphFont"/>
    <w:link w:val="BodyText"/>
    <w:uiPriority w:val="1"/>
    <w:rsid w:val="00A2145E"/>
    <w:rPr>
      <w:rFonts w:ascii="Calibri" w:eastAsia="Calibri" w:hAnsi="Calibri" w:cs="Calibri"/>
      <w:sz w:val="24"/>
      <w:szCs w:val="24"/>
      <w:lang w:val="en-US"/>
    </w:rPr>
  </w:style>
  <w:style w:type="character" w:customStyle="1" w:styleId="Heading1Char">
    <w:name w:val="Heading 1 Char"/>
    <w:basedOn w:val="DefaultParagraphFont"/>
    <w:link w:val="Heading1"/>
    <w:uiPriority w:val="1"/>
    <w:rsid w:val="00A2145E"/>
    <w:rPr>
      <w:rFonts w:ascii="Arial" w:eastAsia="Arial" w:hAnsi="Arial" w:cs="Arial"/>
      <w:sz w:val="36"/>
      <w:szCs w:val="36"/>
      <w:lang w:val="en-US"/>
    </w:rPr>
  </w:style>
  <w:style w:type="paragraph" w:styleId="TOC1">
    <w:name w:val="toc 1"/>
    <w:basedOn w:val="Normal"/>
    <w:uiPriority w:val="1"/>
    <w:qFormat/>
    <w:rsid w:val="00A2145E"/>
    <w:pPr>
      <w:spacing w:before="166"/>
      <w:ind w:left="1582"/>
    </w:pPr>
    <w:rPr>
      <w:rFonts w:ascii="Arial" w:eastAsia="Arial" w:hAnsi="Arial" w:cs="Arial"/>
      <w:sz w:val="20"/>
      <w:szCs w:val="20"/>
    </w:rPr>
  </w:style>
  <w:style w:type="paragraph" w:styleId="TOC2">
    <w:name w:val="toc 2"/>
    <w:basedOn w:val="Normal"/>
    <w:uiPriority w:val="1"/>
    <w:qFormat/>
    <w:rsid w:val="00A2145E"/>
    <w:pPr>
      <w:spacing w:before="170"/>
      <w:ind w:left="1582"/>
    </w:pPr>
    <w:rPr>
      <w:b/>
      <w:bCs/>
      <w:i/>
    </w:rPr>
  </w:style>
  <w:style w:type="paragraph" w:styleId="TOC3">
    <w:name w:val="toc 3"/>
    <w:basedOn w:val="Normal"/>
    <w:uiPriority w:val="1"/>
    <w:qFormat/>
    <w:rsid w:val="00A2145E"/>
    <w:pPr>
      <w:spacing w:before="171"/>
      <w:ind w:left="2462" w:hanging="681"/>
    </w:pPr>
    <w:rPr>
      <w:rFonts w:ascii="Arial" w:eastAsia="Arial" w:hAnsi="Arial" w:cs="Arial"/>
      <w:sz w:val="20"/>
      <w:szCs w:val="20"/>
    </w:rPr>
  </w:style>
  <w:style w:type="paragraph" w:styleId="ListParagraph">
    <w:name w:val="List Paragraph"/>
    <w:basedOn w:val="Normal"/>
    <w:uiPriority w:val="1"/>
    <w:qFormat/>
    <w:rsid w:val="00A2145E"/>
    <w:pPr>
      <w:spacing w:before="47"/>
      <w:ind w:left="2573" w:hanging="271"/>
    </w:pPr>
  </w:style>
  <w:style w:type="paragraph" w:customStyle="1" w:styleId="TableParagraph">
    <w:name w:val="Table Paragraph"/>
    <w:basedOn w:val="Normal"/>
    <w:uiPriority w:val="1"/>
    <w:qFormat/>
    <w:rsid w:val="00562391"/>
  </w:style>
  <w:style w:type="paragraph" w:styleId="Header">
    <w:name w:val="header"/>
    <w:basedOn w:val="Normal"/>
    <w:link w:val="HeaderChar"/>
    <w:uiPriority w:val="99"/>
    <w:unhideWhenUsed/>
    <w:rsid w:val="00562391"/>
    <w:pPr>
      <w:tabs>
        <w:tab w:val="center" w:pos="4536"/>
        <w:tab w:val="right" w:pos="9072"/>
      </w:tabs>
    </w:pPr>
  </w:style>
  <w:style w:type="character" w:customStyle="1" w:styleId="HeaderChar">
    <w:name w:val="Header Char"/>
    <w:basedOn w:val="DefaultParagraphFont"/>
    <w:link w:val="Header"/>
    <w:uiPriority w:val="99"/>
    <w:rsid w:val="00562391"/>
    <w:rPr>
      <w:rFonts w:ascii="Calibri" w:eastAsia="Calibri" w:hAnsi="Calibri" w:cs="Calibri"/>
      <w:lang w:val="en-US"/>
    </w:rPr>
  </w:style>
  <w:style w:type="paragraph" w:styleId="Footer">
    <w:name w:val="footer"/>
    <w:basedOn w:val="Normal"/>
    <w:link w:val="FooterChar"/>
    <w:uiPriority w:val="99"/>
    <w:unhideWhenUsed/>
    <w:rsid w:val="00562391"/>
    <w:pPr>
      <w:tabs>
        <w:tab w:val="center" w:pos="4536"/>
        <w:tab w:val="right" w:pos="9072"/>
      </w:tabs>
    </w:pPr>
  </w:style>
  <w:style w:type="character" w:customStyle="1" w:styleId="FooterChar">
    <w:name w:val="Footer Char"/>
    <w:basedOn w:val="DefaultParagraphFont"/>
    <w:link w:val="Footer"/>
    <w:uiPriority w:val="99"/>
    <w:rsid w:val="00562391"/>
    <w:rPr>
      <w:rFonts w:ascii="Calibri" w:eastAsia="Calibri" w:hAnsi="Calibri" w:cs="Calibri"/>
      <w:lang w:val="en-US"/>
    </w:rPr>
  </w:style>
  <w:style w:type="character" w:customStyle="1" w:styleId="Heading4Char">
    <w:name w:val="Heading 4 Char"/>
    <w:basedOn w:val="DefaultParagraphFont"/>
    <w:link w:val="Heading4"/>
    <w:uiPriority w:val="9"/>
    <w:semiHidden/>
    <w:rsid w:val="00562391"/>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9"/>
    <w:semiHidden/>
    <w:rsid w:val="0056239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562391"/>
    <w:rPr>
      <w:rFonts w:asciiTheme="majorHAnsi" w:eastAsiaTheme="majorEastAsia" w:hAnsiTheme="majorHAnsi" w:cstheme="majorBidi"/>
      <w:b/>
      <w:bCs/>
      <w:color w:val="4F81BD" w:themeColor="accent1"/>
      <w:lang w:val="en-US"/>
    </w:rPr>
  </w:style>
  <w:style w:type="paragraph" w:styleId="NoSpacing">
    <w:name w:val="No Spacing"/>
    <w:uiPriority w:val="1"/>
    <w:qFormat/>
    <w:rsid w:val="00443C66"/>
    <w:pPr>
      <w:widowControl w:val="0"/>
      <w:autoSpaceDE w:val="0"/>
      <w:autoSpaceDN w:val="0"/>
      <w:spacing w:after="0" w:line="240" w:lineRule="auto"/>
    </w:pPr>
    <w:rPr>
      <w:rFonts w:ascii="Calibri" w:eastAsia="Calibri" w:hAnsi="Calibri" w:cs="Calibri"/>
      <w:lang w:val="en-US"/>
    </w:rPr>
  </w:style>
  <w:style w:type="paragraph" w:styleId="BalloonText">
    <w:name w:val="Balloon Text"/>
    <w:basedOn w:val="Normal"/>
    <w:link w:val="BalloonTextChar"/>
    <w:uiPriority w:val="99"/>
    <w:semiHidden/>
    <w:unhideWhenUsed/>
    <w:rsid w:val="00CC345C"/>
    <w:rPr>
      <w:rFonts w:ascii="Tahoma" w:hAnsi="Tahoma" w:cs="Tahoma"/>
      <w:sz w:val="16"/>
      <w:szCs w:val="16"/>
    </w:rPr>
  </w:style>
  <w:style w:type="character" w:customStyle="1" w:styleId="BalloonTextChar">
    <w:name w:val="Balloon Text Char"/>
    <w:basedOn w:val="DefaultParagraphFont"/>
    <w:link w:val="BalloonText"/>
    <w:uiPriority w:val="99"/>
    <w:semiHidden/>
    <w:rsid w:val="00CC345C"/>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47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4312</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SERGIU</dc:creator>
  <cp:lastModifiedBy>utilizator</cp:lastModifiedBy>
  <cp:revision>8</cp:revision>
  <dcterms:created xsi:type="dcterms:W3CDTF">2021-11-08T09:37:00Z</dcterms:created>
  <dcterms:modified xsi:type="dcterms:W3CDTF">2021-11-25T10:22:00Z</dcterms:modified>
</cp:coreProperties>
</file>