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E4F50">
      <w:pPr>
        <w:autoSpaceDE w:val="0"/>
        <w:autoSpaceDN w:val="0"/>
        <w:adjustRightInd w:val="0"/>
        <w:spacing w:after="0"/>
        <w:ind w:firstLine="1440"/>
        <w:jc w:val="both"/>
        <w:rPr>
          <w:rFonts w:ascii="Times New Roman" w:hAnsi="Times New Roman" w:cs="Times New Roman"/>
          <w:sz w:val="24"/>
          <w:szCs w:val="24"/>
        </w:rPr>
      </w:pPr>
    </w:p>
    <w:p w14:paraId="5C6E30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Judetul Ialomita</w:t>
      </w:r>
    </w:p>
    <w:p w14:paraId="500762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Comuna Balaciu</w:t>
      </w:r>
    </w:p>
    <w:p w14:paraId="30A58F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Primar </w:t>
      </w:r>
    </w:p>
    <w:p w14:paraId="0D3F23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Nr.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pt-PT"/>
        </w:rPr>
        <w:t>/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sz w:val="24"/>
          <w:szCs w:val="24"/>
          <w:lang w:val="pt-PT"/>
        </w:rPr>
        <w:t>.01.2026</w:t>
      </w:r>
    </w:p>
    <w:p w14:paraId="04F5E1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EBE9E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78B5297D">
      <w:pPr>
        <w:pStyle w:val="8"/>
        <w:kinsoku w:val="0"/>
        <w:overflowPunct w:val="0"/>
        <w:spacing w:after="0" w:line="276" w:lineRule="auto"/>
        <w:ind w:left="464" w:right="303"/>
        <w:jc w:val="center"/>
        <w:rPr>
          <w:b/>
          <w:bCs/>
          <w:w w:val="105"/>
          <w:lang w:val="pt-PT"/>
        </w:rPr>
      </w:pPr>
      <w:r>
        <w:rPr>
          <w:b/>
          <w:bCs/>
          <w:w w:val="105"/>
          <w:lang w:val="pt-PT"/>
        </w:rPr>
        <w:t>EXPUNERE DE MOTIVE</w:t>
      </w:r>
    </w:p>
    <w:p w14:paraId="1CA527E4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w w:val="105"/>
          <w:sz w:val="24"/>
          <w:szCs w:val="24"/>
          <w:lang w:val="pt-PT"/>
        </w:rPr>
        <w:t>la proiectul de hotărâre</w:t>
      </w:r>
      <w:r>
        <w:rPr>
          <w:rFonts w:ascii="Times New Roman" w:hAnsi="Times New Roman"/>
          <w:w w:val="105"/>
          <w:sz w:val="24"/>
          <w:szCs w:val="24"/>
          <w:lang w:val="pt-PT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t-PT"/>
        </w:rPr>
        <w:t xml:space="preserve">privind aprobarea studiului de fezabilitate, a indicatorilor tehnico-economici și a devizului general pentru obiectivul de investiții </w:t>
      </w:r>
      <w:r>
        <w:rPr>
          <w:rFonts w:ascii="Times New Roman" w:hAnsi="Times New Roman"/>
          <w:b/>
          <w:bCs/>
          <w:sz w:val="24"/>
          <w:szCs w:val="24"/>
          <w:lang w:val="pt-PT" w:bidi="en-US"/>
        </w:rPr>
        <w:t>“Infiintare sistem de canalizare, statie de epurare in comunele Sălcioara si Balaciu, județul Ialomița”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,</w:t>
      </w:r>
      <w:r>
        <w:rPr>
          <w:rFonts w:ascii="Times New Roman" w:hAnsi="Times New Roman"/>
          <w:b/>
          <w:sz w:val="24"/>
          <w:szCs w:val="24"/>
          <w:lang w:val="pt-PT"/>
        </w:rPr>
        <w:t xml:space="preserve"> aprobat pentru finanțare prin Programul național de investiții „Anghel Saligny”, precum și a sumei reprezentând categoriile de cheltuieli finanțate de la bugetul local pentru realizarea obiectivului Etapa I</w:t>
      </w:r>
    </w:p>
    <w:p w14:paraId="38E9563F">
      <w:pPr>
        <w:pStyle w:val="8"/>
        <w:kinsoku w:val="0"/>
        <w:overflowPunct w:val="0"/>
        <w:spacing w:after="0" w:line="276" w:lineRule="auto"/>
        <w:rPr>
          <w:b/>
          <w:bCs/>
          <w:i/>
          <w:iCs/>
          <w:lang w:val="pt-PT"/>
        </w:rPr>
      </w:pPr>
    </w:p>
    <w:p w14:paraId="74B6E9A6">
      <w:pPr>
        <w:pStyle w:val="4"/>
        <w:kinsoku w:val="0"/>
        <w:overflowPunct w:val="0"/>
        <w:spacing w:before="0" w:after="0"/>
        <w:ind w:right="150" w:firstLine="740"/>
        <w:jc w:val="both"/>
        <w:rPr>
          <w:rFonts w:ascii="Times New Roman" w:hAnsi="Times New Roman"/>
          <w:b w:val="0"/>
          <w:bCs w:val="0"/>
          <w:w w:val="105"/>
          <w:sz w:val="24"/>
          <w:szCs w:val="24"/>
          <w:lang w:val="pt-PT"/>
        </w:rPr>
      </w:pPr>
      <w:r>
        <w:rPr>
          <w:rFonts w:ascii="Times New Roman" w:hAnsi="Times New Roman"/>
          <w:b w:val="0"/>
          <w:bCs w:val="0"/>
          <w:w w:val="105"/>
          <w:sz w:val="24"/>
          <w:szCs w:val="24"/>
          <w:lang w:val="pt-PT"/>
        </w:rPr>
        <w:t xml:space="preserve">Prin HCL Balaciu nr. </w:t>
      </w:r>
      <w:r>
        <w:rPr>
          <w:rFonts w:hint="default" w:ascii="Times New Roman" w:hAnsi="Times New Roman"/>
          <w:b w:val="0"/>
          <w:bCs w:val="0"/>
          <w:w w:val="105"/>
          <w:sz w:val="24"/>
          <w:szCs w:val="24"/>
          <w:lang w:val="en-US"/>
        </w:rPr>
        <w:t xml:space="preserve">20 </w:t>
      </w:r>
      <w:r>
        <w:rPr>
          <w:rFonts w:ascii="Times New Roman" w:hAnsi="Times New Roman"/>
          <w:b w:val="0"/>
          <w:bCs w:val="0"/>
          <w:w w:val="105"/>
          <w:sz w:val="24"/>
          <w:szCs w:val="24"/>
          <w:lang w:val="pt-PT"/>
        </w:rPr>
        <w:t xml:space="preserve">din </w:t>
      </w:r>
      <w:r>
        <w:rPr>
          <w:rFonts w:hint="default" w:ascii="Times New Roman" w:hAnsi="Times New Roman"/>
          <w:b w:val="0"/>
          <w:bCs w:val="0"/>
          <w:w w:val="105"/>
          <w:sz w:val="24"/>
          <w:szCs w:val="24"/>
          <w:lang w:val="en-US"/>
        </w:rPr>
        <w:t>28</w:t>
      </w:r>
      <w:r>
        <w:rPr>
          <w:rFonts w:ascii="Times New Roman" w:hAnsi="Times New Roman"/>
          <w:b w:val="0"/>
          <w:bCs w:val="0"/>
          <w:w w:val="105"/>
          <w:sz w:val="24"/>
          <w:szCs w:val="24"/>
          <w:lang w:val="pt-PT"/>
        </w:rPr>
        <w:t>.</w:t>
      </w:r>
      <w:r>
        <w:rPr>
          <w:rFonts w:hint="default" w:ascii="Times New Roman" w:hAnsi="Times New Roman"/>
          <w:b w:val="0"/>
          <w:bCs w:val="0"/>
          <w:w w:val="105"/>
          <w:sz w:val="24"/>
          <w:szCs w:val="24"/>
          <w:lang w:val="en-US"/>
        </w:rPr>
        <w:t>05</w:t>
      </w:r>
      <w:r>
        <w:rPr>
          <w:rFonts w:ascii="Times New Roman" w:hAnsi="Times New Roman"/>
          <w:b w:val="0"/>
          <w:bCs w:val="0"/>
          <w:w w:val="105"/>
          <w:sz w:val="24"/>
          <w:szCs w:val="24"/>
          <w:lang w:val="pt-PT"/>
        </w:rPr>
        <w:t xml:space="preserve">. </w:t>
      </w:r>
      <w:r>
        <w:rPr>
          <w:rFonts w:hint="default" w:ascii="Times New Roman" w:hAnsi="Times New Roman"/>
          <w:b w:val="0"/>
          <w:bCs w:val="0"/>
          <w:w w:val="105"/>
          <w:sz w:val="24"/>
          <w:szCs w:val="24"/>
          <w:lang w:val="en-US"/>
        </w:rPr>
        <w:t>2025</w:t>
      </w:r>
      <w:r>
        <w:rPr>
          <w:rFonts w:ascii="Times New Roman" w:hAnsi="Times New Roman"/>
          <w:b w:val="0"/>
          <w:bCs w:val="0"/>
          <w:w w:val="105"/>
          <w:sz w:val="24"/>
          <w:szCs w:val="24"/>
          <w:lang w:val="pt-PT"/>
        </w:rPr>
        <w:t xml:space="preserve"> au fost aprobat </w:t>
      </w:r>
      <w:r>
        <w:rPr>
          <w:rFonts w:ascii="Times New Roman" w:hAnsi="Times New Roman"/>
          <w:b w:val="0"/>
          <w:sz w:val="24"/>
          <w:szCs w:val="24"/>
          <w:lang w:val="pt-PT"/>
        </w:rPr>
        <w:t>studiul de fezabilitate, indicatorii tehnico-economici și a devizul general</w:t>
      </w:r>
      <w:r>
        <w:rPr>
          <w:rFonts w:ascii="Times New Roman" w:hAnsi="Times New Roman"/>
          <w:b w:val="0"/>
          <w:bCs w:val="0"/>
          <w:w w:val="105"/>
          <w:sz w:val="24"/>
          <w:szCs w:val="24"/>
          <w:lang w:val="pt-PT"/>
        </w:rPr>
        <w:t xml:space="preserve"> pentru obiectivul de investiţie </w:t>
      </w:r>
      <w:r>
        <w:rPr>
          <w:rFonts w:ascii="Times New Roman" w:hAnsi="Times New Roman"/>
          <w:b w:val="0"/>
          <w:bCs w:val="0"/>
          <w:sz w:val="24"/>
          <w:szCs w:val="24"/>
          <w:lang w:val="pt-PT" w:bidi="en-US"/>
        </w:rPr>
        <w:t xml:space="preserve">“Infiintare sistem de canalizare, statie de epurare in comunele Sălcioara si Balaciu, județul Ialomița” – etapa I, </w:t>
      </w:r>
      <w:r>
        <w:rPr>
          <w:rFonts w:ascii="Times New Roman" w:hAnsi="Times New Roman"/>
          <w:b w:val="0"/>
          <w:bCs w:val="0"/>
          <w:w w:val="105"/>
          <w:sz w:val="24"/>
          <w:szCs w:val="24"/>
          <w:lang w:val="pt-PT"/>
        </w:rPr>
        <w:t>finanţat prin Programul Naţional Anghel Saligny.</w:t>
      </w:r>
    </w:p>
    <w:p w14:paraId="7F56BABE">
      <w:pPr>
        <w:pStyle w:val="8"/>
        <w:kinsoku w:val="0"/>
        <w:overflowPunct w:val="0"/>
        <w:spacing w:after="0" w:line="276" w:lineRule="auto"/>
        <w:ind w:right="181" w:firstLine="753"/>
        <w:jc w:val="both"/>
        <w:rPr>
          <w:i/>
          <w:iCs/>
          <w:lang w:val="pt-PT"/>
        </w:rPr>
      </w:pPr>
      <w:r>
        <w:rPr>
          <w:lang w:val="pt-PT"/>
        </w:rPr>
        <w:t xml:space="preserve">Conform HG nr. 907/2016, privind etapele de elaborare şi conţinutul-cadru al documentaţiilor tehnico-economiceaferente obiectivelor/proiectelor de investiţii finanţate din fonduri publice, </w:t>
      </w:r>
      <w:r>
        <w:rPr>
          <w:spacing w:val="2"/>
          <w:lang w:val="pt-PT"/>
        </w:rPr>
        <w:t>art. 10</w:t>
      </w:r>
      <w:r>
        <w:rPr>
          <w:lang w:val="pt-PT"/>
        </w:rPr>
        <w:t xml:space="preserve"> alin.(4): "devizul general întocmit la faza de proiectare studiu de fezabilitate în cazul  obiectivului nou/mixt de investiţii şi, respectiv, la faza documentaţie de avizare a lucrărilor de intervenţii în cazul intervenţiei la construcţie existentă  se  actualizează  prin  grija  beneficiarului  investiţiei, </w:t>
      </w:r>
      <w:r>
        <w:rPr>
          <w:i/>
          <w:iCs/>
          <w:u w:val="thick"/>
          <w:lang w:val="pt-PT"/>
        </w:rPr>
        <w:t>ori de câte ori este necesar, dar în mod obligatoriu în următoarele situaţii:</w:t>
      </w:r>
      <w:r>
        <w:rPr>
          <w:i/>
          <w:iCs/>
          <w:lang w:val="pt-PT"/>
        </w:rPr>
        <w:t xml:space="preserve"> </w:t>
      </w:r>
      <w:r>
        <w:rPr>
          <w:lang w:val="pt-PT"/>
        </w:rPr>
        <w:t xml:space="preserve">a) la data supunerii spre aprobare a studiului de fezabilitate / documentaţiei de avizare a lucrărilor de intervenţii; b) la data solicitării autorizaţiei de construire; c) </w:t>
      </w:r>
      <w:r>
        <w:rPr>
          <w:i/>
          <w:iCs/>
          <w:u w:val="thick"/>
          <w:lang w:val="pt-PT"/>
        </w:rPr>
        <w:t>după finalizarea procedurilor de achizitie publică, rezultând</w:t>
      </w:r>
      <w:r>
        <w:rPr>
          <w:i/>
          <w:iCs/>
          <w:lang w:val="pt-PT"/>
        </w:rPr>
        <w:t xml:space="preserve"> </w:t>
      </w:r>
      <w:r>
        <w:rPr>
          <w:i/>
          <w:iCs/>
          <w:u w:val="thick"/>
          <w:lang w:val="pt-PT"/>
        </w:rPr>
        <w:t>valoarea de finantare a</w:t>
      </w:r>
      <w:r>
        <w:rPr>
          <w:i/>
          <w:iCs/>
          <w:spacing w:val="-26"/>
          <w:u w:val="thick"/>
          <w:lang w:val="pt-PT"/>
        </w:rPr>
        <w:t xml:space="preserve"> </w:t>
      </w:r>
      <w:r>
        <w:rPr>
          <w:i/>
          <w:iCs/>
          <w:u w:val="thick"/>
          <w:lang w:val="pt-PT"/>
        </w:rPr>
        <w:t>investiei</w:t>
      </w:r>
      <w:r>
        <w:rPr>
          <w:i/>
          <w:iCs/>
          <w:lang w:val="pt-PT"/>
        </w:rPr>
        <w:t>.</w:t>
      </w:r>
    </w:p>
    <w:p w14:paraId="4AA88919">
      <w:pPr>
        <w:pStyle w:val="8"/>
        <w:kinsoku w:val="0"/>
        <w:overflowPunct w:val="0"/>
        <w:spacing w:after="0" w:line="276" w:lineRule="auto"/>
        <w:ind w:right="181" w:firstLine="753"/>
        <w:jc w:val="both"/>
        <w:rPr>
          <w:i/>
          <w:iCs/>
          <w:lang w:val="pt-PT"/>
        </w:rPr>
      </w:pPr>
    </w:p>
    <w:p w14:paraId="4246AC26">
      <w:pPr>
        <w:pStyle w:val="8"/>
        <w:kinsoku w:val="0"/>
        <w:overflowPunct w:val="0"/>
        <w:spacing w:after="0" w:line="276" w:lineRule="auto"/>
        <w:ind w:right="181" w:firstLine="753"/>
        <w:jc w:val="both"/>
        <w:rPr>
          <w:b/>
          <w:bCs/>
          <w:lang w:val="pt-PT"/>
        </w:rPr>
      </w:pPr>
      <w:r>
        <w:rPr>
          <w:b/>
          <w:bCs/>
          <w:lang w:val="pt-PT"/>
        </w:rPr>
        <w:t>In aceasta etapa a fost necesara actualizarea devizului general al investitiei datorata cresterii TVA de la 19 la 21%, iar in anexa 2.2 au mai fost necesare mutari de sume fara a afecta valoarea investitiei, in momentul aprobarii devizului inainte de cresterea TVA valoarea capitolului 4 fiind de 16.837.683</w:t>
      </w:r>
      <w:r>
        <w:rPr>
          <w:rFonts w:hint="default"/>
          <w:b/>
          <w:bCs/>
          <w:lang w:val="en-US"/>
        </w:rPr>
        <w:t>22</w:t>
      </w:r>
      <w:r>
        <w:rPr>
          <w:b/>
          <w:bCs/>
          <w:lang w:val="pt-PT"/>
        </w:rPr>
        <w:t xml:space="preserve"> lei, iar dupa cresterea TVA valoarea capitolului 4 fiind de 17.120.</w:t>
      </w:r>
      <w:r>
        <w:rPr>
          <w:rFonts w:hint="default"/>
          <w:b/>
          <w:bCs/>
          <w:lang w:val="en-US"/>
        </w:rPr>
        <w:t>669,49</w:t>
      </w:r>
      <w:r>
        <w:rPr>
          <w:b/>
          <w:bCs/>
          <w:lang w:val="pt-PT"/>
        </w:rPr>
        <w:t xml:space="preserve"> lei.</w:t>
      </w:r>
    </w:p>
    <w:p w14:paraId="3810C25D">
      <w:pPr>
        <w:pStyle w:val="8"/>
        <w:kinsoku w:val="0"/>
        <w:overflowPunct w:val="0"/>
        <w:spacing w:after="0" w:line="276" w:lineRule="auto"/>
        <w:ind w:right="181" w:firstLine="753"/>
        <w:jc w:val="both"/>
        <w:rPr>
          <w:rFonts w:hint="default"/>
          <w:b/>
          <w:bCs/>
          <w:highlight w:val="none"/>
          <w:lang w:val="en-US"/>
        </w:rPr>
      </w:pPr>
      <w:r>
        <w:rPr>
          <w:b/>
          <w:bCs/>
          <w:lang w:val="pt-PT"/>
        </w:rPr>
        <w:t xml:space="preserve">Faptul ca in anexa 2.2 s-au mutat sume de la o linie la alta, nu afecteaza valoarea devizului, avand in vedere faptul ca primaria Balaciu a solicitat si o prelungire de conducta fata de proiectul initial din 2021 in lungime aproximativa de 400 m pe strada Bazei (dupa calea ferata), astfel au aparut diferente de lungime, numar de camine si numar de racorduri, cu “incadrarea aproximativa” in suma aprobata in HCL nr. </w:t>
      </w:r>
      <w:r>
        <w:rPr>
          <w:rFonts w:hint="default"/>
          <w:b/>
          <w:bCs/>
          <w:highlight w:val="none"/>
          <w:lang w:val="en-US"/>
        </w:rPr>
        <w:t>20/28.05.202</w:t>
      </w:r>
      <w:r>
        <w:rPr>
          <w:rFonts w:hint="default"/>
          <w:b/>
          <w:bCs/>
          <w:highlight w:val="none"/>
          <w:lang w:val="ro-RO"/>
        </w:rPr>
        <w:t>5</w:t>
      </w:r>
      <w:bookmarkStart w:id="0" w:name="_GoBack"/>
      <w:bookmarkEnd w:id="0"/>
      <w:r>
        <w:rPr>
          <w:rFonts w:hint="default"/>
          <w:b/>
          <w:bCs/>
          <w:highlight w:val="none"/>
          <w:lang w:val="en-US"/>
        </w:rPr>
        <w:t>.</w:t>
      </w:r>
    </w:p>
    <w:p w14:paraId="5021D5A1">
      <w:pPr>
        <w:pStyle w:val="8"/>
        <w:kinsoku w:val="0"/>
        <w:overflowPunct w:val="0"/>
        <w:spacing w:after="0" w:line="276" w:lineRule="auto"/>
        <w:ind w:right="181" w:firstLine="753"/>
        <w:jc w:val="both"/>
        <w:rPr>
          <w:rFonts w:hint="default"/>
          <w:b/>
          <w:bCs/>
          <w:highlight w:val="none"/>
          <w:lang w:val="pt-PT"/>
        </w:rPr>
      </w:pPr>
    </w:p>
    <w:p w14:paraId="7AF656BC">
      <w:pPr>
        <w:pStyle w:val="8"/>
        <w:kinsoku w:val="0"/>
        <w:overflowPunct w:val="0"/>
        <w:spacing w:after="0" w:line="276" w:lineRule="auto"/>
        <w:ind w:right="113" w:firstLine="714"/>
        <w:jc w:val="both"/>
        <w:rPr>
          <w:w w:val="105"/>
          <w:lang w:val="pt-PT"/>
        </w:rPr>
      </w:pPr>
      <w:r>
        <w:rPr>
          <w:w w:val="105"/>
          <w:lang w:val="pt-PT"/>
        </w:rPr>
        <w:t xml:space="preserve">Având în vedere  modificarile legislative intervenite se impune </w:t>
      </w:r>
      <w:r>
        <w:rPr>
          <w:bCs/>
          <w:lang w:val="pt-PT"/>
        </w:rPr>
        <w:t xml:space="preserve">actualizarea studiului de fezabilitate, a indicatorilor tehnico-economici și a devizului general pentru obiectivul de investiții, aprobarea acestora prin sedinta de consiliu local, in baza </w:t>
      </w:r>
      <w:r>
        <w:rPr>
          <w:w w:val="105"/>
          <w:lang w:val="pt-PT"/>
        </w:rPr>
        <w:t xml:space="preserve">prevederilor H.G. nr. </w:t>
      </w:r>
      <w:r>
        <w:rPr>
          <w:spacing w:val="-3"/>
          <w:w w:val="105"/>
          <w:lang w:val="pt-PT"/>
        </w:rPr>
        <w:t xml:space="preserve">907/2016 </w:t>
      </w:r>
      <w:r>
        <w:rPr>
          <w:w w:val="105"/>
          <w:lang w:val="pt-PT"/>
        </w:rPr>
        <w:t>privind etapele de elaborare şi conţinutul-cadru al documentaţiilor tehnico-economice aferente obiectivelor / proiectelor de investiţii finanţate din fonduri publice,</w:t>
      </w:r>
      <w:r>
        <w:rPr>
          <w:spacing w:val="11"/>
          <w:w w:val="105"/>
          <w:lang w:val="pt-PT"/>
        </w:rPr>
        <w:t xml:space="preserve"> </w:t>
      </w:r>
      <w:r>
        <w:rPr>
          <w:w w:val="105"/>
          <w:lang w:val="pt-PT"/>
        </w:rPr>
        <w:t xml:space="preserve">propunem: aprobarea actualizării </w:t>
      </w:r>
      <w:r>
        <w:rPr>
          <w:bCs/>
          <w:lang w:val="pt-PT"/>
        </w:rPr>
        <w:t>studiului de fezabilitate, a indicatorilor tehnico-economici și a devizului general</w:t>
      </w:r>
      <w:r>
        <w:rPr>
          <w:w w:val="105"/>
          <w:lang w:val="pt-PT"/>
        </w:rPr>
        <w:t xml:space="preserve"> pentru obiectivul de investiţii</w:t>
      </w:r>
      <w:r>
        <w:rPr>
          <w:b/>
          <w:lang w:val="pt-PT"/>
        </w:rPr>
        <w:t xml:space="preserve"> </w:t>
      </w:r>
      <w:r>
        <w:rPr>
          <w:b/>
          <w:bCs/>
          <w:i/>
          <w:iCs/>
          <w:lang w:val="pt-PT" w:bidi="en-US"/>
        </w:rPr>
        <w:t>“Infiintare sistem de canalizare, statie de epurare in comunele Sălcioara si Balaciu, județul Ialomița”</w:t>
      </w:r>
      <w:r>
        <w:rPr>
          <w:b/>
          <w:bCs/>
          <w:i/>
          <w:iCs/>
          <w:lang w:val="pt-PT"/>
        </w:rPr>
        <w:t>,</w:t>
      </w:r>
      <w:r>
        <w:rPr>
          <w:b/>
          <w:lang w:val="pt-PT"/>
        </w:rPr>
        <w:t xml:space="preserve"> aprobat pentru finanțare prin Programul național de investiții „Anghel Saligny”, precum și a sumei reprezentând categoriile de cheltuieli finanțate de la bugetul local pentru realizarea obiectivului Etapa I</w:t>
      </w:r>
      <w:r>
        <w:rPr>
          <w:b/>
          <w:bCs/>
          <w:i/>
          <w:iCs/>
          <w:w w:val="105"/>
          <w:lang w:val="pt-PT"/>
        </w:rPr>
        <w:t xml:space="preserve">, </w:t>
      </w:r>
      <w:r>
        <w:rPr>
          <w:b/>
          <w:bCs/>
          <w:w w:val="105"/>
          <w:lang w:val="pt-PT"/>
        </w:rPr>
        <w:t>astfel:</w:t>
      </w:r>
    </w:p>
    <w:p w14:paraId="3BB411C8">
      <w:pPr>
        <w:numPr>
          <w:ilvl w:val="0"/>
          <w:numId w:val="1"/>
        </w:numPr>
        <w:ind w:left="426" w:hanging="284"/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 xml:space="preserve">Se aprobă finanțarea obiectivului de investiții </w:t>
      </w:r>
      <w:r>
        <w:rPr>
          <w:rFonts w:ascii="Times New Roman" w:hAnsi="Times New Roman"/>
          <w:b/>
          <w:bCs/>
          <w:sz w:val="24"/>
          <w:szCs w:val="24"/>
          <w:lang w:val="pt-PT" w:bidi="en-US"/>
        </w:rPr>
        <w:t>“Infiintare sistem de canalizare, statie de epurare in comunele Sălcioara si Balaciu, județul Ialomița”</w:t>
      </w:r>
      <w:r>
        <w:rPr>
          <w:rFonts w:ascii="Times New Roman" w:hAnsi="Times New Roman"/>
          <w:bCs/>
          <w:sz w:val="24"/>
          <w:szCs w:val="24"/>
          <w:lang w:val="pt-PT"/>
        </w:rPr>
        <w:t xml:space="preserve">  in suma de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o-RO" w:eastAsia="ro-RO"/>
        </w:rPr>
        <w:t>44.5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en-US" w:eastAsia="ro-RO"/>
        </w:rPr>
        <w:t>97.686,86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lei</w:t>
      </w:r>
      <w:r>
        <w:rPr>
          <w:rFonts w:ascii="Times New Roman" w:hAnsi="Times New Roman"/>
          <w:sz w:val="24"/>
          <w:szCs w:val="24"/>
          <w:lang w:val="pt-PT"/>
        </w:rPr>
        <w:t xml:space="preserve"> (Etapa I) din care:</w:t>
      </w:r>
    </w:p>
    <w:p w14:paraId="09A91206">
      <w:pPr>
        <w:numPr>
          <w:ilvl w:val="0"/>
          <w:numId w:val="2"/>
        </w:numPr>
        <w:spacing w:after="0" w:line="240" w:lineRule="auto"/>
        <w:ind w:left="993" w:hanging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bCs/>
          <w:sz w:val="24"/>
          <w:szCs w:val="24"/>
        </w:rPr>
        <w:t>C+M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o-RO" w:eastAsia="ro-RO"/>
        </w:rPr>
        <w:t>38.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en-US" w:eastAsia="ro-RO"/>
        </w:rPr>
        <w:t>499.072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o-RO" w:eastAsia="ro-RO"/>
        </w:rPr>
        <w:t>,84</w:t>
      </w:r>
      <w:r>
        <w:rPr>
          <w:rFonts w:ascii="Times New Roman" w:hAnsi="Times New Roman"/>
          <w:sz w:val="24"/>
          <w:szCs w:val="24"/>
        </w:rPr>
        <w:t>, inclusiv TVA</w:t>
      </w:r>
    </w:p>
    <w:p w14:paraId="442B3198">
      <w:pPr>
        <w:numPr>
          <w:ilvl w:val="0"/>
          <w:numId w:val="2"/>
        </w:numPr>
        <w:spacing w:after="0" w:line="240" w:lineRule="auto"/>
        <w:ind w:left="993" w:hanging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o-RO" w:eastAsia="ro-RO"/>
        </w:rPr>
        <w:t>43.000.000,00</w:t>
      </w:r>
      <w:r>
        <w:rPr>
          <w:rFonts w:ascii="Times New Roman" w:hAnsi="Times New Roman"/>
          <w:color w:val="000000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/>
          <w:sz w:val="24"/>
          <w:szCs w:val="24"/>
        </w:rPr>
        <w:t>lei, inclusiv TVA, reprezint</w:t>
      </w:r>
      <w:r>
        <w:rPr>
          <w:rFonts w:ascii="Times New Roman" w:hAnsi="Times New Roman"/>
          <w:sz w:val="24"/>
          <w:szCs w:val="24"/>
          <w:lang w:val="ro-RO"/>
        </w:rPr>
        <w:t>ă suma finanțată de la bugetul de stat;</w:t>
      </w:r>
    </w:p>
    <w:p w14:paraId="1A7FD4D7">
      <w:pPr>
        <w:numPr>
          <w:ilvl w:val="0"/>
          <w:numId w:val="2"/>
        </w:numPr>
        <w:spacing w:after="0" w:line="240" w:lineRule="auto"/>
        <w:ind w:left="993" w:hanging="567"/>
        <w:jc w:val="both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bCs/>
          <w:sz w:val="24"/>
          <w:szCs w:val="24"/>
          <w:lang w:val="ro-RO" w:eastAsia="ro-RO"/>
        </w:rPr>
        <w:t>1.5</w:t>
      </w:r>
      <w:r>
        <w:rPr>
          <w:rFonts w:hint="default" w:ascii="Times New Roman" w:hAnsi="Times New Roman"/>
          <w:b/>
          <w:bCs/>
          <w:sz w:val="24"/>
          <w:szCs w:val="24"/>
          <w:lang w:val="en-US" w:eastAsia="ro-RO"/>
        </w:rPr>
        <w:t>97.686</w:t>
      </w:r>
      <w:r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,86 </w:t>
      </w:r>
      <w:r>
        <w:rPr>
          <w:rFonts w:ascii="Times New Roman" w:hAnsi="Times New Roman"/>
          <w:sz w:val="24"/>
          <w:szCs w:val="24"/>
        </w:rPr>
        <w:t>lei, inclusiv TVA, reprezint</w:t>
      </w:r>
      <w:r>
        <w:rPr>
          <w:rFonts w:ascii="Times New Roman" w:hAnsi="Times New Roman"/>
          <w:sz w:val="24"/>
          <w:szCs w:val="24"/>
          <w:lang w:val="ro-RO"/>
        </w:rPr>
        <w:t>ă suma finanțată de la bugetul local al UAT Balaciu si UAT Salcioara</w:t>
      </w:r>
    </w:p>
    <w:p w14:paraId="1381192B">
      <w:pPr>
        <w:pStyle w:val="8"/>
        <w:numPr>
          <w:ilvl w:val="0"/>
          <w:numId w:val="1"/>
        </w:numPr>
        <w:kinsoku w:val="0"/>
        <w:overflowPunct w:val="0"/>
        <w:spacing w:after="0" w:line="276" w:lineRule="auto"/>
        <w:ind w:left="426" w:hanging="284"/>
        <w:jc w:val="both"/>
        <w:rPr>
          <w:w w:val="105"/>
          <w:lang w:val="ro-RO"/>
        </w:rPr>
      </w:pPr>
      <w:r>
        <w:rPr>
          <w:bCs/>
          <w:lang w:val="ro-RO"/>
        </w:rPr>
        <w:t xml:space="preserve">Se aprobă finanțarea de la bugetul local al Comunei Balaciu a sumei de </w:t>
      </w:r>
      <w:r>
        <w:rPr>
          <w:b/>
          <w:bCs/>
          <w:lang w:val="ro-RO"/>
        </w:rPr>
        <w:t>8</w:t>
      </w:r>
      <w:r>
        <w:rPr>
          <w:rFonts w:hint="default"/>
          <w:b/>
          <w:bCs/>
          <w:lang w:val="en-US"/>
        </w:rPr>
        <w:t>27.867,67</w:t>
      </w:r>
      <w:r>
        <w:rPr>
          <w:b/>
          <w:bCs/>
          <w:lang w:val="ro-RO"/>
        </w:rPr>
        <w:t xml:space="preserve"> </w:t>
      </w:r>
      <w:r>
        <w:rPr>
          <w:b/>
          <w:lang w:val="ro-RO"/>
        </w:rPr>
        <w:t xml:space="preserve">lei </w:t>
      </w:r>
      <w:r>
        <w:rPr>
          <w:bCs/>
          <w:lang w:val="ro-RO"/>
        </w:rPr>
        <w:t>reprezentând categoriile de cheltuieli finanțate de la bugetul local - etapa I</w:t>
      </w:r>
    </w:p>
    <w:p w14:paraId="3BC66B20">
      <w:pPr>
        <w:pStyle w:val="8"/>
        <w:kinsoku w:val="0"/>
        <w:overflowPunct w:val="0"/>
        <w:spacing w:after="0" w:line="276" w:lineRule="auto"/>
        <w:ind w:firstLine="726"/>
        <w:jc w:val="both"/>
        <w:rPr>
          <w:b/>
          <w:lang w:val="ro-RO"/>
        </w:rPr>
      </w:pPr>
      <w:r>
        <w:rPr>
          <w:w w:val="105"/>
          <w:lang w:val="ro-RO"/>
        </w:rPr>
        <w:t xml:space="preserve">Faţă de cele prezentate supunem aprobării autorităţii comunei Balaciu actualizarea devizului general pentru obiectivul de investiţii </w:t>
      </w:r>
      <w:r>
        <w:rPr>
          <w:b/>
          <w:bCs/>
          <w:i/>
          <w:iCs/>
          <w:lang w:val="ro-RO" w:bidi="en-US"/>
        </w:rPr>
        <w:t>“Infiintare sistem de canalizare, statie de epurare in comunele Sălcioara si Balaciu, județul Ialomița”</w:t>
      </w:r>
      <w:r>
        <w:rPr>
          <w:b/>
          <w:bCs/>
          <w:i/>
          <w:iCs/>
          <w:lang w:val="ro-RO"/>
        </w:rPr>
        <w:t>,</w:t>
      </w:r>
      <w:r>
        <w:rPr>
          <w:b/>
          <w:lang w:val="ro-RO"/>
        </w:rPr>
        <w:t xml:space="preserve"> aprobat pentru finanțare prin Programul național de investiții „Anghel Saligny”, precum și a sumei reprezentând categoriile de cheltuieli finanțate de la bugetul local pentru realizarea obiectivului Etapa I.</w:t>
      </w:r>
    </w:p>
    <w:p w14:paraId="77B149A9">
      <w:pPr>
        <w:pStyle w:val="8"/>
        <w:kinsoku w:val="0"/>
        <w:overflowPunct w:val="0"/>
        <w:spacing w:after="0" w:line="276" w:lineRule="auto"/>
        <w:ind w:firstLine="726"/>
        <w:jc w:val="both"/>
        <w:rPr>
          <w:b/>
          <w:lang w:val="ro-RO"/>
        </w:rPr>
      </w:pPr>
    </w:p>
    <w:p w14:paraId="41F490E7">
      <w:pPr>
        <w:pStyle w:val="8"/>
        <w:kinsoku w:val="0"/>
        <w:overflowPunct w:val="0"/>
        <w:spacing w:after="0" w:line="276" w:lineRule="auto"/>
        <w:ind w:firstLine="726"/>
        <w:jc w:val="both"/>
        <w:rPr>
          <w:b/>
          <w:lang w:val="ro-RO"/>
        </w:rPr>
      </w:pPr>
    </w:p>
    <w:p w14:paraId="76DDBC12">
      <w:pPr>
        <w:pStyle w:val="8"/>
        <w:kinsoku w:val="0"/>
        <w:overflowPunct w:val="0"/>
        <w:spacing w:after="0" w:line="276" w:lineRule="auto"/>
        <w:ind w:firstLine="726"/>
        <w:jc w:val="both"/>
        <w:rPr>
          <w:lang w:val="ro-RO"/>
        </w:rPr>
      </w:pPr>
    </w:p>
    <w:p w14:paraId="16858427">
      <w:pPr>
        <w:tabs>
          <w:tab w:val="left" w:pos="30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PRIMAR ,</w:t>
      </w:r>
    </w:p>
    <w:p w14:paraId="4FF92128">
      <w:pPr>
        <w:tabs>
          <w:tab w:val="left" w:pos="30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Mihu Cornel</w:t>
      </w:r>
    </w:p>
    <w:p w14:paraId="14706F7A">
      <w:pPr>
        <w:tabs>
          <w:tab w:val="left" w:pos="30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3813018">
      <w:pPr>
        <w:tabs>
          <w:tab w:val="left" w:pos="30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270F11F">
      <w:pPr>
        <w:tabs>
          <w:tab w:val="left" w:pos="30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DB8B0CF">
      <w:pPr>
        <w:tabs>
          <w:tab w:val="left" w:pos="30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481C6AC">
      <w:pPr>
        <w:tabs>
          <w:tab w:val="left" w:pos="30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A2497DD">
      <w:pPr>
        <w:tabs>
          <w:tab w:val="left" w:pos="30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33B6FD3">
      <w:pPr>
        <w:tabs>
          <w:tab w:val="left" w:pos="30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FC088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3BC2D2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sectPr>
      <w:pgSz w:w="12240" w:h="15840"/>
      <w:pgMar w:top="709" w:right="720" w:bottom="568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6F2AB1"/>
    <w:multiLevelType w:val="multilevel"/>
    <w:tmpl w:val="226F2AB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04A37"/>
    <w:multiLevelType w:val="multilevel"/>
    <w:tmpl w:val="5AC04A37"/>
    <w:lvl w:ilvl="0" w:tentative="0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67"/>
  <w:doNotDisplayPageBoundaries w:val="1"/>
  <w:embedSystemFonts/>
  <w:bordersDoNotSurroundHeader w:val="0"/>
  <w:bordersDoNotSurroundFooter w:val="0"/>
  <w:documentProtection w:enforcement="0"/>
  <w:defaultTabStop w:val="720"/>
  <w:hyphenationZone w:val="425"/>
  <w:doNotHyphenateCaps/>
  <w:displayHorizontalDrawingGridEvery w:val="1"/>
  <w:displayVerticalDrawingGridEvery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83"/>
    <w:rsid w:val="00012684"/>
    <w:rsid w:val="0002202B"/>
    <w:rsid w:val="000354B4"/>
    <w:rsid w:val="000375B1"/>
    <w:rsid w:val="00037744"/>
    <w:rsid w:val="00042FAF"/>
    <w:rsid w:val="0006335A"/>
    <w:rsid w:val="00096372"/>
    <w:rsid w:val="000B7675"/>
    <w:rsid w:val="000C209A"/>
    <w:rsid w:val="000D5808"/>
    <w:rsid w:val="000E4C1B"/>
    <w:rsid w:val="001122F7"/>
    <w:rsid w:val="001201BF"/>
    <w:rsid w:val="00135B72"/>
    <w:rsid w:val="00145525"/>
    <w:rsid w:val="00170242"/>
    <w:rsid w:val="001876BB"/>
    <w:rsid w:val="001A4519"/>
    <w:rsid w:val="001F421B"/>
    <w:rsid w:val="0020439A"/>
    <w:rsid w:val="00272FF1"/>
    <w:rsid w:val="00275C48"/>
    <w:rsid w:val="0027790A"/>
    <w:rsid w:val="002921EA"/>
    <w:rsid w:val="00296467"/>
    <w:rsid w:val="002A7F9D"/>
    <w:rsid w:val="002B29CE"/>
    <w:rsid w:val="002C2D7D"/>
    <w:rsid w:val="002D4296"/>
    <w:rsid w:val="002E189E"/>
    <w:rsid w:val="002F01FD"/>
    <w:rsid w:val="0033415E"/>
    <w:rsid w:val="00372023"/>
    <w:rsid w:val="00382A45"/>
    <w:rsid w:val="003D634E"/>
    <w:rsid w:val="003D6CAE"/>
    <w:rsid w:val="00407452"/>
    <w:rsid w:val="00443A11"/>
    <w:rsid w:val="00444674"/>
    <w:rsid w:val="004600BD"/>
    <w:rsid w:val="0047187D"/>
    <w:rsid w:val="004E030C"/>
    <w:rsid w:val="004F0E3B"/>
    <w:rsid w:val="004F473C"/>
    <w:rsid w:val="00507EB1"/>
    <w:rsid w:val="00533BE5"/>
    <w:rsid w:val="00537B8E"/>
    <w:rsid w:val="0054201A"/>
    <w:rsid w:val="00581760"/>
    <w:rsid w:val="00583200"/>
    <w:rsid w:val="005919EB"/>
    <w:rsid w:val="005935B5"/>
    <w:rsid w:val="005B3619"/>
    <w:rsid w:val="005C65F9"/>
    <w:rsid w:val="005D34F1"/>
    <w:rsid w:val="005D79DA"/>
    <w:rsid w:val="005E017A"/>
    <w:rsid w:val="005E5B9E"/>
    <w:rsid w:val="005F5248"/>
    <w:rsid w:val="006117FA"/>
    <w:rsid w:val="00614717"/>
    <w:rsid w:val="00623DD9"/>
    <w:rsid w:val="00652960"/>
    <w:rsid w:val="006953B6"/>
    <w:rsid w:val="0069673E"/>
    <w:rsid w:val="00697CC1"/>
    <w:rsid w:val="006A641D"/>
    <w:rsid w:val="006B4282"/>
    <w:rsid w:val="006D73AC"/>
    <w:rsid w:val="006E5AFD"/>
    <w:rsid w:val="00720D04"/>
    <w:rsid w:val="00765A7C"/>
    <w:rsid w:val="0077579F"/>
    <w:rsid w:val="007A34FF"/>
    <w:rsid w:val="007C24ED"/>
    <w:rsid w:val="007D0C07"/>
    <w:rsid w:val="007D5A4C"/>
    <w:rsid w:val="007E4C6B"/>
    <w:rsid w:val="007F1AC2"/>
    <w:rsid w:val="0081733B"/>
    <w:rsid w:val="00822B76"/>
    <w:rsid w:val="00824963"/>
    <w:rsid w:val="0083235E"/>
    <w:rsid w:val="00833CDA"/>
    <w:rsid w:val="0083492C"/>
    <w:rsid w:val="00837451"/>
    <w:rsid w:val="00861FEA"/>
    <w:rsid w:val="0089219E"/>
    <w:rsid w:val="008A2635"/>
    <w:rsid w:val="008A2E44"/>
    <w:rsid w:val="008A38FC"/>
    <w:rsid w:val="008F7942"/>
    <w:rsid w:val="009024AF"/>
    <w:rsid w:val="00902945"/>
    <w:rsid w:val="00924CB8"/>
    <w:rsid w:val="00934E7E"/>
    <w:rsid w:val="00991912"/>
    <w:rsid w:val="0099761D"/>
    <w:rsid w:val="009B1A3D"/>
    <w:rsid w:val="009C6E9B"/>
    <w:rsid w:val="009D7A64"/>
    <w:rsid w:val="00A078EB"/>
    <w:rsid w:val="00A14FB3"/>
    <w:rsid w:val="00A60BFC"/>
    <w:rsid w:val="00A70D99"/>
    <w:rsid w:val="00A86A64"/>
    <w:rsid w:val="00AC0633"/>
    <w:rsid w:val="00AD78DF"/>
    <w:rsid w:val="00AE1514"/>
    <w:rsid w:val="00AF21C6"/>
    <w:rsid w:val="00AF5F81"/>
    <w:rsid w:val="00B11846"/>
    <w:rsid w:val="00B1221B"/>
    <w:rsid w:val="00B278E9"/>
    <w:rsid w:val="00B54A66"/>
    <w:rsid w:val="00B70C83"/>
    <w:rsid w:val="00B7390F"/>
    <w:rsid w:val="00BA3207"/>
    <w:rsid w:val="00BB10FF"/>
    <w:rsid w:val="00BB3122"/>
    <w:rsid w:val="00BD6081"/>
    <w:rsid w:val="00BD760F"/>
    <w:rsid w:val="00BF5593"/>
    <w:rsid w:val="00C1692E"/>
    <w:rsid w:val="00C34E77"/>
    <w:rsid w:val="00C557B0"/>
    <w:rsid w:val="00C66976"/>
    <w:rsid w:val="00CB0D86"/>
    <w:rsid w:val="00CB35A4"/>
    <w:rsid w:val="00CC7600"/>
    <w:rsid w:val="00CD31DF"/>
    <w:rsid w:val="00CD6840"/>
    <w:rsid w:val="00CE4A9B"/>
    <w:rsid w:val="00D12FF3"/>
    <w:rsid w:val="00D15757"/>
    <w:rsid w:val="00D1660B"/>
    <w:rsid w:val="00D449AD"/>
    <w:rsid w:val="00D563DB"/>
    <w:rsid w:val="00D93AA3"/>
    <w:rsid w:val="00DA63AA"/>
    <w:rsid w:val="00DB006D"/>
    <w:rsid w:val="00DC2851"/>
    <w:rsid w:val="00DD0DB9"/>
    <w:rsid w:val="00DD19EF"/>
    <w:rsid w:val="00E150D7"/>
    <w:rsid w:val="00E85975"/>
    <w:rsid w:val="00E932F1"/>
    <w:rsid w:val="00EC347F"/>
    <w:rsid w:val="00EC4683"/>
    <w:rsid w:val="00F177A0"/>
    <w:rsid w:val="00F24ABF"/>
    <w:rsid w:val="00F34868"/>
    <w:rsid w:val="00F67DC3"/>
    <w:rsid w:val="00F73E99"/>
    <w:rsid w:val="00F90F3A"/>
    <w:rsid w:val="00F976AC"/>
    <w:rsid w:val="00FC7172"/>
    <w:rsid w:val="00FD7892"/>
    <w:rsid w:val="00FE3D2A"/>
    <w:rsid w:val="00FE41AB"/>
    <w:rsid w:val="460072C8"/>
    <w:rsid w:val="4DB10B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semiHidden="0" w:name="heading 2" w:locked="1"/>
    <w:lsdException w:qFormat="1" w:uiPriority="0" w:semiHidden="0" w:name="heading 3" w:locked="1"/>
    <w:lsdException w:qFormat="1" w:uiPriority="0" w:name="heading 4" w:locked="1"/>
    <w:lsdException w:qFormat="1" w:unhideWhenUsed="0" w:uiPriority="99" w:semiHidden="0" w:name="heading 5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"/>
    <w:qFormat/>
    <w:locked/>
    <w:uiPriority w:val="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0"/>
    <w:unhideWhenUsed/>
    <w:qFormat/>
    <w:locked/>
    <w:uiPriority w:val="0"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1"/>
    <w:unhideWhenUsed/>
    <w:qFormat/>
    <w:locked/>
    <w:uiPriority w:val="0"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5">
    <w:name w:val="heading 5"/>
    <w:basedOn w:val="1"/>
    <w:next w:val="1"/>
    <w:link w:val="15"/>
    <w:qFormat/>
    <w:uiPriority w:val="99"/>
    <w:pPr>
      <w:keepNext/>
      <w:tabs>
        <w:tab w:val="left" w:pos="2160"/>
      </w:tabs>
      <w:suppressAutoHyphens/>
      <w:spacing w:after="0" w:line="240" w:lineRule="auto"/>
      <w:ind w:left="2160" w:hanging="360"/>
      <w:outlineLvl w:val="4"/>
    </w:pPr>
    <w:rPr>
      <w:rFonts w:ascii="Times New Roman" w:hAnsi="Times New Roman" w:cs="Times New Roman"/>
      <w:i/>
      <w:iCs/>
      <w:kern w:val="1"/>
      <w:sz w:val="24"/>
      <w:szCs w:val="24"/>
      <w:lang w:val="ro-RO" w:eastAsia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link w:val="16"/>
    <w:semiHidden/>
    <w:qFormat/>
    <w:uiPriority w:val="99"/>
    <w:pPr>
      <w:suppressAutoHyphens/>
      <w:spacing w:after="120" w:line="240" w:lineRule="auto"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styleId="9">
    <w:name w:val="footer"/>
    <w:basedOn w:val="1"/>
    <w:link w:val="19"/>
    <w:qFormat/>
    <w:uiPriority w:val="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styleId="10">
    <w:name w:val="Hyperlink"/>
    <w:semiHidden/>
    <w:unhideWhenUsed/>
    <w:qFormat/>
    <w:uiPriority w:val="99"/>
    <w:rPr>
      <w:color w:val="0000FF"/>
      <w:u w:val="single"/>
    </w:rPr>
  </w:style>
  <w:style w:type="paragraph" w:styleId="11">
    <w:name w:val="Normal (Web)"/>
    <w:basedOn w:val="1"/>
    <w:semiHidden/>
    <w:unhideWhenUsed/>
    <w:qFormat/>
    <w:uiPriority w:val="99"/>
    <w:pPr>
      <w:spacing w:after="0" w:line="240" w:lineRule="auto"/>
    </w:pPr>
    <w:rPr>
      <w:rFonts w:ascii="Times New Roman" w:hAnsi="Times New Roman" w:cs="Times New Roman"/>
      <w:sz w:val="24"/>
      <w:szCs w:val="24"/>
      <w:lang w:val="ro-RO" w:eastAsia="ro-RO"/>
    </w:rPr>
  </w:style>
  <w:style w:type="character" w:styleId="12">
    <w:name w:val="Strong"/>
    <w:qFormat/>
    <w:locked/>
    <w:uiPriority w:val="22"/>
    <w:rPr>
      <w:b/>
      <w:bCs/>
    </w:rPr>
  </w:style>
  <w:style w:type="table" w:styleId="13">
    <w:name w:val="Table Grid"/>
    <w:basedOn w:val="7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4">
    <w:name w:val="Heading 1 Char"/>
    <w:link w:val="2"/>
    <w:qFormat/>
    <w:uiPriority w:val="9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customStyle="1" w:styleId="15">
    <w:name w:val="Heading 5 Char"/>
    <w:link w:val="5"/>
    <w:qFormat/>
    <w:locked/>
    <w:uiPriority w:val="99"/>
    <w:rPr>
      <w:rFonts w:ascii="Times New Roman" w:hAnsi="Times New Roman" w:cs="Times New Roman"/>
      <w:i/>
      <w:iCs/>
      <w:kern w:val="1"/>
      <w:sz w:val="24"/>
      <w:szCs w:val="24"/>
      <w:lang w:val="ro-RO" w:eastAsia="ar-SA" w:bidi="ar-SA"/>
    </w:rPr>
  </w:style>
  <w:style w:type="character" w:customStyle="1" w:styleId="16">
    <w:name w:val="Body Text Char"/>
    <w:link w:val="8"/>
    <w:semiHidden/>
    <w:qFormat/>
    <w:locked/>
    <w:uiPriority w:val="99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styleId="17">
    <w:name w:val="List Paragraph"/>
    <w:basedOn w:val="1"/>
    <w:qFormat/>
    <w:uiPriority w:val="1"/>
    <w:pPr>
      <w:ind w:left="720"/>
    </w:pPr>
  </w:style>
  <w:style w:type="paragraph" w:styleId="18">
    <w:name w:val="No Spacing"/>
    <w:basedOn w:val="1"/>
    <w:qFormat/>
    <w:uiPriority w:val="1"/>
    <w:pPr>
      <w:spacing w:after="0" w:line="240" w:lineRule="auto"/>
    </w:pPr>
    <w:rPr>
      <w:rFonts w:ascii="Times New Roman" w:hAnsi="Times New Roman" w:cs="Times New Roman"/>
      <w:sz w:val="24"/>
      <w:szCs w:val="24"/>
      <w:lang w:val="ro-RO" w:eastAsia="ro-RO"/>
    </w:rPr>
  </w:style>
  <w:style w:type="character" w:customStyle="1" w:styleId="19">
    <w:name w:val="Footer Char"/>
    <w:link w:val="9"/>
    <w:qFormat/>
    <w:uiPriority w:val="0"/>
    <w:rPr>
      <w:rFonts w:ascii="Times New Roman" w:hAnsi="Times New Roman"/>
      <w:sz w:val="24"/>
      <w:szCs w:val="24"/>
      <w:lang w:val="en-US" w:eastAsia="ar-SA"/>
    </w:rPr>
  </w:style>
  <w:style w:type="character" w:customStyle="1" w:styleId="20">
    <w:name w:val="Heading 2 Char"/>
    <w:link w:val="3"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1">
    <w:name w:val="Heading 3 Char"/>
    <w:link w:val="4"/>
    <w:qFormat/>
    <w:uiPriority w:val="0"/>
    <w:rPr>
      <w:rFonts w:ascii="Cambria" w:hAnsi="Cambria" w:eastAsia="Times New Roman" w:cs="Times New Roman"/>
      <w:b/>
      <w:bCs/>
      <w:sz w:val="26"/>
      <w:szCs w:val="26"/>
    </w:rPr>
  </w:style>
  <w:style w:type="paragraph" w:customStyle="1" w:styleId="22">
    <w:name w:val="Standard"/>
    <w:qFormat/>
    <w:uiPriority w:val="0"/>
    <w:pPr>
      <w:suppressAutoHyphens/>
      <w:autoSpaceDN w:val="0"/>
    </w:pPr>
    <w:rPr>
      <w:rFonts w:ascii="Times New Roman" w:hAnsi="Times New Roman" w:eastAsia="Times New Roman" w:cs="Times New Roman"/>
      <w:kern w:val="3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681</Words>
  <Characters>3884</Characters>
  <Lines>32</Lines>
  <Paragraphs>9</Paragraphs>
  <TotalTime>54</TotalTime>
  <ScaleCrop>false</ScaleCrop>
  <LinksUpToDate>false</LinksUpToDate>
  <CharactersWithSpaces>4556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2026-01-19T14:39:00Z</dcterms:created>
  <dc:creator>Iulian</dc:creator>
  <cp:lastModifiedBy>Urbanism Balaciu</cp:lastModifiedBy>
  <cp:lastPrinted>2015-02-20T10:01:00Z</cp:lastPrinted>
  <dcterms:modified xsi:type="dcterms:W3CDTF">2026-01-26T08:45:32Z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6AE22A193DDA42969552DDB29D028277_13</vt:lpwstr>
  </property>
</Properties>
</file>