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51" w:type="dxa"/>
        <w:tblLayout w:type="fixed"/>
        <w:tblLook w:val="04A0"/>
      </w:tblPr>
      <w:tblGrid>
        <w:gridCol w:w="1669"/>
        <w:gridCol w:w="5243"/>
        <w:gridCol w:w="3339"/>
      </w:tblGrid>
      <w:tr w:rsidR="00246F24" w:rsidTr="008568DE">
        <w:trPr>
          <w:trHeight w:val="2858"/>
        </w:trPr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F24" w:rsidRDefault="00246F24">
            <w:pPr>
              <w:pStyle w:val="Header"/>
              <w:jc w:val="center"/>
            </w:pPr>
            <w:r>
              <w:rPr>
                <w:noProof/>
                <w:lang w:val="ro-RO" w:eastAsia="ro-RO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-1566545</wp:posOffset>
                  </wp:positionV>
                  <wp:extent cx="892810" cy="1352550"/>
                  <wp:effectExtent l="19050" t="0" r="2540" b="0"/>
                  <wp:wrapSquare wrapText="right"/>
                  <wp:docPr id="2" name="Picture 3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6F24" w:rsidRDefault="00246F24" w:rsidP="00A37549">
            <w:pPr>
              <w:spacing w:after="0"/>
              <w:ind w:left="3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UNITATEA ADMINISTRATIV TERITORIALA                                        MUNICIPIUL DROBETA TURNU SEVERIN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Maresal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Averescu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2                        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Drobeta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Turnu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Severin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Tel: 0252.31.43.79   Fax: 0252.31.63.17                            E-mail: </w:t>
            </w:r>
            <w:hyperlink r:id="rId6" w:history="1">
              <w:r>
                <w:rPr>
                  <w:rStyle w:val="Hyperlink"/>
                  <w:sz w:val="24"/>
                  <w:szCs w:val="24"/>
                </w:rPr>
                <w:t>primaria@primariadrobeta.ro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568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4549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DIRECȚ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IA PATRIMONIU                                         NR. </w:t>
            </w:r>
          </w:p>
        </w:tc>
        <w:tc>
          <w:tcPr>
            <w:tcW w:w="33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6F24" w:rsidRDefault="00246F24">
            <w:pPr>
              <w:pStyle w:val="Header"/>
              <w:ind w:left="33"/>
            </w:pPr>
            <w:r>
              <w:object w:dxaOrig="3586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6.5pt;height:1in" o:ole="">
                  <v:imagedata r:id="rId7" o:title=""/>
                </v:shape>
                <o:OLEObject Type="Embed" ProgID="PBrush" ShapeID="_x0000_i1025" DrawAspect="Content" ObjectID="_1832313005" r:id="rId8"/>
              </w:object>
            </w:r>
          </w:p>
          <w:p w:rsidR="00246F24" w:rsidRDefault="00246F24">
            <w:pPr>
              <w:pStyle w:val="Header"/>
              <w:ind w:left="33"/>
            </w:pPr>
            <w:r>
              <w:object w:dxaOrig="3615" w:dyaOrig="1965">
                <v:shape id="_x0000_i1026" type="#_x0000_t75" style="width:149pt;height:59.5pt" o:ole="">
                  <v:imagedata r:id="rId9" o:title=""/>
                </v:shape>
                <o:OLEObject Type="Embed" ProgID="PBrush" ShapeID="_x0000_i1026" DrawAspect="Content" ObjectID="_1832313006" r:id="rId10"/>
              </w:object>
            </w:r>
          </w:p>
        </w:tc>
      </w:tr>
    </w:tbl>
    <w:p w:rsidR="0045494A" w:rsidRPr="00C14CF6" w:rsidRDefault="00246F24" w:rsidP="00C14CF6">
      <w:pPr>
        <w:ind w:left="5812" w:firstLine="425"/>
        <w:jc w:val="both"/>
        <w:rPr>
          <w:color w:val="auto"/>
        </w:rPr>
      </w:pPr>
      <w:r>
        <w:t xml:space="preserve">         </w:t>
      </w:r>
      <w:r w:rsidR="0045494A">
        <w:tab/>
      </w:r>
      <w:r w:rsidR="0045494A">
        <w:tab/>
      </w:r>
      <w:r w:rsidR="0045494A">
        <w:tab/>
      </w:r>
      <w:r w:rsidR="0045494A">
        <w:tab/>
      </w:r>
      <w:r w:rsidR="00C14CF6">
        <w:t xml:space="preserve">                                                          </w:t>
      </w:r>
      <w:r w:rsidR="00C14CF6" w:rsidRPr="00C14CF6">
        <w:rPr>
          <w:color w:val="FFFFFF" w:themeColor="background1"/>
        </w:rPr>
        <w:t xml:space="preserve">…………… </w:t>
      </w:r>
      <w:proofErr w:type="spellStart"/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>Avizat</w:t>
      </w:r>
      <w:proofErr w:type="spellEnd"/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,        </w:t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</w:t>
      </w:r>
      <w:proofErr w:type="spellStart"/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>Direcția</w:t>
      </w:r>
      <w:r w:rsidR="00C14CF6" w:rsidRPr="00C14CF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.</w:t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>Juridic-Contencios</w:t>
      </w:r>
      <w:proofErr w:type="spellEnd"/>
      <w:r w:rsidR="00C14CF6" w:rsidRPr="00C14CF6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...   </w:t>
      </w:r>
      <w:r w:rsidR="00C14CF6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</w:t>
      </w:r>
      <w:proofErr w:type="spellStart"/>
      <w:proofErr w:type="gramStart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>Prin</w:t>
      </w:r>
      <w:proofErr w:type="spell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>raport</w:t>
      </w:r>
      <w:proofErr w:type="spell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>avizare</w:t>
      </w:r>
      <w:proofErr w:type="spell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nr.</w:t>
      </w:r>
      <w:proofErr w:type="gramEnd"/>
      <w:r w:rsidR="0045494A" w:rsidRPr="00C14CF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..........</w:t>
      </w:r>
    </w:p>
    <w:p w:rsidR="00246F24" w:rsidRDefault="00246F24" w:rsidP="0045494A">
      <w:pPr>
        <w:ind w:left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F24" w:rsidRDefault="00246F24" w:rsidP="00246F24">
      <w:pPr>
        <w:ind w:left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Raport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tip - A.N.L.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obținut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proofErr w:type="gram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 la</w:t>
      </w:r>
      <w:proofErr w:type="gram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</w:p>
    <w:p w:rsidR="00246F24" w:rsidRDefault="00246F24" w:rsidP="00246F24">
      <w:pPr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F24" w:rsidRDefault="00246F24" w:rsidP="00246F24">
      <w:pPr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F24" w:rsidRDefault="00246F24" w:rsidP="00246F24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aprobare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Viceprimarul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Daniel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Cîrjan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propune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adoptarea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consiliu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obținut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la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246F24" w:rsidRDefault="00246F24" w:rsidP="00246F2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Necesitatea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oportunitatea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proiectului</w:t>
      </w:r>
      <w:proofErr w:type="spellEnd"/>
    </w:p>
    <w:p w:rsidR="00246F24" w:rsidRDefault="00246F24" w:rsidP="00246F24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Proiectul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propus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are ca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scop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obținut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la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condițiile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legislației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materie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6F24" w:rsidRDefault="00246F24" w:rsidP="00246F24">
      <w:pPr>
        <w:spacing w:line="276" w:lineRule="auto"/>
        <w:ind w:left="0" w:firstLine="36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Problema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rămâne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importantă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Municipiul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foarte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mulți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vârsta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cuprinsă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între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18-35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alături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părinți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principalul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argument al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situații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financiar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context,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dispozițiile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art.15, alin.1 din HG nr.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962/2001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actualizată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Normelor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metodologice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punerea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aplicare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prevederilor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152/1998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înfiintarea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ANL 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impune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obținut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 la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perspectiva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dării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folosință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tip ANL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aflate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construcție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raza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Severin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4578" w:rsidRDefault="00246F24" w:rsidP="00246F24">
      <w:pPr>
        <w:ind w:left="0" w:firstLine="3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Adoptarea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hotărâre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speță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necesară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oportună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atât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contextul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preocupării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permanente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executivului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autorității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administrației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locale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>rezolvarea</w:t>
      </w:r>
      <w:proofErr w:type="spellEnd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>problemelor</w:t>
      </w:r>
      <w:proofErr w:type="spellEnd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locative ale </w:t>
      </w:r>
      <w:proofErr w:type="spellStart"/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1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cât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prisma</w:t>
      </w:r>
      <w:proofErr w:type="spellEnd"/>
      <w:r w:rsidR="00BC55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următoarelor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dispoziții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legale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64578" w:rsidRPr="00165A93" w:rsidRDefault="00564578" w:rsidP="00564578">
      <w:pPr>
        <w:pStyle w:val="ListParagraph"/>
        <w:numPr>
          <w:ilvl w:val="0"/>
          <w:numId w:val="1"/>
        </w:numPr>
        <w:spacing w:after="200" w:line="276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auto"/>
          <w:sz w:val="28"/>
          <w:szCs w:val="28"/>
        </w:rPr>
        <w:t>d</w:t>
      </w:r>
      <w:r w:rsidRPr="00AA5F2E">
        <w:rPr>
          <w:rFonts w:ascii="Times New Roman" w:hAnsi="Times New Roman"/>
          <w:color w:val="auto"/>
          <w:sz w:val="28"/>
          <w:szCs w:val="28"/>
        </w:rPr>
        <w:t>ispozițiile</w:t>
      </w:r>
      <w:proofErr w:type="spellEnd"/>
      <w:r w:rsidRPr="00AA5F2E">
        <w:rPr>
          <w:rFonts w:ascii="Times New Roman" w:hAnsi="Times New Roman"/>
          <w:color w:val="auto"/>
          <w:sz w:val="28"/>
          <w:szCs w:val="28"/>
        </w:rPr>
        <w:t xml:space="preserve"> art.8, </w:t>
      </w:r>
      <w:proofErr w:type="spellStart"/>
      <w:r w:rsidRPr="00AA5F2E">
        <w:rPr>
          <w:rFonts w:ascii="Times New Roman" w:hAnsi="Times New Roman"/>
          <w:color w:val="auto"/>
          <w:sz w:val="28"/>
          <w:szCs w:val="28"/>
        </w:rPr>
        <w:t>alin</w:t>
      </w:r>
      <w:proofErr w:type="spellEnd"/>
      <w:r w:rsidRPr="00AA5F2E">
        <w:rPr>
          <w:rFonts w:ascii="Times New Roman" w:hAnsi="Times New Roman"/>
          <w:color w:val="auto"/>
          <w:sz w:val="28"/>
          <w:szCs w:val="28"/>
        </w:rPr>
        <w:t xml:space="preserve"> (1) </w:t>
      </w:r>
      <w:r>
        <w:rPr>
          <w:rFonts w:ascii="Times New Roman" w:hAnsi="Times New Roman"/>
          <w:color w:val="auto"/>
          <w:sz w:val="28"/>
          <w:szCs w:val="28"/>
        </w:rPr>
        <w:t xml:space="preserve">din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Legea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nr. 152/1998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privind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înființarea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ANL, </w:t>
      </w:r>
      <w:r w:rsidRPr="00AA5F2E">
        <w:rPr>
          <w:rFonts w:ascii="Times New Roman" w:hAnsi="Times New Roman"/>
          <w:color w:val="auto"/>
          <w:sz w:val="28"/>
          <w:szCs w:val="28"/>
        </w:rPr>
        <w:t xml:space="preserve">conform </w:t>
      </w:r>
      <w:proofErr w:type="spellStart"/>
      <w:r w:rsidRPr="00AA5F2E">
        <w:rPr>
          <w:rFonts w:ascii="Times New Roman" w:hAnsi="Times New Roman"/>
          <w:color w:val="auto"/>
          <w:sz w:val="28"/>
          <w:szCs w:val="28"/>
        </w:rPr>
        <w:t>cărora</w:t>
      </w:r>
      <w:proofErr w:type="spellEnd"/>
      <w:r w:rsidRPr="00AA5F2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A5F2E">
        <w:rPr>
          <w:rFonts w:ascii="Times New Roman" w:hAnsi="Times New Roman" w:cs="Times New Roman"/>
          <w:i/>
          <w:color w:val="auto"/>
          <w:sz w:val="28"/>
          <w:szCs w:val="28"/>
        </w:rPr>
        <w:t xml:space="preserve">„ </w:t>
      </w:r>
      <w:r w:rsidRPr="00AA5F2E">
        <w:rPr>
          <w:rStyle w:val="salnttl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(1)</w:t>
      </w:r>
      <w:r w:rsidRPr="00AA5F2E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 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sensul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prevederilor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prezentei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legi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sunt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persoane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majore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vârsta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până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 35 de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ani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 data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depunerii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cererii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repartizarea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unei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construite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prin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programele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A.N.L.,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pot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primi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repartiții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cel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mult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60 de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luni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la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împlinirea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acestei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vârste</w:t>
      </w:r>
      <w:proofErr w:type="spellEnd"/>
      <w:r w:rsidRPr="00AA5F2E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.„</w:t>
      </w:r>
      <w:r w:rsidRPr="00AA5F2E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respectiv</w:t>
      </w:r>
      <w:proofErr w:type="spellEnd"/>
      <w:r w:rsidRPr="00AA5F2E">
        <w:rPr>
          <w:rStyle w:val="salnbdy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A5F2E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(3) din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aceeași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lege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care se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prevede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că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construite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date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exploatare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programele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derulate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ANL … se face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după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stabilite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autoritățile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administrației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publice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locale … care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preiau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administrare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aceste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…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baza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unor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criterii-cadru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respectiv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/>
          <w:i/>
          <w:color w:val="000000" w:themeColor="text1"/>
          <w:sz w:val="28"/>
          <w:szCs w:val="28"/>
        </w:rPr>
        <w:t>”;</w:t>
      </w:r>
    </w:p>
    <w:p w:rsidR="00564578" w:rsidRPr="00165A93" w:rsidRDefault="00564578" w:rsidP="00564578">
      <w:pPr>
        <w:pStyle w:val="ListParagraph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</w:t>
      </w:r>
      <w:r w:rsidRPr="00165A93">
        <w:rPr>
          <w:rFonts w:ascii="Times New Roman" w:hAnsi="Times New Roman"/>
          <w:color w:val="000000" w:themeColor="text1"/>
          <w:sz w:val="28"/>
          <w:szCs w:val="28"/>
        </w:rPr>
        <w:t>ispozițiile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art.14,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. (1) </w:t>
      </w:r>
      <w:r w:rsidRPr="00165A93">
        <w:rPr>
          <w:rFonts w:ascii="Times New Roman" w:hAnsi="Times New Roman"/>
          <w:color w:val="000000" w:themeColor="text1"/>
          <w:sz w:val="28"/>
          <w:szCs w:val="28"/>
          <w:lang w:val="ro-RO"/>
        </w:rPr>
        <w:t>și alin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.</w:t>
      </w:r>
      <w:r w:rsidRPr="00165A93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(2) 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din HG nr. 962/27.09.2001 privind aprovarea Normelor metodologice pentru punerea în aplicare a prevederilor Legii nr. 152/1998 privind înființarea ANL, </w:t>
      </w:r>
      <w:r w:rsidRPr="00165A93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conform cărora </w:t>
      </w:r>
      <w:r w:rsidRPr="00165A93">
        <w:rPr>
          <w:rFonts w:ascii="Times New Roman" w:hAnsi="Times New Roman" w:cs="Times New Roman"/>
          <w:i/>
          <w:color w:val="auto"/>
          <w:sz w:val="28"/>
          <w:szCs w:val="28"/>
          <w:lang w:val="ro-RO"/>
        </w:rPr>
        <w:t>„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o-RO"/>
        </w:rPr>
        <w:t xml:space="preserve">(1)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Consiliile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locale 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comunelor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orașelor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municipiilor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respectiv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sectoarelor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municipiului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București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consiliile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județene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Consiliul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General al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Municipiului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București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după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caz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autoritățile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administrației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centrale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domeniul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învățământului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domeniul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sănătății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serviciile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deconcentrate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teritoriu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acestora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stabili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măsurile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necesare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luarea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evidență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analiza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solicitărilor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scop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stabili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publicității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primire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solicitărilor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actele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justificative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necesare</w:t>
      </w:r>
      <w:proofErr w:type="spellEnd"/>
      <w:r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spar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65A93">
        <w:rPr>
          <w:rStyle w:val="salnttl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(2)</w:t>
      </w:r>
      <w:r w:rsidRPr="00165A93">
        <w:rPr>
          <w:rStyle w:val="saln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Solicitările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cererile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privind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repartizarea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înregistrează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ordinea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primirii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acestora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analizează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comisii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sociale</w:t>
      </w:r>
      <w:proofErr w:type="spellEnd"/>
      <w:r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.”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precum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art.14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alin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(7) din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același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act normative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se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prevede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>că</w:t>
      </w:r>
      <w:proofErr w:type="spellEnd"/>
      <w:r>
        <w:rPr>
          <w:rStyle w:val="salnbdy"/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salnttl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„ </w:t>
      </w:r>
      <w:r w:rsidRPr="00165A93">
        <w:rPr>
          <w:rFonts w:ascii="Times New Roman" w:hAnsi="Times New Roman" w:cs="Times New Roman"/>
          <w:i/>
          <w:color w:val="auto"/>
          <w:sz w:val="28"/>
          <w:szCs w:val="28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Stabilirea</w:t>
      </w:r>
      <w:proofErr w:type="spellEnd"/>
      <w:proofErr w:type="gram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solicitanților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au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acces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ordinii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prioritate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soluționarea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cererilor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înregistrate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condițiile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alin</w:t>
      </w:r>
      <w:proofErr w:type="spellEnd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. (1)</w:t>
      </w:r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(2)</w:t>
      </w:r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precum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repartizarea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pentru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tineri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destinate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închirierii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realizează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mod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obligatoriu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după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criterii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vor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respecta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criteriile-cadru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cuprinse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>anexa</w:t>
      </w:r>
      <w:proofErr w:type="spellEnd"/>
      <w:r w:rsidRPr="00165A93">
        <w:rPr>
          <w:rStyle w:val="slgi"/>
          <w:rFonts w:ascii="Times New Roman" w:hAnsi="Times New Roman" w:cs="Times New Roman"/>
          <w:i/>
          <w:color w:val="auto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nr. 11</w:t>
      </w:r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se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adoptă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cu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avizul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Ministerului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Dezvoltării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Lucrărilor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Administrației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, de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autoritățile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administrației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publice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locale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și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/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centrale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care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preiau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în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administrare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aceste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locuințe</w:t>
      </w:r>
      <w:proofErr w:type="spellEnd"/>
      <w:r w:rsidRPr="00165A93"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Style w:val="salnbdy"/>
          <w:rFonts w:ascii="Times New Roman" w:hAnsi="Times New Roman" w:cs="Times New Roman"/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  <w:t>„</w:t>
      </w:r>
    </w:p>
    <w:p w:rsidR="00246F24" w:rsidRPr="00564578" w:rsidRDefault="00564578" w:rsidP="00564578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d</w:t>
      </w:r>
      <w:r w:rsidRPr="00165A93">
        <w:rPr>
          <w:rFonts w:ascii="Times New Roman" w:hAnsi="Times New Roman"/>
          <w:color w:val="000000" w:themeColor="text1"/>
          <w:sz w:val="28"/>
          <w:szCs w:val="28"/>
        </w:rPr>
        <w:t>ispozițiile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art.15,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alin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. (9) </w:t>
      </w:r>
      <w:proofErr w:type="gramStart"/>
      <w:r w:rsidRPr="00165A93">
        <w:rPr>
          <w:rFonts w:ascii="Times New Roman" w:hAnsi="Times New Roman"/>
          <w:color w:val="000000" w:themeColor="text1"/>
          <w:sz w:val="28"/>
          <w:szCs w:val="28"/>
        </w:rPr>
        <w:t>din</w:t>
      </w:r>
      <w:proofErr w:type="gram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HG nr. 962/2001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actualizată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nr. 152/1998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înființarea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ANL, conform </w:t>
      </w:r>
      <w:proofErr w:type="spellStart"/>
      <w:r w:rsidRPr="00165A93">
        <w:rPr>
          <w:rFonts w:ascii="Times New Roman" w:hAnsi="Times New Roman"/>
          <w:color w:val="000000" w:themeColor="text1"/>
          <w:sz w:val="28"/>
          <w:szCs w:val="28"/>
        </w:rPr>
        <w:t>cărora</w:t>
      </w:r>
      <w:proofErr w:type="spellEnd"/>
      <w:r w:rsidRPr="00165A93">
        <w:rPr>
          <w:rFonts w:ascii="Times New Roman" w:hAnsi="Times New Roman"/>
          <w:color w:val="000000" w:themeColor="text1"/>
          <w:sz w:val="28"/>
          <w:szCs w:val="28"/>
        </w:rPr>
        <w:t xml:space="preserve"> “ </w:t>
      </w:r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locuințele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rămase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vacante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perioada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exploatării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acestora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regim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închiriere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repartizează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solicitanților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au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înregistrate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cereri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 alin.1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care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îndeplinesc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criteriile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acces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adoptate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art.14, alin.7.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Repartizarea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acestor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locuințe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se face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urmatoarea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ordine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prioritate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: a)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ordinea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stabilită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prin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lista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anuală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de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prioritati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,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întocmită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sau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refăcută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în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condițiile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prevederilor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alin.1 </w:t>
      </w:r>
      <w:proofErr w:type="spellStart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>și</w:t>
      </w:r>
      <w:proofErr w:type="spellEnd"/>
      <w:r w:rsidRPr="00165A93">
        <w:rPr>
          <w:rFonts w:ascii="Times New Roman" w:hAnsi="Times New Roman"/>
          <w:i/>
          <w:color w:val="000000" w:themeColor="text1"/>
          <w:sz w:val="28"/>
          <w:szCs w:val="28"/>
        </w:rPr>
        <w:t xml:space="preserve"> 2”</w:t>
      </w:r>
    </w:p>
    <w:p w:rsidR="00246F24" w:rsidRPr="00564578" w:rsidRDefault="00246F24" w:rsidP="00564578">
      <w:pPr>
        <w:pStyle w:val="ListParagraph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Analiza</w:t>
      </w:r>
      <w:proofErr w:type="spellEnd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</w:t>
      </w:r>
      <w:proofErr w:type="spellStart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economico-financiară</w:t>
      </w:r>
      <w:proofErr w:type="spellEnd"/>
    </w:p>
    <w:p w:rsidR="00246F24" w:rsidRDefault="00246F24" w:rsidP="0056457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cursul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</w:t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rămase</w:t>
      </w:r>
      <w:proofErr w:type="spell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vacante</w:t>
      </w:r>
      <w:proofErr w:type="spell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punct</w:t>
      </w:r>
      <w:proofErr w:type="spell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juridic</w:t>
      </w:r>
      <w:proofErr w:type="spell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finalizate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conduce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realizarea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venituri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bugetul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natura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impozitului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terenurile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aferente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determinat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legislația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materie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A2DB8" w:rsidRDefault="00FA2DB8" w:rsidP="0056457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F24" w:rsidRPr="00564578" w:rsidRDefault="00246F24" w:rsidP="0056457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Beneficiul</w:t>
      </w:r>
      <w:proofErr w:type="spellEnd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pentru</w:t>
      </w:r>
      <w:proofErr w:type="spellEnd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comunitate</w:t>
      </w:r>
      <w:proofErr w:type="spellEnd"/>
    </w:p>
    <w:p w:rsidR="00246F24" w:rsidRDefault="00246F24" w:rsidP="00564578">
      <w:pPr>
        <w:pStyle w:val="ListParagraph"/>
        <w:spacing w:after="0" w:line="240" w:lineRule="auto"/>
        <w:ind w:left="0" w:firstLine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afara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beneficiului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direct al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solicitanț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de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acordare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 conform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comunitatea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beneficiază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soluționarea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uneia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problemele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care se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confruntă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speță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problema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locativă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tinerilor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municipiu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6B04" w:rsidRPr="00496B04" w:rsidRDefault="00496B04" w:rsidP="00564578">
      <w:pPr>
        <w:pStyle w:val="ListParagraph"/>
        <w:spacing w:after="0" w:line="240" w:lineRule="auto"/>
        <w:ind w:left="0" w:firstLine="50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8568DE" w:rsidRPr="00564578" w:rsidRDefault="008568DE" w:rsidP="00564578">
      <w:pPr>
        <w:pStyle w:val="ListParagraph"/>
        <w:numPr>
          <w:ilvl w:val="0"/>
          <w:numId w:val="3"/>
        </w:numPr>
        <w:tabs>
          <w:tab w:val="num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246F24" w:rsidRPr="0056457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Legalitatea</w:t>
      </w:r>
      <w:proofErr w:type="spellEnd"/>
    </w:p>
    <w:p w:rsidR="00246F24" w:rsidRPr="008568DE" w:rsidRDefault="00246F24" w:rsidP="00564578">
      <w:pPr>
        <w:pStyle w:val="ListParagraph"/>
        <w:tabs>
          <w:tab w:val="num" w:pos="0"/>
        </w:tabs>
        <w:spacing w:after="0" w:line="240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Susținerea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proiectului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punct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vedere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legal </w:t>
      </w:r>
      <w:proofErr w:type="spellStart"/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este</w:t>
      </w:r>
      <w:proofErr w:type="spellEnd"/>
      <w:proofErr w:type="gram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fundamentată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dispozițiile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Legii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</w:t>
      </w:r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152/1998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înființarea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ANL, </w:t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>HG nr.</w:t>
      </w:r>
      <w:proofErr w:type="gram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962/2001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actualizată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Normelor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metodologice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punerea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aplicare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prevederilor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Legii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nr.</w:t>
      </w:r>
      <w:proofErr w:type="gram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152/1998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precum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dispozițiile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</w:t>
      </w:r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t.</w:t>
      </w:r>
      <w:proofErr w:type="gram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84, art.</w:t>
      </w:r>
      <w:proofErr w:type="gram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129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1,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lit. (c),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7 lit. (q), art. </w:t>
      </w:r>
      <w:proofErr w:type="gram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139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1, </w:t>
      </w:r>
      <w:proofErr w:type="spellStart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645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</w:t>
      </w:r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lit. (g) </w:t>
      </w:r>
      <w:proofErr w:type="spellStart"/>
      <w:r w:rsidR="008568DE">
        <w:rPr>
          <w:rFonts w:ascii="Times New Roman" w:hAnsi="Times New Roman" w:cs="Times New Roman"/>
          <w:color w:val="000000" w:themeColor="text1"/>
          <w:sz w:val="28"/>
          <w:szCs w:val="28"/>
        </w:rPr>
        <w:t>ș</w:t>
      </w:r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 196, lit. (a) </w:t>
      </w:r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din</w:t>
      </w:r>
      <w:proofErr w:type="gram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OUG nr. </w:t>
      </w:r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57/05.07.2019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adminstrativ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acest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sens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conformitate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prevederile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art.</w:t>
      </w:r>
      <w:proofErr w:type="gram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alin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lit (b) din OUG nr. 57/05.07.2019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Codul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administrativ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fost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întocmit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raportul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specialitate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Direcției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Patrimoniu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privire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aprobarea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cu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locuințele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pentru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tineri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regim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închiriere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tip - A.N.L.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și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a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listei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priorități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privind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punctajul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obținut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persoanele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care au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acces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 la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această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categorie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/>
          <w:color w:val="000000" w:themeColor="text1"/>
          <w:sz w:val="28"/>
          <w:szCs w:val="28"/>
        </w:rPr>
        <w:t>locuințe</w:t>
      </w:r>
      <w:proofErr w:type="spellEnd"/>
      <w:r w:rsidRPr="008568D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8568DE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Proiectul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hotărâre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întreaga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documentație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va</w:t>
      </w:r>
      <w:proofErr w:type="spellEnd"/>
      <w:proofErr w:type="gram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fi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supus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spre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dezbatere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și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aprobare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ședința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ordinară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Consilului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Local a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Municipiului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Turnu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Severin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Atașăm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prezentului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>raport</w:t>
      </w:r>
      <w:proofErr w:type="spellEnd"/>
      <w:r w:rsidRPr="008568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246F24" w:rsidRDefault="00246F24" w:rsidP="00A37549">
      <w:pPr>
        <w:pStyle w:val="ListParagraph"/>
        <w:numPr>
          <w:ilvl w:val="0"/>
          <w:numId w:val="2"/>
        </w:numPr>
        <w:spacing w:after="200" w:line="276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Proces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ele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–verbal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al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Comisiei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sociale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analiză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cererilor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repartizarea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tineri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destinate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închirierii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constituită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HCL nr. </w:t>
      </w:r>
      <w:r w:rsidR="008568DE">
        <w:rPr>
          <w:rFonts w:ascii="Times New Roman" w:hAnsi="Times New Roman" w:cs="Times New Roman"/>
          <w:color w:val="000000" w:themeColor="text1"/>
          <w:sz w:val="28"/>
          <w:szCs w:val="28"/>
        </w:rPr>
        <w:t>298/28.11.2024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37549" w:rsidRDefault="00A37549" w:rsidP="00A37549">
      <w:pPr>
        <w:pStyle w:val="ListParagraph"/>
        <w:numPr>
          <w:ilvl w:val="0"/>
          <w:numId w:val="2"/>
        </w:numPr>
        <w:spacing w:after="200" w:line="276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 1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acces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depus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cerereri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repartizării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ANL;</w:t>
      </w:r>
    </w:p>
    <w:p w:rsidR="00A37549" w:rsidRDefault="00A37549" w:rsidP="00A37549">
      <w:pPr>
        <w:pStyle w:val="ListParagraph"/>
        <w:numPr>
          <w:ilvl w:val="0"/>
          <w:numId w:val="2"/>
        </w:numPr>
        <w:spacing w:after="200" w:line="276" w:lineRule="auto"/>
        <w:ind w:left="0" w:firstLine="113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Anexa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nr.2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lista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priorități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au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depus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cerereri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repartizării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unei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locuințe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tip ANL.</w:t>
      </w:r>
    </w:p>
    <w:p w:rsidR="0045494A" w:rsidRDefault="0045494A" w:rsidP="0045494A">
      <w:pP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F24" w:rsidRDefault="00246F24" w:rsidP="0045494A">
      <w:pPr>
        <w:ind w:left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DIRECTOR,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ȘEF</w:t>
      </w:r>
      <w:proofErr w:type="gram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..</w:t>
      </w:r>
      <w:proofErr w:type="gramEnd"/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SERVICIU,                 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ÎNTOCMIT,                          </w:t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irecția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>atrimoniu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549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Serviciul</w:t>
      </w:r>
      <w:proofErr w:type="spellEnd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Administrare</w:t>
      </w:r>
      <w:proofErr w:type="spellEnd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Terenuri</w:t>
      </w:r>
      <w:proofErr w:type="spellEnd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Inspector</w:t>
      </w:r>
    </w:p>
    <w:p w:rsidR="00246F24" w:rsidRDefault="0045494A" w:rsidP="0045494A">
      <w:pPr>
        <w:ind w:left="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proofErr w:type="gramStart"/>
      <w:r w:rsidR="00246F24">
        <w:rPr>
          <w:rFonts w:ascii="Times New Roman" w:hAnsi="Times New Roman" w:cs="Times New Roman"/>
          <w:color w:val="000000" w:themeColor="text1"/>
          <w:sz w:val="28"/>
          <w:szCs w:val="28"/>
        </w:rPr>
        <w:t>RADU  LĂP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>ĂDAT</w:t>
      </w:r>
      <w:proofErr w:type="gramEnd"/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FELIX NUHAIU </w:t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3754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DARIA MINCIUNĂ</w:t>
      </w:r>
    </w:p>
    <w:sectPr w:rsidR="00246F24" w:rsidSect="0045494A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8A6"/>
    <w:multiLevelType w:val="hybridMultilevel"/>
    <w:tmpl w:val="B426BDBE"/>
    <w:lvl w:ilvl="0" w:tplc="4E86EA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F3316"/>
    <w:multiLevelType w:val="hybridMultilevel"/>
    <w:tmpl w:val="D1F41A1E"/>
    <w:lvl w:ilvl="0" w:tplc="A560CE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59E63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461400"/>
    <w:multiLevelType w:val="hybridMultilevel"/>
    <w:tmpl w:val="12127E1C"/>
    <w:lvl w:ilvl="0" w:tplc="83C486B6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6F24"/>
    <w:rsid w:val="00047045"/>
    <w:rsid w:val="00093EC4"/>
    <w:rsid w:val="001D5245"/>
    <w:rsid w:val="00246F24"/>
    <w:rsid w:val="002D3D07"/>
    <w:rsid w:val="0045494A"/>
    <w:rsid w:val="00496B04"/>
    <w:rsid w:val="00564578"/>
    <w:rsid w:val="008568DE"/>
    <w:rsid w:val="00A37549"/>
    <w:rsid w:val="00BC55F1"/>
    <w:rsid w:val="00C14CF6"/>
    <w:rsid w:val="00C75681"/>
    <w:rsid w:val="00C82A37"/>
    <w:rsid w:val="00CB37DF"/>
    <w:rsid w:val="00DC1423"/>
    <w:rsid w:val="00E432AD"/>
    <w:rsid w:val="00EE11A2"/>
    <w:rsid w:val="00FA2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F24"/>
    <w:pPr>
      <w:spacing w:after="160" w:line="288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F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6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F24"/>
    <w:rPr>
      <w:color w:val="5A5A5A" w:themeColor="text1" w:themeTint="A5"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246F24"/>
    <w:pPr>
      <w:ind w:left="720"/>
      <w:contextualSpacing/>
    </w:pPr>
  </w:style>
  <w:style w:type="table" w:styleId="TableGrid">
    <w:name w:val="Table Grid"/>
    <w:basedOn w:val="TableNormal"/>
    <w:uiPriority w:val="39"/>
    <w:rsid w:val="00246F24"/>
    <w:pPr>
      <w:spacing w:after="0" w:line="240" w:lineRule="auto"/>
    </w:pPr>
    <w:rPr>
      <w:sz w:val="20"/>
      <w:szCs w:val="20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ttl">
    <w:name w:val="s_aln_ttl"/>
    <w:basedOn w:val="DefaultParagraphFont"/>
    <w:rsid w:val="00564578"/>
  </w:style>
  <w:style w:type="character" w:customStyle="1" w:styleId="salnbdy">
    <w:name w:val="s_aln_bdy"/>
    <w:basedOn w:val="DefaultParagraphFont"/>
    <w:rsid w:val="00564578"/>
  </w:style>
  <w:style w:type="character" w:customStyle="1" w:styleId="saln">
    <w:name w:val="s_aln"/>
    <w:basedOn w:val="DefaultParagraphFont"/>
    <w:rsid w:val="00564578"/>
  </w:style>
  <w:style w:type="character" w:customStyle="1" w:styleId="spar">
    <w:name w:val="s_par"/>
    <w:basedOn w:val="DefaultParagraphFont"/>
    <w:rsid w:val="00564578"/>
  </w:style>
  <w:style w:type="character" w:customStyle="1" w:styleId="slgi">
    <w:name w:val="s_lgi"/>
    <w:basedOn w:val="DefaultParagraphFont"/>
    <w:rsid w:val="00564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1242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2025-03-11T08:22:00Z</cp:lastPrinted>
  <dcterms:created xsi:type="dcterms:W3CDTF">2025-03-10T09:23:00Z</dcterms:created>
  <dcterms:modified xsi:type="dcterms:W3CDTF">2026-02-11T09:04:00Z</dcterms:modified>
</cp:coreProperties>
</file>