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7A8E5828" w:rsidR="00470ACF" w:rsidRPr="00945D67" w:rsidRDefault="003740EA" w:rsidP="005827FF">
      <w:pPr>
        <w:rPr>
          <w:b/>
          <w:sz w:val="28"/>
          <w:szCs w:val="28"/>
        </w:rPr>
      </w:pPr>
      <w:r w:rsidRPr="00945D67">
        <w:rPr>
          <w:b/>
          <w:sz w:val="28"/>
          <w:szCs w:val="28"/>
        </w:rPr>
        <w:t xml:space="preserve"> </w:t>
      </w:r>
      <w:r w:rsidR="00532353" w:rsidRPr="00945D67">
        <w:rPr>
          <w:b/>
          <w:sz w:val="28"/>
          <w:szCs w:val="28"/>
        </w:rPr>
        <w:t>Nr.</w:t>
      </w:r>
      <w:r w:rsidR="007779C5">
        <w:rPr>
          <w:b/>
          <w:sz w:val="28"/>
          <w:szCs w:val="28"/>
        </w:rPr>
        <w:t xml:space="preserve"> </w:t>
      </w:r>
      <w:r w:rsidR="00E964D1">
        <w:rPr>
          <w:b/>
          <w:sz w:val="28"/>
          <w:szCs w:val="28"/>
        </w:rPr>
        <w:t>36</w:t>
      </w:r>
      <w:r w:rsidR="00532353" w:rsidRPr="00945D67">
        <w:rPr>
          <w:b/>
          <w:sz w:val="28"/>
          <w:szCs w:val="28"/>
        </w:rPr>
        <w:t>/110</w:t>
      </w:r>
      <w:r w:rsidR="004A45AF">
        <w:rPr>
          <w:b/>
          <w:sz w:val="28"/>
          <w:szCs w:val="28"/>
        </w:rPr>
        <w:t>17</w:t>
      </w:r>
      <w:r w:rsidR="00532353" w:rsidRPr="00945D67">
        <w:rPr>
          <w:b/>
          <w:sz w:val="28"/>
          <w:szCs w:val="28"/>
        </w:rPr>
        <w:t>/</w:t>
      </w:r>
      <w:r w:rsidR="00E964D1">
        <w:rPr>
          <w:b/>
          <w:sz w:val="28"/>
          <w:szCs w:val="28"/>
        </w:rPr>
        <w:t>19</w:t>
      </w:r>
      <w:r w:rsidR="004A45AF">
        <w:rPr>
          <w:b/>
          <w:sz w:val="28"/>
          <w:szCs w:val="28"/>
        </w:rPr>
        <w:t>.0</w:t>
      </w:r>
      <w:r w:rsidR="00E964D1">
        <w:rPr>
          <w:b/>
          <w:sz w:val="28"/>
          <w:szCs w:val="28"/>
        </w:rPr>
        <w:t>2</w:t>
      </w:r>
      <w:r w:rsidR="004A45AF">
        <w:rPr>
          <w:b/>
          <w:sz w:val="28"/>
          <w:szCs w:val="28"/>
        </w:rPr>
        <w:t>.2026</w:t>
      </w:r>
    </w:p>
    <w:p w14:paraId="31EF214D" w14:textId="77777777" w:rsidR="007B3411" w:rsidRPr="005827FF" w:rsidRDefault="007B3411" w:rsidP="005827FF">
      <w:pPr>
        <w:rPr>
          <w:b/>
          <w:sz w:val="28"/>
          <w:szCs w:val="28"/>
        </w:rPr>
      </w:pPr>
    </w:p>
    <w:p w14:paraId="6DF7FE57" w14:textId="77777777" w:rsidR="00470ACF" w:rsidRPr="00C967B5" w:rsidRDefault="00470ACF" w:rsidP="00C967B5">
      <w:pPr>
        <w:rPr>
          <w:b/>
          <w:bCs/>
          <w:sz w:val="28"/>
          <w:szCs w:val="28"/>
        </w:rPr>
      </w:pPr>
    </w:p>
    <w:p w14:paraId="5DE53C2D" w14:textId="0E496F66" w:rsidR="00470ACF" w:rsidRPr="00C967B5" w:rsidRDefault="00452101" w:rsidP="00C967B5">
      <w:pPr>
        <w:jc w:val="center"/>
        <w:rPr>
          <w:b/>
          <w:bCs/>
          <w:sz w:val="28"/>
          <w:szCs w:val="28"/>
          <w:u w:val="single"/>
        </w:rPr>
      </w:pPr>
      <w:r w:rsidRPr="00C967B5">
        <w:rPr>
          <w:b/>
          <w:bCs/>
          <w:sz w:val="28"/>
          <w:szCs w:val="28"/>
          <w:u w:val="single"/>
        </w:rPr>
        <w:t>R E F E R A T   D E   A P R O B A R E</w:t>
      </w:r>
    </w:p>
    <w:p w14:paraId="7F7658DD" w14:textId="3F90E317" w:rsidR="00C967B5" w:rsidRDefault="00C967B5" w:rsidP="00C967B5">
      <w:pPr>
        <w:shd w:val="clear" w:color="auto" w:fill="FFFFFF"/>
        <w:jc w:val="center"/>
        <w:outlineLvl w:val="1"/>
        <w:rPr>
          <w:b/>
          <w:bCs/>
          <w:sz w:val="28"/>
          <w:szCs w:val="28"/>
        </w:rPr>
      </w:pPr>
      <w:r w:rsidRPr="00C967B5">
        <w:rPr>
          <w:b/>
          <w:bCs/>
          <w:sz w:val="28"/>
          <w:szCs w:val="28"/>
        </w:rPr>
        <w:t xml:space="preserve">privind aprobarea </w:t>
      </w:r>
      <w:bookmarkStart w:id="0" w:name="_Hlk215815586"/>
      <w:r w:rsidRPr="00C967B5">
        <w:rPr>
          <w:b/>
          <w:bCs/>
          <w:sz w:val="28"/>
          <w:szCs w:val="28"/>
        </w:rPr>
        <w:t xml:space="preserve">Documentației tehnico-economice, a Indicatorilor tehnico-economici și a Devizului general, faza </w:t>
      </w:r>
      <w:r w:rsidR="00E964D1">
        <w:rPr>
          <w:b/>
          <w:bCs/>
          <w:sz w:val="28"/>
          <w:szCs w:val="28"/>
        </w:rPr>
        <w:t>Proiect Tehnic</w:t>
      </w:r>
      <w:r w:rsidRPr="00C967B5">
        <w:rPr>
          <w:b/>
          <w:bCs/>
          <w:sz w:val="28"/>
          <w:szCs w:val="28"/>
        </w:rPr>
        <w:t xml:space="preserve">, aferente </w:t>
      </w:r>
    </w:p>
    <w:p w14:paraId="1638A3D0" w14:textId="77777777" w:rsidR="004A45AF" w:rsidRDefault="00C967B5" w:rsidP="004A45AF">
      <w:pPr>
        <w:shd w:val="clear" w:color="auto" w:fill="FFFFFF"/>
        <w:jc w:val="center"/>
        <w:outlineLvl w:val="1"/>
        <w:rPr>
          <w:b/>
          <w:i/>
          <w:iCs/>
          <w:sz w:val="28"/>
          <w:szCs w:val="28"/>
          <w:shd w:val="clear" w:color="auto" w:fill="FFFFFF"/>
        </w:rPr>
      </w:pPr>
      <w:r w:rsidRPr="00C967B5">
        <w:rPr>
          <w:b/>
          <w:bCs/>
          <w:sz w:val="28"/>
          <w:szCs w:val="28"/>
        </w:rPr>
        <w:t xml:space="preserve">obiectivului de investiții </w:t>
      </w:r>
      <w:bookmarkEnd w:id="0"/>
      <w:r w:rsidR="004A45AF" w:rsidRPr="004A45AF">
        <w:rPr>
          <w:b/>
          <w:sz w:val="28"/>
          <w:szCs w:val="28"/>
          <w:shd w:val="clear" w:color="auto" w:fill="FFFFFF"/>
        </w:rPr>
        <w:t>„</w:t>
      </w:r>
      <w:r w:rsidR="004A45AF" w:rsidRPr="004A45AF">
        <w:rPr>
          <w:b/>
          <w:i/>
          <w:iCs/>
          <w:sz w:val="28"/>
          <w:szCs w:val="28"/>
          <w:shd w:val="clear" w:color="auto" w:fill="FFFFFF"/>
        </w:rPr>
        <w:t xml:space="preserve">Infrastructură pentru transportul </w:t>
      </w:r>
    </w:p>
    <w:p w14:paraId="7972CC08" w14:textId="2726CAA3" w:rsidR="004A45AF" w:rsidRPr="004A45AF" w:rsidRDefault="004A45AF" w:rsidP="004A45AF">
      <w:pPr>
        <w:shd w:val="clear" w:color="auto" w:fill="FFFFFF"/>
        <w:jc w:val="center"/>
        <w:outlineLvl w:val="1"/>
        <w:rPr>
          <w:b/>
          <w:sz w:val="28"/>
          <w:szCs w:val="28"/>
        </w:rPr>
      </w:pPr>
      <w:r w:rsidRPr="004A45AF">
        <w:rPr>
          <w:b/>
          <w:i/>
          <w:iCs/>
          <w:sz w:val="28"/>
          <w:szCs w:val="28"/>
          <w:shd w:val="clear" w:color="auto" w:fill="FFFFFF"/>
        </w:rPr>
        <w:t>verde – ITS la nivelul municipiului Brad</w:t>
      </w:r>
      <w:r w:rsidRPr="004A45AF">
        <w:rPr>
          <w:b/>
          <w:i/>
          <w:iCs/>
          <w:sz w:val="28"/>
          <w:szCs w:val="28"/>
        </w:rPr>
        <w:t>”</w:t>
      </w:r>
    </w:p>
    <w:p w14:paraId="5BCAD768" w14:textId="440A478A" w:rsidR="00470ACF" w:rsidRPr="00516B04" w:rsidRDefault="00470ACF" w:rsidP="004A45AF">
      <w:pPr>
        <w:shd w:val="clear" w:color="auto" w:fill="FFFFFF"/>
        <w:jc w:val="center"/>
        <w:outlineLvl w:val="1"/>
        <w:rPr>
          <w:b/>
          <w:bCs/>
          <w:sz w:val="28"/>
          <w:szCs w:val="28"/>
        </w:rPr>
      </w:pPr>
    </w:p>
    <w:p w14:paraId="673EC5B1" w14:textId="77777777" w:rsidR="00861D23" w:rsidRDefault="00861D23" w:rsidP="00C967B5">
      <w:pPr>
        <w:jc w:val="center"/>
        <w:rPr>
          <w:b/>
          <w:bCs/>
          <w:sz w:val="28"/>
          <w:szCs w:val="28"/>
        </w:rPr>
      </w:pPr>
    </w:p>
    <w:p w14:paraId="7210808E" w14:textId="77777777" w:rsidR="000817C8" w:rsidRPr="00472B63" w:rsidRDefault="000817C8" w:rsidP="00C967B5">
      <w:pPr>
        <w:jc w:val="center"/>
        <w:rPr>
          <w:b/>
          <w:bCs/>
          <w:sz w:val="28"/>
          <w:szCs w:val="28"/>
        </w:rPr>
      </w:pPr>
    </w:p>
    <w:p w14:paraId="41949728" w14:textId="082628E9" w:rsidR="004A45AF" w:rsidRPr="004A45AF" w:rsidRDefault="004A45AF" w:rsidP="004A45AF">
      <w:pPr>
        <w:pStyle w:val="NormalWeb"/>
        <w:spacing w:before="0" w:beforeAutospacing="0" w:after="0" w:afterAutospacing="0"/>
        <w:ind w:firstLine="708"/>
        <w:jc w:val="both"/>
        <w:rPr>
          <w:b/>
          <w:bCs/>
          <w:sz w:val="28"/>
          <w:szCs w:val="28"/>
        </w:rPr>
      </w:pPr>
      <w:r w:rsidRPr="004A45AF">
        <w:rPr>
          <w:sz w:val="28"/>
          <w:szCs w:val="28"/>
        </w:rPr>
        <w:t xml:space="preserve">Municipiul Brad se află în proces de implementare a proiectului </w:t>
      </w:r>
      <w:r w:rsidRPr="004A45AF">
        <w:rPr>
          <w:rStyle w:val="Robust"/>
          <w:b w:val="0"/>
          <w:bCs w:val="0"/>
          <w:i/>
          <w:iCs/>
          <w:sz w:val="28"/>
          <w:szCs w:val="28"/>
        </w:rPr>
        <w:t>„Infrastructură pentru transportul verde – ITS la nivelul municipiului Brad”</w:t>
      </w:r>
      <w:r w:rsidRPr="004A45AF">
        <w:rPr>
          <w:sz w:val="28"/>
          <w:szCs w:val="28"/>
        </w:rPr>
        <w:t xml:space="preserve"> pentru care a obținut finanțare externă nerambursabilă în cadrul </w:t>
      </w:r>
      <w:r w:rsidRPr="004A45AF">
        <w:rPr>
          <w:rStyle w:val="Robust"/>
          <w:b w:val="0"/>
          <w:bCs w:val="0"/>
          <w:sz w:val="28"/>
          <w:szCs w:val="28"/>
        </w:rPr>
        <w:t>Planului Național de Redresare și Reziliență</w:t>
      </w:r>
      <w:r w:rsidRPr="004A45AF">
        <w:rPr>
          <w:sz w:val="28"/>
          <w:szCs w:val="28"/>
        </w:rPr>
        <w:t>, în baza</w:t>
      </w:r>
      <w:r w:rsidRPr="004A45AF">
        <w:rPr>
          <w:b/>
          <w:bCs/>
          <w:sz w:val="28"/>
          <w:szCs w:val="28"/>
        </w:rPr>
        <w:t xml:space="preserve"> </w:t>
      </w:r>
      <w:r w:rsidRPr="004A45AF">
        <w:rPr>
          <w:rStyle w:val="Robust"/>
          <w:b w:val="0"/>
          <w:bCs w:val="0"/>
          <w:sz w:val="28"/>
          <w:szCs w:val="28"/>
        </w:rPr>
        <w:t>Contractului de finanțare nr. 289/03.01.2023</w:t>
      </w:r>
      <w:r w:rsidRPr="00321AE0">
        <w:rPr>
          <w:sz w:val="28"/>
          <w:szCs w:val="28"/>
        </w:rPr>
        <w:t>.</w:t>
      </w:r>
    </w:p>
    <w:p w14:paraId="7C77AB6D" w14:textId="7C895D1E"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Prin realizarea </w:t>
      </w:r>
      <w:r w:rsidR="00BA65C1">
        <w:rPr>
          <w:sz w:val="28"/>
          <w:szCs w:val="28"/>
        </w:rPr>
        <w:t xml:space="preserve">acestei </w:t>
      </w:r>
      <w:r w:rsidRPr="004A45AF">
        <w:rPr>
          <w:sz w:val="28"/>
          <w:szCs w:val="28"/>
        </w:rPr>
        <w:t>investiți</w:t>
      </w:r>
      <w:r w:rsidR="00BA65C1">
        <w:rPr>
          <w:sz w:val="28"/>
          <w:szCs w:val="28"/>
        </w:rPr>
        <w:t>i</w:t>
      </w:r>
      <w:r w:rsidRPr="004A45AF">
        <w:rPr>
          <w:sz w:val="28"/>
          <w:szCs w:val="28"/>
        </w:rPr>
        <w:t xml:space="preserve"> se urmărește dezvoltarea infrastructurii necesare funcționării unui sistem modern și eficient de transport public local, bazat pe soluții de mobilitate urbană durabilă, care să contribuie la reducerea emisiilor de carbon, creșterea calității serviciilor de transport și îmbunătățirea confortului utilizatorilor.</w:t>
      </w:r>
    </w:p>
    <w:p w14:paraId="15F862E5" w14:textId="6C3BFEBC"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Dimensionarea infrastructurii pentru transportul verde – ITS la nivelul </w:t>
      </w:r>
      <w:r w:rsidR="00BA65C1">
        <w:rPr>
          <w:sz w:val="28"/>
          <w:szCs w:val="28"/>
        </w:rPr>
        <w:t>m</w:t>
      </w:r>
      <w:r w:rsidRPr="004A45AF">
        <w:rPr>
          <w:sz w:val="28"/>
          <w:szCs w:val="28"/>
        </w:rPr>
        <w:t xml:space="preserve">unicipiului Brad a fost realizată astfel încât să asigure echipamentele necesare pentru deservirea sistemului de transport public local, estimat la nivelul </w:t>
      </w:r>
      <w:r w:rsidR="00BA65C1">
        <w:rPr>
          <w:sz w:val="28"/>
          <w:szCs w:val="28"/>
        </w:rPr>
        <w:t>S</w:t>
      </w:r>
      <w:r w:rsidRPr="004A45AF">
        <w:rPr>
          <w:sz w:val="28"/>
          <w:szCs w:val="28"/>
        </w:rPr>
        <w:t xml:space="preserve">tudiului de </w:t>
      </w:r>
      <w:r w:rsidR="00BA65C1">
        <w:rPr>
          <w:sz w:val="28"/>
          <w:szCs w:val="28"/>
        </w:rPr>
        <w:t>F</w:t>
      </w:r>
      <w:r w:rsidRPr="004A45AF">
        <w:rPr>
          <w:sz w:val="28"/>
          <w:szCs w:val="28"/>
        </w:rPr>
        <w:t xml:space="preserve">ezabilitate, respectiv operarea cu </w:t>
      </w:r>
      <w:r w:rsidRPr="004A45AF">
        <w:rPr>
          <w:rStyle w:val="Robust"/>
          <w:b w:val="0"/>
          <w:bCs w:val="0"/>
          <w:sz w:val="28"/>
          <w:szCs w:val="28"/>
        </w:rPr>
        <w:t>4 autobuze electrice</w:t>
      </w:r>
      <w:r w:rsidRPr="004A45AF">
        <w:rPr>
          <w:sz w:val="28"/>
          <w:szCs w:val="28"/>
        </w:rPr>
        <w:t>, precum și pentru a răspunde cererii de transport prognozate.</w:t>
      </w:r>
    </w:p>
    <w:p w14:paraId="74F6AD0D" w14:textId="585262E4" w:rsidR="004A45AF" w:rsidRPr="004A45AF" w:rsidRDefault="004A45AF" w:rsidP="004A45AF">
      <w:pPr>
        <w:pStyle w:val="NormalWeb"/>
        <w:spacing w:before="0" w:beforeAutospacing="0" w:after="0" w:afterAutospacing="0"/>
        <w:ind w:firstLine="708"/>
        <w:jc w:val="both"/>
        <w:rPr>
          <w:sz w:val="28"/>
          <w:szCs w:val="28"/>
        </w:rPr>
      </w:pPr>
      <w:r w:rsidRPr="004A45AF">
        <w:rPr>
          <w:sz w:val="28"/>
          <w:szCs w:val="28"/>
        </w:rPr>
        <w:t xml:space="preserve">În acest sens, infrastructura pentru transportul verde – ITS propusă a fi implementată la nivelul </w:t>
      </w:r>
      <w:r w:rsidR="00BA65C1">
        <w:rPr>
          <w:sz w:val="28"/>
          <w:szCs w:val="28"/>
        </w:rPr>
        <w:t>m</w:t>
      </w:r>
      <w:r w:rsidRPr="004A45AF">
        <w:rPr>
          <w:sz w:val="28"/>
          <w:szCs w:val="28"/>
        </w:rPr>
        <w:t>unicipiului Brad este structurată pe următoarele componente:</w:t>
      </w:r>
    </w:p>
    <w:p w14:paraId="3659BEF7"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 Componenta în autobuz</w:t>
      </w:r>
      <w:r w:rsidRPr="004A45AF">
        <w:rPr>
          <w:sz w:val="28"/>
          <w:szCs w:val="28"/>
        </w:rPr>
        <w:t>, care include:</w:t>
      </w:r>
    </w:p>
    <w:p w14:paraId="2BFFCB4B" w14:textId="12D57B3E" w:rsid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validatoare duale (bilete și carduri);</w:t>
      </w:r>
    </w:p>
    <w:p w14:paraId="0F26D39E" w14:textId="22E5C20E"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validatoare contactless pentru plata cu card bancar;</w:t>
      </w:r>
    </w:p>
    <w:p w14:paraId="5F90FFEE" w14:textId="63526654"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computer de bord;</w:t>
      </w:r>
    </w:p>
    <w:p w14:paraId="58B73BC1" w14:textId="6B2C9D26"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echipamente de comunicații (switch);</w:t>
      </w:r>
    </w:p>
    <w:p w14:paraId="087C4358" w14:textId="2995A594" w:rsidR="004A45AF" w:rsidRPr="004A45AF" w:rsidRDefault="004A45AF" w:rsidP="004A45AF">
      <w:pPr>
        <w:pStyle w:val="NormalWeb"/>
        <w:spacing w:before="0" w:beforeAutospacing="0" w:after="0" w:afterAutospacing="0"/>
        <w:ind w:firstLine="708"/>
        <w:jc w:val="both"/>
        <w:rPr>
          <w:sz w:val="28"/>
          <w:szCs w:val="28"/>
        </w:rPr>
      </w:pPr>
      <w:r>
        <w:rPr>
          <w:sz w:val="28"/>
          <w:szCs w:val="28"/>
        </w:rPr>
        <w:t xml:space="preserve">-  </w:t>
      </w:r>
      <w:r w:rsidRPr="004A45AF">
        <w:rPr>
          <w:sz w:val="28"/>
          <w:szCs w:val="28"/>
        </w:rPr>
        <w:t>tablou electric.</w:t>
      </w:r>
    </w:p>
    <w:p w14:paraId="22302D7C"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II. Componenta în stații</w:t>
      </w:r>
      <w:r w:rsidRPr="004A45AF">
        <w:rPr>
          <w:sz w:val="28"/>
          <w:szCs w:val="28"/>
        </w:rPr>
        <w:t>, care cuprinde:</w:t>
      </w:r>
    </w:p>
    <w:p w14:paraId="2D4DAF76" w14:textId="6A283F33"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automate pentru vânzarea biletelor;</w:t>
      </w:r>
    </w:p>
    <w:p w14:paraId="18510B4D" w14:textId="5B5B354F"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sisteme de eliberare și reîncărcare a cardurilor;</w:t>
      </w:r>
    </w:p>
    <w:p w14:paraId="782B3CBF" w14:textId="54E290AF"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sisteme electronice de afișaj în stații.</w:t>
      </w:r>
    </w:p>
    <w:p w14:paraId="2DC658EF" w14:textId="77777777" w:rsidR="004A45AF" w:rsidRPr="004A45AF" w:rsidRDefault="004A45AF" w:rsidP="004A45AF">
      <w:pPr>
        <w:pStyle w:val="NormalWeb"/>
        <w:spacing w:before="0" w:beforeAutospacing="0" w:after="0" w:afterAutospacing="0"/>
        <w:ind w:firstLine="708"/>
        <w:jc w:val="both"/>
        <w:rPr>
          <w:sz w:val="28"/>
          <w:szCs w:val="28"/>
        </w:rPr>
      </w:pPr>
      <w:r w:rsidRPr="004A45AF">
        <w:rPr>
          <w:rStyle w:val="Robust"/>
          <w:sz w:val="28"/>
          <w:szCs w:val="28"/>
        </w:rPr>
        <w:t>III. Infrastructura generală</w:t>
      </w:r>
      <w:r w:rsidRPr="004A45AF">
        <w:rPr>
          <w:sz w:val="28"/>
          <w:szCs w:val="28"/>
        </w:rPr>
        <w:t>, care include:</w:t>
      </w:r>
    </w:p>
    <w:p w14:paraId="2D4E91E1" w14:textId="19DE428B"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terminal de control;</w:t>
      </w:r>
    </w:p>
    <w:p w14:paraId="3A3F4266" w14:textId="42EE6D70"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licență software pentru sistemul de e-ticketing;</w:t>
      </w:r>
    </w:p>
    <w:p w14:paraId="27E31ED8" w14:textId="08B39B44"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sistem de informare publică;</w:t>
      </w:r>
    </w:p>
    <w:p w14:paraId="4F230B80" w14:textId="31EFD4E6" w:rsidR="004A45AF" w:rsidRP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t>infrastructură de centru de date, inclusiv sistem de back-up date (hardware și software);</w:t>
      </w:r>
    </w:p>
    <w:p w14:paraId="0E7D0ED6" w14:textId="2702F7E1" w:rsidR="004A45AF" w:rsidRDefault="004A45AF" w:rsidP="004A45AF">
      <w:pPr>
        <w:pStyle w:val="NormalWeb"/>
        <w:numPr>
          <w:ilvl w:val="0"/>
          <w:numId w:val="7"/>
        </w:numPr>
        <w:spacing w:before="0" w:beforeAutospacing="0" w:after="0" w:afterAutospacing="0"/>
        <w:jc w:val="both"/>
        <w:rPr>
          <w:sz w:val="28"/>
          <w:szCs w:val="28"/>
        </w:rPr>
      </w:pPr>
      <w:r w:rsidRPr="004A45AF">
        <w:rPr>
          <w:sz w:val="28"/>
          <w:szCs w:val="28"/>
        </w:rPr>
        <w:lastRenderedPageBreak/>
        <w:t>punct de descărcare date.</w:t>
      </w:r>
    </w:p>
    <w:p w14:paraId="6EAED958" w14:textId="50AB9FDA" w:rsidR="004A45AF" w:rsidRDefault="00E964D1" w:rsidP="00E964D1">
      <w:pPr>
        <w:pStyle w:val="NormalWeb"/>
        <w:spacing w:before="0" w:beforeAutospacing="0" w:after="0" w:afterAutospacing="0"/>
        <w:ind w:firstLine="706"/>
        <w:jc w:val="both"/>
        <w:rPr>
          <w:sz w:val="28"/>
          <w:szCs w:val="28"/>
        </w:rPr>
      </w:pPr>
      <w:r>
        <w:rPr>
          <w:sz w:val="28"/>
          <w:szCs w:val="28"/>
        </w:rPr>
        <w:t xml:space="preserve">Prin Hotărârea Consiliului Local nr. 19/29.01.2026 a fost aprobată </w:t>
      </w:r>
      <w:r w:rsidR="004A45AF" w:rsidRPr="004A45AF">
        <w:rPr>
          <w:sz w:val="28"/>
          <w:szCs w:val="28"/>
        </w:rPr>
        <w:t xml:space="preserve">Documentația tehnico-economică, faza </w:t>
      </w:r>
      <w:r w:rsidR="004A45AF" w:rsidRPr="004A45AF">
        <w:rPr>
          <w:rStyle w:val="Robust"/>
          <w:b w:val="0"/>
          <w:bCs w:val="0"/>
          <w:sz w:val="28"/>
          <w:szCs w:val="28"/>
        </w:rPr>
        <w:t xml:space="preserve">Studiu de </w:t>
      </w:r>
      <w:r w:rsidR="00BA65C1">
        <w:rPr>
          <w:rStyle w:val="Robust"/>
          <w:b w:val="0"/>
          <w:bCs w:val="0"/>
          <w:sz w:val="28"/>
          <w:szCs w:val="28"/>
        </w:rPr>
        <w:t>F</w:t>
      </w:r>
      <w:r w:rsidR="004A45AF" w:rsidRPr="004A45AF">
        <w:rPr>
          <w:rStyle w:val="Robust"/>
          <w:b w:val="0"/>
          <w:bCs w:val="0"/>
          <w:sz w:val="28"/>
          <w:szCs w:val="28"/>
        </w:rPr>
        <w:t>ezabilitate (SF)</w:t>
      </w:r>
      <w:r w:rsidR="004A45AF" w:rsidRPr="004A45AF">
        <w:rPr>
          <w:b/>
          <w:bCs/>
          <w:sz w:val="28"/>
          <w:szCs w:val="28"/>
        </w:rPr>
        <w:t>,</w:t>
      </w:r>
      <w:r w:rsidR="004A45AF" w:rsidRPr="004A45AF">
        <w:rPr>
          <w:sz w:val="28"/>
          <w:szCs w:val="28"/>
        </w:rPr>
        <w:t xml:space="preserve"> elaborată de către </w:t>
      </w:r>
      <w:r w:rsidR="004A45AF" w:rsidRPr="004A45AF">
        <w:rPr>
          <w:rStyle w:val="Robust"/>
          <w:b w:val="0"/>
          <w:bCs w:val="0"/>
          <w:sz w:val="28"/>
          <w:szCs w:val="28"/>
        </w:rPr>
        <w:t>S.C. Sigma Mobility Engineering S.R.L.</w:t>
      </w:r>
      <w:r w:rsidR="004A45AF" w:rsidRPr="004A45AF">
        <w:rPr>
          <w:sz w:val="28"/>
          <w:szCs w:val="28"/>
        </w:rPr>
        <w:t>, societate contractată în acest scop, în conformitate cu prevederile legale în vigoare și cu cerințele finanțatorului.</w:t>
      </w:r>
    </w:p>
    <w:p w14:paraId="08B2AA03" w14:textId="77777777" w:rsidR="000817C8" w:rsidRDefault="00CC5F40" w:rsidP="000817C8">
      <w:pPr>
        <w:suppressAutoHyphens/>
        <w:ind w:firstLine="708"/>
        <w:jc w:val="both"/>
        <w:rPr>
          <w:rFonts w:eastAsia="SimSun"/>
          <w:color w:val="212121"/>
          <w:sz w:val="28"/>
          <w:szCs w:val="28"/>
          <w:lang w:eastAsia="zh-CN" w:bidi="hi-IN"/>
        </w:rPr>
      </w:pPr>
      <w:r>
        <w:rPr>
          <w:rFonts w:eastAsia="SimSun"/>
          <w:color w:val="212121"/>
          <w:sz w:val="28"/>
          <w:szCs w:val="28"/>
          <w:lang w:eastAsia="zh-CN" w:bidi="hi-IN"/>
        </w:rPr>
        <w:t>Î</w:t>
      </w:r>
      <w:r w:rsidRPr="00CC5F40">
        <w:rPr>
          <w:rFonts w:eastAsia="SimSun"/>
          <w:color w:val="212121"/>
          <w:sz w:val="28"/>
          <w:szCs w:val="28"/>
          <w:lang w:eastAsia="zh-CN" w:bidi="hi-IN"/>
        </w:rPr>
        <w:t>n conformitate cu</w:t>
      </w:r>
      <w:r>
        <w:rPr>
          <w:rFonts w:eastAsia="SimSun"/>
          <w:color w:val="212121"/>
          <w:sz w:val="28"/>
          <w:szCs w:val="28"/>
          <w:lang w:eastAsia="zh-CN" w:bidi="hi-IN"/>
        </w:rPr>
        <w:t xml:space="preserve"> prevederile</w:t>
      </w:r>
      <w:r w:rsidRPr="00CC5F40">
        <w:rPr>
          <w:rFonts w:eastAsia="SimSun"/>
          <w:color w:val="212121"/>
          <w:sz w:val="28"/>
          <w:szCs w:val="28"/>
          <w:lang w:eastAsia="zh-CN" w:bidi="hi-IN"/>
        </w:rPr>
        <w:t xml:space="preserve"> art. 10 </w:t>
      </w:r>
      <w:bookmarkStart w:id="1" w:name="_Hlk221175337"/>
      <w:r w:rsidRPr="00CC5F40">
        <w:rPr>
          <w:rFonts w:eastAsia="SimSun"/>
          <w:color w:val="212121"/>
          <w:sz w:val="28"/>
          <w:szCs w:val="28"/>
          <w:lang w:eastAsia="zh-CN" w:bidi="hi-IN"/>
        </w:rPr>
        <w:t>alin</w:t>
      </w:r>
      <w:bookmarkEnd w:id="1"/>
      <w:r w:rsidR="000817C8">
        <w:rPr>
          <w:rFonts w:eastAsia="SimSun"/>
          <w:color w:val="212121"/>
          <w:sz w:val="28"/>
          <w:szCs w:val="28"/>
          <w:lang w:eastAsia="zh-CN" w:bidi="hi-IN"/>
        </w:rPr>
        <w:t>.</w:t>
      </w:r>
      <w:r w:rsidRPr="00CC5F40">
        <w:rPr>
          <w:rFonts w:eastAsia="SimSun"/>
          <w:color w:val="212121"/>
          <w:sz w:val="28"/>
          <w:szCs w:val="28"/>
          <w:lang w:eastAsia="zh-CN" w:bidi="hi-IN"/>
        </w:rPr>
        <w:t xml:space="preserve"> </w:t>
      </w:r>
      <w:r w:rsidRPr="00CC5F40">
        <w:rPr>
          <w:rFonts w:eastAsia="SimSun"/>
          <w:color w:val="00000A"/>
          <w:sz w:val="28"/>
          <w:szCs w:val="28"/>
          <w:lang w:eastAsia="zh-CN" w:bidi="hi-IN"/>
        </w:rPr>
        <w:t>(1)</w:t>
      </w:r>
      <w:r w:rsidR="000817C8">
        <w:rPr>
          <w:rFonts w:eastAsia="SimSun"/>
          <w:color w:val="00000A"/>
          <w:sz w:val="28"/>
          <w:szCs w:val="28"/>
          <w:lang w:eastAsia="zh-CN" w:bidi="hi-IN"/>
        </w:rPr>
        <w:t xml:space="preserve"> și alin. (4)</w:t>
      </w:r>
      <w:r w:rsidRPr="00CC5F40">
        <w:rPr>
          <w:rFonts w:eastAsia="SimSun"/>
          <w:color w:val="212121"/>
          <w:sz w:val="28"/>
          <w:szCs w:val="28"/>
          <w:lang w:eastAsia="zh-CN" w:bidi="hi-IN"/>
        </w:rPr>
        <w:t xml:space="preserve"> </w:t>
      </w:r>
      <w:bookmarkStart w:id="2" w:name="_Hlk221177953"/>
      <w:r w:rsidRPr="00CC5F40">
        <w:rPr>
          <w:rFonts w:eastAsia="SimSun"/>
          <w:color w:val="212121"/>
          <w:sz w:val="28"/>
          <w:szCs w:val="28"/>
          <w:lang w:eastAsia="zh-CN" w:bidi="hi-IN"/>
        </w:rPr>
        <w:t xml:space="preserve">din </w:t>
      </w:r>
      <w:r w:rsidRPr="000817C8">
        <w:rPr>
          <w:rFonts w:eastAsia="SimSun"/>
          <w:color w:val="212121"/>
          <w:sz w:val="28"/>
          <w:szCs w:val="28"/>
          <w:lang w:eastAsia="zh-CN" w:bidi="hi-IN"/>
        </w:rPr>
        <w:t>Hotărârea Guvernului nr. 907/2016</w:t>
      </w:r>
      <w:r w:rsidRPr="00CC5F40">
        <w:rPr>
          <w:rFonts w:eastAsia="SimSun"/>
          <w:b/>
          <w:bCs/>
          <w:color w:val="212121"/>
          <w:sz w:val="28"/>
          <w:szCs w:val="28"/>
          <w:lang w:eastAsia="zh-CN" w:bidi="hi-IN"/>
        </w:rPr>
        <w:t xml:space="preserve"> </w:t>
      </w:r>
      <w:r w:rsidRPr="00CC5F40">
        <w:rPr>
          <w:rFonts w:eastAsia="SimSun"/>
          <w:color w:val="212121"/>
          <w:sz w:val="28"/>
          <w:szCs w:val="28"/>
          <w:lang w:eastAsia="zh-CN" w:bidi="hi-IN"/>
        </w:rPr>
        <w:t>privind etapele de elaborare şi conţinutul-cadru al documentaţiilor tehnico-economice aferente obiectivelor/proiectelor de investiţii finanţate din fonduri publice</w:t>
      </w:r>
      <w:r w:rsidRPr="00CC5F40">
        <w:rPr>
          <w:rFonts w:eastAsia="SimSun"/>
          <w:color w:val="00000A"/>
          <w:sz w:val="28"/>
          <w:szCs w:val="28"/>
          <w:lang w:eastAsia="zh-CN" w:bidi="hi-IN"/>
        </w:rPr>
        <w:t xml:space="preserve"> </w:t>
      </w:r>
      <w:bookmarkStart w:id="3" w:name="_Hlk221177975"/>
      <w:bookmarkEnd w:id="2"/>
      <w:r w:rsidRPr="00CC5F40">
        <w:rPr>
          <w:rFonts w:eastAsia="SimSun"/>
          <w:color w:val="212121"/>
          <w:sz w:val="28"/>
          <w:szCs w:val="28"/>
          <w:lang w:eastAsia="zh-CN" w:bidi="hi-IN"/>
        </w:rPr>
        <w:t>"</w:t>
      </w:r>
      <w:bookmarkEnd w:id="3"/>
      <w:r w:rsidRPr="00CC5F40">
        <w:rPr>
          <w:rFonts w:eastAsia="SimSun"/>
          <w:i/>
          <w:iCs/>
          <w:color w:val="00000A"/>
          <w:sz w:val="28"/>
          <w:szCs w:val="28"/>
          <w:lang w:eastAsia="zh-CN" w:bidi="hi-IN"/>
        </w:rPr>
        <w:t>Devizul general este partea componentă a studiului de fezabilitate sau a documentaţiei de avizare a lucrărilor de intervenţii, prin care se stabileşte valoarea totală estimativă, exprimată în lei, a cheltuielilor necesare realizării unui obiectiv de investiţii</w:t>
      </w:r>
      <w:r w:rsidRPr="00CC5F40">
        <w:rPr>
          <w:rFonts w:eastAsia="SimSun"/>
          <w:color w:val="212121"/>
          <w:sz w:val="28"/>
          <w:szCs w:val="28"/>
          <w:lang w:eastAsia="zh-CN" w:bidi="hi-IN"/>
        </w:rPr>
        <w:t>"</w:t>
      </w:r>
      <w:r w:rsidR="000817C8">
        <w:rPr>
          <w:rFonts w:eastAsia="SimSun"/>
          <w:color w:val="212121"/>
          <w:sz w:val="28"/>
          <w:szCs w:val="28"/>
          <w:lang w:eastAsia="zh-CN" w:bidi="hi-IN"/>
        </w:rPr>
        <w:t>.</w:t>
      </w:r>
    </w:p>
    <w:p w14:paraId="1475A851" w14:textId="254FFD3C" w:rsidR="00CC5F40" w:rsidRPr="00CC5F40" w:rsidRDefault="00CC5F40" w:rsidP="000817C8">
      <w:pPr>
        <w:suppressAutoHyphens/>
        <w:jc w:val="both"/>
        <w:rPr>
          <w:rFonts w:eastAsia="SimSun"/>
          <w:color w:val="212121"/>
          <w:sz w:val="28"/>
          <w:szCs w:val="28"/>
          <w:lang w:eastAsia="zh-CN" w:bidi="hi-IN"/>
        </w:rPr>
      </w:pPr>
      <w:r w:rsidRPr="00CC5F40">
        <w:rPr>
          <w:rFonts w:eastAsia="SimSun"/>
          <w:color w:val="212121"/>
          <w:sz w:val="28"/>
          <w:szCs w:val="28"/>
          <w:lang w:eastAsia="zh-CN" w:bidi="hi-IN"/>
        </w:rPr>
        <w:t>"</w:t>
      </w:r>
      <w:r w:rsidRPr="00CC5F40">
        <w:rPr>
          <w:rFonts w:eastAsia="SimSun"/>
          <w:i/>
          <w:iCs/>
          <w:color w:val="00000A"/>
          <w:sz w:val="28"/>
          <w:szCs w:val="28"/>
          <w:lang w:eastAsia="zh-CN" w:bidi="hi-IN"/>
        </w:rPr>
        <w:t>Devizul general întocmit la faza de proiectare studiu de fezabilitate în cazul obiectivului nou/mixt de investiţii şi, respectiv, la faza documentaţie de avizare a lucrărilor de intervenţii în cazul intervenţiei la construcţie existentă se actualizează prin grija beneficiarului investiţiei/investitorului, ori de câte ori este necesar</w:t>
      </w:r>
      <w:r w:rsidRPr="00CC5F40">
        <w:rPr>
          <w:rFonts w:eastAsia="SimSun"/>
          <w:i/>
          <w:iCs/>
          <w:color w:val="00000A"/>
          <w:sz w:val="28"/>
          <w:szCs w:val="28"/>
          <w:lang w:val="es-ES_tradnl" w:eastAsia="zh-CN" w:bidi="hi-IN"/>
        </w:rPr>
        <w:t xml:space="preserve"> </w:t>
      </w:r>
      <w:r>
        <w:rPr>
          <w:rFonts w:eastAsia="SimSun"/>
          <w:i/>
          <w:iCs/>
          <w:color w:val="00000A"/>
          <w:sz w:val="28"/>
          <w:szCs w:val="28"/>
          <w:lang w:val="es-ES_tradnl" w:eastAsia="zh-CN" w:bidi="hi-IN"/>
        </w:rPr>
        <w:t>[...]</w:t>
      </w:r>
      <w:r w:rsidRPr="00CC5F40">
        <w:rPr>
          <w:rFonts w:eastAsia="SimSun"/>
          <w:color w:val="212121"/>
          <w:sz w:val="28"/>
          <w:szCs w:val="28"/>
          <w:lang w:eastAsia="zh-CN" w:bidi="hi-IN"/>
        </w:rPr>
        <w:t xml:space="preserve"> </w:t>
      </w:r>
      <w:r w:rsidRPr="00CC5F40">
        <w:rPr>
          <w:rFonts w:eastAsia="SimSun"/>
          <w:i/>
          <w:iCs/>
          <w:color w:val="212121"/>
          <w:sz w:val="28"/>
          <w:szCs w:val="28"/>
          <w:lang w:eastAsia="zh-CN" w:bidi="hi-IN"/>
        </w:rPr>
        <w:t>".</w:t>
      </w:r>
    </w:p>
    <w:p w14:paraId="2D874916" w14:textId="5638C894" w:rsidR="00E964D1" w:rsidRPr="004A45AF" w:rsidRDefault="00CC5F40" w:rsidP="00940168">
      <w:pPr>
        <w:pStyle w:val="NormalWeb"/>
        <w:spacing w:before="0" w:beforeAutospacing="0" w:after="0" w:afterAutospacing="0"/>
        <w:jc w:val="both"/>
        <w:rPr>
          <w:sz w:val="28"/>
          <w:szCs w:val="28"/>
        </w:rPr>
      </w:pPr>
      <w:r>
        <w:rPr>
          <w:sz w:val="28"/>
          <w:szCs w:val="28"/>
        </w:rPr>
        <w:tab/>
        <w:t>În vederea realizării investiției</w:t>
      </w:r>
      <w:r w:rsidR="00940168">
        <w:rPr>
          <w:sz w:val="28"/>
          <w:szCs w:val="28"/>
        </w:rPr>
        <w:t>,</w:t>
      </w:r>
      <w:r>
        <w:rPr>
          <w:sz w:val="28"/>
          <w:szCs w:val="28"/>
        </w:rPr>
        <w:t xml:space="preserve"> </w:t>
      </w:r>
      <w:r w:rsidR="00940168">
        <w:rPr>
          <w:sz w:val="28"/>
          <w:szCs w:val="28"/>
        </w:rPr>
        <w:t xml:space="preserve">este necesară aprobarea Documentației </w:t>
      </w:r>
      <w:r w:rsidR="00940168" w:rsidRPr="004A45AF">
        <w:rPr>
          <w:sz w:val="28"/>
          <w:szCs w:val="28"/>
        </w:rPr>
        <w:t>tehnico-economic</w:t>
      </w:r>
      <w:r w:rsidR="00940168">
        <w:rPr>
          <w:sz w:val="28"/>
          <w:szCs w:val="28"/>
        </w:rPr>
        <w:t>e</w:t>
      </w:r>
      <w:r w:rsidR="00940168" w:rsidRPr="004A45AF">
        <w:rPr>
          <w:sz w:val="28"/>
          <w:szCs w:val="28"/>
        </w:rPr>
        <w:t xml:space="preserve">, faza </w:t>
      </w:r>
      <w:r w:rsidR="00940168">
        <w:rPr>
          <w:rStyle w:val="Robust"/>
          <w:b w:val="0"/>
          <w:bCs w:val="0"/>
          <w:sz w:val="28"/>
          <w:szCs w:val="28"/>
        </w:rPr>
        <w:t xml:space="preserve">Proiect Tehnic, </w:t>
      </w:r>
      <w:r w:rsidR="00940168" w:rsidRPr="004A45AF">
        <w:rPr>
          <w:sz w:val="28"/>
          <w:szCs w:val="28"/>
        </w:rPr>
        <w:t xml:space="preserve">elaborată de către </w:t>
      </w:r>
      <w:r w:rsidR="00940168" w:rsidRPr="004A45AF">
        <w:rPr>
          <w:rStyle w:val="Robust"/>
          <w:b w:val="0"/>
          <w:bCs w:val="0"/>
          <w:sz w:val="28"/>
          <w:szCs w:val="28"/>
        </w:rPr>
        <w:t>S.C. Sigma Mobility Engineering S.R.L.</w:t>
      </w:r>
    </w:p>
    <w:p w14:paraId="751DE4E5" w14:textId="18A3DB04" w:rsidR="004A45AF" w:rsidRPr="004A45AF" w:rsidRDefault="00FB2EBC" w:rsidP="00940168">
      <w:pPr>
        <w:pStyle w:val="NormalWeb"/>
        <w:shd w:val="clear" w:color="auto" w:fill="FFFFFF"/>
        <w:spacing w:before="0" w:beforeAutospacing="0" w:after="0" w:afterAutospacing="0"/>
        <w:ind w:firstLine="706"/>
        <w:jc w:val="both"/>
        <w:rPr>
          <w:sz w:val="28"/>
          <w:szCs w:val="28"/>
        </w:rPr>
      </w:pPr>
      <w:r w:rsidRPr="004A45AF">
        <w:rPr>
          <w:rFonts w:eastAsia="SimSun"/>
          <w:i/>
          <w:iCs/>
          <w:sz w:val="28"/>
          <w:szCs w:val="28"/>
          <w:lang w:eastAsia="zh-CN" w:bidi="hi-IN"/>
        </w:rPr>
        <w:t> </w:t>
      </w:r>
      <w:r w:rsidRPr="004A45AF">
        <w:rPr>
          <w:rFonts w:eastAsia="SimSun"/>
          <w:sz w:val="28"/>
          <w:szCs w:val="28"/>
          <w:lang w:eastAsia="zh-CN" w:bidi="hi-IN"/>
        </w:rPr>
        <w:t>Conform acestei documentații, Devizul general este în valoare totală de </w:t>
      </w:r>
      <w:r w:rsidR="00940168">
        <w:rPr>
          <w:sz w:val="28"/>
          <w:szCs w:val="28"/>
        </w:rPr>
        <w:t>2.659.425,83</w:t>
      </w:r>
      <w:r w:rsidR="004A45AF" w:rsidRPr="004A45AF">
        <w:rPr>
          <w:sz w:val="28"/>
          <w:szCs w:val="28"/>
        </w:rPr>
        <w:t> (fără T.V.A.), respectiv 3.</w:t>
      </w:r>
      <w:r w:rsidR="00940168">
        <w:rPr>
          <w:sz w:val="28"/>
          <w:szCs w:val="28"/>
        </w:rPr>
        <w:t>217.465,52</w:t>
      </w:r>
      <w:r w:rsidR="004A45AF" w:rsidRPr="004A45AF">
        <w:rPr>
          <w:sz w:val="28"/>
          <w:szCs w:val="28"/>
        </w:rPr>
        <w:t> lei</w:t>
      </w:r>
      <w:r w:rsidR="000817C8">
        <w:rPr>
          <w:sz w:val="28"/>
          <w:szCs w:val="28"/>
        </w:rPr>
        <w:t xml:space="preserve"> </w:t>
      </w:r>
      <w:r w:rsidR="004A45AF" w:rsidRPr="004A45AF">
        <w:rPr>
          <w:sz w:val="28"/>
          <w:szCs w:val="28"/>
        </w:rPr>
        <w:t>(cu T.V.A.)</w:t>
      </w:r>
      <w:r w:rsidR="00940168">
        <w:rPr>
          <w:sz w:val="28"/>
          <w:szCs w:val="28"/>
        </w:rPr>
        <w:t>. De asemenea</w:t>
      </w:r>
      <w:r w:rsidR="00A666D1">
        <w:rPr>
          <w:sz w:val="28"/>
          <w:szCs w:val="28"/>
        </w:rPr>
        <w:t>,</w:t>
      </w:r>
      <w:r w:rsidR="00940168">
        <w:rPr>
          <w:sz w:val="28"/>
          <w:szCs w:val="28"/>
        </w:rPr>
        <w:t xml:space="preserve"> Indicatorii tehnico-economici ai obiectivului de investiții se vor modifica în mod corespunzător.</w:t>
      </w:r>
    </w:p>
    <w:p w14:paraId="7523C093" w14:textId="2B9585A3" w:rsidR="0092446A" w:rsidRPr="004A45AF" w:rsidRDefault="0092446A" w:rsidP="004A45AF">
      <w:pPr>
        <w:shd w:val="clear" w:color="auto" w:fill="FFFFFF"/>
        <w:ind w:firstLine="708"/>
        <w:jc w:val="both"/>
        <w:outlineLvl w:val="1"/>
        <w:rPr>
          <w:i/>
          <w:iCs/>
          <w:sz w:val="28"/>
          <w:szCs w:val="28"/>
          <w:shd w:val="clear" w:color="auto" w:fill="FFFFFF"/>
        </w:rPr>
      </w:pPr>
      <w:r w:rsidRPr="004A45AF">
        <w:rPr>
          <w:sz w:val="28"/>
          <w:szCs w:val="28"/>
        </w:rPr>
        <w:t>În contextul celor de mai sus</w:t>
      </w:r>
      <w:r w:rsidR="00BA65C1">
        <w:rPr>
          <w:sz w:val="28"/>
          <w:szCs w:val="28"/>
        </w:rPr>
        <w:t>,</w:t>
      </w:r>
      <w:r w:rsidRPr="004A45AF">
        <w:rPr>
          <w:sz w:val="28"/>
          <w:szCs w:val="28"/>
        </w:rPr>
        <w:t xml:space="preserve"> am inițiat prezentul proiect de hotărâre prin care am propus aprobarea </w:t>
      </w:r>
      <w:r w:rsidR="00C967B5" w:rsidRPr="004A45AF">
        <w:rPr>
          <w:sz w:val="28"/>
          <w:szCs w:val="28"/>
        </w:rPr>
        <w:t>Documentației tehnico-economice, a Indicatorilor tehnico-economici și a Devizului general, faza</w:t>
      </w:r>
      <w:r w:rsidR="00940168">
        <w:rPr>
          <w:sz w:val="28"/>
          <w:szCs w:val="28"/>
        </w:rPr>
        <w:t xml:space="preserve"> Proiect Tehnic</w:t>
      </w:r>
      <w:r w:rsidR="00C967B5" w:rsidRPr="004A45AF">
        <w:rPr>
          <w:sz w:val="28"/>
          <w:szCs w:val="28"/>
        </w:rPr>
        <w:t xml:space="preserve">, aferente obiectivului de investiții </w:t>
      </w:r>
      <w:r w:rsidR="004A45AF" w:rsidRPr="004A45AF">
        <w:rPr>
          <w:sz w:val="28"/>
          <w:szCs w:val="28"/>
          <w:shd w:val="clear" w:color="auto" w:fill="FFFFFF"/>
        </w:rPr>
        <w:t>„</w:t>
      </w:r>
      <w:r w:rsidR="004A45AF" w:rsidRPr="004A45AF">
        <w:rPr>
          <w:i/>
          <w:iCs/>
          <w:sz w:val="28"/>
          <w:szCs w:val="28"/>
          <w:shd w:val="clear" w:color="auto" w:fill="FFFFFF"/>
        </w:rPr>
        <w:t>Infrastructură pentru transportul verde – ITS la nivelul municipiului Brad</w:t>
      </w:r>
      <w:r w:rsidR="004A45AF" w:rsidRPr="004A45AF">
        <w:rPr>
          <w:i/>
          <w:iCs/>
          <w:sz w:val="28"/>
          <w:szCs w:val="28"/>
        </w:rPr>
        <w:t>”</w:t>
      </w:r>
      <w:r w:rsidR="004A45AF">
        <w:rPr>
          <w:i/>
          <w:iCs/>
          <w:sz w:val="28"/>
          <w:szCs w:val="28"/>
          <w:shd w:val="clear" w:color="auto" w:fill="FFFFFF"/>
        </w:rPr>
        <w:t xml:space="preserve"> </w:t>
      </w:r>
      <w:r w:rsidRPr="004A45AF">
        <w:rPr>
          <w:sz w:val="28"/>
          <w:szCs w:val="28"/>
        </w:rPr>
        <w:t>și îl supun spre dezbatere și aprobare plenului Consiliului Local al Municipiului Brad în forma prezentată.</w:t>
      </w:r>
    </w:p>
    <w:p w14:paraId="3E91FDA2" w14:textId="4BEA895E" w:rsidR="00C967B5" w:rsidRPr="00F930DD" w:rsidRDefault="00470ACF" w:rsidP="00F930DD">
      <w:pPr>
        <w:pStyle w:val="NormalWeb"/>
        <w:spacing w:before="0" w:beforeAutospacing="0" w:after="0" w:afterAutospacing="0"/>
        <w:jc w:val="both"/>
        <w:rPr>
          <w:sz w:val="28"/>
          <w:szCs w:val="28"/>
        </w:rPr>
      </w:pPr>
      <w:r w:rsidRPr="008F7BA6">
        <w:rPr>
          <w:sz w:val="28"/>
          <w:szCs w:val="28"/>
        </w:rPr>
        <w:tab/>
        <w:t xml:space="preserve"> </w:t>
      </w:r>
      <w:r w:rsidRPr="00F930DD">
        <w:rPr>
          <w:sz w:val="28"/>
          <w:szCs w:val="28"/>
        </w:rPr>
        <w:t>Invoc în susţinerea propunerii mele prevederile</w:t>
      </w:r>
      <w:r w:rsidR="008F7BA6" w:rsidRPr="00F930DD">
        <w:rPr>
          <w:sz w:val="28"/>
          <w:szCs w:val="28"/>
        </w:rPr>
        <w:t xml:space="preserve"> </w:t>
      </w:r>
      <w:r w:rsidR="00C967B5" w:rsidRPr="00F930DD">
        <w:rPr>
          <w:sz w:val="28"/>
          <w:szCs w:val="28"/>
        </w:rPr>
        <w:t xml:space="preserve">art. 44 alin. (1) din Legea nr. 273/2006 privind finanţele publice locale, cu modificările și completările ulterioare, ale Hotărârii Guvernului nr. 907/2016 privind etapele de elaborare şi conţinutul - cadru al documentaţiilor tehnico-economice aferente obiectivelor/proiectelor de investiţii finanţate din fonduri publice, cu modificările și completările ulterioare, ale Ghidului specific – </w:t>
      </w:r>
      <w:r w:rsidR="00C967B5" w:rsidRPr="000817C8">
        <w:rPr>
          <w:i/>
          <w:iCs/>
          <w:sz w:val="28"/>
          <w:szCs w:val="28"/>
        </w:rPr>
        <w:t>„Condiții de accesare a fondurilor europene aferente Planul național de redresare și reziliență în cadrul apelurilor de proiecte PNRR/2022/C10, Componenta 10 – Fondul local”,</w:t>
      </w:r>
      <w:r w:rsidR="00C967B5" w:rsidRPr="00F930DD">
        <w:rPr>
          <w:sz w:val="28"/>
          <w:szCs w:val="28"/>
        </w:rPr>
        <w:t xml:space="preserve"> ale Ordinului nr. 999/10.05.2022 pentru aprobarea ghidului specific - Condiții de accesare a fondurilor europene aferente Planului național de redresare si reziliență în cadrul apelurilor de proiecte PNRR/2022/C10, Componenta 10 - Fondul local, ale Regulamentului (UE) 2021/241 al Parlamentului European si al Consiliului din 12 februarie 2021 de instituire al Mecanismului se redresare si reziliență, ale Legii nr. 231/2021 privind aprobarea Ordonanței de Urgență nr. 24/2021 pentru modificarea </w:t>
      </w:r>
      <w:r w:rsidR="000817C8">
        <w:rPr>
          <w:sz w:val="28"/>
          <w:szCs w:val="28"/>
        </w:rPr>
        <w:t>ș</w:t>
      </w:r>
      <w:r w:rsidR="00C967B5" w:rsidRPr="00F930DD">
        <w:rPr>
          <w:sz w:val="28"/>
          <w:szCs w:val="28"/>
        </w:rPr>
        <w:t xml:space="preserve">i completarea Ordonanței de urgență a Guvernului nr. 155/2020 privind unele măsuri pentru elaborarea Planului național de relansare </w:t>
      </w:r>
      <w:r w:rsidR="000817C8">
        <w:rPr>
          <w:sz w:val="28"/>
          <w:szCs w:val="28"/>
        </w:rPr>
        <w:t>ș</w:t>
      </w:r>
      <w:r w:rsidR="00C967B5" w:rsidRPr="00F930DD">
        <w:rPr>
          <w:sz w:val="28"/>
          <w:szCs w:val="28"/>
        </w:rPr>
        <w:t xml:space="preserve">i reziliență necesar României pentru accesarea de fonduri externe rambursabile </w:t>
      </w:r>
      <w:r w:rsidR="000817C8">
        <w:rPr>
          <w:sz w:val="28"/>
          <w:szCs w:val="28"/>
        </w:rPr>
        <w:t>ș</w:t>
      </w:r>
      <w:r w:rsidR="00C967B5" w:rsidRPr="00F930DD">
        <w:rPr>
          <w:sz w:val="28"/>
          <w:szCs w:val="28"/>
        </w:rPr>
        <w:t xml:space="preserve">i nerambursabile în cadrul Mecanismului de redresare </w:t>
      </w:r>
      <w:r w:rsidR="000817C8">
        <w:rPr>
          <w:sz w:val="28"/>
          <w:szCs w:val="28"/>
        </w:rPr>
        <w:t>ș</w:t>
      </w:r>
      <w:r w:rsidR="00C967B5" w:rsidRPr="00F930DD">
        <w:rPr>
          <w:sz w:val="28"/>
          <w:szCs w:val="28"/>
        </w:rPr>
        <w:t>i rezilienț</w:t>
      </w:r>
      <w:r w:rsidR="00F930DD" w:rsidRPr="00F930DD">
        <w:rPr>
          <w:sz w:val="28"/>
          <w:szCs w:val="28"/>
        </w:rPr>
        <w:t>ă ale</w:t>
      </w:r>
      <w:r w:rsidR="00C967B5" w:rsidRPr="00F930DD">
        <w:rPr>
          <w:sz w:val="28"/>
          <w:szCs w:val="28"/>
        </w:rPr>
        <w:t xml:space="preserve"> Ordonanței de Urgență a Guvernului nr. 124/2021 privind stabilirea cadrului instituțional </w:t>
      </w:r>
      <w:r w:rsidR="000817C8">
        <w:rPr>
          <w:sz w:val="28"/>
          <w:szCs w:val="28"/>
        </w:rPr>
        <w:t>ș</w:t>
      </w:r>
      <w:r w:rsidR="00C967B5" w:rsidRPr="00F930DD">
        <w:rPr>
          <w:sz w:val="28"/>
          <w:szCs w:val="28"/>
        </w:rPr>
        <w:t xml:space="preserve">i financiar pentru gestionarea fondurilor europene alocate României prin Mecanismul de redresare </w:t>
      </w:r>
      <w:r w:rsidR="000817C8">
        <w:rPr>
          <w:sz w:val="28"/>
          <w:szCs w:val="28"/>
        </w:rPr>
        <w:t>ș</w:t>
      </w:r>
      <w:r w:rsidR="00C967B5" w:rsidRPr="00F930DD">
        <w:rPr>
          <w:sz w:val="28"/>
          <w:szCs w:val="28"/>
        </w:rPr>
        <w:t xml:space="preserve">i reziliență, precum </w:t>
      </w:r>
      <w:r w:rsidR="000817C8">
        <w:rPr>
          <w:sz w:val="28"/>
          <w:szCs w:val="28"/>
        </w:rPr>
        <w:t>ș</w:t>
      </w:r>
      <w:r w:rsidR="00C967B5" w:rsidRPr="00F930DD">
        <w:rPr>
          <w:sz w:val="28"/>
          <w:szCs w:val="28"/>
        </w:rPr>
        <w:t xml:space="preserve">i pentru modificarea </w:t>
      </w:r>
      <w:r w:rsidR="000817C8">
        <w:rPr>
          <w:sz w:val="28"/>
          <w:szCs w:val="28"/>
        </w:rPr>
        <w:t>ș</w:t>
      </w:r>
      <w:r w:rsidR="00C967B5" w:rsidRPr="00F930DD">
        <w:rPr>
          <w:sz w:val="28"/>
          <w:szCs w:val="28"/>
        </w:rPr>
        <w:t xml:space="preserve">i completarea Ordonanței de urgență a Guvernului nr. 155/2020 privind unele măsuri pentru elaborarea Planului național de redresare </w:t>
      </w:r>
      <w:r w:rsidR="000817C8">
        <w:rPr>
          <w:sz w:val="28"/>
          <w:szCs w:val="28"/>
        </w:rPr>
        <w:t>ș</w:t>
      </w:r>
      <w:r w:rsidR="00C967B5" w:rsidRPr="00F930DD">
        <w:rPr>
          <w:sz w:val="28"/>
          <w:szCs w:val="28"/>
        </w:rPr>
        <w:t xml:space="preserve">i </w:t>
      </w:r>
      <w:r w:rsidR="00C967B5" w:rsidRPr="00F930DD">
        <w:rPr>
          <w:sz w:val="28"/>
          <w:szCs w:val="28"/>
        </w:rPr>
        <w:lastRenderedPageBreak/>
        <w:t xml:space="preserve">reziliență necesar României pentru accesarea de fonduri externe rambursabile </w:t>
      </w:r>
      <w:r w:rsidR="000817C8">
        <w:rPr>
          <w:sz w:val="28"/>
          <w:szCs w:val="28"/>
        </w:rPr>
        <w:t>ș</w:t>
      </w:r>
      <w:r w:rsidR="00C967B5" w:rsidRPr="00F930DD">
        <w:rPr>
          <w:sz w:val="28"/>
          <w:szCs w:val="28"/>
        </w:rPr>
        <w:t xml:space="preserve">i nerambursabile în cadrul Mecanismului de redresare </w:t>
      </w:r>
      <w:r w:rsidR="000817C8">
        <w:rPr>
          <w:sz w:val="28"/>
          <w:szCs w:val="28"/>
        </w:rPr>
        <w:t>ș</w:t>
      </w:r>
      <w:r w:rsidR="00C967B5" w:rsidRPr="00F930DD">
        <w:rPr>
          <w:sz w:val="28"/>
          <w:szCs w:val="28"/>
        </w:rPr>
        <w:t>i reziliență</w:t>
      </w:r>
      <w:r w:rsidR="00F930DD" w:rsidRPr="00F930DD">
        <w:rPr>
          <w:sz w:val="28"/>
          <w:szCs w:val="28"/>
        </w:rPr>
        <w:t>, ale</w:t>
      </w:r>
      <w:r w:rsidR="00C967B5" w:rsidRPr="00F930DD">
        <w:rPr>
          <w:sz w:val="28"/>
          <w:szCs w:val="28"/>
        </w:rPr>
        <w:t xml:space="preserve"> art.129</w:t>
      </w:r>
      <w:r w:rsidR="000817C8">
        <w:rPr>
          <w:sz w:val="28"/>
          <w:szCs w:val="28"/>
        </w:rPr>
        <w:t xml:space="preserve"> alin. (1), </w:t>
      </w:r>
      <w:r w:rsidR="00C967B5" w:rsidRPr="00F930DD">
        <w:rPr>
          <w:sz w:val="28"/>
          <w:szCs w:val="28"/>
        </w:rPr>
        <w:t xml:space="preserve"> alin. (2) lit. b), alin. (4) lit. d) din O.U.G. nr. 57/2019 privind Codul administrativ, cu modificările și completările ulterioare</w:t>
      </w:r>
      <w:r w:rsidR="00F930DD" w:rsidRPr="00F930DD">
        <w:rPr>
          <w:sz w:val="28"/>
          <w:szCs w:val="28"/>
        </w:rPr>
        <w:t>, precum și ale</w:t>
      </w:r>
      <w:r w:rsidR="00C967B5" w:rsidRPr="00F930DD">
        <w:rPr>
          <w:sz w:val="28"/>
          <w:szCs w:val="28"/>
        </w:rPr>
        <w:t xml:space="preserve"> nr. 554/2004 a contenciosului administrativ, cu modificările și completările ulterioare</w:t>
      </w:r>
      <w:r w:rsidR="00F930DD" w:rsidRPr="00F930DD">
        <w:rPr>
          <w:sz w:val="28"/>
          <w:szCs w:val="28"/>
        </w:rPr>
        <w:t>.</w:t>
      </w:r>
    </w:p>
    <w:p w14:paraId="55ED6926" w14:textId="01BBFA42" w:rsidR="007B3411" w:rsidRPr="00137D28" w:rsidRDefault="007B3411" w:rsidP="00C967B5">
      <w:pPr>
        <w:pStyle w:val="NormalWeb"/>
        <w:shd w:val="clear" w:color="auto" w:fill="FFFFFF"/>
        <w:spacing w:before="0" w:beforeAutospacing="0" w:after="0" w:afterAutospacing="0"/>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0817C8">
      <w:pgSz w:w="11906" w:h="16838"/>
      <w:pgMar w:top="709" w:right="707"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9BF"/>
    <w:multiLevelType w:val="multilevel"/>
    <w:tmpl w:val="183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161666"/>
    <w:multiLevelType w:val="hybridMultilevel"/>
    <w:tmpl w:val="EAF2EC2A"/>
    <w:lvl w:ilvl="0" w:tplc="BD584E00">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6D23756"/>
    <w:multiLevelType w:val="multilevel"/>
    <w:tmpl w:val="16F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C037E8"/>
    <w:multiLevelType w:val="multilevel"/>
    <w:tmpl w:val="EC2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86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4"/>
  </w:num>
  <w:num w:numId="3" w16cid:durableId="370809592">
    <w:abstractNumId w:val="1"/>
  </w:num>
  <w:num w:numId="4" w16cid:durableId="1589733150">
    <w:abstractNumId w:val="6"/>
  </w:num>
  <w:num w:numId="5" w16cid:durableId="804273983">
    <w:abstractNumId w:val="5"/>
  </w:num>
  <w:num w:numId="6" w16cid:durableId="284392146">
    <w:abstractNumId w:val="0"/>
  </w:num>
  <w:num w:numId="7" w16cid:durableId="1816027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13479"/>
    <w:rsid w:val="00031C0F"/>
    <w:rsid w:val="000512B7"/>
    <w:rsid w:val="000655E8"/>
    <w:rsid w:val="000817C8"/>
    <w:rsid w:val="000E4DAC"/>
    <w:rsid w:val="000E7658"/>
    <w:rsid w:val="00131006"/>
    <w:rsid w:val="00165A50"/>
    <w:rsid w:val="0018303D"/>
    <w:rsid w:val="001A3D8A"/>
    <w:rsid w:val="001A6EEC"/>
    <w:rsid w:val="001C75A3"/>
    <w:rsid w:val="001D530C"/>
    <w:rsid w:val="001F34D4"/>
    <w:rsid w:val="001F3745"/>
    <w:rsid w:val="001F788A"/>
    <w:rsid w:val="00212CF0"/>
    <w:rsid w:val="002310E2"/>
    <w:rsid w:val="002A44C9"/>
    <w:rsid w:val="002B3621"/>
    <w:rsid w:val="00306072"/>
    <w:rsid w:val="00317760"/>
    <w:rsid w:val="00321AE0"/>
    <w:rsid w:val="00346953"/>
    <w:rsid w:val="003740EA"/>
    <w:rsid w:val="003879CB"/>
    <w:rsid w:val="004248A8"/>
    <w:rsid w:val="00437263"/>
    <w:rsid w:val="00452101"/>
    <w:rsid w:val="00453203"/>
    <w:rsid w:val="00470ACF"/>
    <w:rsid w:val="00472B63"/>
    <w:rsid w:val="004A45AF"/>
    <w:rsid w:val="004B2E40"/>
    <w:rsid w:val="005009DC"/>
    <w:rsid w:val="00516B04"/>
    <w:rsid w:val="00532353"/>
    <w:rsid w:val="005342C5"/>
    <w:rsid w:val="0058087D"/>
    <w:rsid w:val="005827FF"/>
    <w:rsid w:val="0059664C"/>
    <w:rsid w:val="00596F73"/>
    <w:rsid w:val="005B2DA0"/>
    <w:rsid w:val="005E322E"/>
    <w:rsid w:val="00624330"/>
    <w:rsid w:val="006415AC"/>
    <w:rsid w:val="00653DFF"/>
    <w:rsid w:val="0068762C"/>
    <w:rsid w:val="00695834"/>
    <w:rsid w:val="006E35FE"/>
    <w:rsid w:val="007062A0"/>
    <w:rsid w:val="00720863"/>
    <w:rsid w:val="0073421D"/>
    <w:rsid w:val="00755143"/>
    <w:rsid w:val="00756AD0"/>
    <w:rsid w:val="00760E50"/>
    <w:rsid w:val="007779C5"/>
    <w:rsid w:val="007B3411"/>
    <w:rsid w:val="007D4F2D"/>
    <w:rsid w:val="007D6CBF"/>
    <w:rsid w:val="008124FD"/>
    <w:rsid w:val="008168F2"/>
    <w:rsid w:val="00830B46"/>
    <w:rsid w:val="00841C4D"/>
    <w:rsid w:val="00861D23"/>
    <w:rsid w:val="008820D9"/>
    <w:rsid w:val="00894AA7"/>
    <w:rsid w:val="008C2FE1"/>
    <w:rsid w:val="008F5F44"/>
    <w:rsid w:val="008F7BA6"/>
    <w:rsid w:val="00914E7F"/>
    <w:rsid w:val="0092446A"/>
    <w:rsid w:val="00940168"/>
    <w:rsid w:val="00945D67"/>
    <w:rsid w:val="00991101"/>
    <w:rsid w:val="00994926"/>
    <w:rsid w:val="009A1D6C"/>
    <w:rsid w:val="009D419B"/>
    <w:rsid w:val="009D513F"/>
    <w:rsid w:val="00A666D1"/>
    <w:rsid w:val="00AC6780"/>
    <w:rsid w:val="00B01DF0"/>
    <w:rsid w:val="00BA65C1"/>
    <w:rsid w:val="00BA6A17"/>
    <w:rsid w:val="00BC2091"/>
    <w:rsid w:val="00BD1B22"/>
    <w:rsid w:val="00C51A60"/>
    <w:rsid w:val="00C57365"/>
    <w:rsid w:val="00C65CB2"/>
    <w:rsid w:val="00C967B5"/>
    <w:rsid w:val="00CC1945"/>
    <w:rsid w:val="00CC5F40"/>
    <w:rsid w:val="00CD3B68"/>
    <w:rsid w:val="00CE6E5D"/>
    <w:rsid w:val="00CF110F"/>
    <w:rsid w:val="00CF1F8F"/>
    <w:rsid w:val="00D33BD6"/>
    <w:rsid w:val="00D5280B"/>
    <w:rsid w:val="00D62033"/>
    <w:rsid w:val="00D65677"/>
    <w:rsid w:val="00DB3F18"/>
    <w:rsid w:val="00DC3DDC"/>
    <w:rsid w:val="00E111DF"/>
    <w:rsid w:val="00E964D1"/>
    <w:rsid w:val="00EA024F"/>
    <w:rsid w:val="00EA308D"/>
    <w:rsid w:val="00EF4AC9"/>
    <w:rsid w:val="00F0765C"/>
    <w:rsid w:val="00F156D8"/>
    <w:rsid w:val="00F708DA"/>
    <w:rsid w:val="00F70F1F"/>
    <w:rsid w:val="00F930DD"/>
    <w:rsid w:val="00FB2EBC"/>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FD6D50"/>
    <w:pPr>
      <w:spacing w:before="100" w:beforeAutospacing="1" w:after="100" w:afterAutospacing="1"/>
    </w:pPr>
  </w:style>
  <w:style w:type="character" w:styleId="Accentuat">
    <w:name w:val="Emphasis"/>
    <w:basedOn w:val="Fontdeparagrafimplicit"/>
    <w:uiPriority w:val="20"/>
    <w:qFormat/>
    <w:rsid w:val="0092446A"/>
    <w:rPr>
      <w:i/>
      <w:iCs/>
    </w:rPr>
  </w:style>
  <w:style w:type="character" w:styleId="Robust">
    <w:name w:val="Strong"/>
    <w:basedOn w:val="Fontdeparagrafimplicit"/>
    <w:uiPriority w:val="22"/>
    <w:qFormat/>
    <w:rsid w:val="004A4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960</Words>
  <Characters>5574</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2025-09-19T10:11:00Z</cp:lastPrinted>
  <dcterms:created xsi:type="dcterms:W3CDTF">2026-02-19T08:38:00Z</dcterms:created>
  <dcterms:modified xsi:type="dcterms:W3CDTF">2026-02-20T07:22:00Z</dcterms:modified>
</cp:coreProperties>
</file>