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31E0A">
      <w:pPr>
        <w:pStyle w:val="6"/>
        <w:tabs>
          <w:tab w:val="left" w:pos="2410"/>
        </w:tabs>
        <w:rPr>
          <w:rFonts w:ascii="Times New Roman" w:hAnsi="Times New Roman"/>
          <w:sz w:val="24"/>
        </w:rPr>
      </w:pPr>
    </w:p>
    <w:p w14:paraId="00A87A51">
      <w:pPr>
        <w:pStyle w:val="6"/>
        <w:tabs>
          <w:tab w:val="left" w:pos="2410"/>
        </w:tabs>
        <w:rPr>
          <w:rFonts w:ascii="Times New Roman" w:hAnsi="Times New Roman"/>
          <w:sz w:val="24"/>
        </w:rPr>
      </w:pPr>
    </w:p>
    <w:p w14:paraId="1FD6BF74">
      <w:pPr>
        <w:pStyle w:val="6"/>
        <w:tabs>
          <w:tab w:val="left" w:pos="2410"/>
        </w:tabs>
        <w:rPr>
          <w:rFonts w:ascii="Times New Roman" w:hAnsi="Times New Roman"/>
          <w:sz w:val="24"/>
        </w:rPr>
      </w:pPr>
    </w:p>
    <w:p w14:paraId="7FE8BDEB">
      <w:pPr>
        <w:pStyle w:val="6"/>
        <w:tabs>
          <w:tab w:val="left" w:pos="2410"/>
        </w:tabs>
        <w:rPr>
          <w:rFonts w:ascii="Times New Roman" w:hAnsi="Times New Roman"/>
          <w:sz w:val="24"/>
        </w:rPr>
      </w:pPr>
    </w:p>
    <w:p w14:paraId="40AF1CC1">
      <w:pPr>
        <w:pStyle w:val="6"/>
        <w:tabs>
          <w:tab w:val="left" w:pos="2410"/>
        </w:tabs>
        <w:jc w:val="center"/>
        <w:rPr>
          <w:rFonts w:ascii="Times New Roman" w:hAnsi="Times New Roman"/>
          <w:b/>
          <w:sz w:val="24"/>
        </w:rPr>
      </w:pPr>
    </w:p>
    <w:p w14:paraId="10D00513">
      <w:pPr>
        <w:tabs>
          <w:tab w:val="left" w:pos="2977"/>
          <w:tab w:val="left" w:pos="7170"/>
        </w:tabs>
        <w:rPr>
          <w:b/>
          <w:lang w:val="it-IT"/>
        </w:rPr>
      </w:pPr>
      <w:r>
        <w:rPr>
          <w:lang w:val="ro-RO" w:eastAsia="ro-RO"/>
        </w:rPr>
        <w:pict>
          <v:group id="_x0000_s1028" o:spid="_x0000_s1028" o:spt="203" style="position:absolute;left:0pt;margin-left:295.7pt;margin-top:-30pt;height:126.35pt;width:171.55pt;z-index:251660288;mso-width-relative:page;mso-height-relative:page;" coordorigin="1980,3308" coordsize="3431,2527">
            <o:lock v:ext="edit"/>
            <v:shape id="_x0000_s1029" o:spid="_x0000_s1029" o:spt="75" type="#_x0000_t75" style="position:absolute;left:1980;top:3308;height:1787;width:1997;" o:ole="t" filled="f" o:preferrelative="t" stroked="f" coordsize="21600,21600">
              <v:path/>
              <v:fill on="f" focussize="0,0"/>
              <v:stroke on="f" joinstyle="miter"/>
              <v:imagedata r:id="rId7" o:title=""/>
              <o:lock v:ext="edit" aspectratio="t"/>
            </v:shape>
            <v:shape id="_x0000_s1030" o:spid="_x0000_s1030" o:spt="202" type="#_x0000_t202" style="position:absolute;left:1980;top:5095;height:740;width:3431;" filled="f" stroked="f" coordsize="21600,21600">
              <v:path/>
              <v:fill on="f" focussize="0,0"/>
              <v:stroke on="f" joinstyle="miter"/>
              <v:imagedata o:title=""/>
              <o:lock v:ext="edit"/>
              <v:textbox inset="1.27mm,1.27mm,1.27mm,1.27mm">
                <w:txbxContent>
                  <w:p w14:paraId="503E28E2">
                    <w:pPr>
                      <w:shd w:val="clear" w:color="auto" w:fill="FFFFFF"/>
                      <w:rPr>
                        <w:b/>
                        <w:sz w:val="16"/>
                        <w:szCs w:val="16"/>
                        <w:lang w:val="it-IT"/>
                      </w:rPr>
                    </w:pPr>
                    <w:r>
                      <w:rPr>
                        <w:b/>
                        <w:sz w:val="16"/>
                        <w:szCs w:val="16"/>
                        <w:lang w:val="it-IT"/>
                      </w:rPr>
                      <w:t>ISO 9001 - Certificat nr. 659C</w:t>
                    </w:r>
                  </w:p>
                  <w:p w14:paraId="06CCFA6A">
                    <w:pPr>
                      <w:shd w:val="clear" w:color="auto" w:fill="FFFFFF"/>
                      <w:rPr>
                        <w:b/>
                        <w:sz w:val="16"/>
                        <w:szCs w:val="16"/>
                        <w:lang w:val="it-IT"/>
                      </w:rPr>
                    </w:pPr>
                    <w:r>
                      <w:rPr>
                        <w:b/>
                        <w:sz w:val="16"/>
                        <w:szCs w:val="16"/>
                        <w:lang w:val="it-IT"/>
                      </w:rPr>
                      <w:t>ISO 14001 - Certificat nr. 351M</w:t>
                    </w:r>
                  </w:p>
                </w:txbxContent>
              </v:textbox>
            </v:shape>
          </v:group>
          <o:OLEObject Type="Embed" ProgID="CorelDraw.Graphic.9" ShapeID="_x0000_s1029" DrawAspect="Content" ObjectID="_1468075725" r:id="rId6">
            <o:LockedField>false</o:LockedField>
          </o:OLEObject>
        </w:pict>
      </w:r>
      <w:r>
        <w:rPr>
          <w:lang w:val="ro-RO" w:eastAsia="ro-RO"/>
        </w:rPr>
        <w:drawing>
          <wp:anchor distT="0" distB="0" distL="114300" distR="114300" simplePos="0" relativeHeight="251659264" behindDoc="0" locked="0" layoutInCell="1" allowOverlap="1">
            <wp:simplePos x="0" y="0"/>
            <wp:positionH relativeFrom="column">
              <wp:posOffset>-15240</wp:posOffset>
            </wp:positionH>
            <wp:positionV relativeFrom="paragraph">
              <wp:posOffset>-504825</wp:posOffset>
            </wp:positionV>
            <wp:extent cx="986790" cy="1495425"/>
            <wp:effectExtent l="19050" t="0" r="3810" b="0"/>
            <wp:wrapSquare wrapText="right"/>
            <wp:docPr id="3"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ema0001"/>
                    <pic:cNvPicPr>
                      <a:picLocks noChangeAspect="1" noChangeArrowheads="1"/>
                    </pic:cNvPicPr>
                  </pic:nvPicPr>
                  <pic:blipFill>
                    <a:blip r:embed="rId8" cstate="print"/>
                    <a:srcRect/>
                    <a:stretch>
                      <a:fillRect/>
                    </a:stretch>
                  </pic:blipFill>
                  <pic:spPr>
                    <a:xfrm>
                      <a:off x="0" y="0"/>
                      <a:ext cx="986790" cy="1495425"/>
                    </a:xfrm>
                    <a:prstGeom prst="rect">
                      <a:avLst/>
                    </a:prstGeom>
                    <a:noFill/>
                  </pic:spPr>
                </pic:pic>
              </a:graphicData>
            </a:graphic>
          </wp:anchor>
        </w:drawing>
      </w:r>
      <w:r>
        <w:rPr>
          <w:b/>
          <w:lang w:val="it-IT"/>
        </w:rPr>
        <w:t xml:space="preserve">    UNITATEA ADMINISTRATIV TERITORIALA</w:t>
      </w:r>
    </w:p>
    <w:p w14:paraId="14CAA322">
      <w:pPr>
        <w:rPr>
          <w:b/>
          <w:lang w:val="it-IT"/>
        </w:rPr>
      </w:pPr>
      <w:r>
        <w:rPr>
          <w:b/>
          <w:lang w:val="it-IT"/>
        </w:rPr>
        <w:t xml:space="preserve">       MUNICIPIUL DROBETA TURNU SEVERIN</w:t>
      </w:r>
    </w:p>
    <w:p w14:paraId="7FB91AC3">
      <w:pPr>
        <w:rPr>
          <w:b/>
          <w:lang w:val="it-IT"/>
        </w:rPr>
      </w:pPr>
    </w:p>
    <w:p w14:paraId="03A71982">
      <w:pPr>
        <w:rPr>
          <w:b/>
          <w:lang w:val="it-IT"/>
        </w:rPr>
      </w:pPr>
      <w:r>
        <w:rPr>
          <w:b/>
          <w:lang w:val="it-IT"/>
        </w:rPr>
        <w:t xml:space="preserve"> Strada Maresal Averescu Nr.2 Drobeta Turnu Severin</w:t>
      </w:r>
    </w:p>
    <w:p w14:paraId="63325990">
      <w:pPr>
        <w:rPr>
          <w:b/>
          <w:lang w:val="it-IT"/>
        </w:rPr>
      </w:pPr>
      <w:r>
        <w:rPr>
          <w:b/>
          <w:lang w:val="it-IT"/>
        </w:rPr>
        <w:t xml:space="preserve">            Telefon: 0252.31.43.79   Fax: 0252.31.63.17</w:t>
      </w:r>
    </w:p>
    <w:p w14:paraId="2304FA85">
      <w:pPr>
        <w:rPr>
          <w:b/>
          <w:lang w:val="it-IT"/>
        </w:rPr>
      </w:pPr>
      <w:r>
        <w:rPr>
          <w:b/>
          <w:lang w:val="it-IT"/>
        </w:rPr>
        <w:t xml:space="preserve">                E-mail: </w:t>
      </w:r>
      <w:r>
        <w:fldChar w:fldCharType="begin"/>
      </w:r>
      <w:r>
        <w:instrText xml:space="preserve"> HYPERLINK "mailto:primaria@primariadrobeta.ro" </w:instrText>
      </w:r>
      <w:r>
        <w:fldChar w:fldCharType="separate"/>
      </w:r>
      <w:r>
        <w:rPr>
          <w:rStyle w:val="5"/>
          <w:b/>
          <w:lang w:val="it-IT"/>
        </w:rPr>
        <w:t>primaria@primariadrobeta.ro</w:t>
      </w:r>
      <w:r>
        <w:rPr>
          <w:rStyle w:val="5"/>
          <w:b/>
          <w:lang w:val="it-IT"/>
        </w:rPr>
        <w:fldChar w:fldCharType="end"/>
      </w:r>
    </w:p>
    <w:p w14:paraId="2E9F6545">
      <w:pPr>
        <w:pStyle w:val="6"/>
        <w:tabs>
          <w:tab w:val="left" w:pos="2410"/>
        </w:tabs>
        <w:jc w:val="center"/>
        <w:rPr>
          <w:b/>
          <w:sz w:val="28"/>
          <w:szCs w:val="28"/>
          <w:lang w:val="it-IT"/>
        </w:rPr>
      </w:pPr>
    </w:p>
    <w:p w14:paraId="79031D1D">
      <w:pPr>
        <w:pStyle w:val="6"/>
        <w:tabs>
          <w:tab w:val="left" w:pos="2410"/>
        </w:tabs>
        <w:jc w:val="center"/>
        <w:rPr>
          <w:rFonts w:ascii="Times New Roman" w:hAnsi="Times New Roman"/>
          <w:b/>
          <w:sz w:val="24"/>
        </w:rPr>
      </w:pPr>
      <w:r>
        <w:rPr>
          <w:b/>
          <w:sz w:val="28"/>
          <w:szCs w:val="28"/>
          <w:lang w:val="it-IT"/>
        </w:rPr>
        <w:t xml:space="preserve"> </w:t>
      </w:r>
    </w:p>
    <w:p w14:paraId="53308F2B">
      <w:pPr>
        <w:pStyle w:val="6"/>
        <w:tabs>
          <w:tab w:val="left" w:pos="2410"/>
        </w:tabs>
        <w:jc w:val="center"/>
        <w:rPr>
          <w:rFonts w:ascii="Times New Roman" w:hAnsi="Times New Roman"/>
          <w:b/>
          <w:sz w:val="24"/>
        </w:rPr>
      </w:pPr>
    </w:p>
    <w:p w14:paraId="7AEF46B5">
      <w:pPr>
        <w:pStyle w:val="6"/>
        <w:tabs>
          <w:tab w:val="left" w:pos="2410"/>
        </w:tabs>
        <w:jc w:val="center"/>
        <w:rPr>
          <w:rFonts w:ascii="Times New Roman" w:hAnsi="Times New Roman"/>
          <w:b/>
          <w:sz w:val="24"/>
        </w:rPr>
      </w:pPr>
    </w:p>
    <w:p w14:paraId="382CDDF2">
      <w:pPr>
        <w:pStyle w:val="6"/>
        <w:tabs>
          <w:tab w:val="left" w:pos="2410"/>
        </w:tabs>
        <w:jc w:val="center"/>
        <w:rPr>
          <w:rFonts w:ascii="Times New Roman" w:hAnsi="Times New Roman"/>
          <w:b/>
          <w:sz w:val="24"/>
        </w:rPr>
      </w:pPr>
      <w:r>
        <w:rPr>
          <w:rFonts w:ascii="Times New Roman" w:hAnsi="Times New Roman"/>
          <w:b/>
          <w:sz w:val="24"/>
        </w:rPr>
        <w:t>REFERAT DE APROBARE</w:t>
      </w:r>
    </w:p>
    <w:p w14:paraId="7C7B0658">
      <w:pPr>
        <w:pStyle w:val="6"/>
        <w:tabs>
          <w:tab w:val="left" w:pos="2410"/>
        </w:tabs>
        <w:jc w:val="center"/>
        <w:rPr>
          <w:rFonts w:ascii="Times New Roman" w:hAnsi="Times New Roman"/>
          <w:b/>
          <w:sz w:val="24"/>
        </w:rPr>
      </w:pPr>
    </w:p>
    <w:p w14:paraId="37B5B90A">
      <w:pPr>
        <w:pStyle w:val="6"/>
        <w:tabs>
          <w:tab w:val="left" w:pos="2410"/>
        </w:tabs>
        <w:jc w:val="center"/>
        <w:rPr>
          <w:rFonts w:ascii="Times New Roman" w:hAnsi="Times New Roman"/>
          <w:b/>
          <w:sz w:val="24"/>
        </w:rPr>
      </w:pPr>
    </w:p>
    <w:p w14:paraId="3192A997">
      <w:pPr>
        <w:pStyle w:val="6"/>
        <w:tabs>
          <w:tab w:val="left" w:pos="2410"/>
        </w:tabs>
        <w:jc w:val="center"/>
        <w:rPr>
          <w:rFonts w:ascii="Times New Roman" w:hAnsi="Times New Roman"/>
          <w:b/>
          <w:sz w:val="24"/>
        </w:rPr>
      </w:pPr>
    </w:p>
    <w:p w14:paraId="306AEEEC">
      <w:pPr>
        <w:jc w:val="center"/>
      </w:pPr>
      <w:r>
        <w:t xml:space="preserve">Privind aprobarea contului de închidere a </w:t>
      </w:r>
      <w:r>
        <w:rPr>
          <w:rFonts w:hint="default"/>
          <w:lang w:val="ro-RO"/>
        </w:rPr>
        <w:t>execuției bugetare</w:t>
      </w:r>
      <w:r>
        <w:t xml:space="preserve"> al Direcției de Poliție Locală</w:t>
      </w:r>
    </w:p>
    <w:p w14:paraId="111A064D">
      <w:pPr>
        <w:jc w:val="center"/>
      </w:pPr>
      <w:r>
        <w:t xml:space="preserve"> </w:t>
      </w:r>
    </w:p>
    <w:p w14:paraId="33E07664">
      <w:pPr>
        <w:jc w:val="center"/>
      </w:pPr>
    </w:p>
    <w:p w14:paraId="244DEDFF">
      <w:pPr>
        <w:jc w:val="center"/>
      </w:pPr>
    </w:p>
    <w:p w14:paraId="0F68FE5C">
      <w:pPr>
        <w:pStyle w:val="6"/>
        <w:tabs>
          <w:tab w:val="left" w:pos="2410"/>
        </w:tabs>
        <w:jc w:val="both"/>
        <w:rPr>
          <w:rFonts w:ascii="Times New Roman" w:hAnsi="Times New Roman"/>
          <w:sz w:val="24"/>
        </w:rPr>
      </w:pPr>
      <w:r>
        <w:rPr>
          <w:rFonts w:ascii="Times New Roman" w:hAnsi="Times New Roman"/>
          <w:sz w:val="24"/>
        </w:rPr>
        <w:t>Ținând cont de :</w:t>
      </w:r>
    </w:p>
    <w:p w14:paraId="49C2E19D">
      <w:pPr>
        <w:pStyle w:val="8"/>
        <w:numPr>
          <w:ilvl w:val="0"/>
          <w:numId w:val="1"/>
        </w:numPr>
        <w:spacing w:after="200" w:line="276" w:lineRule="auto"/>
        <w:jc w:val="both"/>
      </w:pPr>
      <w:r>
        <w:t>Legea nr. 273/2006, privind finanțele publice locale, cu modificările și completările ulterioare;</w:t>
      </w:r>
    </w:p>
    <w:p w14:paraId="4E213899">
      <w:pPr>
        <w:pStyle w:val="8"/>
        <w:numPr>
          <w:ilvl w:val="0"/>
          <w:numId w:val="1"/>
        </w:numPr>
        <w:spacing w:after="200" w:line="276" w:lineRule="auto"/>
        <w:jc w:val="both"/>
      </w:pPr>
      <w:r>
        <w:t>Legea nr. 82/1991 – Legea contabilității, cu modificările și completările ulterioare;</w:t>
      </w:r>
    </w:p>
    <w:p w14:paraId="71BED665">
      <w:pPr>
        <w:pStyle w:val="8"/>
        <w:numPr>
          <w:ilvl w:val="0"/>
          <w:numId w:val="1"/>
        </w:numPr>
        <w:spacing w:after="200" w:line="276" w:lineRule="auto"/>
        <w:jc w:val="both"/>
      </w:pPr>
      <w:r>
        <w:t>Ordinul 1917/2005 pentru aprobarea normelor metodologice privind organizarea și conducerea contabilității instituțiilor publice, Planul de conturi pentru instituții publice și instrucțiunile de aplicare a acestuia, cu modificările și completările ulterioare;</w:t>
      </w:r>
    </w:p>
    <w:p w14:paraId="0BE45ECA">
      <w:pPr>
        <w:pStyle w:val="8"/>
        <w:numPr>
          <w:ilvl w:val="0"/>
          <w:numId w:val="1"/>
        </w:numPr>
        <w:spacing w:after="200" w:line="276" w:lineRule="auto"/>
        <w:jc w:val="both"/>
      </w:pPr>
      <w:r>
        <w:t>Ordinul nr. 1802/2014 pentru aprobarea Reglementărilor contabile privind situațiile financiare anuale individuale și situațiile financiare anuale consolidate, cu modificările și completările ulterioare;</w:t>
      </w:r>
    </w:p>
    <w:p w14:paraId="25720852">
      <w:pPr>
        <w:pStyle w:val="8"/>
        <w:numPr>
          <w:ilvl w:val="0"/>
          <w:numId w:val="1"/>
        </w:numPr>
        <w:autoSpaceDE w:val="0"/>
        <w:autoSpaceDN w:val="0"/>
        <w:adjustRightInd w:val="0"/>
        <w:jc w:val="both"/>
      </w:pPr>
      <w:r>
        <w:t>Ordinul 1983/2025 pentru aprobarea Normelor metodologice privind încheierea exercițiului bugetar al anului 2025;</w:t>
      </w:r>
      <w:r>
        <w:rPr>
          <w:vanish/>
        </w:rPr>
        <w:t>&lt;LLNK 12025     0110 571   0 21&gt;</w:t>
      </w:r>
    </w:p>
    <w:p w14:paraId="74022008">
      <w:pPr>
        <w:pStyle w:val="8"/>
        <w:numPr>
          <w:ilvl w:val="0"/>
          <w:numId w:val="1"/>
        </w:numPr>
        <w:spacing w:after="200" w:line="276" w:lineRule="auto"/>
        <w:jc w:val="both"/>
      </w:pPr>
      <w:r>
        <w:t>Legea 155/2010 a poliției locale, actualizată cu modificările și completările ulterioare;</w:t>
      </w:r>
    </w:p>
    <w:p w14:paraId="281FAC11">
      <w:pPr>
        <w:pStyle w:val="8"/>
        <w:numPr>
          <w:ilvl w:val="0"/>
          <w:numId w:val="1"/>
        </w:numPr>
        <w:spacing w:after="200" w:line="276" w:lineRule="auto"/>
        <w:jc w:val="both"/>
      </w:pPr>
      <w:r>
        <w:t>Art. 84, art. 129, alin 2 lit a și b, alin 4, lit (a) și alin. 7, lit (g) din Codul Administrativ aproat prin OUG nr. 57 din 3 iulie 2019, cu modificările și completările ulterioare.</w:t>
      </w:r>
    </w:p>
    <w:p w14:paraId="4419695F">
      <w:pPr>
        <w:pStyle w:val="8"/>
        <w:numPr>
          <w:ilvl w:val="0"/>
          <w:numId w:val="0"/>
        </w:numPr>
        <w:spacing w:after="200" w:line="276" w:lineRule="auto"/>
        <w:ind w:left="360" w:leftChars="0"/>
        <w:jc w:val="both"/>
      </w:pPr>
    </w:p>
    <w:p w14:paraId="424BF819">
      <w:pPr>
        <w:pStyle w:val="8"/>
        <w:jc w:val="both"/>
      </w:pPr>
    </w:p>
    <w:p w14:paraId="010CF48A">
      <w:pPr>
        <w:spacing w:after="0" w:line="240" w:lineRule="auto"/>
        <w:jc w:val="both"/>
        <w:rPr>
          <w:rFonts w:ascii="Times New Roman" w:hAnsi="Times New Roman" w:eastAsia="Calibri"/>
          <w:sz w:val="24"/>
        </w:rPr>
      </w:pPr>
      <w:r>
        <w:rPr>
          <w:rFonts w:ascii="Times New Roman" w:hAnsi="Times New Roman" w:eastAsia="Calibri"/>
          <w:sz w:val="24"/>
        </w:rPr>
        <w:t>Execuția bugetului Direcției de Poliție Locală Drobeta Turnu Severin cuprinde anexele și operațiunile de realizare a veniturilor și efectuare a cheltuielilor prevăzute și autorizate prin actele decizionale de aprobare a bugetului.</w:t>
      </w:r>
    </w:p>
    <w:p w14:paraId="1CA8432E">
      <w:pPr>
        <w:spacing w:after="0" w:line="240" w:lineRule="auto"/>
        <w:jc w:val="both"/>
        <w:rPr>
          <w:rFonts w:ascii="Times New Roman" w:hAnsi="Times New Roman" w:eastAsia="Calibri"/>
          <w:sz w:val="24"/>
        </w:rPr>
      </w:pPr>
      <w:r>
        <w:rPr>
          <w:rFonts w:ascii="Times New Roman" w:hAnsi="Times New Roman" w:eastAsia="Calibri"/>
          <w:sz w:val="24"/>
        </w:rPr>
        <w:tab/>
      </w:r>
      <w:r>
        <w:rPr>
          <w:rFonts w:ascii="Times New Roman" w:hAnsi="Times New Roman" w:eastAsia="Calibri"/>
          <w:sz w:val="24"/>
        </w:rPr>
        <w:t>Execuția de casă a bugetului se efectuează prin unitățile de trezorerie.</w:t>
      </w:r>
    </w:p>
    <w:p w14:paraId="74EFF2AB">
      <w:pPr>
        <w:spacing w:after="0" w:line="240" w:lineRule="auto"/>
        <w:jc w:val="both"/>
        <w:rPr>
          <w:rFonts w:ascii="Times New Roman" w:hAnsi="Times New Roman" w:eastAsia="Calibri"/>
          <w:sz w:val="24"/>
        </w:rPr>
      </w:pPr>
      <w:r>
        <w:rPr>
          <w:rFonts w:ascii="Times New Roman" w:hAnsi="Times New Roman" w:eastAsia="Calibri"/>
          <w:sz w:val="24"/>
        </w:rPr>
        <w:tab/>
      </w:r>
      <w:r>
        <w:rPr>
          <w:rFonts w:ascii="Times New Roman" w:hAnsi="Times New Roman" w:eastAsia="Calibri"/>
          <w:sz w:val="24"/>
        </w:rPr>
        <w:t>Efectuarea cheltuielilor instituției Direcției de Poliție Locală Drobeta Turnu Severin este supusă condițiilor specifice procedurilor de angajare, lichidare, ordonanțare și plată a cheltuielilor.</w:t>
      </w:r>
    </w:p>
    <w:p w14:paraId="7A7DB443">
      <w:pPr>
        <w:spacing w:after="0" w:line="240" w:lineRule="auto"/>
        <w:ind w:firstLine="708"/>
        <w:jc w:val="both"/>
        <w:rPr>
          <w:rFonts w:ascii="Times New Roman" w:hAnsi="Times New Roman" w:eastAsia="Calibri"/>
          <w:sz w:val="24"/>
        </w:rPr>
      </w:pPr>
      <w:r>
        <w:rPr>
          <w:rFonts w:ascii="Times New Roman" w:hAnsi="Times New Roman" w:eastAsia="Calibri"/>
          <w:sz w:val="24"/>
        </w:rPr>
        <w:t>Pentru realizarea rezultatelor finale ale execuției bugetului s-au întocmit anual conturi de execuție a bugetului.</w:t>
      </w:r>
    </w:p>
    <w:p w14:paraId="55C383F1">
      <w:pPr>
        <w:spacing w:after="0" w:line="240" w:lineRule="auto"/>
        <w:ind w:firstLine="708"/>
        <w:jc w:val="both"/>
        <w:rPr>
          <w:rFonts w:ascii="Times New Roman" w:hAnsi="Times New Roman" w:eastAsia="Calibri"/>
          <w:sz w:val="24"/>
        </w:rPr>
      </w:pPr>
      <w:r>
        <w:rPr>
          <w:rFonts w:ascii="Times New Roman" w:hAnsi="Times New Roman" w:eastAsia="Calibri"/>
          <w:sz w:val="24"/>
        </w:rPr>
        <w:t>Contul de execuție bugetară reflectă totalitatea operațiunilor de efectuare a cheltuielilor și permite stabilirea rezultatului execuției bugetu</w:t>
      </w:r>
      <w:r>
        <w:rPr>
          <w:rFonts w:hint="default" w:eastAsia="Calibri"/>
          <w:sz w:val="24"/>
          <w:lang w:val="ro-RO"/>
        </w:rPr>
        <w:t>l</w:t>
      </w:r>
      <w:bookmarkStart w:id="0" w:name="_GoBack"/>
      <w:bookmarkEnd w:id="0"/>
      <w:r>
        <w:rPr>
          <w:rFonts w:ascii="Times New Roman" w:hAnsi="Times New Roman" w:eastAsia="Calibri"/>
          <w:sz w:val="24"/>
        </w:rPr>
        <w:t>ui la finele anului bugetar.</w:t>
      </w:r>
    </w:p>
    <w:p w14:paraId="142B96FA">
      <w:pPr>
        <w:spacing w:after="0" w:line="240" w:lineRule="auto"/>
        <w:ind w:firstLine="708"/>
        <w:jc w:val="both"/>
        <w:rPr>
          <w:rFonts w:ascii="Times New Roman" w:hAnsi="Times New Roman" w:eastAsia="Calibri"/>
          <w:sz w:val="24"/>
        </w:rPr>
      </w:pPr>
      <w:r>
        <w:rPr>
          <w:rFonts w:ascii="Times New Roman" w:hAnsi="Times New Roman" w:eastAsia="Calibri"/>
          <w:sz w:val="24"/>
        </w:rPr>
        <w:t>În cadrul contului anual al execuției bugetului Direcției de Poliție Locală se înscriu:</w:t>
      </w:r>
    </w:p>
    <w:p w14:paraId="7F209B81">
      <w:pPr>
        <w:pStyle w:val="8"/>
        <w:numPr>
          <w:ilvl w:val="0"/>
          <w:numId w:val="2"/>
        </w:numPr>
        <w:spacing w:after="0" w:line="240" w:lineRule="auto"/>
        <w:ind w:left="426"/>
        <w:jc w:val="both"/>
        <w:rPr>
          <w:rFonts w:ascii="Times New Roman" w:hAnsi="Times New Roman" w:eastAsia="Calibri"/>
          <w:sz w:val="24"/>
        </w:rPr>
      </w:pPr>
      <w:r>
        <w:rPr>
          <w:rFonts w:ascii="Times New Roman" w:hAnsi="Times New Roman" w:eastAsia="Calibri"/>
          <w:sz w:val="24"/>
        </w:rPr>
        <w:t>La partea de venituri Direcția de Poliție Locală a încasat venituri în sumă de 10.156.214 lei din care venituri proprii 53.877 lei și subvenții pentru secțiunea de funcționare de la bugetul local în sumă de 9.713.221 lei iar secțiunea de dezvolare de la bugetul local am încasat suma de 389.116 lei.</w:t>
      </w:r>
    </w:p>
    <w:p w14:paraId="1626DBB5">
      <w:pPr>
        <w:pStyle w:val="8"/>
        <w:numPr>
          <w:ilvl w:val="0"/>
          <w:numId w:val="0"/>
        </w:numPr>
        <w:spacing w:after="0" w:line="240" w:lineRule="auto"/>
        <w:ind w:left="66" w:leftChars="0"/>
        <w:jc w:val="both"/>
        <w:rPr>
          <w:rFonts w:ascii="Times New Roman" w:hAnsi="Times New Roman" w:eastAsia="Calibri"/>
          <w:sz w:val="24"/>
        </w:rPr>
      </w:pPr>
    </w:p>
    <w:p w14:paraId="00BE1E2D">
      <w:pPr>
        <w:pStyle w:val="8"/>
        <w:numPr>
          <w:ilvl w:val="0"/>
          <w:numId w:val="2"/>
        </w:numPr>
        <w:spacing w:after="0" w:line="240" w:lineRule="auto"/>
        <w:ind w:left="426"/>
        <w:jc w:val="both"/>
        <w:rPr>
          <w:rFonts w:ascii="Times New Roman" w:hAnsi="Times New Roman" w:eastAsia="Calibri"/>
          <w:sz w:val="24"/>
        </w:rPr>
      </w:pPr>
      <w:r>
        <w:rPr>
          <w:rFonts w:ascii="Times New Roman" w:hAnsi="Times New Roman" w:eastAsia="Calibri"/>
          <w:sz w:val="24"/>
        </w:rPr>
        <w:t>La partea de cheltuieli:</w:t>
      </w:r>
    </w:p>
    <w:p w14:paraId="02490DFF">
      <w:pPr>
        <w:pStyle w:val="8"/>
        <w:spacing w:after="0" w:line="240" w:lineRule="auto"/>
        <w:ind w:left="426"/>
        <w:jc w:val="both"/>
        <w:rPr>
          <w:rFonts w:ascii="Times New Roman" w:hAnsi="Times New Roman" w:eastAsia="Calibri"/>
          <w:sz w:val="24"/>
        </w:rPr>
      </w:pPr>
      <w:r>
        <w:rPr>
          <w:rFonts w:ascii="Times New Roman" w:hAnsi="Times New Roman" w:eastAsia="Calibri"/>
          <w:sz w:val="24"/>
        </w:rPr>
        <w:t>Credite aprobate inițial = 10.495.000 lei</w:t>
      </w:r>
    </w:p>
    <w:p w14:paraId="56A1435A">
      <w:pPr>
        <w:pStyle w:val="8"/>
        <w:spacing w:after="0" w:line="240" w:lineRule="auto"/>
        <w:ind w:left="426"/>
        <w:jc w:val="both"/>
        <w:rPr>
          <w:rFonts w:ascii="Times New Roman" w:hAnsi="Times New Roman" w:eastAsia="Calibri"/>
          <w:sz w:val="24"/>
        </w:rPr>
      </w:pPr>
      <w:r>
        <w:rPr>
          <w:rFonts w:ascii="Times New Roman" w:hAnsi="Times New Roman" w:eastAsia="Calibri"/>
          <w:sz w:val="24"/>
        </w:rPr>
        <w:t>Credite definitive         =  10.386.000 lei</w:t>
      </w:r>
    </w:p>
    <w:p w14:paraId="51F08EB9">
      <w:pPr>
        <w:pStyle w:val="8"/>
        <w:spacing w:after="0" w:line="240" w:lineRule="auto"/>
        <w:ind w:left="426"/>
        <w:jc w:val="both"/>
        <w:rPr>
          <w:rFonts w:ascii="Times New Roman" w:hAnsi="Times New Roman" w:eastAsia="Calibri"/>
          <w:sz w:val="24"/>
        </w:rPr>
      </w:pPr>
      <w:r>
        <w:rPr>
          <w:rFonts w:ascii="Times New Roman" w:hAnsi="Times New Roman" w:eastAsia="Calibri"/>
          <w:sz w:val="24"/>
        </w:rPr>
        <w:t>Plăți efectuate              =  10.281.983 lei.</w:t>
      </w:r>
    </w:p>
    <w:p w14:paraId="11ADFFA1">
      <w:pPr>
        <w:pStyle w:val="8"/>
        <w:spacing w:after="0" w:line="240" w:lineRule="auto"/>
        <w:ind w:left="426"/>
        <w:jc w:val="both"/>
        <w:rPr>
          <w:rFonts w:hint="default" w:ascii="Times New Roman" w:hAnsi="Times New Roman" w:eastAsia="Calibri"/>
          <w:sz w:val="24"/>
          <w:lang w:val="ro-RO"/>
        </w:rPr>
      </w:pPr>
      <w:r>
        <w:rPr>
          <w:rFonts w:ascii="Times New Roman" w:hAnsi="Times New Roman" w:eastAsia="Calibri"/>
          <w:sz w:val="24"/>
        </w:rPr>
        <w:t>Pe baza acestor date se stabilește rezultatul execuției bugetare</w:t>
      </w:r>
      <w:r>
        <w:rPr>
          <w:rFonts w:hint="default" w:ascii="Times New Roman" w:hAnsi="Times New Roman" w:eastAsia="Calibri"/>
          <w:sz w:val="24"/>
          <w:lang w:val="ro-RO"/>
        </w:rPr>
        <w:t xml:space="preserve"> astfel la 31.12.2025  fiind un excedent 268.826 lei</w:t>
      </w:r>
    </w:p>
    <w:p w14:paraId="413C1C00">
      <w:pPr>
        <w:pStyle w:val="8"/>
        <w:spacing w:after="0" w:line="240" w:lineRule="auto"/>
        <w:ind w:left="0" w:firstLine="426"/>
        <w:jc w:val="both"/>
        <w:rPr>
          <w:rFonts w:ascii="Times New Roman" w:hAnsi="Times New Roman" w:eastAsia="Calibri"/>
          <w:sz w:val="24"/>
        </w:rPr>
      </w:pPr>
      <w:r>
        <w:rPr>
          <w:rFonts w:ascii="Times New Roman" w:hAnsi="Times New Roman" w:eastAsia="Calibri"/>
          <w:sz w:val="24"/>
        </w:rPr>
        <w:t>Sumele alocate din bugetul local pentru cheltuielile de personal, cheltuieli materiale s-au cheltuit cu respectarea disciplinei financiare și de casă conform prevederilor legale în vigoare și conform repartizării acestora pe capitole, subcapitole, articole și alineate potrivit bugetului aprobat și clasificației bugetare.</w:t>
      </w:r>
    </w:p>
    <w:p w14:paraId="68480951">
      <w:pPr>
        <w:pStyle w:val="8"/>
        <w:spacing w:after="0" w:line="240" w:lineRule="auto"/>
        <w:ind w:left="0"/>
        <w:jc w:val="both"/>
        <w:rPr>
          <w:rFonts w:ascii="Times New Roman" w:hAnsi="Times New Roman" w:eastAsia="Calibri"/>
          <w:sz w:val="24"/>
        </w:rPr>
      </w:pPr>
      <w:r>
        <w:rPr>
          <w:rFonts w:ascii="Times New Roman" w:hAnsi="Times New Roman" w:eastAsia="Calibri"/>
          <w:sz w:val="24"/>
        </w:rPr>
        <w:tab/>
      </w:r>
      <w:r>
        <w:rPr>
          <w:rFonts w:ascii="Times New Roman" w:hAnsi="Times New Roman" w:eastAsia="Calibri"/>
          <w:sz w:val="24"/>
        </w:rPr>
        <w:t>Situația execuției bugetare la data de 31.12.2025 este prezentată în situațiile anexate prezentului raport.</w:t>
      </w:r>
    </w:p>
    <w:p w14:paraId="31107412">
      <w:pPr>
        <w:pStyle w:val="8"/>
        <w:spacing w:after="0" w:line="240" w:lineRule="auto"/>
        <w:ind w:left="0"/>
        <w:jc w:val="both"/>
        <w:rPr>
          <w:rFonts w:ascii="Times New Roman" w:hAnsi="Times New Roman" w:eastAsia="Calibri"/>
          <w:sz w:val="24"/>
        </w:rPr>
      </w:pPr>
    </w:p>
    <w:p w14:paraId="08EE4C40">
      <w:pPr>
        <w:pStyle w:val="6"/>
        <w:tabs>
          <w:tab w:val="left" w:pos="2410"/>
        </w:tabs>
        <w:jc w:val="center"/>
        <w:rPr>
          <w:rFonts w:ascii="Times New Roman" w:hAnsi="Times New Roman"/>
          <w:sz w:val="24"/>
        </w:rPr>
      </w:pPr>
    </w:p>
    <w:p w14:paraId="0C001548">
      <w:pPr>
        <w:jc w:val="both"/>
        <w:rPr>
          <w:color w:val="FF0000"/>
        </w:rPr>
      </w:pPr>
      <w:r>
        <w:t xml:space="preserve">  </w:t>
      </w:r>
    </w:p>
    <w:p w14:paraId="11D173C7">
      <w:pPr>
        <w:jc w:val="center"/>
        <w:rPr>
          <w:b/>
        </w:rPr>
      </w:pPr>
      <w:r>
        <w:rPr>
          <w:b/>
        </w:rPr>
        <w:t>Propun Consiliului Local adoptarea unei hotărâri prin care să se aprobe:</w:t>
      </w:r>
    </w:p>
    <w:p w14:paraId="1327A543">
      <w:pPr>
        <w:jc w:val="center"/>
        <w:rPr>
          <w:rFonts w:hint="default"/>
          <w:lang w:val="ro-RO"/>
        </w:rPr>
      </w:pPr>
      <w:r>
        <w:rPr>
          <w:rFonts w:hint="default"/>
          <w:lang w:val="ro-RO"/>
        </w:rPr>
        <w:t>Contul de închidere a execuției bugetare pe anul 2025 al Direcției de Poliție Locală</w:t>
      </w:r>
    </w:p>
    <w:p w14:paraId="37CE802A">
      <w:pPr>
        <w:jc w:val="both"/>
      </w:pPr>
    </w:p>
    <w:p w14:paraId="234011BB">
      <w:pPr>
        <w:pStyle w:val="6"/>
        <w:tabs>
          <w:tab w:val="left" w:pos="2410"/>
        </w:tabs>
        <w:jc w:val="center"/>
        <w:rPr>
          <w:rFonts w:ascii="Times New Roman" w:hAnsi="Times New Roman"/>
          <w:b/>
          <w:sz w:val="24"/>
        </w:rPr>
      </w:pPr>
      <w:r>
        <w:rPr>
          <w:rFonts w:ascii="Times New Roman" w:hAnsi="Times New Roman"/>
          <w:b/>
          <w:sz w:val="24"/>
        </w:rPr>
        <w:t>INIȚIATOR,</w:t>
      </w:r>
    </w:p>
    <w:p w14:paraId="17E3BF44">
      <w:pPr>
        <w:pStyle w:val="6"/>
        <w:tabs>
          <w:tab w:val="left" w:pos="2410"/>
        </w:tabs>
        <w:jc w:val="center"/>
        <w:rPr>
          <w:rFonts w:ascii="Times New Roman" w:hAnsi="Times New Roman"/>
          <w:b/>
          <w:sz w:val="24"/>
        </w:rPr>
      </w:pPr>
    </w:p>
    <w:p w14:paraId="7631C294">
      <w:pPr>
        <w:pStyle w:val="6"/>
        <w:tabs>
          <w:tab w:val="left" w:pos="2410"/>
        </w:tabs>
        <w:jc w:val="center"/>
        <w:rPr>
          <w:rFonts w:ascii="Times New Roman" w:hAnsi="Times New Roman"/>
          <w:b/>
          <w:sz w:val="24"/>
        </w:rPr>
      </w:pPr>
      <w:r>
        <w:rPr>
          <w:rFonts w:ascii="Times New Roman" w:hAnsi="Times New Roman"/>
          <w:b/>
          <w:sz w:val="24"/>
        </w:rPr>
        <w:t>PRIMAR,</w:t>
      </w:r>
    </w:p>
    <w:p w14:paraId="5664052D">
      <w:pPr>
        <w:pStyle w:val="6"/>
        <w:tabs>
          <w:tab w:val="left" w:pos="2410"/>
        </w:tabs>
        <w:jc w:val="center"/>
        <w:rPr>
          <w:b/>
        </w:rPr>
      </w:pPr>
      <w:r>
        <w:rPr>
          <w:rFonts w:ascii="Times New Roman" w:hAnsi="Times New Roman"/>
          <w:b/>
          <w:sz w:val="24"/>
        </w:rPr>
        <w:t xml:space="preserve">SCRECIU MARIUS </w:t>
      </w:r>
    </w:p>
    <w:sectPr>
      <w:pgSz w:w="11906" w:h="16838"/>
      <w:pgMar w:top="284" w:right="1417" w:bottom="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DE0BDE"/>
    <w:multiLevelType w:val="multilevel"/>
    <w:tmpl w:val="2CDE0BD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5024418"/>
    <w:multiLevelType w:val="multilevel"/>
    <w:tmpl w:val="65024418"/>
    <w:lvl w:ilvl="0" w:tentative="0">
      <w:start w:val="1"/>
      <w:numFmt w:val="bullet"/>
      <w:lvlText w:val="-"/>
      <w:lvlJc w:val="left"/>
      <w:pPr>
        <w:ind w:left="1068" w:hanging="360"/>
      </w:pPr>
      <w:rPr>
        <w:rFonts w:hint="default" w:ascii="Times New Roman" w:hAnsi="Times New Roman" w:eastAsia="Calibri" w:cs="Times New Roman"/>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6B5898"/>
    <w:rsid w:val="000006CC"/>
    <w:rsid w:val="00010708"/>
    <w:rsid w:val="00027B20"/>
    <w:rsid w:val="00044F51"/>
    <w:rsid w:val="00061F4E"/>
    <w:rsid w:val="000F6F52"/>
    <w:rsid w:val="00113380"/>
    <w:rsid w:val="00192C3F"/>
    <w:rsid w:val="00195073"/>
    <w:rsid w:val="001B369D"/>
    <w:rsid w:val="001B70B9"/>
    <w:rsid w:val="0020080E"/>
    <w:rsid w:val="002820A6"/>
    <w:rsid w:val="002825FA"/>
    <w:rsid w:val="00285858"/>
    <w:rsid w:val="002B587D"/>
    <w:rsid w:val="002C47F8"/>
    <w:rsid w:val="002E47B8"/>
    <w:rsid w:val="002F1894"/>
    <w:rsid w:val="003239D8"/>
    <w:rsid w:val="003901DF"/>
    <w:rsid w:val="003F7A56"/>
    <w:rsid w:val="0041629D"/>
    <w:rsid w:val="00420D41"/>
    <w:rsid w:val="00465BEE"/>
    <w:rsid w:val="004E0DF1"/>
    <w:rsid w:val="005173F6"/>
    <w:rsid w:val="00517AAA"/>
    <w:rsid w:val="00525991"/>
    <w:rsid w:val="00540132"/>
    <w:rsid w:val="00540BBE"/>
    <w:rsid w:val="005613C9"/>
    <w:rsid w:val="0056150F"/>
    <w:rsid w:val="00566879"/>
    <w:rsid w:val="00574369"/>
    <w:rsid w:val="0057495A"/>
    <w:rsid w:val="00591024"/>
    <w:rsid w:val="00600304"/>
    <w:rsid w:val="00602B23"/>
    <w:rsid w:val="0064789E"/>
    <w:rsid w:val="00652BA6"/>
    <w:rsid w:val="006915B2"/>
    <w:rsid w:val="006A27A7"/>
    <w:rsid w:val="006B29D5"/>
    <w:rsid w:val="006B5898"/>
    <w:rsid w:val="006C04EF"/>
    <w:rsid w:val="006C0E5D"/>
    <w:rsid w:val="006F0B98"/>
    <w:rsid w:val="0072762D"/>
    <w:rsid w:val="0086213D"/>
    <w:rsid w:val="00873E50"/>
    <w:rsid w:val="008770D6"/>
    <w:rsid w:val="008820E8"/>
    <w:rsid w:val="00925BA9"/>
    <w:rsid w:val="00931B6C"/>
    <w:rsid w:val="009509D8"/>
    <w:rsid w:val="009B4130"/>
    <w:rsid w:val="009C03A2"/>
    <w:rsid w:val="00A04B35"/>
    <w:rsid w:val="00A6583E"/>
    <w:rsid w:val="00AD45C2"/>
    <w:rsid w:val="00B2181E"/>
    <w:rsid w:val="00B34AE9"/>
    <w:rsid w:val="00B43FF2"/>
    <w:rsid w:val="00B542AB"/>
    <w:rsid w:val="00B6211C"/>
    <w:rsid w:val="00BA522C"/>
    <w:rsid w:val="00BC62C1"/>
    <w:rsid w:val="00C131E0"/>
    <w:rsid w:val="00C24B3D"/>
    <w:rsid w:val="00C40AB0"/>
    <w:rsid w:val="00C429E4"/>
    <w:rsid w:val="00C47104"/>
    <w:rsid w:val="00CE5578"/>
    <w:rsid w:val="00D236FA"/>
    <w:rsid w:val="00D266A3"/>
    <w:rsid w:val="00D806F7"/>
    <w:rsid w:val="00D92CFF"/>
    <w:rsid w:val="00DA7958"/>
    <w:rsid w:val="00DB51F3"/>
    <w:rsid w:val="00DC0366"/>
    <w:rsid w:val="00DD0D7D"/>
    <w:rsid w:val="00E34265"/>
    <w:rsid w:val="00E50381"/>
    <w:rsid w:val="00E51DA0"/>
    <w:rsid w:val="00E73376"/>
    <w:rsid w:val="00E825D0"/>
    <w:rsid w:val="00E92099"/>
    <w:rsid w:val="00F0135B"/>
    <w:rsid w:val="00F048F5"/>
    <w:rsid w:val="00F15AAB"/>
    <w:rsid w:val="00F247E6"/>
    <w:rsid w:val="00F25725"/>
    <w:rsid w:val="00F27A3B"/>
    <w:rsid w:val="00F3298D"/>
    <w:rsid w:val="00F63C08"/>
    <w:rsid w:val="00FF05F2"/>
    <w:rsid w:val="42896F93"/>
    <w:rsid w:val="502B684C"/>
    <w:rsid w:val="5B437465"/>
    <w:rsid w:val="71CC2255"/>
    <w:rsid w:val="74F914EE"/>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7"/>
    <w:qFormat/>
    <w:uiPriority w:val="0"/>
    <w:pPr>
      <w:jc w:val="center"/>
    </w:pPr>
    <w:rPr>
      <w:b/>
      <w:sz w:val="26"/>
      <w:szCs w:val="20"/>
      <w:lang w:eastAsia="ro-RO"/>
    </w:rPr>
  </w:style>
  <w:style w:type="character" w:styleId="5">
    <w:name w:val="Hyperlink"/>
    <w:basedOn w:val="2"/>
    <w:qFormat/>
    <w:uiPriority w:val="0"/>
    <w:rPr>
      <w:color w:val="0000FF"/>
      <w:u w:val="single"/>
    </w:rPr>
  </w:style>
  <w:style w:type="paragraph" w:customStyle="1" w:styleId="6">
    <w:name w:val="Fără spațiere"/>
    <w:qFormat/>
    <w:uiPriority w:val="1"/>
    <w:pPr>
      <w:spacing w:after="0" w:line="240" w:lineRule="auto"/>
    </w:pPr>
    <w:rPr>
      <w:rFonts w:ascii="Calibri" w:hAnsi="Calibri" w:eastAsia="Calibri" w:cs="Times New Roman"/>
      <w:sz w:val="22"/>
      <w:szCs w:val="22"/>
      <w:lang w:val="ro-RO" w:eastAsia="en-US" w:bidi="ar-SA"/>
    </w:rPr>
  </w:style>
  <w:style w:type="character" w:customStyle="1" w:styleId="7">
    <w:name w:val="Body Text Char"/>
    <w:basedOn w:val="2"/>
    <w:link w:val="4"/>
    <w:qFormat/>
    <w:uiPriority w:val="0"/>
    <w:rPr>
      <w:rFonts w:ascii="Times New Roman" w:hAnsi="Times New Roman" w:eastAsia="Times New Roman" w:cs="Times New Roman"/>
      <w:b/>
      <w:sz w:val="26"/>
      <w:szCs w:val="20"/>
      <w:lang w:val="en-US" w:eastAsia="ro-RO"/>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customShpInfo spid="_x0000_s1030"/>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2</Pages>
  <Words>362</Words>
  <Characters>2105</Characters>
  <Lines>17</Lines>
  <Paragraphs>4</Paragraphs>
  <TotalTime>0</TotalTime>
  <ScaleCrop>false</ScaleCrop>
  <LinksUpToDate>false</LinksUpToDate>
  <CharactersWithSpaces>2463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2020-12-16T12:07:00Z</dcterms:created>
  <dc:creator>Conta</dc:creator>
  <cp:lastModifiedBy>Mioara</cp:lastModifiedBy>
  <cp:lastPrinted>2025-12-09T11:14:00Z</cp:lastPrinted>
  <dcterms:modified xsi:type="dcterms:W3CDTF">2026-03-18T06:25:58Z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BB51D8BFCDB74BC09CF1BA68AF89F466_12</vt:lpwstr>
  </property>
</Properties>
</file>