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E5C67" w14:textId="45E3AF13" w:rsidR="004F54F1" w:rsidRPr="004F54F1" w:rsidRDefault="004F54F1" w:rsidP="00C720D7">
      <w:pPr>
        <w:spacing w:after="0" w:line="240" w:lineRule="auto"/>
        <w:ind w:right="-709"/>
        <w:rPr>
          <w:rFonts w:ascii="Arial" w:eastAsia="Times New Roman" w:hAnsi="Arial" w:cs="Arial"/>
          <w:sz w:val="20"/>
          <w:szCs w:val="20"/>
          <w:lang w:val="en-US" w:eastAsia="ro-RO"/>
        </w:rPr>
      </w:pPr>
      <w:r w:rsidRPr="004F54F1">
        <w:rPr>
          <w:rFonts w:ascii="Arial" w:eastAsia="Times New Roman" w:hAnsi="Arial" w:cs="Arial"/>
          <w:sz w:val="20"/>
          <w:szCs w:val="20"/>
          <w:lang w:val="en-US" w:eastAsia="ro-RO"/>
        </w:rPr>
        <w:t xml:space="preserve">COMUNA MOLDOVENI                                                                                           </w:t>
      </w:r>
    </w:p>
    <w:p w14:paraId="08A07A44" w14:textId="77777777" w:rsidR="004F54F1" w:rsidRDefault="004F54F1" w:rsidP="00C720D7">
      <w:pPr>
        <w:spacing w:after="0" w:line="240" w:lineRule="auto"/>
        <w:ind w:right="-709"/>
        <w:rPr>
          <w:rFonts w:ascii="Arial" w:eastAsia="Times New Roman" w:hAnsi="Arial" w:cs="Arial"/>
          <w:sz w:val="20"/>
          <w:szCs w:val="20"/>
          <w:lang w:val="en-US" w:eastAsia="ro-RO"/>
        </w:rPr>
      </w:pPr>
      <w:r w:rsidRPr="004F54F1">
        <w:rPr>
          <w:rFonts w:ascii="Arial" w:eastAsia="Times New Roman" w:hAnsi="Arial" w:cs="Arial"/>
          <w:sz w:val="20"/>
          <w:szCs w:val="20"/>
          <w:lang w:val="en-US" w:eastAsia="ro-RO"/>
        </w:rPr>
        <w:t>JUDETUL NEAMT</w:t>
      </w:r>
    </w:p>
    <w:p w14:paraId="69ABBE19" w14:textId="580666BE" w:rsidR="004F54F1" w:rsidRPr="004F54F1" w:rsidRDefault="004F54F1" w:rsidP="00C720D7">
      <w:pPr>
        <w:spacing w:after="0" w:line="240" w:lineRule="auto"/>
        <w:ind w:right="-709"/>
        <w:rPr>
          <w:rFonts w:ascii="Arial" w:eastAsia="Times New Roman" w:hAnsi="Arial" w:cs="Arial"/>
          <w:sz w:val="20"/>
          <w:szCs w:val="20"/>
          <w:lang w:val="en-US" w:eastAsia="ro-RO"/>
        </w:rPr>
      </w:pPr>
      <w:r w:rsidRPr="004F54F1">
        <w:rPr>
          <w:rFonts w:ascii="Arial" w:eastAsia="Times New Roman" w:hAnsi="Arial" w:cs="Arial"/>
          <w:sz w:val="20"/>
          <w:szCs w:val="20"/>
          <w:lang w:val="en-US" w:eastAsia="ro-RO"/>
        </w:rPr>
        <w:t xml:space="preserve">                                                             </w:t>
      </w:r>
    </w:p>
    <w:p w14:paraId="7CA8A776" w14:textId="1FDFF5C5" w:rsidR="004F54F1" w:rsidRPr="004F54F1" w:rsidRDefault="004F54F1" w:rsidP="00C720D7">
      <w:pPr>
        <w:spacing w:after="0" w:line="240" w:lineRule="auto"/>
        <w:ind w:right="-709"/>
        <w:rPr>
          <w:rFonts w:ascii="Arial" w:eastAsia="Times New Roman" w:hAnsi="Arial" w:cs="Arial"/>
          <w:sz w:val="20"/>
          <w:szCs w:val="20"/>
          <w:lang w:val="en-US" w:eastAsia="ro-RO"/>
        </w:rPr>
      </w:pPr>
      <w:r w:rsidRPr="004F54F1">
        <w:rPr>
          <w:rFonts w:ascii="Arial" w:eastAsia="Times New Roman" w:hAnsi="Arial" w:cs="Arial"/>
          <w:sz w:val="20"/>
          <w:szCs w:val="20"/>
          <w:lang w:val="en-US" w:eastAsia="ro-RO"/>
        </w:rPr>
        <w:t xml:space="preserve">Nr.  </w:t>
      </w:r>
      <w:proofErr w:type="gramStart"/>
      <w:r w:rsidRPr="004F54F1">
        <w:rPr>
          <w:rFonts w:ascii="Arial" w:eastAsia="Times New Roman" w:hAnsi="Arial" w:cs="Arial"/>
          <w:sz w:val="20"/>
          <w:szCs w:val="20"/>
          <w:lang w:val="en-US" w:eastAsia="ro-RO"/>
        </w:rPr>
        <w:t>15</w:t>
      </w:r>
      <w:r w:rsidRPr="004F54F1">
        <w:rPr>
          <w:rFonts w:ascii="Arial" w:eastAsia="Times New Roman" w:hAnsi="Arial" w:cs="Arial"/>
          <w:sz w:val="20"/>
          <w:szCs w:val="20"/>
          <w:lang w:val="en-US" w:eastAsia="ro-RO"/>
        </w:rPr>
        <w:t>9</w:t>
      </w:r>
      <w:r w:rsidRPr="004F54F1">
        <w:rPr>
          <w:rFonts w:ascii="Arial" w:eastAsia="Times New Roman" w:hAnsi="Arial" w:cs="Arial"/>
          <w:sz w:val="20"/>
          <w:szCs w:val="20"/>
          <w:lang w:val="en-US" w:eastAsia="ro-RO"/>
        </w:rPr>
        <w:t xml:space="preserve">  data</w:t>
      </w:r>
      <w:proofErr w:type="gramEnd"/>
      <w:r w:rsidRPr="004F54F1">
        <w:rPr>
          <w:rFonts w:ascii="Arial" w:eastAsia="Times New Roman" w:hAnsi="Arial" w:cs="Arial"/>
          <w:sz w:val="20"/>
          <w:szCs w:val="20"/>
          <w:lang w:val="en-US" w:eastAsia="ro-RO"/>
        </w:rPr>
        <w:t xml:space="preserve">   21.04.2026</w:t>
      </w:r>
    </w:p>
    <w:p w14:paraId="67C9C074" w14:textId="28DFA28E" w:rsidR="004C0F53" w:rsidRPr="004C0F53" w:rsidRDefault="004C0F53" w:rsidP="00C720D7">
      <w:pPr>
        <w:spacing w:line="240" w:lineRule="auto"/>
        <w:ind w:right="-709"/>
        <w:jc w:val="center"/>
        <w:rPr>
          <w:rFonts w:ascii="Arial" w:hAnsi="Arial" w:cs="Arial"/>
          <w:sz w:val="20"/>
          <w:szCs w:val="20"/>
        </w:rPr>
      </w:pPr>
      <w:r w:rsidRPr="004C0F53">
        <w:rPr>
          <w:rFonts w:ascii="Arial" w:hAnsi="Arial" w:cs="Arial"/>
          <w:b/>
          <w:bCs/>
          <w:sz w:val="20"/>
          <w:szCs w:val="20"/>
        </w:rPr>
        <w:t>REFERAT DE APROBARE</w:t>
      </w:r>
    </w:p>
    <w:p w14:paraId="1368DE6E" w14:textId="77777777" w:rsidR="004F54F1" w:rsidRPr="004F54F1" w:rsidRDefault="004C0F53" w:rsidP="00C720D7">
      <w:pPr>
        <w:pStyle w:val="NoSpacing"/>
        <w:ind w:right="-709"/>
        <w:jc w:val="center"/>
        <w:rPr>
          <w:rFonts w:ascii="Arial" w:hAnsi="Arial" w:cs="Arial"/>
          <w:b/>
          <w:bCs/>
          <w:sz w:val="20"/>
          <w:szCs w:val="20"/>
        </w:rPr>
      </w:pPr>
      <w:r w:rsidRPr="004C0F53">
        <w:rPr>
          <w:rFonts w:ascii="Arial" w:hAnsi="Arial" w:cs="Arial"/>
          <w:b/>
          <w:bCs/>
          <w:sz w:val="20"/>
          <w:szCs w:val="20"/>
        </w:rPr>
        <w:t xml:space="preserve">la proiectul de hotărâre </w:t>
      </w:r>
      <w:proofErr w:type="spellStart"/>
      <w:r w:rsidRPr="004C0F53">
        <w:rPr>
          <w:rFonts w:ascii="Arial" w:hAnsi="Arial" w:cs="Arial"/>
          <w:b/>
          <w:bCs/>
          <w:sz w:val="20"/>
          <w:szCs w:val="20"/>
        </w:rPr>
        <w:t>privind</w:t>
      </w:r>
      <w:proofErr w:type="spellEnd"/>
      <w:r w:rsidRPr="004C0F53">
        <w:rPr>
          <w:rFonts w:ascii="Arial" w:hAnsi="Arial" w:cs="Arial"/>
          <w:b/>
          <w:bCs/>
          <w:sz w:val="20"/>
          <w:szCs w:val="20"/>
        </w:rPr>
        <w:t xml:space="preserve"> </w:t>
      </w:r>
      <w:proofErr w:type="spellStart"/>
      <w:r w:rsidRPr="004C0F53">
        <w:rPr>
          <w:rFonts w:ascii="Arial" w:hAnsi="Arial" w:cs="Arial"/>
          <w:b/>
          <w:bCs/>
          <w:sz w:val="20"/>
          <w:szCs w:val="20"/>
        </w:rPr>
        <w:t>aprobarea</w:t>
      </w:r>
      <w:proofErr w:type="spellEnd"/>
      <w:r w:rsidRPr="004C0F53">
        <w:rPr>
          <w:rFonts w:ascii="Arial" w:hAnsi="Arial" w:cs="Arial"/>
          <w:b/>
          <w:bCs/>
          <w:sz w:val="20"/>
          <w:szCs w:val="20"/>
        </w:rPr>
        <w:t xml:space="preserve"> </w:t>
      </w:r>
      <w:proofErr w:type="spellStart"/>
      <w:r w:rsidRPr="004C0F53">
        <w:rPr>
          <w:rFonts w:ascii="Arial" w:hAnsi="Arial" w:cs="Arial"/>
          <w:b/>
          <w:bCs/>
          <w:sz w:val="20"/>
          <w:szCs w:val="20"/>
        </w:rPr>
        <w:t>bugetului</w:t>
      </w:r>
      <w:proofErr w:type="spellEnd"/>
      <w:r w:rsidRPr="004C0F53">
        <w:rPr>
          <w:rFonts w:ascii="Arial" w:hAnsi="Arial" w:cs="Arial"/>
          <w:b/>
          <w:bCs/>
          <w:sz w:val="20"/>
          <w:szCs w:val="20"/>
        </w:rPr>
        <w:t xml:space="preserve"> local</w:t>
      </w:r>
    </w:p>
    <w:p w14:paraId="2064FC55" w14:textId="77777777" w:rsidR="004F54F1" w:rsidRDefault="004C0F53" w:rsidP="00C720D7">
      <w:pPr>
        <w:pStyle w:val="NoSpacing"/>
        <w:ind w:right="-709"/>
        <w:jc w:val="center"/>
        <w:rPr>
          <w:rFonts w:ascii="Arial" w:hAnsi="Arial" w:cs="Arial"/>
          <w:b/>
          <w:bCs/>
          <w:sz w:val="20"/>
          <w:szCs w:val="20"/>
        </w:rPr>
      </w:pPr>
      <w:r w:rsidRPr="004C0F53">
        <w:rPr>
          <w:rFonts w:ascii="Arial" w:hAnsi="Arial" w:cs="Arial"/>
          <w:b/>
          <w:bCs/>
          <w:sz w:val="20"/>
          <w:szCs w:val="20"/>
        </w:rPr>
        <w:t xml:space="preserve"> </w:t>
      </w:r>
      <w:proofErr w:type="spellStart"/>
      <w:r w:rsidRPr="004C0F53">
        <w:rPr>
          <w:rFonts w:ascii="Arial" w:hAnsi="Arial" w:cs="Arial"/>
          <w:b/>
          <w:bCs/>
          <w:sz w:val="20"/>
          <w:szCs w:val="20"/>
        </w:rPr>
        <w:t>si</w:t>
      </w:r>
      <w:proofErr w:type="spellEnd"/>
      <w:r w:rsidRPr="004C0F53">
        <w:rPr>
          <w:rFonts w:ascii="Arial" w:hAnsi="Arial" w:cs="Arial"/>
          <w:b/>
          <w:bCs/>
          <w:sz w:val="20"/>
          <w:szCs w:val="20"/>
        </w:rPr>
        <w:t xml:space="preserve"> a </w:t>
      </w:r>
      <w:proofErr w:type="spellStart"/>
      <w:r w:rsidR="004F54F1" w:rsidRPr="004F54F1">
        <w:rPr>
          <w:rFonts w:ascii="Arial" w:hAnsi="Arial" w:cs="Arial"/>
          <w:b/>
          <w:bCs/>
          <w:sz w:val="20"/>
          <w:szCs w:val="20"/>
        </w:rPr>
        <w:t>bugetului</w:t>
      </w:r>
      <w:proofErr w:type="spellEnd"/>
      <w:r w:rsidR="004F54F1" w:rsidRPr="004F54F1">
        <w:rPr>
          <w:rFonts w:ascii="Arial" w:hAnsi="Arial" w:cs="Arial"/>
          <w:b/>
          <w:bCs/>
          <w:sz w:val="20"/>
          <w:szCs w:val="20"/>
        </w:rPr>
        <w:t xml:space="preserve"> de </w:t>
      </w:r>
      <w:proofErr w:type="spellStart"/>
      <w:r w:rsidR="004F54F1" w:rsidRPr="004F54F1">
        <w:rPr>
          <w:rFonts w:ascii="Arial" w:hAnsi="Arial" w:cs="Arial"/>
          <w:b/>
          <w:bCs/>
          <w:sz w:val="20"/>
          <w:szCs w:val="20"/>
        </w:rPr>
        <w:t>venituri</w:t>
      </w:r>
      <w:proofErr w:type="spellEnd"/>
      <w:r w:rsidR="004F54F1" w:rsidRPr="004F54F1">
        <w:rPr>
          <w:rFonts w:ascii="Arial" w:hAnsi="Arial" w:cs="Arial"/>
          <w:b/>
          <w:bCs/>
          <w:sz w:val="20"/>
          <w:szCs w:val="20"/>
        </w:rPr>
        <w:t xml:space="preserve"> </w:t>
      </w:r>
      <w:proofErr w:type="spellStart"/>
      <w:r w:rsidR="004F54F1" w:rsidRPr="004F54F1">
        <w:rPr>
          <w:rFonts w:ascii="Arial" w:hAnsi="Arial" w:cs="Arial"/>
          <w:b/>
          <w:bCs/>
          <w:sz w:val="20"/>
          <w:szCs w:val="20"/>
        </w:rPr>
        <w:t>si</w:t>
      </w:r>
      <w:proofErr w:type="spellEnd"/>
      <w:r w:rsidR="004F54F1" w:rsidRPr="004F54F1">
        <w:rPr>
          <w:rFonts w:ascii="Arial" w:hAnsi="Arial" w:cs="Arial"/>
          <w:b/>
          <w:bCs/>
          <w:sz w:val="20"/>
          <w:szCs w:val="20"/>
        </w:rPr>
        <w:t xml:space="preserve"> </w:t>
      </w:r>
      <w:proofErr w:type="spellStart"/>
      <w:r w:rsidR="004F54F1" w:rsidRPr="004F54F1">
        <w:rPr>
          <w:rFonts w:ascii="Arial" w:hAnsi="Arial" w:cs="Arial"/>
          <w:b/>
          <w:bCs/>
          <w:sz w:val="20"/>
          <w:szCs w:val="20"/>
        </w:rPr>
        <w:t>cheltuieli</w:t>
      </w:r>
      <w:proofErr w:type="spellEnd"/>
      <w:r w:rsidR="004F54F1" w:rsidRPr="004F54F1">
        <w:rPr>
          <w:rFonts w:ascii="Arial" w:hAnsi="Arial" w:cs="Arial"/>
          <w:b/>
          <w:bCs/>
          <w:sz w:val="20"/>
          <w:szCs w:val="20"/>
        </w:rPr>
        <w:t xml:space="preserve"> </w:t>
      </w:r>
      <w:proofErr w:type="spellStart"/>
      <w:r w:rsidR="004F54F1" w:rsidRPr="004F54F1">
        <w:rPr>
          <w:rFonts w:ascii="Arial" w:hAnsi="Arial" w:cs="Arial"/>
          <w:b/>
          <w:bCs/>
          <w:sz w:val="20"/>
          <w:szCs w:val="20"/>
        </w:rPr>
        <w:t>pentru</w:t>
      </w:r>
      <w:proofErr w:type="spellEnd"/>
      <w:r w:rsidR="004F54F1" w:rsidRPr="004F54F1">
        <w:rPr>
          <w:rFonts w:ascii="Arial" w:hAnsi="Arial" w:cs="Arial"/>
          <w:b/>
          <w:bCs/>
          <w:sz w:val="20"/>
          <w:szCs w:val="20"/>
        </w:rPr>
        <w:t xml:space="preserve"> </w:t>
      </w:r>
      <w:proofErr w:type="spellStart"/>
      <w:r w:rsidR="004F54F1" w:rsidRPr="004F54F1">
        <w:rPr>
          <w:rFonts w:ascii="Arial" w:hAnsi="Arial" w:cs="Arial"/>
          <w:b/>
          <w:bCs/>
          <w:sz w:val="20"/>
          <w:szCs w:val="20"/>
        </w:rPr>
        <w:t>activitatile</w:t>
      </w:r>
      <w:proofErr w:type="spellEnd"/>
      <w:r w:rsidR="004F54F1" w:rsidRPr="004F54F1">
        <w:rPr>
          <w:rFonts w:ascii="Arial" w:hAnsi="Arial" w:cs="Arial"/>
          <w:b/>
          <w:bCs/>
          <w:sz w:val="20"/>
          <w:szCs w:val="20"/>
        </w:rPr>
        <w:t xml:space="preserve"> </w:t>
      </w:r>
      <w:proofErr w:type="spellStart"/>
      <w:r w:rsidR="004F54F1" w:rsidRPr="004F54F1">
        <w:rPr>
          <w:rFonts w:ascii="Arial" w:hAnsi="Arial" w:cs="Arial"/>
          <w:b/>
          <w:bCs/>
          <w:sz w:val="20"/>
          <w:szCs w:val="20"/>
        </w:rPr>
        <w:t>finantate</w:t>
      </w:r>
      <w:proofErr w:type="spellEnd"/>
      <w:r w:rsidR="004F54F1" w:rsidRPr="004F54F1">
        <w:rPr>
          <w:rFonts w:ascii="Arial" w:hAnsi="Arial" w:cs="Arial"/>
          <w:b/>
          <w:bCs/>
          <w:sz w:val="20"/>
          <w:szCs w:val="20"/>
        </w:rPr>
        <w:t xml:space="preserve"> din </w:t>
      </w:r>
      <w:proofErr w:type="spellStart"/>
      <w:r w:rsidR="004F54F1" w:rsidRPr="004F54F1">
        <w:rPr>
          <w:rFonts w:ascii="Arial" w:hAnsi="Arial" w:cs="Arial"/>
          <w:b/>
          <w:bCs/>
          <w:sz w:val="20"/>
          <w:szCs w:val="20"/>
        </w:rPr>
        <w:t>venituri</w:t>
      </w:r>
      <w:proofErr w:type="spellEnd"/>
      <w:r w:rsidR="004F54F1" w:rsidRPr="004F54F1">
        <w:rPr>
          <w:rFonts w:ascii="Arial" w:hAnsi="Arial" w:cs="Arial"/>
          <w:b/>
          <w:bCs/>
          <w:sz w:val="20"/>
          <w:szCs w:val="20"/>
        </w:rPr>
        <w:t xml:space="preserve"> </w:t>
      </w:r>
      <w:proofErr w:type="spellStart"/>
      <w:r w:rsidR="004F54F1" w:rsidRPr="004F54F1">
        <w:rPr>
          <w:rFonts w:ascii="Arial" w:hAnsi="Arial" w:cs="Arial"/>
          <w:b/>
          <w:bCs/>
          <w:sz w:val="20"/>
          <w:szCs w:val="20"/>
        </w:rPr>
        <w:t>proprii</w:t>
      </w:r>
      <w:proofErr w:type="spellEnd"/>
      <w:r w:rsidR="004F54F1" w:rsidRPr="004F54F1">
        <w:rPr>
          <w:rFonts w:ascii="Arial" w:hAnsi="Arial" w:cs="Arial"/>
          <w:b/>
          <w:bCs/>
          <w:sz w:val="20"/>
          <w:szCs w:val="20"/>
        </w:rPr>
        <w:t>,</w:t>
      </w:r>
    </w:p>
    <w:p w14:paraId="0A6B6718" w14:textId="0F7F441E" w:rsidR="004F54F1" w:rsidRPr="004F54F1" w:rsidRDefault="004C0F53" w:rsidP="00C720D7">
      <w:pPr>
        <w:pStyle w:val="NoSpacing"/>
        <w:ind w:right="-709"/>
        <w:jc w:val="center"/>
        <w:rPr>
          <w:rFonts w:ascii="Arial" w:hAnsi="Arial" w:cs="Arial"/>
          <w:b/>
          <w:bCs/>
          <w:iCs/>
          <w:sz w:val="20"/>
          <w:szCs w:val="20"/>
        </w:rPr>
      </w:pPr>
      <w:r w:rsidRPr="004C0F53">
        <w:rPr>
          <w:rFonts w:ascii="Arial" w:hAnsi="Arial" w:cs="Arial"/>
          <w:b/>
          <w:bCs/>
          <w:sz w:val="20"/>
          <w:szCs w:val="20"/>
        </w:rPr>
        <w:t xml:space="preserve"> pe </w:t>
      </w:r>
      <w:proofErr w:type="spellStart"/>
      <w:r w:rsidRPr="004C0F53">
        <w:rPr>
          <w:rFonts w:ascii="Arial" w:hAnsi="Arial" w:cs="Arial"/>
          <w:b/>
          <w:bCs/>
          <w:sz w:val="20"/>
          <w:szCs w:val="20"/>
        </w:rPr>
        <w:t>sectiuni</w:t>
      </w:r>
      <w:proofErr w:type="spellEnd"/>
      <w:r w:rsidRPr="004C0F53">
        <w:rPr>
          <w:rFonts w:ascii="Arial" w:hAnsi="Arial" w:cs="Arial"/>
          <w:b/>
          <w:bCs/>
          <w:sz w:val="20"/>
          <w:szCs w:val="20"/>
        </w:rPr>
        <w:t xml:space="preserve"> </w:t>
      </w:r>
      <w:proofErr w:type="spellStart"/>
      <w:r w:rsidRPr="004C0F53">
        <w:rPr>
          <w:rFonts w:ascii="Arial" w:hAnsi="Arial" w:cs="Arial"/>
          <w:b/>
          <w:bCs/>
          <w:sz w:val="20"/>
          <w:szCs w:val="20"/>
        </w:rPr>
        <w:t>pentru</w:t>
      </w:r>
      <w:proofErr w:type="spellEnd"/>
      <w:r w:rsidRPr="004C0F53">
        <w:rPr>
          <w:rFonts w:ascii="Arial" w:hAnsi="Arial" w:cs="Arial"/>
          <w:b/>
          <w:bCs/>
          <w:sz w:val="20"/>
          <w:szCs w:val="20"/>
        </w:rPr>
        <w:t xml:space="preserve"> </w:t>
      </w:r>
      <w:proofErr w:type="spellStart"/>
      <w:r w:rsidRPr="004C0F53">
        <w:rPr>
          <w:rFonts w:ascii="Arial" w:hAnsi="Arial" w:cs="Arial"/>
          <w:b/>
          <w:bCs/>
          <w:sz w:val="20"/>
          <w:szCs w:val="20"/>
        </w:rPr>
        <w:t>anul</w:t>
      </w:r>
      <w:proofErr w:type="spellEnd"/>
      <w:r w:rsidRPr="004C0F53">
        <w:rPr>
          <w:rFonts w:ascii="Arial" w:hAnsi="Arial" w:cs="Arial"/>
          <w:b/>
          <w:bCs/>
          <w:sz w:val="20"/>
          <w:szCs w:val="20"/>
        </w:rPr>
        <w:t xml:space="preserve"> 202</w:t>
      </w:r>
      <w:r w:rsidR="004F54F1" w:rsidRPr="004F54F1">
        <w:rPr>
          <w:rFonts w:ascii="Arial" w:hAnsi="Arial" w:cs="Arial"/>
          <w:b/>
          <w:bCs/>
          <w:sz w:val="20"/>
          <w:szCs w:val="20"/>
        </w:rPr>
        <w:t>6</w:t>
      </w:r>
    </w:p>
    <w:p w14:paraId="41E9074B" w14:textId="512EE7A6" w:rsidR="004C0F53" w:rsidRPr="004C0F53" w:rsidRDefault="004C0F53" w:rsidP="00C720D7">
      <w:pPr>
        <w:spacing w:after="0" w:line="240" w:lineRule="auto"/>
        <w:ind w:right="-709"/>
        <w:jc w:val="center"/>
      </w:pPr>
    </w:p>
    <w:p w14:paraId="23C9AA54" w14:textId="3CB78C72" w:rsidR="004C0F53" w:rsidRPr="004C0F53" w:rsidRDefault="004C0F53" w:rsidP="00C720D7">
      <w:pPr>
        <w:spacing w:line="240" w:lineRule="auto"/>
        <w:ind w:right="-709" w:firstLine="708"/>
      </w:pPr>
      <w:r w:rsidRPr="004C0F53">
        <w:t>Bugetul de venituri și cheltuieli pe anul 202</w:t>
      </w:r>
      <w:r w:rsidR="004F54F1">
        <w:t>6</w:t>
      </w:r>
      <w:r w:rsidRPr="004C0F53">
        <w:t xml:space="preserve"> se fundamentează conform prevederilor Legii 273/2006 privind Finanțele Publice Locale, cu modificările și completările ulterioare și a Legii bugetului de stat pe anul 202</w:t>
      </w:r>
      <w:r w:rsidR="004F54F1">
        <w:t xml:space="preserve">6, legea </w:t>
      </w:r>
      <w:r w:rsidRPr="004C0F53">
        <w:t>nr. 4</w:t>
      </w:r>
      <w:r w:rsidR="004F54F1">
        <w:t>3 din 27.03.</w:t>
      </w:r>
      <w:r w:rsidRPr="004C0F53">
        <w:t>202</w:t>
      </w:r>
      <w:r w:rsidR="004F54F1">
        <w:t>6</w:t>
      </w:r>
      <w:r w:rsidRPr="004C0F53">
        <w:t xml:space="preserve">. </w:t>
      </w:r>
    </w:p>
    <w:p w14:paraId="0A982971" w14:textId="37A3F6ED" w:rsidR="004C0F53" w:rsidRPr="004C0F53" w:rsidRDefault="004C0F53" w:rsidP="00C720D7">
      <w:pPr>
        <w:spacing w:line="240" w:lineRule="auto"/>
        <w:ind w:right="-709" w:firstLine="708"/>
      </w:pPr>
      <w:r w:rsidRPr="004C0F53">
        <w:t>Estimările veniturilor și cheltuielilor la bugetul local pentru anul 202</w:t>
      </w:r>
      <w:r w:rsidR="00C720D7">
        <w:t>6</w:t>
      </w:r>
      <w:r w:rsidRPr="004C0F53">
        <w:t xml:space="preserve"> sunt detaliate în anexa nr. 1 la proiectul de buget, iar sumele totale sunt următoarele: </w:t>
      </w:r>
    </w:p>
    <w:p w14:paraId="0A7A8E20" w14:textId="547D7CE9" w:rsidR="004C0F53" w:rsidRPr="004C0F53" w:rsidRDefault="004C0F53" w:rsidP="003A0271">
      <w:pPr>
        <w:pStyle w:val="ListParagraph"/>
        <w:numPr>
          <w:ilvl w:val="0"/>
          <w:numId w:val="1"/>
        </w:numPr>
        <w:spacing w:after="0" w:line="240" w:lineRule="auto"/>
        <w:ind w:right="-709"/>
      </w:pPr>
      <w:r w:rsidRPr="004C0F53">
        <w:t xml:space="preserve">totalul veniturilor cuprinse în buget sunt în sumă de </w:t>
      </w:r>
      <w:r w:rsidR="004F54F1">
        <w:t>9.054.000</w:t>
      </w:r>
      <w:r w:rsidRPr="004C0F53">
        <w:t xml:space="preserve"> lei; </w:t>
      </w:r>
    </w:p>
    <w:p w14:paraId="48B2096F" w14:textId="4DB39491" w:rsidR="00C720D7" w:rsidRDefault="004C0F53" w:rsidP="003A0271">
      <w:pPr>
        <w:pStyle w:val="ListParagraph"/>
        <w:numPr>
          <w:ilvl w:val="0"/>
          <w:numId w:val="1"/>
        </w:numPr>
        <w:spacing w:after="0" w:line="240" w:lineRule="auto"/>
        <w:ind w:right="-709"/>
      </w:pPr>
      <w:r w:rsidRPr="004C0F53">
        <w:t xml:space="preserve">totalul cheltuielilor cuprinse în buget sunt în sumă de </w:t>
      </w:r>
      <w:r w:rsidR="004F54F1">
        <w:t>9.5</w:t>
      </w:r>
      <w:r w:rsidR="005028FA">
        <w:t>97.000</w:t>
      </w:r>
      <w:r w:rsidRPr="004C0F53">
        <w:t xml:space="preserve"> lei</w:t>
      </w:r>
      <w:r w:rsidR="00C720D7">
        <w:t>.</w:t>
      </w:r>
    </w:p>
    <w:p w14:paraId="1AAB0C56" w14:textId="256819FF" w:rsidR="004C0F53" w:rsidRDefault="00C720D7" w:rsidP="00C720D7">
      <w:pPr>
        <w:spacing w:line="240" w:lineRule="auto"/>
        <w:ind w:right="-709"/>
      </w:pPr>
      <w:r>
        <w:t>Mentionam</w:t>
      </w:r>
      <w:r>
        <w:t xml:space="preserve"> ca diferenta de </w:t>
      </w:r>
      <w:r>
        <w:t>543</w:t>
      </w:r>
      <w:r>
        <w:t>.000  lei  dintre venituri si cheltuieli reprezinta excedentul executiei bugetare din anul 202</w:t>
      </w:r>
      <w:r>
        <w:t>5</w:t>
      </w:r>
    </w:p>
    <w:p w14:paraId="20E14D80" w14:textId="4AB605CA" w:rsidR="00C720D7" w:rsidRDefault="00C720D7" w:rsidP="00C720D7">
      <w:pPr>
        <w:spacing w:line="240" w:lineRule="auto"/>
        <w:ind w:right="-709" w:firstLine="708"/>
      </w:pPr>
      <w:r w:rsidRPr="004C0F53">
        <w:t>Estimările veniturilor și cheltuielilor</w:t>
      </w:r>
      <w:r>
        <w:t xml:space="preserve"> la </w:t>
      </w:r>
      <w:r w:rsidRPr="00C720D7">
        <w:t>bugetului de venituri si cheltuieli pentru activitatile finantate din venituri proprii</w:t>
      </w:r>
      <w:r>
        <w:t xml:space="preserve"> </w:t>
      </w:r>
      <w:r>
        <w:t xml:space="preserve">sunt detaliate în anexa nr. </w:t>
      </w:r>
      <w:r>
        <w:t>2</w:t>
      </w:r>
      <w:r>
        <w:t xml:space="preserve"> la proiectul de buget, iar sumele totale sunt următoarele: </w:t>
      </w:r>
    </w:p>
    <w:p w14:paraId="6E1AD485" w14:textId="77777777" w:rsidR="003A0271" w:rsidRDefault="00C720D7" w:rsidP="003A0271">
      <w:pPr>
        <w:pStyle w:val="ListParagraph"/>
        <w:numPr>
          <w:ilvl w:val="0"/>
          <w:numId w:val="1"/>
        </w:numPr>
        <w:spacing w:after="0" w:line="240" w:lineRule="auto"/>
        <w:ind w:right="-709"/>
      </w:pPr>
      <w:r>
        <w:t xml:space="preserve">totalul veniturilor cuprinse în buget sunt în sumă de </w:t>
      </w:r>
      <w:r>
        <w:t xml:space="preserve"> 295</w:t>
      </w:r>
      <w:r>
        <w:t xml:space="preserve">.000 lei; </w:t>
      </w:r>
    </w:p>
    <w:p w14:paraId="7083E67E" w14:textId="1657DF7D" w:rsidR="00C720D7" w:rsidRDefault="00C720D7" w:rsidP="003A0271">
      <w:pPr>
        <w:pStyle w:val="ListParagraph"/>
        <w:numPr>
          <w:ilvl w:val="0"/>
          <w:numId w:val="1"/>
        </w:numPr>
        <w:spacing w:after="0" w:line="240" w:lineRule="auto"/>
        <w:ind w:right="-709"/>
      </w:pPr>
      <w:r>
        <w:t xml:space="preserve">totalul cheltuielilor cuprinse în buget sunt în sumă de </w:t>
      </w:r>
      <w:r>
        <w:t>305</w:t>
      </w:r>
      <w:r>
        <w:t>.000 lei.</w:t>
      </w:r>
    </w:p>
    <w:p w14:paraId="60E38B9F" w14:textId="0CD970B8" w:rsidR="003A0271" w:rsidRPr="004C0F53" w:rsidRDefault="003A0271" w:rsidP="003A0271">
      <w:pPr>
        <w:spacing w:after="0" w:line="240" w:lineRule="auto"/>
        <w:ind w:right="-709"/>
      </w:pPr>
      <w:r w:rsidRPr="003A0271">
        <w:t xml:space="preserve">Mentionam ca diferenta de </w:t>
      </w:r>
      <w:r>
        <w:t>10</w:t>
      </w:r>
      <w:r w:rsidRPr="003A0271">
        <w:t>.000  lei  dintre venituri si cheltuieli reprezinta excedentul executiei bugetare din anul 2025</w:t>
      </w:r>
    </w:p>
    <w:p w14:paraId="6EF3EB14" w14:textId="5460397A" w:rsidR="004C0F53" w:rsidRPr="004C0F53" w:rsidRDefault="004C0F53" w:rsidP="00C720D7">
      <w:pPr>
        <w:spacing w:line="240" w:lineRule="auto"/>
        <w:ind w:right="-709"/>
      </w:pPr>
      <w:r w:rsidRPr="004C0F53">
        <w:t>Ordonatorii principali de credite pot să prevadă cheltuieli pentru secțiunea de dezvoltare numai dacă au asigurate integral venituri programate pentru acoperirea cheltuielilor secțiunii de funcționare. De asemena în proiectele de buget local se cuprind cu prioritate fondul de rezervă bugetară în cotă de</w:t>
      </w:r>
      <w:r w:rsidR="00C720D7">
        <w:t xml:space="preserve"> pana la </w:t>
      </w:r>
      <w:r w:rsidRPr="004C0F53">
        <w:t xml:space="preserve"> 5% din totalul cheltuielilor și sume destinate finanțării proiectelor de dezvoltare locală și a proiectelor cu finanțare comunitară. </w:t>
      </w:r>
    </w:p>
    <w:p w14:paraId="1E8E4D63" w14:textId="77777777" w:rsidR="004C0F53" w:rsidRPr="004C0F53" w:rsidRDefault="004C0F53" w:rsidP="00C720D7">
      <w:pPr>
        <w:spacing w:line="240" w:lineRule="auto"/>
        <w:ind w:right="-709"/>
      </w:pPr>
      <w:r w:rsidRPr="004C0F53">
        <w:t xml:space="preserve">Secțiunea de funcționare este partea de bază, obligatorie, a bugetelor și cuprinde veniturile necesare finanțării cheltuielilor curente pentru realizarea competențelor stabilite prin lege. </w:t>
      </w:r>
    </w:p>
    <w:p w14:paraId="6F4EF7F0" w14:textId="438AB696" w:rsidR="003A0271" w:rsidRPr="004C0F53" w:rsidRDefault="004C0F53" w:rsidP="00C720D7">
      <w:pPr>
        <w:spacing w:line="240" w:lineRule="auto"/>
        <w:ind w:right="-709"/>
      </w:pPr>
      <w:r w:rsidRPr="004C0F53">
        <w:t xml:space="preserve">Secțiunea de dezvoltare este partea complementară a bugetelor, cuprinzând veniturile și cheltuielile aferente implementării politicilor de dezvoltare la nivel local. </w:t>
      </w:r>
    </w:p>
    <w:p w14:paraId="419E36BD" w14:textId="28BFBB71" w:rsidR="004C0F53" w:rsidRPr="004C0F53" w:rsidRDefault="00C720D7" w:rsidP="00C720D7">
      <w:pPr>
        <w:spacing w:line="240" w:lineRule="auto"/>
        <w:ind w:right="-709"/>
      </w:pPr>
      <w:r w:rsidRPr="003A0271">
        <w:rPr>
          <w:color w:val="7F7F7F" w:themeColor="text1" w:themeTint="80"/>
        </w:rPr>
        <w:drawing>
          <wp:inline distT="0" distB="0" distL="0" distR="0" wp14:anchorId="247232AD" wp14:editId="3C97BB74">
            <wp:extent cx="6118860" cy="664360"/>
            <wp:effectExtent l="0" t="0" r="0" b="0"/>
            <wp:docPr id="497510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231" cy="668092"/>
                    </a:xfrm>
                    <a:prstGeom prst="rect">
                      <a:avLst/>
                    </a:prstGeom>
                    <a:noFill/>
                    <a:ln>
                      <a:noFill/>
                    </a:ln>
                  </pic:spPr>
                </pic:pic>
              </a:graphicData>
            </a:graphic>
          </wp:inline>
        </w:drawing>
      </w:r>
      <w:r w:rsidR="004C0F53" w:rsidRPr="004C0F53">
        <w:t xml:space="preserve">În secțiunea de dezvoltare sunt incluse în lista de investiții și proiectele cu finanțare din </w:t>
      </w:r>
      <w:r>
        <w:t>MEFM</w:t>
      </w:r>
      <w:r w:rsidR="004C0F53" w:rsidRPr="004C0F53">
        <w:t xml:space="preserve">, PNRR , </w:t>
      </w:r>
      <w:r>
        <w:t>AFM</w:t>
      </w:r>
      <w:r w:rsidR="004C0F53" w:rsidRPr="004C0F53">
        <w:t xml:space="preserve"> etc, pentru care există contracte de finanțare semnate. </w:t>
      </w:r>
    </w:p>
    <w:p w14:paraId="6DA6CACC" w14:textId="6E249BB5" w:rsidR="004C0F53" w:rsidRPr="004C0F53" w:rsidRDefault="004C0F53" w:rsidP="00C720D7">
      <w:pPr>
        <w:spacing w:line="240" w:lineRule="auto"/>
        <w:ind w:right="-709"/>
      </w:pPr>
      <w:r w:rsidRPr="004C0F53">
        <w:t>Având în vedere cele prezentate, propunem publicarea proiectului de buget pe anul 202</w:t>
      </w:r>
      <w:r w:rsidR="00C720D7">
        <w:t>6</w:t>
      </w:r>
      <w:r w:rsidRPr="004C0F53">
        <w:t xml:space="preserve"> spre consultare și dezbatere publică, în conformitate cu prevederile art. 8, lit. a, din Legea nr. 273/2006 privind finanțele publice locale, cu modificările și completările ulterioare. </w:t>
      </w:r>
    </w:p>
    <w:p w14:paraId="32BEE1A8" w14:textId="77777777" w:rsidR="004C0F53" w:rsidRPr="004C0F53" w:rsidRDefault="004C0F53" w:rsidP="00C720D7">
      <w:pPr>
        <w:spacing w:line="240" w:lineRule="auto"/>
        <w:ind w:right="-709"/>
      </w:pPr>
      <w:r w:rsidRPr="004C0F53">
        <w:t xml:space="preserve">Primar, </w:t>
      </w:r>
    </w:p>
    <w:p w14:paraId="30560F2B" w14:textId="6CAE89A8" w:rsidR="00C12D1C" w:rsidRDefault="003A0271" w:rsidP="00C720D7">
      <w:pPr>
        <w:spacing w:line="240" w:lineRule="auto"/>
        <w:ind w:right="-709"/>
      </w:pPr>
      <w:r>
        <w:t>Birjoveanu Marcel Ioan</w:t>
      </w:r>
    </w:p>
    <w:sectPr w:rsidR="00C12D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2D14BA"/>
    <w:multiLevelType w:val="hybridMultilevel"/>
    <w:tmpl w:val="D214ECD2"/>
    <w:lvl w:ilvl="0" w:tplc="DA14C916">
      <w:numFmt w:val="bullet"/>
      <w:lvlText w:val=""/>
      <w:lvlJc w:val="left"/>
      <w:pPr>
        <w:ind w:left="720" w:hanging="360"/>
      </w:pPr>
      <w:rPr>
        <w:rFonts w:ascii="Symbol" w:eastAsiaTheme="minorHAnsi" w:hAnsi="Symbol"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40953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8F7AF7"/>
    <w:rsid w:val="003A0271"/>
    <w:rsid w:val="004C0F53"/>
    <w:rsid w:val="004F54F1"/>
    <w:rsid w:val="005028FA"/>
    <w:rsid w:val="008F7AF7"/>
    <w:rsid w:val="00C12D1C"/>
    <w:rsid w:val="00C720D7"/>
    <w:rsid w:val="00E84EB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9F4C4"/>
  <w15:chartTrackingRefBased/>
  <w15:docId w15:val="{3F6F0E52-F896-42E9-8E88-B0DC0AB3C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7AF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F7AF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F7AF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F7AF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F7AF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F7A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7A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7A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7A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AF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F7AF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F7AF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F7AF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F7AF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F7A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7A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7A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7AF7"/>
    <w:rPr>
      <w:rFonts w:eastAsiaTheme="majorEastAsia" w:cstheme="majorBidi"/>
      <w:color w:val="272727" w:themeColor="text1" w:themeTint="D8"/>
    </w:rPr>
  </w:style>
  <w:style w:type="paragraph" w:styleId="Title">
    <w:name w:val="Title"/>
    <w:basedOn w:val="Normal"/>
    <w:next w:val="Normal"/>
    <w:link w:val="TitleChar"/>
    <w:uiPriority w:val="10"/>
    <w:qFormat/>
    <w:rsid w:val="008F7A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7A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7AF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7A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7A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7AF7"/>
    <w:rPr>
      <w:i/>
      <w:iCs/>
      <w:color w:val="404040" w:themeColor="text1" w:themeTint="BF"/>
    </w:rPr>
  </w:style>
  <w:style w:type="paragraph" w:styleId="ListParagraph">
    <w:name w:val="List Paragraph"/>
    <w:basedOn w:val="Normal"/>
    <w:uiPriority w:val="34"/>
    <w:qFormat/>
    <w:rsid w:val="008F7AF7"/>
    <w:pPr>
      <w:ind w:left="720"/>
      <w:contextualSpacing/>
    </w:pPr>
  </w:style>
  <w:style w:type="character" w:styleId="IntenseEmphasis">
    <w:name w:val="Intense Emphasis"/>
    <w:basedOn w:val="DefaultParagraphFont"/>
    <w:uiPriority w:val="21"/>
    <w:qFormat/>
    <w:rsid w:val="008F7AF7"/>
    <w:rPr>
      <w:i/>
      <w:iCs/>
      <w:color w:val="365F91" w:themeColor="accent1" w:themeShade="BF"/>
    </w:rPr>
  </w:style>
  <w:style w:type="paragraph" w:styleId="IntenseQuote">
    <w:name w:val="Intense Quote"/>
    <w:basedOn w:val="Normal"/>
    <w:next w:val="Normal"/>
    <w:link w:val="IntenseQuoteChar"/>
    <w:uiPriority w:val="30"/>
    <w:qFormat/>
    <w:rsid w:val="008F7AF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F7AF7"/>
    <w:rPr>
      <w:i/>
      <w:iCs/>
      <w:color w:val="365F91" w:themeColor="accent1" w:themeShade="BF"/>
    </w:rPr>
  </w:style>
  <w:style w:type="character" w:styleId="IntenseReference">
    <w:name w:val="Intense Reference"/>
    <w:basedOn w:val="DefaultParagraphFont"/>
    <w:uiPriority w:val="32"/>
    <w:qFormat/>
    <w:rsid w:val="008F7AF7"/>
    <w:rPr>
      <w:b/>
      <w:bCs/>
      <w:smallCaps/>
      <w:color w:val="365F91" w:themeColor="accent1" w:themeShade="BF"/>
      <w:spacing w:val="5"/>
    </w:rPr>
  </w:style>
  <w:style w:type="paragraph" w:styleId="NoSpacing">
    <w:name w:val="No Spacing"/>
    <w:uiPriority w:val="1"/>
    <w:qFormat/>
    <w:rsid w:val="004F54F1"/>
    <w:pPr>
      <w:spacing w:after="0" w:line="240" w:lineRule="auto"/>
    </w:pPr>
    <w:rPr>
      <w:rFonts w:ascii="Times New Roman" w:eastAsia="Times New Roman"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420</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dc:creator>
  <cp:keywords/>
  <dc:description/>
  <cp:lastModifiedBy>Contabil</cp:lastModifiedBy>
  <cp:revision>4</cp:revision>
  <dcterms:created xsi:type="dcterms:W3CDTF">2026-04-22T13:59:00Z</dcterms:created>
  <dcterms:modified xsi:type="dcterms:W3CDTF">2026-04-22T14:24:00Z</dcterms:modified>
</cp:coreProperties>
</file>