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
        <w:tblpPr w:leftFromText="180" w:rightFromText="180" w:bottomFromText="200" w:vertAnchor="page" w:horzAnchor="page" w:tblpX="1567" w:tblpY="348"/>
        <w:tblOverlap w:val="never"/>
        <w:tblW w:w="9885" w:type="dxa"/>
        <w:tblInd w:w="0" w:type="dxa"/>
        <w:tblLayout w:type="fixed"/>
        <w:tblCellMar>
          <w:top w:w="0" w:type="dxa"/>
          <w:left w:w="108" w:type="dxa"/>
          <w:bottom w:w="0" w:type="dxa"/>
          <w:right w:w="108" w:type="dxa"/>
        </w:tblCellMar>
      </w:tblPr>
      <w:tblGrid>
        <w:gridCol w:w="1651"/>
        <w:gridCol w:w="6499"/>
        <w:gridCol w:w="1735"/>
      </w:tblGrid>
      <w:tr w14:paraId="2CD24914">
        <w:tblPrEx>
          <w:tblCellMar>
            <w:top w:w="0" w:type="dxa"/>
            <w:left w:w="108" w:type="dxa"/>
            <w:bottom w:w="0" w:type="dxa"/>
            <w:right w:w="108" w:type="dxa"/>
          </w:tblCellMar>
        </w:tblPrEx>
        <w:trPr>
          <w:trHeight w:val="998" w:hRule="atLeast"/>
        </w:trPr>
        <w:tc>
          <w:tcPr>
            <w:tcW w:w="1651" w:type="dxa"/>
          </w:tcPr>
          <w:p w14:paraId="0C72178B">
            <w:pPr>
              <w:autoSpaceDN w:val="0"/>
              <w:spacing w:after="0" w:line="276" w:lineRule="auto"/>
              <w:rPr>
                <w:rFonts w:ascii="Times New Roman" w:hAnsi="Times New Roman" w:eastAsia="Times New Roman" w:cs="Times New Roman"/>
                <w:sz w:val="24"/>
                <w:szCs w:val="24"/>
                <w:lang w:eastAsia="zh-CN"/>
              </w:rPr>
            </w:pPr>
            <w:r>
              <w:rPr>
                <w:rFonts w:ascii="Arial" w:hAnsi="Arial" w:eastAsia="SimSun" w:cs="Arial"/>
                <w:sz w:val="24"/>
                <w:szCs w:val="24"/>
              </w:rPr>
              <w:drawing>
                <wp:anchor distT="0" distB="0" distL="114300" distR="114300" simplePos="0" relativeHeight="251659264" behindDoc="1" locked="0" layoutInCell="1" allowOverlap="1">
                  <wp:simplePos x="0" y="0"/>
                  <wp:positionH relativeFrom="column">
                    <wp:posOffset>181610</wp:posOffset>
                  </wp:positionH>
                  <wp:positionV relativeFrom="paragraph">
                    <wp:posOffset>87630</wp:posOffset>
                  </wp:positionV>
                  <wp:extent cx="581025" cy="840740"/>
                  <wp:effectExtent l="0" t="0" r="9525" b="0"/>
                  <wp:wrapNone/>
                  <wp:docPr id="17" name="Picture 3" descr="Description: 2000px-Coat_of_arms_of_Roma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3" descr="Description: 2000px-Coat_of_arms_of_Romania"/>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581025" cy="840740"/>
                          </a:xfrm>
                          <a:prstGeom prst="rect">
                            <a:avLst/>
                          </a:prstGeom>
                          <a:noFill/>
                        </pic:spPr>
                      </pic:pic>
                    </a:graphicData>
                  </a:graphic>
                </wp:anchor>
              </w:drawing>
            </w:r>
          </w:p>
        </w:tc>
        <w:tc>
          <w:tcPr>
            <w:tcW w:w="6502" w:type="dxa"/>
          </w:tcPr>
          <w:p w14:paraId="26B3D7DC">
            <w:pPr>
              <w:tabs>
                <w:tab w:val="left" w:pos="1089"/>
              </w:tabs>
              <w:autoSpaceDN w:val="0"/>
              <w:spacing w:after="0" w:line="276" w:lineRule="auto"/>
              <w:jc w:val="center"/>
              <w:rPr>
                <w:rFonts w:ascii="Times New Roman" w:hAnsi="Times New Roman" w:eastAsia="Times New Roman" w:cs="Times New Roman"/>
                <w:sz w:val="16"/>
                <w:szCs w:val="16"/>
                <w:lang w:eastAsia="zh-CN"/>
              </w:rPr>
            </w:pPr>
            <w:r>
              <w:rPr>
                <w:rFonts w:ascii="Times New Roman" w:hAnsi="Times New Roman" w:eastAsia="Times New Roman" w:cs="Times New Roman"/>
                <w:sz w:val="16"/>
                <w:szCs w:val="16"/>
                <w:lang w:eastAsia="zh-CN"/>
              </w:rPr>
              <w:t>ROM</w:t>
            </w:r>
            <w:r>
              <w:rPr>
                <w:rFonts w:ascii="Times New Roman" w:hAnsi="Times New Roman" w:eastAsia="Times New Roman" w:cs="Times New Roman"/>
                <w:sz w:val="16"/>
                <w:szCs w:val="16"/>
                <w:lang w:val="ro-RO" w:eastAsia="zh-CN"/>
              </w:rPr>
              <w:t>Â</w:t>
            </w:r>
            <w:r>
              <w:rPr>
                <w:rFonts w:ascii="Times New Roman" w:hAnsi="Times New Roman" w:eastAsia="Times New Roman" w:cs="Times New Roman"/>
                <w:sz w:val="16"/>
                <w:szCs w:val="16"/>
                <w:lang w:eastAsia="zh-CN"/>
              </w:rPr>
              <w:t>NIA</w:t>
            </w:r>
          </w:p>
          <w:p w14:paraId="33CAB914">
            <w:pPr>
              <w:tabs>
                <w:tab w:val="left" w:pos="1089"/>
              </w:tabs>
              <w:autoSpaceDN w:val="0"/>
              <w:spacing w:after="0" w:line="276" w:lineRule="auto"/>
              <w:jc w:val="center"/>
              <w:rPr>
                <w:rFonts w:ascii="Times New Roman" w:hAnsi="Times New Roman" w:eastAsia="Times New Roman" w:cs="Times New Roman"/>
                <w:sz w:val="16"/>
                <w:szCs w:val="16"/>
                <w:lang w:eastAsia="zh-CN"/>
              </w:rPr>
            </w:pPr>
            <w:r>
              <w:rPr>
                <w:rFonts w:ascii="Times New Roman" w:hAnsi="Times New Roman" w:eastAsia="Times New Roman" w:cs="Times New Roman"/>
                <w:sz w:val="16"/>
                <w:szCs w:val="16"/>
                <w:lang w:eastAsia="zh-CN"/>
              </w:rPr>
              <w:t>ORAȘUL MURFATLAR</w:t>
            </w:r>
          </w:p>
          <w:p w14:paraId="4891034F">
            <w:pPr>
              <w:tabs>
                <w:tab w:val="left" w:pos="1089"/>
              </w:tabs>
              <w:autoSpaceDN w:val="0"/>
              <w:spacing w:after="0" w:line="276" w:lineRule="auto"/>
              <w:jc w:val="center"/>
              <w:rPr>
                <w:rFonts w:ascii="Times New Roman" w:hAnsi="Times New Roman" w:eastAsia="Times New Roman" w:cs="Times New Roman"/>
                <w:sz w:val="16"/>
                <w:szCs w:val="16"/>
                <w:lang w:eastAsia="zh-CN"/>
              </w:rPr>
            </w:pPr>
            <w:r>
              <w:rPr>
                <w:rFonts w:ascii="Arial" w:hAnsi="Arial" w:eastAsia="SimSun" w:cs="Arial"/>
                <w:sz w:val="24"/>
                <w:szCs w:val="24"/>
              </w:rPr>
              <w:drawing>
                <wp:anchor distT="0" distB="0" distL="114300" distR="114300" simplePos="0" relativeHeight="251661312" behindDoc="1" locked="0" layoutInCell="1" allowOverlap="1">
                  <wp:simplePos x="0" y="0"/>
                  <wp:positionH relativeFrom="column">
                    <wp:posOffset>304165</wp:posOffset>
                  </wp:positionH>
                  <wp:positionV relativeFrom="paragraph">
                    <wp:posOffset>112395</wp:posOffset>
                  </wp:positionV>
                  <wp:extent cx="3452495" cy="76200"/>
                  <wp:effectExtent l="0" t="0" r="0" b="0"/>
                  <wp:wrapNone/>
                  <wp:docPr id="1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3452495" cy="76200"/>
                          </a:xfrm>
                          <a:prstGeom prst="rect">
                            <a:avLst/>
                          </a:prstGeom>
                          <a:noFill/>
                        </pic:spPr>
                      </pic:pic>
                    </a:graphicData>
                  </a:graphic>
                </wp:anchor>
              </w:drawing>
            </w:r>
            <w:r>
              <w:rPr>
                <w:rFonts w:ascii="Times New Roman" w:hAnsi="Times New Roman" w:eastAsia="Times New Roman" w:cs="Times New Roman"/>
                <w:sz w:val="16"/>
                <w:szCs w:val="16"/>
                <w:lang w:eastAsia="zh-CN"/>
              </w:rPr>
              <w:t>JUDEŢUL CONSTANŢA</w:t>
            </w:r>
          </w:p>
          <w:p w14:paraId="2648C2E8">
            <w:pPr>
              <w:tabs>
                <w:tab w:val="left" w:pos="1089"/>
              </w:tabs>
              <w:autoSpaceDN w:val="0"/>
              <w:spacing w:after="0" w:line="276" w:lineRule="auto"/>
              <w:jc w:val="center"/>
              <w:rPr>
                <w:rFonts w:ascii="Times New Roman" w:hAnsi="Times New Roman" w:eastAsia="Times New Roman" w:cs="Times New Roman"/>
                <w:sz w:val="16"/>
                <w:szCs w:val="16"/>
                <w:lang w:eastAsia="zh-CN"/>
              </w:rPr>
            </w:pPr>
            <w:r>
              <w:rPr>
                <w:rFonts w:ascii="Times New Roman" w:hAnsi="Times New Roman" w:eastAsia="Times New Roman" w:cs="Times New Roman"/>
                <w:sz w:val="16"/>
                <w:szCs w:val="16"/>
                <w:lang w:eastAsia="zh-CN"/>
              </w:rPr>
              <w:t xml:space="preserve"> Str. Calea Dobrogei, nr. 1, cod 905100</w:t>
            </w:r>
          </w:p>
          <w:p w14:paraId="503BBE0D">
            <w:pPr>
              <w:tabs>
                <w:tab w:val="left" w:pos="1089"/>
              </w:tabs>
              <w:autoSpaceDN w:val="0"/>
              <w:spacing w:after="0" w:line="276" w:lineRule="auto"/>
              <w:jc w:val="center"/>
              <w:rPr>
                <w:rFonts w:ascii="Times New Roman" w:hAnsi="Times New Roman" w:eastAsia="Times New Roman" w:cs="Times New Roman"/>
                <w:sz w:val="16"/>
                <w:szCs w:val="16"/>
                <w:lang w:val="fr-FR" w:eastAsia="zh-CN"/>
              </w:rPr>
            </w:pPr>
            <w:r>
              <w:rPr>
                <w:rFonts w:ascii="Times New Roman" w:hAnsi="Times New Roman" w:eastAsia="Times New Roman" w:cs="Times New Roman"/>
                <w:sz w:val="16"/>
                <w:szCs w:val="16"/>
                <w:lang w:val="fr-FR" w:eastAsia="zh-CN"/>
              </w:rPr>
              <w:t>Email: consiliu-local@primaria-murfatlar.ro</w:t>
            </w:r>
          </w:p>
          <w:p w14:paraId="574C8144">
            <w:pPr>
              <w:tabs>
                <w:tab w:val="left" w:pos="1089"/>
              </w:tabs>
              <w:autoSpaceDN w:val="0"/>
              <w:spacing w:after="0" w:line="276" w:lineRule="auto"/>
              <w:jc w:val="center"/>
              <w:rPr>
                <w:rFonts w:ascii="Times New Roman" w:hAnsi="Times New Roman" w:eastAsia="Times New Roman" w:cs="Times New Roman"/>
                <w:sz w:val="16"/>
                <w:szCs w:val="16"/>
                <w:lang w:eastAsia="zh-CN"/>
              </w:rPr>
            </w:pPr>
            <w:r>
              <w:rPr>
                <w:rFonts w:ascii="Times New Roman" w:hAnsi="Times New Roman" w:eastAsia="Times New Roman" w:cs="Times New Roman"/>
                <w:sz w:val="16"/>
                <w:szCs w:val="16"/>
                <w:lang w:eastAsia="zh-CN"/>
              </w:rPr>
              <w:t>Website: www.primaria-murfatlar.ro</w:t>
            </w:r>
          </w:p>
          <w:p w14:paraId="2B5D279D">
            <w:pPr>
              <w:tabs>
                <w:tab w:val="left" w:pos="1089"/>
              </w:tabs>
              <w:autoSpaceDN w:val="0"/>
              <w:spacing w:after="0" w:line="276" w:lineRule="auto"/>
              <w:jc w:val="center"/>
              <w:rPr>
                <w:rFonts w:ascii="Times New Roman" w:hAnsi="Times New Roman" w:eastAsia="Times New Roman" w:cs="Times New Roman"/>
                <w:sz w:val="16"/>
                <w:szCs w:val="16"/>
                <w:lang w:eastAsia="zh-CN"/>
              </w:rPr>
            </w:pPr>
            <w:r>
              <w:rPr>
                <w:rFonts w:ascii="Times New Roman" w:hAnsi="Times New Roman" w:eastAsia="Times New Roman" w:cs="Times New Roman"/>
                <w:sz w:val="16"/>
                <w:szCs w:val="16"/>
                <w:lang w:eastAsia="zh-CN"/>
              </w:rPr>
              <w:t>Telefon: 0241/234350 0726 238488 Fax: 0241/234516</w:t>
            </w:r>
          </w:p>
        </w:tc>
        <w:tc>
          <w:tcPr>
            <w:tcW w:w="1736" w:type="dxa"/>
          </w:tcPr>
          <w:p w14:paraId="597CCFDD">
            <w:pPr>
              <w:autoSpaceDN w:val="0"/>
              <w:spacing w:after="0" w:line="276" w:lineRule="auto"/>
              <w:rPr>
                <w:rFonts w:ascii="Times New Roman" w:hAnsi="Times New Roman" w:eastAsia="Times New Roman" w:cs="Times New Roman"/>
                <w:sz w:val="24"/>
                <w:szCs w:val="24"/>
                <w:lang w:eastAsia="zh-CN"/>
              </w:rPr>
            </w:pPr>
            <w:r>
              <w:rPr>
                <w:rFonts w:ascii="Arial" w:hAnsi="Arial" w:eastAsia="SimSun" w:cs="Arial"/>
                <w:sz w:val="24"/>
                <w:szCs w:val="24"/>
              </w:rPr>
              <w:drawing>
                <wp:anchor distT="0" distB="0" distL="114300" distR="114300" simplePos="0" relativeHeight="251660288" behindDoc="1" locked="0" layoutInCell="1" allowOverlap="1">
                  <wp:simplePos x="0" y="0"/>
                  <wp:positionH relativeFrom="column">
                    <wp:posOffset>232410</wp:posOffset>
                  </wp:positionH>
                  <wp:positionV relativeFrom="paragraph">
                    <wp:posOffset>66675</wp:posOffset>
                  </wp:positionV>
                  <wp:extent cx="556895" cy="872490"/>
                  <wp:effectExtent l="0" t="0" r="0" b="3810"/>
                  <wp:wrapNone/>
                  <wp:docPr id="18" name="Picture 5" descr="Description: stema_200x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5" descr="Description: stema_200x31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556895" cy="872490"/>
                          </a:xfrm>
                          <a:prstGeom prst="rect">
                            <a:avLst/>
                          </a:prstGeom>
                          <a:noFill/>
                        </pic:spPr>
                      </pic:pic>
                    </a:graphicData>
                  </a:graphic>
                </wp:anchor>
              </w:drawing>
            </w:r>
          </w:p>
        </w:tc>
      </w:tr>
    </w:tbl>
    <w:p w14:paraId="7E9CDE92">
      <w:pPr>
        <w:rPr>
          <w:rFonts w:hint="default" w:ascii="Times New Roman" w:hAnsi="Times New Roman" w:cs="Times New Roman"/>
          <w:b/>
          <w:bCs/>
          <w:color w:val="auto"/>
          <w:sz w:val="24"/>
          <w:szCs w:val="24"/>
          <w:lang w:val="ro-RO"/>
        </w:rPr>
      </w:pPr>
      <w:r>
        <w:rPr>
          <w:rFonts w:ascii="Times New Roman" w:hAnsi="Times New Roman" w:cs="Times New Roman"/>
          <w:b/>
          <w:bCs/>
          <w:color w:val="auto"/>
          <w:sz w:val="24"/>
          <w:szCs w:val="24"/>
        </w:rPr>
        <w:t>Nr</w:t>
      </w:r>
      <w:r>
        <w:rPr>
          <w:rFonts w:hint="default" w:ascii="Times New Roman" w:hAnsi="Times New Roman" w:cs="Times New Roman"/>
          <w:b/>
          <w:bCs/>
          <w:color w:val="auto"/>
          <w:sz w:val="24"/>
          <w:szCs w:val="24"/>
        </w:rPr>
        <w:t>.</w:t>
      </w:r>
      <w:r>
        <w:rPr>
          <w:rFonts w:hint="default" w:ascii="Times New Roman" w:hAnsi="Times New Roman" w:cs="Times New Roman"/>
          <w:b/>
          <w:bCs/>
          <w:color w:val="auto"/>
          <w:sz w:val="24"/>
          <w:szCs w:val="24"/>
          <w:lang w:val="ro-RO"/>
        </w:rPr>
        <w:t xml:space="preserve"> </w:t>
      </w:r>
      <w:r>
        <w:rPr>
          <w:rFonts w:hint="default" w:ascii="Times New Roman" w:hAnsi="Times New Roman" w:cs="Times New Roman"/>
          <w:b/>
          <w:bCs/>
          <w:color w:val="auto"/>
          <w:sz w:val="24"/>
          <w:szCs w:val="24"/>
        </w:rPr>
        <w:t>10248</w:t>
      </w:r>
      <w:r>
        <w:rPr>
          <w:rFonts w:hint="default" w:ascii="Times New Roman" w:hAnsi="Times New Roman" w:cs="Times New Roman"/>
          <w:b/>
          <w:bCs/>
          <w:color w:val="auto"/>
          <w:sz w:val="24"/>
          <w:szCs w:val="24"/>
          <w:lang w:val="ro-RO"/>
        </w:rPr>
        <w:t xml:space="preserve"> / </w:t>
      </w:r>
      <w:r>
        <w:rPr>
          <w:rFonts w:hint="default" w:ascii="Times New Roman" w:hAnsi="Times New Roman" w:cs="Times New Roman"/>
          <w:b/>
          <w:bCs/>
          <w:color w:val="auto"/>
          <w:sz w:val="24"/>
          <w:szCs w:val="24"/>
        </w:rPr>
        <w:t>20.05</w:t>
      </w:r>
      <w:r>
        <w:rPr>
          <w:rFonts w:hint="default" w:ascii="Times New Roman" w:hAnsi="Times New Roman" w:cs="Times New Roman"/>
          <w:b/>
          <w:bCs/>
          <w:color w:val="auto"/>
          <w:sz w:val="24"/>
          <w:szCs w:val="24"/>
          <w:lang w:val="ro-RO"/>
        </w:rPr>
        <w:t>.2026</w:t>
      </w:r>
    </w:p>
    <w:p w14:paraId="614BB170">
      <w:pPr>
        <w:jc w:val="center"/>
        <w:rPr>
          <w:rFonts w:ascii="Times New Roman" w:hAnsi="Times New Roman" w:cs="Times New Roman"/>
          <w:i/>
          <w:iCs/>
          <w:sz w:val="24"/>
          <w:szCs w:val="24"/>
          <w:lang w:val="ro-RO"/>
        </w:rPr>
      </w:pPr>
      <w:r>
        <w:rPr>
          <w:rFonts w:ascii="Times New Roman" w:hAnsi="Times New Roman" w:cs="Times New Roman"/>
          <w:b/>
          <w:bCs/>
          <w:sz w:val="24"/>
          <w:szCs w:val="24"/>
        </w:rPr>
        <w:t>Raport de specialitate</w:t>
      </w:r>
    </w:p>
    <w:p w14:paraId="1AE3647D">
      <w:pPr>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 xml:space="preserve">pentru organizarea şi desfăşurarea licitaţiei publice privind vânzarea </w:t>
      </w:r>
      <w:r>
        <w:rPr>
          <w:rFonts w:hint="default" w:ascii="Times New Roman" w:hAnsi="Times New Roman" w:eastAsia="Calibri" w:cs="Times New Roman"/>
          <w:b/>
          <w:sz w:val="24"/>
          <w:szCs w:val="24"/>
          <w:lang w:val="ro-RO"/>
        </w:rPr>
        <w:t>unor terenuri intravilane</w:t>
      </w:r>
      <w:r>
        <w:rPr>
          <w:rFonts w:ascii="Times New Roman" w:hAnsi="Times New Roman" w:eastAsia="Calibri" w:cs="Times New Roman"/>
          <w:b/>
          <w:sz w:val="24"/>
          <w:szCs w:val="24"/>
        </w:rPr>
        <w:t>,</w:t>
      </w:r>
      <w:r>
        <w:rPr>
          <w:rFonts w:hint="default" w:ascii="Times New Roman" w:hAnsi="Times New Roman" w:eastAsia="Calibri" w:cs="Times New Roman"/>
          <w:b/>
          <w:sz w:val="24"/>
          <w:szCs w:val="24"/>
          <w:lang w:val="ro-RO"/>
        </w:rPr>
        <w:t xml:space="preserve"> </w:t>
      </w:r>
      <w:r>
        <w:rPr>
          <w:rFonts w:ascii="Times New Roman" w:hAnsi="Times New Roman" w:eastAsia="Calibri" w:cs="Times New Roman"/>
          <w:b/>
          <w:sz w:val="24"/>
          <w:szCs w:val="24"/>
        </w:rPr>
        <w:t>categoria de folosinţă</w:t>
      </w:r>
      <w:r>
        <w:rPr>
          <w:rFonts w:hint="default" w:ascii="Times New Roman" w:hAnsi="Times New Roman" w:eastAsia="Calibri" w:cs="Times New Roman"/>
          <w:b/>
          <w:sz w:val="24"/>
          <w:szCs w:val="24"/>
          <w:lang w:val="ro-RO"/>
        </w:rPr>
        <w:t xml:space="preserve"> curți construcții</w:t>
      </w:r>
      <w:r>
        <w:rPr>
          <w:rFonts w:ascii="Times New Roman" w:hAnsi="Times New Roman" w:eastAsia="Calibri" w:cs="Times New Roman"/>
          <w:b/>
          <w:sz w:val="24"/>
          <w:szCs w:val="24"/>
        </w:rPr>
        <w:t xml:space="preserve"> situat</w:t>
      </w:r>
      <w:r>
        <w:rPr>
          <w:rFonts w:hint="default" w:ascii="Times New Roman" w:hAnsi="Times New Roman" w:eastAsia="Calibri" w:cs="Times New Roman"/>
          <w:b/>
          <w:sz w:val="24"/>
          <w:szCs w:val="24"/>
          <w:lang w:val="ro-RO"/>
        </w:rPr>
        <w:t>e</w:t>
      </w:r>
      <w:r>
        <w:rPr>
          <w:rFonts w:ascii="Times New Roman" w:hAnsi="Times New Roman" w:eastAsia="Calibri" w:cs="Times New Roman"/>
          <w:b/>
          <w:sz w:val="24"/>
          <w:szCs w:val="24"/>
        </w:rPr>
        <w:t xml:space="preserve"> în orașul Murfatlar,</w:t>
      </w:r>
      <w:r>
        <w:rPr>
          <w:rFonts w:ascii="Times New Roman" w:hAnsi="Times New Roman" w:eastAsia="Calibri" w:cs="Times New Roman"/>
          <w:b/>
          <w:sz w:val="24"/>
          <w:szCs w:val="24"/>
          <w:lang w:val="ro-RO"/>
        </w:rPr>
        <w:t xml:space="preserve"> </w:t>
      </w:r>
      <w:r>
        <w:rPr>
          <w:rFonts w:ascii="Times New Roman" w:hAnsi="Times New Roman" w:eastAsia="Calibri" w:cs="Times New Roman"/>
          <w:b/>
          <w:sz w:val="24"/>
          <w:szCs w:val="24"/>
        </w:rPr>
        <w:t xml:space="preserve">str. </w:t>
      </w:r>
      <w:r>
        <w:rPr>
          <w:rFonts w:hint="default" w:ascii="Times New Roman" w:hAnsi="Times New Roman" w:eastAsia="Calibri" w:cs="Times New Roman"/>
          <w:b/>
          <w:sz w:val="24"/>
          <w:szCs w:val="24"/>
          <w:lang w:val="ro-RO"/>
        </w:rPr>
        <w:t>Nicolae Bălcescu</w:t>
      </w:r>
      <w:r>
        <w:rPr>
          <w:rFonts w:hint="default" w:ascii="Times New Roman" w:hAnsi="Times New Roman" w:eastAsia="Calibri" w:cs="Times New Roman"/>
          <w:b/>
          <w:sz w:val="24"/>
          <w:szCs w:val="24"/>
        </w:rPr>
        <w:t xml:space="preserve"> nr. </w:t>
      </w:r>
      <w:r>
        <w:rPr>
          <w:rFonts w:hint="default" w:ascii="Times New Roman" w:hAnsi="Times New Roman" w:eastAsia="Calibri" w:cs="Times New Roman"/>
          <w:b/>
          <w:sz w:val="24"/>
          <w:szCs w:val="24"/>
          <w:lang w:val="ro-RO"/>
        </w:rPr>
        <w:t>FN</w:t>
      </w:r>
      <w:r>
        <w:rPr>
          <w:rFonts w:ascii="Times New Roman" w:hAnsi="Times New Roman" w:eastAsia="Calibri" w:cs="Times New Roman"/>
          <w:b/>
          <w:sz w:val="24"/>
          <w:szCs w:val="24"/>
        </w:rPr>
        <w:t>, aparținând domeniului privat al Orașului Murfatlar</w:t>
      </w:r>
    </w:p>
    <w:p w14:paraId="2A5C8A68">
      <w:pPr>
        <w:spacing w:after="0" w:line="240" w:lineRule="auto"/>
        <w:jc w:val="center"/>
        <w:rPr>
          <w:rFonts w:hint="default" w:ascii="Times New Roman" w:hAnsi="Times New Roman" w:eastAsia="Calibri" w:cs="Times New Roman"/>
          <w:b/>
          <w:sz w:val="24"/>
          <w:szCs w:val="24"/>
          <w:lang w:val="ro-RO"/>
        </w:rPr>
      </w:pPr>
    </w:p>
    <w:p w14:paraId="1225E1EB">
      <w:pPr>
        <w:keepNext w:val="0"/>
        <w:keepLines w:val="0"/>
        <w:pageBreakBefore w:val="0"/>
        <w:widowControl/>
        <w:kinsoku/>
        <w:wordWrap/>
        <w:overflowPunct/>
        <w:topLinePunct w:val="0"/>
        <w:autoSpaceDE/>
        <w:autoSpaceDN/>
        <w:bidi w:val="0"/>
        <w:adjustRightInd/>
        <w:snapToGrid/>
        <w:spacing w:after="0" w:line="260" w:lineRule="auto"/>
        <w:ind w:firstLine="720" w:firstLineChars="0"/>
        <w:jc w:val="both"/>
        <w:textAlignment w:val="auto"/>
        <w:rPr>
          <w:rFonts w:hint="default" w:ascii="Times New Roman" w:hAnsi="Times New Roman" w:cs="Times New Roman"/>
          <w:sz w:val="24"/>
          <w:szCs w:val="24"/>
          <w:lang w:val="ro-RO"/>
        </w:rPr>
      </w:pPr>
      <w:r>
        <w:rPr>
          <w:rFonts w:ascii="Times New Roman" w:hAnsi="Times New Roman" w:cs="Times New Roman"/>
          <w:sz w:val="24"/>
          <w:szCs w:val="24"/>
          <w:lang w:val="ro-RO"/>
        </w:rPr>
        <w:t>Compartimentul de resort</w:t>
      </w:r>
      <w:r>
        <w:rPr>
          <w:rFonts w:hint="default" w:ascii="Times New Roman" w:hAnsi="Times New Roman" w:cs="Times New Roman"/>
          <w:sz w:val="24"/>
          <w:szCs w:val="24"/>
          <w:lang w:val="ro-RO"/>
        </w:rPr>
        <w:t xml:space="preserve"> </w:t>
      </w:r>
      <w:r>
        <w:rPr>
          <w:rFonts w:hint="default" w:ascii="Times New Roman" w:hAnsi="Times New Roman" w:cs="Times New Roman"/>
          <w:sz w:val="24"/>
          <w:szCs w:val="24"/>
          <w:lang w:val="ro-RO" w:eastAsia="ro-RO"/>
        </w:rPr>
        <w:t xml:space="preserve">Compartiment Cadastru  din  cadrul U.A.T. orașul Murfatlar, </w:t>
      </w:r>
      <w:r>
        <w:rPr>
          <w:rFonts w:hint="default" w:ascii="Times New Roman" w:hAnsi="Times New Roman" w:cs="Times New Roman"/>
          <w:sz w:val="24"/>
          <w:szCs w:val="24"/>
          <w:lang w:val="ro-RO"/>
        </w:rPr>
        <w:t>în temeiul prevederilor art. 136, alin. (8), lit. b) și alin. (10) din O.U.G. nr. 57/ 2019 privind Codul administrativ, cu modificările și completările ulterioare, formulez prezentul raport de specialitate cu privire la aprobarea vânzării prin licitație publică a unor terenuri intravilane, categoria de folosinţă curți construcții situate în orașul Murfatlar, str. Nicolae Bălcescu nr. FN, aparținând domeniului privat al Orașului Murfatlar, după cum urmează:</w:t>
      </w:r>
    </w:p>
    <w:p w14:paraId="04121617">
      <w:pPr>
        <w:keepNext w:val="0"/>
        <w:keepLines w:val="0"/>
        <w:pageBreakBefore w:val="0"/>
        <w:widowControl/>
        <w:kinsoku/>
        <w:wordWrap/>
        <w:overflowPunct/>
        <w:topLinePunct w:val="0"/>
        <w:autoSpaceDE/>
        <w:autoSpaceDN/>
        <w:bidi w:val="0"/>
        <w:adjustRightInd/>
        <w:snapToGrid/>
        <w:spacing w:after="0" w:line="260" w:lineRule="auto"/>
        <w:ind w:firstLine="720" w:firstLineChars="0"/>
        <w:jc w:val="both"/>
        <w:textAlignment w:val="auto"/>
        <w:rPr>
          <w:rFonts w:hint="default" w:ascii="Times New Roman" w:hAnsi="Times New Roman" w:cs="Times New Roman"/>
          <w:sz w:val="24"/>
          <w:szCs w:val="24"/>
          <w:lang w:val="ro-RO"/>
        </w:rPr>
      </w:pPr>
      <w:r>
        <w:rPr>
          <w:rFonts w:hint="default" w:ascii="Times New Roman" w:hAnsi="Times New Roman" w:cs="Times New Roman"/>
          <w:sz w:val="24"/>
          <w:szCs w:val="24"/>
          <w:lang w:val="ro-RO"/>
        </w:rPr>
        <w:t>- Teren din str. N. Bălcescu FN lot 7, Murfatlar, jud Constanța în suprafață de 93 mp, nr. Cadastral 107981</w:t>
      </w:r>
    </w:p>
    <w:p w14:paraId="35F99F2A">
      <w:pPr>
        <w:keepNext w:val="0"/>
        <w:keepLines w:val="0"/>
        <w:pageBreakBefore w:val="0"/>
        <w:widowControl/>
        <w:kinsoku/>
        <w:wordWrap/>
        <w:overflowPunct/>
        <w:topLinePunct w:val="0"/>
        <w:autoSpaceDE/>
        <w:autoSpaceDN/>
        <w:bidi w:val="0"/>
        <w:adjustRightInd/>
        <w:snapToGrid/>
        <w:spacing w:after="0" w:line="260" w:lineRule="auto"/>
        <w:ind w:firstLine="720" w:firstLineChars="0"/>
        <w:jc w:val="both"/>
        <w:textAlignment w:val="auto"/>
        <w:rPr>
          <w:rFonts w:hint="default" w:ascii="Times New Roman" w:hAnsi="Times New Roman" w:cs="Times New Roman"/>
          <w:sz w:val="24"/>
          <w:szCs w:val="24"/>
          <w:lang w:val="ro-RO"/>
        </w:rPr>
      </w:pPr>
      <w:r>
        <w:rPr>
          <w:rFonts w:hint="default" w:ascii="Times New Roman" w:hAnsi="Times New Roman" w:cs="Times New Roman"/>
          <w:sz w:val="24"/>
          <w:szCs w:val="24"/>
          <w:lang w:val="ro-RO"/>
        </w:rPr>
        <w:t>- Teren din str. N. Bălcescu FN lot 8, Murfatlar, jud Constanța în suprafață de 110 mp, nr. Cadastral 107983</w:t>
      </w:r>
    </w:p>
    <w:p w14:paraId="03F8A977">
      <w:pPr>
        <w:jc w:val="both"/>
        <w:rPr>
          <w:rFonts w:hint="default" w:ascii="Times New Roman" w:hAnsi="Times New Roman" w:cs="Times New Roman"/>
          <w:b/>
          <w:bCs/>
          <w:sz w:val="24"/>
          <w:szCs w:val="24"/>
          <w:lang w:val="ro-RO"/>
        </w:rPr>
      </w:pPr>
      <w:r>
        <w:rPr>
          <w:rFonts w:hint="default" w:ascii="Times New Roman" w:hAnsi="Times New Roman" w:cs="Times New Roman"/>
          <w:b/>
          <w:bCs/>
          <w:sz w:val="24"/>
          <w:szCs w:val="24"/>
          <w:lang w:val="ro-RO"/>
        </w:rPr>
        <w:t>Cadrul legal:</w:t>
      </w:r>
    </w:p>
    <w:p w14:paraId="55FC2DDD">
      <w:pPr>
        <w:keepNext w:val="0"/>
        <w:keepLines w:val="0"/>
        <w:pageBreakBefore w:val="0"/>
        <w:widowControl/>
        <w:kinsoku/>
        <w:wordWrap/>
        <w:overflowPunct/>
        <w:topLinePunct w:val="0"/>
        <w:bidi w:val="0"/>
        <w:snapToGrid/>
        <w:spacing w:after="0"/>
        <w:ind w:firstLine="720" w:firstLineChars="0"/>
        <w:jc w:val="both"/>
        <w:textAlignment w:val="auto"/>
        <w:rPr>
          <w:rFonts w:hint="default" w:ascii="Times New Roman" w:hAnsi="Times New Roman" w:cs="Times New Roman"/>
          <w:sz w:val="24"/>
          <w:szCs w:val="24"/>
          <w:lang w:val="ro-RO"/>
        </w:rPr>
      </w:pPr>
      <w:r>
        <w:rPr>
          <w:rFonts w:hint="default" w:ascii="Times New Roman" w:hAnsi="Times New Roman" w:cs="Times New Roman"/>
          <w:sz w:val="24"/>
          <w:szCs w:val="24"/>
          <w:lang w:val="ro-RO"/>
        </w:rPr>
        <w:t xml:space="preserve">- </w:t>
      </w:r>
      <w:r>
        <w:rPr>
          <w:rStyle w:val="6"/>
          <w:rFonts w:ascii="Times New Roman" w:hAnsi="Times New Roman" w:cs="Times New Roman"/>
          <w:i w:val="0"/>
          <w:iCs w:val="0"/>
          <w:sz w:val="24"/>
          <w:szCs w:val="24"/>
          <w:lang w:val="ro-RO"/>
        </w:rPr>
        <w:t>art. 334-346, art. 311, art. 354, art. 355, art. 363</w:t>
      </w:r>
      <w:r>
        <w:rPr>
          <w:rFonts w:hint="default" w:ascii="Times New Roman" w:hAnsi="Times New Roman" w:cs="Times New Roman"/>
          <w:sz w:val="24"/>
          <w:szCs w:val="24"/>
          <w:lang w:val="ro-RO"/>
        </w:rPr>
        <w:t xml:space="preserve"> din Ordonanța de urgență a Guvernului nr. 57/2019 privind Codul administrativ, cu </w:t>
      </w:r>
      <w:bookmarkStart w:id="0" w:name="_Hlk130057052"/>
      <w:r>
        <w:rPr>
          <w:rFonts w:hint="default" w:ascii="Times New Roman" w:hAnsi="Times New Roman" w:cs="Times New Roman"/>
          <w:sz w:val="24"/>
          <w:szCs w:val="24"/>
          <w:lang w:val="ro-RO"/>
        </w:rPr>
        <w:t>modificările și completările ulterioare;</w:t>
      </w:r>
    </w:p>
    <w:bookmarkEnd w:id="0"/>
    <w:p w14:paraId="7C86417C">
      <w:pPr>
        <w:keepNext w:val="0"/>
        <w:keepLines w:val="0"/>
        <w:pageBreakBefore w:val="0"/>
        <w:widowControl/>
        <w:kinsoku/>
        <w:wordWrap/>
        <w:overflowPunct/>
        <w:topLinePunct w:val="0"/>
        <w:bidi w:val="0"/>
        <w:snapToGrid/>
        <w:spacing w:after="0"/>
        <w:ind w:firstLine="720" w:firstLineChars="0"/>
        <w:jc w:val="both"/>
        <w:textAlignment w:val="auto"/>
        <w:rPr>
          <w:rFonts w:hint="default" w:ascii="Times New Roman" w:hAnsi="Times New Roman" w:cs="Times New Roman"/>
          <w:sz w:val="24"/>
          <w:szCs w:val="24"/>
          <w:lang w:val="ro-RO"/>
        </w:rPr>
      </w:pPr>
      <w:r>
        <w:rPr>
          <w:rFonts w:hint="default" w:ascii="Times New Roman" w:hAnsi="Times New Roman" w:cs="Times New Roman"/>
          <w:sz w:val="24"/>
          <w:szCs w:val="24"/>
          <w:lang w:val="ro-RO"/>
        </w:rPr>
        <w:t>-  art. 1650 – 1752 din Legea nr. 287/2009 privind Codul Civil, republicată, modificările și completările ulterioare;</w:t>
      </w:r>
    </w:p>
    <w:p w14:paraId="70A0B9D2">
      <w:pPr>
        <w:keepNext w:val="0"/>
        <w:keepLines w:val="0"/>
        <w:pageBreakBefore w:val="0"/>
        <w:widowControl/>
        <w:kinsoku/>
        <w:wordWrap/>
        <w:overflowPunct/>
        <w:topLinePunct w:val="0"/>
        <w:bidi w:val="0"/>
        <w:snapToGrid/>
        <w:spacing w:after="0"/>
        <w:ind w:firstLine="720" w:firstLineChars="0"/>
        <w:jc w:val="both"/>
        <w:textAlignment w:val="auto"/>
        <w:rPr>
          <w:rFonts w:hint="default" w:ascii="Times New Roman" w:hAnsi="Times New Roman" w:eastAsia="MS Mincho" w:cs="Times New Roman"/>
          <w:sz w:val="24"/>
          <w:szCs w:val="24"/>
          <w:lang w:val="ro-RO"/>
        </w:rPr>
      </w:pPr>
      <w:r>
        <w:rPr>
          <w:rFonts w:hint="default" w:ascii="Times New Roman" w:hAnsi="Times New Roman" w:cs="Times New Roman"/>
          <w:sz w:val="24"/>
          <w:szCs w:val="24"/>
          <w:lang w:val="ro-RO"/>
        </w:rPr>
        <w:t xml:space="preserve"> </w:t>
      </w:r>
      <w:r>
        <w:rPr>
          <w:rFonts w:ascii="Times New Roman" w:hAnsi="Times New Roman" w:cs="Times New Roman"/>
          <w:sz w:val="24"/>
          <w:szCs w:val="24"/>
          <w:lang w:val="ro-RO"/>
        </w:rPr>
        <w:t xml:space="preserve"> </w:t>
      </w:r>
      <w:r>
        <w:rPr>
          <w:rFonts w:hint="default" w:ascii="Times New Roman" w:hAnsi="Times New Roman" w:cs="Times New Roman"/>
          <w:sz w:val="24"/>
          <w:szCs w:val="24"/>
          <w:lang w:val="ro-RO"/>
        </w:rPr>
        <w:t>Având în vedere:</w:t>
      </w:r>
    </w:p>
    <w:p w14:paraId="2A175094">
      <w:pPr>
        <w:keepNext w:val="0"/>
        <w:keepLines w:val="0"/>
        <w:pageBreakBefore w:val="0"/>
        <w:widowControl/>
        <w:numPr>
          <w:ilvl w:val="0"/>
          <w:numId w:val="0"/>
        </w:numPr>
        <w:kinsoku/>
        <w:wordWrap/>
        <w:overflowPunct/>
        <w:topLinePunct w:val="0"/>
        <w:autoSpaceDE w:val="0"/>
        <w:autoSpaceDN w:val="0"/>
        <w:bidi w:val="0"/>
        <w:adjustRightInd w:val="0"/>
        <w:snapToGrid/>
        <w:spacing w:after="0" w:line="276" w:lineRule="auto"/>
        <w:ind w:firstLine="720" w:firstLineChars="0"/>
        <w:contextualSpacing/>
        <w:jc w:val="both"/>
        <w:textAlignment w:val="auto"/>
        <w:rPr>
          <w:rFonts w:hint="default" w:ascii="Times New Roman" w:hAnsi="Times New Roman" w:eastAsia="MS Mincho" w:cs="Times New Roman"/>
          <w:color w:val="auto"/>
          <w:sz w:val="24"/>
          <w:szCs w:val="24"/>
          <w:lang w:val="ro-RO"/>
        </w:rPr>
      </w:pPr>
      <w:bookmarkStart w:id="1" w:name="_GoBack"/>
      <w:bookmarkEnd w:id="1"/>
      <w:r>
        <w:rPr>
          <w:rFonts w:hint="default" w:ascii="Times New Roman" w:hAnsi="Times New Roman" w:eastAsia="MS Mincho" w:cs="Times New Roman"/>
          <w:color w:val="auto"/>
          <w:sz w:val="24"/>
          <w:szCs w:val="24"/>
          <w:lang w:val="ro-RO"/>
        </w:rPr>
        <w:t>- art. 363 din Ordonanța de urgență a Guvernului nr. 57/2019 privind Codul administrativ, cu modificările și completările ulterioare.</w:t>
      </w:r>
    </w:p>
    <w:p w14:paraId="0DE890A9">
      <w:pPr>
        <w:keepNext w:val="0"/>
        <w:keepLines w:val="0"/>
        <w:pageBreakBefore w:val="0"/>
        <w:widowControl/>
        <w:numPr>
          <w:ilvl w:val="0"/>
          <w:numId w:val="0"/>
        </w:numPr>
        <w:kinsoku/>
        <w:wordWrap/>
        <w:overflowPunct/>
        <w:topLinePunct w:val="0"/>
        <w:autoSpaceDE w:val="0"/>
        <w:autoSpaceDN w:val="0"/>
        <w:bidi w:val="0"/>
        <w:adjustRightInd w:val="0"/>
        <w:snapToGrid/>
        <w:spacing w:after="0" w:line="276" w:lineRule="auto"/>
        <w:ind w:firstLine="720" w:firstLineChars="0"/>
        <w:contextualSpacing/>
        <w:jc w:val="both"/>
        <w:textAlignment w:val="auto"/>
        <w:rPr>
          <w:rFonts w:hint="default" w:ascii="Times New Roman" w:hAnsi="Times New Roman" w:cs="Times New Roman"/>
          <w:bCs/>
          <w:i w:val="0"/>
          <w:iCs w:val="0"/>
          <w:sz w:val="24"/>
          <w:szCs w:val="24"/>
          <w:lang w:val="ro-RO"/>
        </w:rPr>
      </w:pPr>
      <w:r>
        <w:rPr>
          <w:rFonts w:ascii="Times New Roman" w:hAnsi="Times New Roman" w:cs="Times New Roman"/>
          <w:bCs/>
          <w:i w:val="0"/>
          <w:iCs w:val="0"/>
          <w:sz w:val="24"/>
          <w:szCs w:val="24"/>
        </w:rPr>
        <w:t>Conform art. 129 alin. (</w:t>
      </w:r>
      <w:r>
        <w:rPr>
          <w:rFonts w:hint="default" w:ascii="Times New Roman" w:hAnsi="Times New Roman" w:cs="Times New Roman"/>
          <w:bCs/>
          <w:i w:val="0"/>
          <w:iCs w:val="0"/>
          <w:sz w:val="24"/>
          <w:szCs w:val="24"/>
          <w:lang w:val="ro-RO"/>
        </w:rPr>
        <w:t>4</w:t>
      </w:r>
      <w:r>
        <w:rPr>
          <w:rFonts w:ascii="Times New Roman" w:hAnsi="Times New Roman" w:cs="Times New Roman"/>
          <w:bCs/>
          <w:i w:val="0"/>
          <w:iCs w:val="0"/>
          <w:sz w:val="24"/>
          <w:szCs w:val="24"/>
        </w:rPr>
        <w:t xml:space="preserve">), lit. f) din O.U.G. 57/2019 privind Codul Administrativ, consiliul local „asigură </w:t>
      </w:r>
      <w:r>
        <w:rPr>
          <w:rFonts w:ascii="Times New Roman" w:hAnsi="Times New Roman" w:cs="Times New Roman"/>
          <w:bCs/>
          <w:i w:val="0"/>
          <w:iCs w:val="0"/>
          <w:sz w:val="24"/>
          <w:szCs w:val="24"/>
          <w:lang w:val="en-GB"/>
        </w:rPr>
        <w:t>un mediu favorabil înființării și/sau dezvoltării afacerilor, inclusiv prin valorificarea patrimoniului existent, precum și prin realizarea de noi investiții care să contribuie la îndeplinirea programelor de dezvoltare economică regională și locală</w:t>
      </w:r>
      <w:r>
        <w:rPr>
          <w:rFonts w:ascii="Times New Roman" w:hAnsi="Times New Roman" w:cs="Times New Roman"/>
          <w:bCs/>
          <w:i w:val="0"/>
          <w:iCs w:val="0"/>
          <w:sz w:val="24"/>
          <w:szCs w:val="24"/>
        </w:rPr>
        <w:t>”</w:t>
      </w:r>
      <w:r>
        <w:rPr>
          <w:rFonts w:hint="default" w:ascii="Times New Roman" w:hAnsi="Times New Roman" w:cs="Times New Roman"/>
          <w:bCs/>
          <w:i w:val="0"/>
          <w:iCs w:val="0"/>
          <w:sz w:val="24"/>
          <w:szCs w:val="24"/>
          <w:lang w:val="ro-RO"/>
        </w:rPr>
        <w:t>.</w:t>
      </w:r>
    </w:p>
    <w:p w14:paraId="2AEFB4C3">
      <w:pPr>
        <w:spacing w:after="0" w:line="240" w:lineRule="auto"/>
        <w:ind w:firstLine="720" w:firstLineChars="0"/>
        <w:jc w:val="both"/>
        <w:rPr>
          <w:rFonts w:hint="default" w:ascii="Times New Roman" w:hAnsi="Times New Roman" w:cs="Times New Roman"/>
          <w:sz w:val="24"/>
          <w:szCs w:val="24"/>
          <w:lang w:val="ro-RO"/>
        </w:rPr>
      </w:pPr>
      <w:r>
        <w:rPr>
          <w:rFonts w:ascii="Times New Roman" w:hAnsi="Times New Roman" w:cs="Times New Roman"/>
          <w:sz w:val="24"/>
          <w:szCs w:val="24"/>
        </w:rPr>
        <w:t xml:space="preserve">Preţul de pornire a licitaţiei este  </w:t>
      </w:r>
      <w:r>
        <w:rPr>
          <w:rFonts w:ascii="Times New Roman" w:hAnsi="Times New Roman" w:cs="Times New Roman"/>
          <w:b/>
          <w:bCs/>
          <w:sz w:val="24"/>
          <w:szCs w:val="24"/>
        </w:rPr>
        <w:t>fără TVA</w:t>
      </w:r>
      <w:r>
        <w:rPr>
          <w:rFonts w:ascii="Times New Roman" w:hAnsi="Times New Roman" w:cs="Times New Roman"/>
          <w:sz w:val="24"/>
          <w:szCs w:val="24"/>
        </w:rPr>
        <w:t>, stabilit ca fiind valoarea cea mai mare dintre prețul de piață determinat prin raport de evaluare întocmit de evaluator autorizat ANEVAR si valoarea de inventar a imobil</w:t>
      </w:r>
      <w:r>
        <w:rPr>
          <w:rFonts w:hint="default" w:ascii="Times New Roman" w:hAnsi="Times New Roman" w:cs="Times New Roman"/>
          <w:sz w:val="24"/>
          <w:szCs w:val="24"/>
          <w:lang w:val="ro-RO"/>
        </w:rPr>
        <w:t>elor</w:t>
      </w:r>
      <w:r>
        <w:rPr>
          <w:rFonts w:ascii="Times New Roman" w:hAnsi="Times New Roman" w:cs="Times New Roman"/>
          <w:sz w:val="24"/>
          <w:szCs w:val="24"/>
        </w:rPr>
        <w:t xml:space="preserve"> teren</w:t>
      </w:r>
      <w:r>
        <w:rPr>
          <w:rFonts w:hint="default" w:ascii="Times New Roman" w:hAnsi="Times New Roman" w:cs="Times New Roman"/>
          <w:sz w:val="24"/>
          <w:szCs w:val="24"/>
          <w:lang w:val="ro-RO"/>
        </w:rPr>
        <w:t>uri, astfel:</w:t>
      </w:r>
    </w:p>
    <w:p w14:paraId="18011117">
      <w:pPr>
        <w:spacing w:after="0" w:line="240" w:lineRule="auto"/>
        <w:ind w:firstLine="720" w:firstLineChars="0"/>
        <w:jc w:val="both"/>
        <w:rPr>
          <w:rFonts w:hint="default" w:ascii="Times New Roman" w:hAnsi="Times New Roman" w:cs="Times New Roman"/>
          <w:sz w:val="24"/>
          <w:szCs w:val="24"/>
          <w:lang w:val="ro-RO"/>
        </w:rPr>
      </w:pPr>
      <w:r>
        <w:rPr>
          <w:rFonts w:hint="default" w:ascii="Times New Roman" w:hAnsi="Times New Roman" w:cs="Times New Roman"/>
          <w:sz w:val="24"/>
          <w:szCs w:val="24"/>
        </w:rPr>
        <w:t xml:space="preserve">- Teren din str. N. Bălcescu FN lot 7, Murfatlar, jud Constanța </w:t>
      </w:r>
      <w:r>
        <w:rPr>
          <w:rFonts w:hint="default" w:ascii="Times New Roman" w:hAnsi="Times New Roman" w:cs="Times New Roman"/>
          <w:sz w:val="24"/>
          <w:szCs w:val="24"/>
          <w:lang w:val="ro-RO"/>
        </w:rPr>
        <w:t xml:space="preserve">în suprafață de 93 mp, nr. Cadastral 107981 în valoare de </w:t>
      </w:r>
      <w:r>
        <w:rPr>
          <w:rFonts w:hint="default" w:ascii="Times New Roman" w:hAnsi="Times New Roman" w:cs="Times New Roman"/>
          <w:sz w:val="24"/>
          <w:szCs w:val="24"/>
        </w:rPr>
        <w:t>15.142</w:t>
      </w:r>
      <w:r>
        <w:rPr>
          <w:rFonts w:hint="default" w:ascii="Times New Roman" w:hAnsi="Times New Roman" w:cs="Times New Roman"/>
          <w:sz w:val="24"/>
          <w:szCs w:val="24"/>
          <w:lang w:val="ro-RO"/>
        </w:rPr>
        <w:t xml:space="preserve"> lei ;</w:t>
      </w:r>
    </w:p>
    <w:p w14:paraId="4534A201">
      <w:pPr>
        <w:spacing w:after="0" w:line="240" w:lineRule="auto"/>
        <w:ind w:firstLine="720" w:firstLineChars="0"/>
        <w:jc w:val="both"/>
        <w:rPr>
          <w:rFonts w:hint="default" w:ascii="Times New Roman" w:hAnsi="Times New Roman" w:cs="Times New Roman"/>
          <w:sz w:val="24"/>
          <w:szCs w:val="24"/>
          <w:lang w:val="ro-RO"/>
        </w:rPr>
      </w:pPr>
      <w:r>
        <w:rPr>
          <w:rFonts w:hint="default" w:ascii="Times New Roman" w:hAnsi="Times New Roman" w:cs="Times New Roman"/>
          <w:sz w:val="24"/>
          <w:szCs w:val="24"/>
        </w:rPr>
        <w:t>- Teren din str. N. Bălcescu FN lot 8, Murfatlar, jud Constanța</w:t>
      </w:r>
      <w:r>
        <w:rPr>
          <w:rFonts w:hint="default" w:ascii="Times New Roman" w:hAnsi="Times New Roman" w:cs="Times New Roman"/>
          <w:sz w:val="24"/>
          <w:szCs w:val="24"/>
          <w:lang w:val="ro-RO"/>
        </w:rPr>
        <w:t xml:space="preserve"> în suprafață de 110 mp, nr. Cadastral 107983 în valoare de </w:t>
      </w:r>
      <w:r>
        <w:rPr>
          <w:rFonts w:hint="default" w:ascii="Times New Roman" w:hAnsi="Times New Roman" w:cs="Times New Roman"/>
          <w:sz w:val="24"/>
          <w:szCs w:val="24"/>
        </w:rPr>
        <w:t>17.350</w:t>
      </w:r>
      <w:r>
        <w:rPr>
          <w:rFonts w:hint="default" w:ascii="Times New Roman" w:hAnsi="Times New Roman" w:cs="Times New Roman"/>
          <w:sz w:val="24"/>
          <w:szCs w:val="24"/>
          <w:lang w:val="ro-RO"/>
        </w:rPr>
        <w:t xml:space="preserve"> lei .</w:t>
      </w:r>
    </w:p>
    <w:p w14:paraId="5CECECBC">
      <w:pPr>
        <w:numPr>
          <w:ilvl w:val="0"/>
          <w:numId w:val="0"/>
        </w:numPr>
        <w:autoSpaceDE w:val="0"/>
        <w:autoSpaceDN w:val="0"/>
        <w:adjustRightInd w:val="0"/>
        <w:spacing w:after="200" w:line="276" w:lineRule="auto"/>
        <w:ind w:firstLine="720" w:firstLineChars="0"/>
        <w:contextualSpacing/>
        <w:jc w:val="both"/>
        <w:rPr>
          <w:rFonts w:hint="default" w:ascii="Times New Roman" w:hAnsi="Times New Roman"/>
          <w:sz w:val="24"/>
          <w:szCs w:val="24"/>
          <w:lang w:val="ro-RO"/>
        </w:rPr>
      </w:pPr>
    </w:p>
    <w:p w14:paraId="654DCA6C">
      <w:pPr>
        <w:numPr>
          <w:ilvl w:val="0"/>
          <w:numId w:val="0"/>
        </w:numPr>
        <w:autoSpaceDE w:val="0"/>
        <w:autoSpaceDN w:val="0"/>
        <w:adjustRightInd w:val="0"/>
        <w:spacing w:after="200" w:line="276" w:lineRule="auto"/>
        <w:ind w:firstLine="720" w:firstLineChars="0"/>
        <w:contextualSpacing/>
        <w:jc w:val="both"/>
        <w:rPr>
          <w:rFonts w:hint="default" w:ascii="Times New Roman" w:hAnsi="Times New Roman"/>
          <w:sz w:val="24"/>
          <w:szCs w:val="24"/>
          <w:lang w:val="ro-RO"/>
        </w:rPr>
      </w:pPr>
      <w:r>
        <w:rPr>
          <w:rFonts w:hint="default" w:ascii="Times New Roman" w:hAnsi="Times New Roman"/>
          <w:sz w:val="24"/>
          <w:szCs w:val="24"/>
          <w:lang w:val="ro-RO"/>
        </w:rPr>
        <w:t>Garanția de participare: 10% din valoarea bunului licitat, după cum urmează:</w:t>
      </w:r>
    </w:p>
    <w:p w14:paraId="5D4D2155">
      <w:pPr>
        <w:spacing w:after="0" w:line="240" w:lineRule="auto"/>
        <w:ind w:firstLine="720" w:firstLineChars="0"/>
        <w:jc w:val="both"/>
        <w:rPr>
          <w:rFonts w:hint="default" w:ascii="Times New Roman" w:hAnsi="Times New Roman" w:cs="Times New Roman"/>
          <w:sz w:val="24"/>
          <w:szCs w:val="24"/>
          <w:lang w:val="ro-RO"/>
        </w:rPr>
      </w:pPr>
      <w:r>
        <w:rPr>
          <w:rFonts w:hint="default" w:ascii="Times New Roman" w:hAnsi="Times New Roman" w:cs="Times New Roman"/>
          <w:sz w:val="24"/>
          <w:szCs w:val="24"/>
        </w:rPr>
        <w:t xml:space="preserve">- Teren din str. N. Bălcescu FN lot 7, Murfatlar, jud Constanța </w:t>
      </w:r>
      <w:r>
        <w:rPr>
          <w:rFonts w:hint="default" w:ascii="Times New Roman" w:hAnsi="Times New Roman" w:cs="Times New Roman"/>
          <w:sz w:val="24"/>
          <w:szCs w:val="24"/>
          <w:lang w:val="ro-RO"/>
        </w:rPr>
        <w:t xml:space="preserve">în suprafață de 93 mp, nr. Cadastral 107981 în valoare de </w:t>
      </w:r>
      <w:r>
        <w:rPr>
          <w:rFonts w:hint="default" w:ascii="Times New Roman" w:hAnsi="Times New Roman" w:cs="Times New Roman"/>
          <w:b/>
          <w:bCs/>
          <w:sz w:val="24"/>
          <w:szCs w:val="24"/>
        </w:rPr>
        <w:t>1.514</w:t>
      </w:r>
      <w:r>
        <w:rPr>
          <w:rFonts w:hint="default" w:ascii="Times New Roman" w:hAnsi="Times New Roman" w:cs="Times New Roman"/>
          <w:b/>
          <w:bCs/>
          <w:sz w:val="24"/>
          <w:szCs w:val="24"/>
          <w:lang w:val="ro-RO"/>
        </w:rPr>
        <w:t xml:space="preserve"> lei</w:t>
      </w:r>
      <w:r>
        <w:rPr>
          <w:rFonts w:hint="default" w:ascii="Times New Roman" w:hAnsi="Times New Roman" w:cs="Times New Roman"/>
          <w:sz w:val="24"/>
          <w:szCs w:val="24"/>
          <w:lang w:val="ro-RO"/>
        </w:rPr>
        <w:t xml:space="preserve"> ;</w:t>
      </w:r>
    </w:p>
    <w:p w14:paraId="66524344">
      <w:pPr>
        <w:spacing w:after="0" w:line="240" w:lineRule="auto"/>
        <w:ind w:firstLine="720" w:firstLineChars="0"/>
        <w:jc w:val="both"/>
        <w:rPr>
          <w:rFonts w:hint="default" w:ascii="Times New Roman" w:hAnsi="Times New Roman" w:cs="Times New Roman"/>
          <w:sz w:val="24"/>
          <w:szCs w:val="24"/>
          <w:lang w:val="ro-RO"/>
        </w:rPr>
      </w:pPr>
      <w:r>
        <w:rPr>
          <w:rFonts w:hint="default" w:ascii="Times New Roman" w:hAnsi="Times New Roman" w:cs="Times New Roman"/>
          <w:sz w:val="24"/>
          <w:szCs w:val="24"/>
        </w:rPr>
        <w:t>- Teren din str. N. Bălcescu FN lot 8, Murfatlar, jud Constanța</w:t>
      </w:r>
      <w:r>
        <w:rPr>
          <w:rFonts w:hint="default" w:ascii="Times New Roman" w:hAnsi="Times New Roman" w:cs="Times New Roman"/>
          <w:sz w:val="24"/>
          <w:szCs w:val="24"/>
          <w:lang w:val="ro-RO"/>
        </w:rPr>
        <w:t xml:space="preserve"> în suprafață de 110 mp, nr. Cadastral 107983 în valoare de </w:t>
      </w:r>
      <w:r>
        <w:rPr>
          <w:rFonts w:hint="default" w:ascii="Times New Roman" w:hAnsi="Times New Roman" w:cs="Times New Roman"/>
          <w:b/>
          <w:bCs/>
          <w:sz w:val="24"/>
          <w:szCs w:val="24"/>
        </w:rPr>
        <w:t>1.735</w:t>
      </w:r>
      <w:r>
        <w:rPr>
          <w:rFonts w:hint="default" w:ascii="Times New Roman" w:hAnsi="Times New Roman" w:cs="Times New Roman"/>
          <w:b/>
          <w:bCs/>
          <w:sz w:val="24"/>
          <w:szCs w:val="24"/>
          <w:lang w:val="ro-RO"/>
        </w:rPr>
        <w:t xml:space="preserve"> lei</w:t>
      </w:r>
      <w:r>
        <w:rPr>
          <w:rFonts w:hint="default" w:ascii="Times New Roman" w:hAnsi="Times New Roman" w:cs="Times New Roman"/>
          <w:sz w:val="24"/>
          <w:szCs w:val="24"/>
          <w:lang w:val="ro-RO"/>
        </w:rPr>
        <w:t xml:space="preserve"> .</w:t>
      </w:r>
    </w:p>
    <w:p w14:paraId="30023713">
      <w:pPr>
        <w:spacing w:after="0" w:line="240" w:lineRule="auto"/>
        <w:ind w:firstLine="720" w:firstLineChars="0"/>
        <w:jc w:val="both"/>
        <w:rPr>
          <w:rFonts w:hint="default" w:ascii="Times New Roman" w:hAnsi="Times New Roman"/>
          <w:sz w:val="24"/>
          <w:szCs w:val="24"/>
          <w:lang w:val="ro-RO"/>
        </w:rPr>
      </w:pPr>
      <w:r>
        <w:rPr>
          <w:rFonts w:hint="default" w:ascii="Times New Roman" w:hAnsi="Times New Roman"/>
          <w:sz w:val="24"/>
          <w:szCs w:val="24"/>
          <w:lang w:val="ro-RO"/>
        </w:rPr>
        <w:t>Costul caietului de sarcini: 100 lei.</w:t>
      </w:r>
    </w:p>
    <w:p w14:paraId="4FCE64E9">
      <w:pPr>
        <w:numPr>
          <w:ilvl w:val="0"/>
          <w:numId w:val="0"/>
        </w:numPr>
        <w:autoSpaceDE w:val="0"/>
        <w:autoSpaceDN w:val="0"/>
        <w:adjustRightInd w:val="0"/>
        <w:spacing w:after="200" w:line="276" w:lineRule="auto"/>
        <w:ind w:firstLine="720" w:firstLineChars="0"/>
        <w:contextualSpacing/>
        <w:jc w:val="both"/>
        <w:rPr>
          <w:rFonts w:hint="default" w:ascii="Times New Roman" w:hAnsi="Times New Roman" w:cs="Times New Roman"/>
          <w:bCs/>
          <w:i w:val="0"/>
          <w:iCs w:val="0"/>
          <w:sz w:val="24"/>
          <w:szCs w:val="24"/>
          <w:lang w:val="ro-RO"/>
        </w:rPr>
      </w:pPr>
      <w:r>
        <w:rPr>
          <w:rFonts w:hint="default" w:ascii="Times New Roman" w:hAnsi="Times New Roman" w:cs="Times New Roman"/>
          <w:bCs/>
          <w:i w:val="0"/>
          <w:iCs w:val="0"/>
          <w:sz w:val="24"/>
          <w:szCs w:val="24"/>
          <w:lang w:val="ro-RO"/>
        </w:rPr>
        <w:t>Stabilirea oportunității vânzării bunului este prezentată în Documentația de atribuire și caietul de sarcini.</w:t>
      </w:r>
    </w:p>
    <w:p w14:paraId="44FF04B5">
      <w:pPr>
        <w:numPr>
          <w:ilvl w:val="0"/>
          <w:numId w:val="0"/>
        </w:numPr>
        <w:autoSpaceDE w:val="0"/>
        <w:autoSpaceDN w:val="0"/>
        <w:adjustRightInd w:val="0"/>
        <w:spacing w:after="200" w:line="276" w:lineRule="auto"/>
        <w:ind w:firstLine="720" w:firstLineChars="0"/>
        <w:contextualSpacing/>
        <w:jc w:val="both"/>
        <w:rPr>
          <w:rFonts w:hint="default" w:ascii="Times New Roman" w:hAnsi="Times New Roman" w:cs="Times New Roman"/>
          <w:bCs/>
          <w:i w:val="0"/>
          <w:iCs w:val="0"/>
          <w:sz w:val="24"/>
          <w:szCs w:val="24"/>
          <w:lang w:val="ro-RO"/>
        </w:rPr>
      </w:pPr>
      <w:r>
        <w:rPr>
          <w:rFonts w:hint="default" w:ascii="Times New Roman" w:hAnsi="Times New Roman" w:cs="Times New Roman"/>
          <w:bCs/>
          <w:i w:val="0"/>
          <w:iCs w:val="0"/>
          <w:sz w:val="24"/>
          <w:szCs w:val="24"/>
          <w:lang w:val="ro-RO"/>
        </w:rPr>
        <w:t>La nivelul autorității publice contractante se organizează o comisie de evaluare, compusă dintr-un număr impar de membri, care nu poate fi mai mic de 5, din care vor face parte și reprezentanți ai consiliului local, numiți prin hotărâre de consiliu,  reprezentanți ai instituției publice, numiți prin Dispoziție a Primarului, precum și reprezentanți ai Administrației Fiscale,  numiți prin adresă înregistrată la sediul Primăriei, precum și supleanții acestora.</w:t>
      </w:r>
    </w:p>
    <w:p w14:paraId="6C68D49D">
      <w:pPr>
        <w:numPr>
          <w:ilvl w:val="0"/>
          <w:numId w:val="0"/>
        </w:numPr>
        <w:autoSpaceDE w:val="0"/>
        <w:autoSpaceDN w:val="0"/>
        <w:adjustRightInd w:val="0"/>
        <w:spacing w:after="200" w:line="276" w:lineRule="auto"/>
        <w:ind w:firstLine="720" w:firstLineChars="0"/>
        <w:contextualSpacing/>
        <w:jc w:val="both"/>
        <w:rPr>
          <w:rFonts w:hint="default" w:ascii="Times New Roman" w:hAnsi="Times New Roman" w:cs="Times New Roman"/>
          <w:sz w:val="24"/>
          <w:szCs w:val="24"/>
          <w:lang w:val="ro-RO"/>
        </w:rPr>
      </w:pPr>
      <w:r>
        <w:rPr>
          <w:rFonts w:hint="default" w:ascii="Times New Roman" w:hAnsi="Times New Roman" w:cs="Times New Roman"/>
          <w:bCs/>
          <w:i w:val="0"/>
          <w:iCs w:val="0"/>
          <w:sz w:val="24"/>
          <w:szCs w:val="24"/>
          <w:lang w:val="ro-RO"/>
        </w:rPr>
        <w:t xml:space="preserve">Contractul se încheie în formă autentică, la notarul public, în condiţiile legii </w:t>
      </w:r>
      <w:r>
        <w:rPr>
          <w:rFonts w:ascii="Times New Roman" w:hAnsi="Times New Roman" w:cs="Times New Roman"/>
          <w:sz w:val="24"/>
          <w:szCs w:val="24"/>
        </w:rPr>
        <w:t>într-un termen de 20 de zile calendaristice de la data împlinirii termenului prevăzut la art. 341 alin. (26) O.U.G. nr. 57/2019 privind Codul administrativ</w:t>
      </w:r>
      <w:r>
        <w:rPr>
          <w:rFonts w:hint="default" w:ascii="Times New Roman" w:hAnsi="Times New Roman" w:cs="Times New Roman"/>
          <w:sz w:val="24"/>
          <w:szCs w:val="24"/>
          <w:lang w:val="ro-RO"/>
        </w:rPr>
        <w:t>.</w:t>
      </w:r>
    </w:p>
    <w:p w14:paraId="5B3EFE66">
      <w:pPr>
        <w:numPr>
          <w:ilvl w:val="0"/>
          <w:numId w:val="0"/>
        </w:numPr>
        <w:autoSpaceDE w:val="0"/>
        <w:autoSpaceDN w:val="0"/>
        <w:adjustRightInd w:val="0"/>
        <w:spacing w:after="200" w:line="276" w:lineRule="auto"/>
        <w:ind w:firstLine="720" w:firstLineChars="0"/>
        <w:contextualSpacing/>
        <w:jc w:val="both"/>
        <w:rPr>
          <w:rFonts w:hint="default" w:ascii="Times New Roman" w:hAnsi="Times New Roman" w:cs="Times New Roman"/>
          <w:sz w:val="24"/>
          <w:szCs w:val="24"/>
          <w:lang w:val="ro-RO"/>
        </w:rPr>
      </w:pPr>
      <w:r>
        <w:rPr>
          <w:rFonts w:ascii="Times New Roman" w:hAnsi="Times New Roman" w:cs="Times New Roman"/>
          <w:sz w:val="24"/>
          <w:szCs w:val="24"/>
        </w:rPr>
        <w:t>Toate taxele și cheltuieli</w:t>
      </w:r>
      <w:r>
        <w:rPr>
          <w:rFonts w:hint="default" w:ascii="Times New Roman" w:hAnsi="Times New Roman" w:cs="Times New Roman"/>
          <w:sz w:val="24"/>
          <w:szCs w:val="24"/>
          <w:lang w:val="ro-RO"/>
        </w:rPr>
        <w:t>le</w:t>
      </w:r>
      <w:r>
        <w:rPr>
          <w:rFonts w:ascii="Times New Roman" w:hAnsi="Times New Roman" w:cs="Times New Roman"/>
          <w:sz w:val="24"/>
          <w:szCs w:val="24"/>
        </w:rPr>
        <w:t xml:space="preserve"> ocazionate de procedură și de încheierea în formă autentică a contractului de vânzare</w:t>
      </w:r>
      <w:r>
        <w:rPr>
          <w:rFonts w:hint="default" w:ascii="Times New Roman" w:hAnsi="Times New Roman" w:cs="Times New Roman"/>
          <w:sz w:val="24"/>
          <w:szCs w:val="24"/>
          <w:lang w:val="ro-RO"/>
        </w:rPr>
        <w:t>, precum și cheltuielile cu raportul de evaluare</w:t>
      </w:r>
      <w:r>
        <w:rPr>
          <w:rFonts w:ascii="Times New Roman" w:hAnsi="Times New Roman" w:cs="Times New Roman"/>
          <w:sz w:val="24"/>
          <w:szCs w:val="24"/>
        </w:rPr>
        <w:t xml:space="preserve">, se suportă de către ofertantul câștigător (cumpărător) și </w:t>
      </w:r>
      <w:r>
        <w:rPr>
          <w:rFonts w:ascii="Times New Roman" w:hAnsi="Times New Roman" w:cs="Times New Roman"/>
          <w:b/>
          <w:bCs/>
          <w:sz w:val="24"/>
          <w:szCs w:val="24"/>
        </w:rPr>
        <w:t>se achită de îndată</w:t>
      </w:r>
      <w:r>
        <w:rPr>
          <w:rFonts w:hint="default" w:ascii="Times New Roman" w:hAnsi="Times New Roman" w:cs="Times New Roman"/>
          <w:sz w:val="24"/>
          <w:szCs w:val="24"/>
          <w:lang w:val="ro-RO"/>
        </w:rPr>
        <w:t>.</w:t>
      </w:r>
    </w:p>
    <w:p w14:paraId="36D1C692">
      <w:pPr>
        <w:spacing w:after="0"/>
        <w:ind w:firstLine="720" w:firstLineChars="0"/>
        <w:jc w:val="both"/>
        <w:rPr>
          <w:rFonts w:hint="default" w:ascii="Times New Roman" w:hAnsi="Times New Roman"/>
          <w:sz w:val="24"/>
          <w:szCs w:val="24"/>
          <w:lang w:val="ro-RO"/>
        </w:rPr>
      </w:pPr>
      <w:r>
        <w:rPr>
          <w:rFonts w:ascii="Times New Roman" w:hAnsi="Times New Roman" w:eastAsia="MS Mincho" w:cs="Times New Roman"/>
          <w:sz w:val="24"/>
          <w:szCs w:val="24"/>
        </w:rPr>
        <w:t>Considerăm că sunt îndeplinite condiţiile legale de formă şi conţinut, drept pentru care propunem spre aprobare proiectul de hotărâre privind aprobarea</w:t>
      </w:r>
      <w:r>
        <w:rPr>
          <w:rFonts w:hint="default" w:ascii="Times New Roman" w:hAnsi="Times New Roman" w:eastAsia="MS Mincho" w:cs="Times New Roman"/>
          <w:sz w:val="24"/>
          <w:szCs w:val="24"/>
          <w:lang w:val="ro-RO"/>
        </w:rPr>
        <w:t xml:space="preserve"> vânzării prin licitație publică a unor terenuri intravilane</w:t>
      </w:r>
      <w:r>
        <w:rPr>
          <w:rFonts w:hint="default" w:ascii="Times New Roman" w:hAnsi="Times New Roman"/>
          <w:b w:val="0"/>
          <w:bCs/>
          <w:sz w:val="24"/>
          <w:szCs w:val="24"/>
          <w:lang w:val="ro-RO"/>
        </w:rPr>
        <w:t xml:space="preserve">, categoria de folosinţă curți construcții situate în orașul Murfatlar, str. Nicolae Bălcescu nr. FN, aparținând domeniului privat al Orașului Murfatlar.   </w:t>
      </w:r>
    </w:p>
    <w:p w14:paraId="6B62D37D">
      <w:pPr>
        <w:jc w:val="both"/>
        <w:rPr>
          <w:rFonts w:ascii="Times New Roman" w:hAnsi="Times New Roman" w:cs="Times New Roman"/>
          <w:sz w:val="24"/>
          <w:szCs w:val="24"/>
          <w:lang w:val="ro-RO"/>
        </w:rPr>
      </w:pPr>
    </w:p>
    <w:p w14:paraId="5BAE52C6">
      <w:pPr>
        <w:jc w:val="both"/>
        <w:rPr>
          <w:rFonts w:ascii="Times New Roman" w:hAnsi="Times New Roman" w:cs="Times New Roman"/>
          <w:sz w:val="24"/>
          <w:szCs w:val="24"/>
          <w:lang w:val="ro-RO"/>
        </w:rPr>
      </w:pPr>
    </w:p>
    <w:p w14:paraId="309ED15D">
      <w:pPr>
        <w:jc w:val="center"/>
        <w:rPr>
          <w:rFonts w:ascii="Times New Roman" w:hAnsi="Times New Roman" w:cs="Times New Roman"/>
          <w:sz w:val="24"/>
          <w:szCs w:val="24"/>
          <w:lang w:val="ro-RO"/>
        </w:rPr>
      </w:pPr>
      <w:r>
        <w:rPr>
          <w:rFonts w:ascii="Times New Roman" w:hAnsi="Times New Roman" w:cs="Times New Roman"/>
          <w:sz w:val="24"/>
          <w:szCs w:val="24"/>
          <w:lang w:val="ro-RO"/>
        </w:rPr>
        <w:t>Șef serviciu</w:t>
      </w:r>
    </w:p>
    <w:p w14:paraId="333FBC55">
      <w:pPr>
        <w:jc w:val="center"/>
        <w:rPr>
          <w:rFonts w:hint="default" w:ascii="Times New Roman" w:hAnsi="Times New Roman" w:cs="Times New Roman"/>
          <w:sz w:val="24"/>
          <w:szCs w:val="24"/>
          <w:lang w:val="ro-RO"/>
        </w:rPr>
      </w:pPr>
      <w:r>
        <w:rPr>
          <w:rFonts w:hint="default" w:ascii="Times New Roman" w:hAnsi="Times New Roman" w:cs="Times New Roman"/>
          <w:sz w:val="24"/>
          <w:szCs w:val="24"/>
          <w:lang w:val="ro-RO"/>
        </w:rPr>
        <w:t>ARHITECT ȘEF</w:t>
      </w:r>
    </w:p>
    <w:p w14:paraId="5CAADB50">
      <w:pPr>
        <w:jc w:val="center"/>
        <w:rPr>
          <w:rFonts w:ascii="Times New Roman" w:hAnsi="Times New Roman" w:cs="Times New Roman"/>
          <w:sz w:val="24"/>
          <w:szCs w:val="24"/>
          <w:lang w:val="ro-RO"/>
        </w:rPr>
      </w:pPr>
      <w:r>
        <w:rPr>
          <w:rFonts w:hint="default" w:ascii="Times New Roman" w:hAnsi="Times New Roman" w:cs="Times New Roman"/>
          <w:sz w:val="24"/>
          <w:szCs w:val="24"/>
          <w:lang w:val="ro-RO"/>
        </w:rPr>
        <w:t>COCOȘ ALEXANDRA</w:t>
      </w:r>
    </w:p>
    <w:p w14:paraId="18A8136E">
      <w:pPr>
        <w:jc w:val="both"/>
        <w:rPr>
          <w:rFonts w:ascii="Times New Roman" w:hAnsi="Times New Roman" w:cs="Times New Roman"/>
          <w:sz w:val="24"/>
          <w:szCs w:val="24"/>
          <w:lang w:val="ro-RO"/>
        </w:rPr>
      </w:pPr>
    </w:p>
    <w:p w14:paraId="5245AC61">
      <w:pPr>
        <w:jc w:val="both"/>
        <w:rPr>
          <w:rFonts w:ascii="Times New Roman" w:hAnsi="Times New Roman" w:cs="Times New Roman"/>
          <w:sz w:val="24"/>
          <w:szCs w:val="24"/>
          <w:lang w:val="ro-RO"/>
        </w:rPr>
      </w:pPr>
    </w:p>
    <w:p w14:paraId="4F9D9F16">
      <w:pPr>
        <w:jc w:val="both"/>
        <w:rPr>
          <w:rFonts w:ascii="Times New Roman" w:hAnsi="Times New Roman" w:cs="Times New Roman"/>
          <w:sz w:val="24"/>
          <w:szCs w:val="24"/>
          <w:lang w:val="ro-RO"/>
        </w:rPr>
      </w:pPr>
    </w:p>
    <w:p w14:paraId="698CA4D4">
      <w:pPr>
        <w:jc w:val="center"/>
        <w:rPr>
          <w:rFonts w:ascii="Times New Roman" w:hAnsi="Times New Roman" w:cs="Times New Roman"/>
          <w:sz w:val="24"/>
          <w:szCs w:val="24"/>
          <w:lang w:val="ro-RO"/>
        </w:rPr>
      </w:pPr>
      <w:r>
        <w:rPr>
          <w:rFonts w:ascii="Times New Roman" w:hAnsi="Times New Roman" w:cs="Times New Roman"/>
          <w:sz w:val="24"/>
          <w:szCs w:val="24"/>
          <w:lang w:val="ro-RO"/>
        </w:rPr>
        <w:t>Întocmit,</w:t>
      </w:r>
    </w:p>
    <w:p w14:paraId="3B772F76">
      <w:pPr>
        <w:jc w:val="center"/>
        <w:rPr>
          <w:rFonts w:hint="default" w:ascii="Times New Roman" w:hAnsi="Times New Roman" w:cs="Times New Roman"/>
          <w:sz w:val="24"/>
          <w:szCs w:val="24"/>
          <w:lang w:val="ro-RO"/>
        </w:rPr>
      </w:pPr>
      <w:r>
        <w:rPr>
          <w:rFonts w:hint="default" w:ascii="Times New Roman" w:hAnsi="Times New Roman" w:cs="Times New Roman"/>
          <w:sz w:val="24"/>
          <w:szCs w:val="24"/>
          <w:lang w:val="ro-RO"/>
        </w:rPr>
        <w:t>BELEAN MARIA - SILVIA</w:t>
      </w:r>
    </w:p>
    <w:p w14:paraId="1DC29891">
      <w:pPr>
        <w:rPr>
          <w:rFonts w:ascii="Times New Roman" w:hAnsi="Times New Roman" w:cs="Times New Roman"/>
          <w:sz w:val="24"/>
          <w:szCs w:val="24"/>
        </w:rPr>
      </w:pPr>
    </w:p>
    <w:sectPr>
      <w:pgSz w:w="11920" w:h="17040"/>
      <w:pgMar w:top="1440" w:right="721" w:bottom="851" w:left="1985"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MS Mincho">
    <w:altName w:val="MS Gothic"/>
    <w:panose1 w:val="02020609040205080304"/>
    <w:charset w:val="80"/>
    <w:family w:val="roman"/>
    <w:pitch w:val="default"/>
    <w:sig w:usb0="00000000" w:usb1="00000000" w:usb2="00000010" w:usb3="00000000" w:csb0="00020000" w:csb1="00000000"/>
  </w:font>
  <w:font w:name="MS Gothic">
    <w:panose1 w:val="020B0609070205080204"/>
    <w:charset w:val="80"/>
    <w:family w:val="auto"/>
    <w:pitch w:val="default"/>
    <w:sig w:usb0="E00002FF" w:usb1="6AC7FDFB" w:usb2="08000012" w:usb3="00000000" w:csb0="4002009F" w:csb1="DFD70000"/>
  </w:font>
  <w:font w:name="Symbol">
    <w:panose1 w:val="05050102010706020507"/>
    <w:charset w:val="02"/>
    <w:family w:val="roman"/>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cumentProtection w:enforcement="0"/>
  <w:defaultTabStop w:val="720"/>
  <w:drawingGridHorizontalSpacing w:val="110"/>
  <w:displayHorizontalDrawingGridEvery w:val="2"/>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137F"/>
    <w:rsid w:val="002F0E12"/>
    <w:rsid w:val="003A61EE"/>
    <w:rsid w:val="00503895"/>
    <w:rsid w:val="0056454D"/>
    <w:rsid w:val="005760F3"/>
    <w:rsid w:val="005D110C"/>
    <w:rsid w:val="00712836"/>
    <w:rsid w:val="00745671"/>
    <w:rsid w:val="007B0610"/>
    <w:rsid w:val="007E137F"/>
    <w:rsid w:val="008931F3"/>
    <w:rsid w:val="009A3AD9"/>
    <w:rsid w:val="009F4312"/>
    <w:rsid w:val="00A30C0E"/>
    <w:rsid w:val="00AD62A6"/>
    <w:rsid w:val="00B37D4E"/>
    <w:rsid w:val="00DC553C"/>
    <w:rsid w:val="07744050"/>
    <w:rsid w:val="08D37B58"/>
    <w:rsid w:val="0A2C52DA"/>
    <w:rsid w:val="0DC91DB2"/>
    <w:rsid w:val="13F41543"/>
    <w:rsid w:val="1A9401AA"/>
    <w:rsid w:val="240364D4"/>
    <w:rsid w:val="2BBC04BD"/>
    <w:rsid w:val="2E426F97"/>
    <w:rsid w:val="3B335B5F"/>
    <w:rsid w:val="3B8667BF"/>
    <w:rsid w:val="3CB0454F"/>
    <w:rsid w:val="3CB04DB8"/>
    <w:rsid w:val="3E2853D0"/>
    <w:rsid w:val="411A2D80"/>
    <w:rsid w:val="426D042E"/>
    <w:rsid w:val="443C0680"/>
    <w:rsid w:val="46704CEB"/>
    <w:rsid w:val="46C1039C"/>
    <w:rsid w:val="491A4256"/>
    <w:rsid w:val="4A22466D"/>
    <w:rsid w:val="4CCF1E04"/>
    <w:rsid w:val="4FD11B8E"/>
    <w:rsid w:val="528B7658"/>
    <w:rsid w:val="55F85AA3"/>
    <w:rsid w:val="579E3541"/>
    <w:rsid w:val="581B6E95"/>
    <w:rsid w:val="5ED57FF6"/>
    <w:rsid w:val="5F2771EF"/>
    <w:rsid w:val="602C0AE3"/>
    <w:rsid w:val="629B17C2"/>
    <w:rsid w:val="65157878"/>
    <w:rsid w:val="68BD1B12"/>
    <w:rsid w:val="6AE742A3"/>
    <w:rsid w:val="70084684"/>
    <w:rsid w:val="71984156"/>
    <w:rsid w:val="75810AD3"/>
    <w:rsid w:val="79907AC7"/>
    <w:rsid w:val="79A47B9E"/>
    <w:rsid w:val="7D363954"/>
    <w:rsid w:val="7D935B99"/>
    <w:rsid w:val="7D964322"/>
    <w:rsid w:val="7FAC16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US" w:eastAsia="en-US"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table" w:styleId="4">
    <w:name w:val="Table Grid"/>
    <w:basedOn w:val="3"/>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5">
    <w:name w:val="List Paragraph"/>
    <w:basedOn w:val="1"/>
    <w:qFormat/>
    <w:uiPriority w:val="34"/>
    <w:pPr>
      <w:ind w:left="720"/>
      <w:contextualSpacing/>
    </w:pPr>
  </w:style>
  <w:style w:type="character" w:customStyle="1" w:styleId="6">
    <w:name w:val="Font Style12"/>
    <w:basedOn w:val="2"/>
    <w:qFormat/>
    <w:uiPriority w:val="99"/>
    <w:rPr>
      <w:rFonts w:ascii="Courier New" w:hAnsi="Courier New" w:cs="Courier New"/>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706</Words>
  <Characters>4110</Characters>
  <Lines>5</Lines>
  <Paragraphs>1</Paragraphs>
  <TotalTime>39</TotalTime>
  <ScaleCrop>false</ScaleCrop>
  <LinksUpToDate>false</LinksUpToDate>
  <CharactersWithSpaces>4790</CharactersWithSpaces>
  <Application>WPS Office_12.1.0.25862_F1E327BC-269C-435d-A152-05C5408002CA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2023-02-12T07:44:00Z</dcterms:created>
  <dc:creator>ciubuc iuliana</dc:creator>
  <cp:lastModifiedBy>Marryyy Silvia</cp:lastModifiedBy>
  <cp:lastPrinted>2025-10-23T07:17:00Z</cp:lastPrinted>
  <dcterms:modified xsi:type="dcterms:W3CDTF">2026-05-21T08:24:10Z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1033-12.1.0.25862</vt:lpwstr>
  </property>
  <property fmtid="{D5CDD505-2E9C-101B-9397-08002B2CF9AE}" pid="3" name="ICV">
    <vt:lpwstr>0D4C33C5AED748F8960928118EA9769C_13</vt:lpwstr>
  </property>
  <property fmtid="{D5CDD505-2E9C-101B-9397-08002B2CF9AE}" pid="4" name="KSOTemplateDocerSaveRecord">
    <vt:lpwstr>eyJoZGlkIjoiYTkwMzk1ZjIzNGE3MWQ4YzA3ZGI0MzgxMDZkMjdjYmEiLCJ1c2VySWQiOiIzNzI4MjM1NzY1ODAxIn0=</vt:lpwstr>
  </property>
</Properties>
</file>