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Style7"/>
        <w:widowControl/>
        <w:spacing w:line="360" w:lineRule="auto"/>
        <w:jc w:val="right"/>
        <w:rPr>
          <w:b/>
          <w:sz w:val="20"/>
          <w:szCs w:val="20"/>
          <w:lang w:val="ro-RO"/>
        </w:rPr>
      </w:pPr>
      <w:r>
        <w:rPr>
          <w:b/>
          <w:sz w:val="20"/>
          <w:szCs w:val="20"/>
          <w:lang w:val="ro-RO"/>
        </w:rPr>
        <w:t>ANEXA NR. 2</w:t>
      </w:r>
    </w:p>
    <w:p>
      <w:pPr>
        <w:pStyle w:val="Style7"/>
        <w:widowControl/>
        <w:spacing w:line="360" w:lineRule="auto"/>
        <w:rPr>
          <w:b/>
          <w:sz w:val="20"/>
          <w:szCs w:val="20"/>
          <w:lang w:val="ro-RO"/>
        </w:rPr>
      </w:pPr>
    </w:p>
    <w:p>
      <w:pPr>
        <w:pStyle w:val="Style7"/>
        <w:widowControl/>
        <w:spacing w:line="360" w:lineRule="auto"/>
        <w:rPr>
          <w:b/>
          <w:sz w:val="20"/>
          <w:szCs w:val="20"/>
          <w:lang w:val="ro-RO"/>
        </w:rPr>
      </w:pPr>
    </w:p>
    <w:p>
      <w:pPr>
        <w:pStyle w:val="Style7"/>
        <w:widowControl/>
        <w:spacing w:line="360" w:lineRule="auto"/>
        <w:rPr>
          <w:b/>
          <w:sz w:val="20"/>
          <w:szCs w:val="20"/>
          <w:lang w:val="ro-RO"/>
        </w:rPr>
      </w:pPr>
    </w:p>
    <w:p>
      <w:pPr>
        <w:pStyle w:val="Style7"/>
        <w:widowControl/>
        <w:spacing w:line="360" w:lineRule="auto"/>
        <w:rPr>
          <w:b/>
          <w:sz w:val="20"/>
          <w:szCs w:val="20"/>
          <w:lang w:val="ro-RO"/>
        </w:rPr>
      </w:pPr>
    </w:p>
    <w:p>
      <w:pPr>
        <w:pStyle w:val="Style7"/>
        <w:widowControl/>
        <w:spacing w:line="360" w:lineRule="auto"/>
        <w:rPr>
          <w:b/>
          <w:sz w:val="20"/>
          <w:szCs w:val="20"/>
          <w:lang w:val="ro-RO"/>
        </w:rPr>
      </w:pPr>
    </w:p>
    <w:p>
      <w:pPr>
        <w:pStyle w:val="Style7"/>
        <w:widowControl/>
        <w:spacing w:line="360" w:lineRule="auto"/>
        <w:rPr>
          <w:b/>
          <w:sz w:val="20"/>
          <w:szCs w:val="20"/>
          <w:lang w:val="ro-RO"/>
        </w:rPr>
      </w:pPr>
    </w:p>
    <w:p>
      <w:pPr>
        <w:pStyle w:val="Style7"/>
        <w:widowControl/>
        <w:spacing w:line="360" w:lineRule="auto"/>
        <w:rPr>
          <w:b/>
          <w:sz w:val="20"/>
          <w:szCs w:val="20"/>
          <w:lang w:val="ro-RO"/>
        </w:rPr>
      </w:pPr>
    </w:p>
    <w:p>
      <w:pPr>
        <w:pStyle w:val="Style7"/>
        <w:widowControl/>
        <w:spacing w:line="360" w:lineRule="auto"/>
        <w:rPr>
          <w:b/>
          <w:sz w:val="20"/>
          <w:szCs w:val="20"/>
          <w:lang w:val="ro-RO"/>
        </w:rPr>
      </w:pPr>
    </w:p>
    <w:p>
      <w:pPr>
        <w:pStyle w:val="Style7"/>
        <w:widowControl/>
        <w:spacing w:line="360" w:lineRule="auto"/>
        <w:rPr>
          <w:b/>
          <w:sz w:val="20"/>
          <w:szCs w:val="20"/>
          <w:lang w:val="ro-RO"/>
        </w:rPr>
      </w:pPr>
      <w:r>
        <w:rPr>
          <w:b/>
          <w:sz w:val="20"/>
          <w:szCs w:val="20"/>
          <w:lang w:val="ro-RO"/>
        </w:rPr>
        <w:t>CONSILIUL JUDEȚEAN GALAȚI</w:t>
      </w:r>
    </w:p>
    <w:p>
      <w:pPr>
        <w:pStyle w:val="Style7"/>
        <w:widowControl/>
        <w:spacing w:before="43" w:line="360" w:lineRule="auto"/>
        <w:rPr>
          <w:rStyle w:val="FontStyle92"/>
          <w:sz w:val="20"/>
          <w:szCs w:val="20"/>
          <w:lang w:val="ro-RO" w:eastAsia="ro-RO"/>
        </w:rPr>
      </w:pPr>
      <w:r>
        <w:rPr>
          <w:rStyle w:val="FontStyle92"/>
          <w:sz w:val="20"/>
          <w:szCs w:val="20"/>
          <w:lang w:val="ro-RO" w:eastAsia="ro-RO"/>
        </w:rPr>
        <w:t>ASOCIAŢIA DE DEZVOLTARE INTERCOMUNITARĂ ECOSERV GALAŢI</w:t>
      </w:r>
    </w:p>
    <w:p>
      <w:pPr>
        <w:pStyle w:val="Style7"/>
        <w:widowControl/>
        <w:spacing w:line="360" w:lineRule="auto"/>
        <w:rPr>
          <w:sz w:val="20"/>
          <w:szCs w:val="20"/>
          <w:lang w:val="ro-RO"/>
        </w:rPr>
      </w:pPr>
    </w:p>
    <w:p>
      <w:pPr>
        <w:pStyle w:val="Style7"/>
        <w:widowControl/>
        <w:spacing w:line="360" w:lineRule="auto"/>
        <w:rPr>
          <w:b/>
          <w:sz w:val="20"/>
          <w:szCs w:val="20"/>
          <w:lang w:val="ro-RO"/>
        </w:rPr>
      </w:pPr>
      <w:r>
        <w:rPr>
          <w:b/>
          <w:sz w:val="20"/>
          <w:szCs w:val="20"/>
          <w:lang w:val="ro-RO"/>
        </w:rPr>
        <w:t>DOCUMENTAȚIE DE ATRIBUIRE</w:t>
      </w:r>
    </w:p>
    <w:p>
      <w:pPr>
        <w:pStyle w:val="Style7"/>
        <w:widowControl/>
        <w:spacing w:before="182" w:line="360" w:lineRule="auto"/>
        <w:rPr>
          <w:rStyle w:val="FontStyle92"/>
          <w:sz w:val="20"/>
          <w:szCs w:val="20"/>
          <w:lang w:val="ro-RO" w:eastAsia="ro-RO"/>
        </w:rPr>
      </w:pPr>
      <w:r>
        <w:rPr>
          <w:rStyle w:val="FontStyle92"/>
          <w:sz w:val="20"/>
          <w:szCs w:val="20"/>
          <w:lang w:val="ro-RO" w:eastAsia="ro-RO"/>
        </w:rPr>
        <w:t>CAIET DE SARCINI</w:t>
      </w:r>
    </w:p>
    <w:p>
      <w:pPr>
        <w:pStyle w:val="Style7"/>
        <w:widowControl/>
        <w:spacing w:before="182" w:line="360" w:lineRule="auto"/>
        <w:rPr>
          <w:rStyle w:val="FontStyle92"/>
          <w:sz w:val="20"/>
          <w:szCs w:val="20"/>
          <w:lang w:val="ro-RO" w:eastAsia="ro-RO"/>
        </w:rPr>
      </w:pPr>
    </w:p>
    <w:p>
      <w:pPr>
        <w:pStyle w:val="Style7"/>
        <w:widowControl/>
        <w:spacing w:before="182" w:line="360" w:lineRule="auto"/>
        <w:rPr>
          <w:rStyle w:val="FontStyle92"/>
          <w:b w:val="0"/>
          <w:sz w:val="20"/>
          <w:szCs w:val="20"/>
          <w:lang w:val="ro-RO" w:eastAsia="ro-RO"/>
        </w:rPr>
      </w:pPr>
      <w:r>
        <w:rPr>
          <w:rStyle w:val="FontStyle92"/>
          <w:b w:val="0"/>
          <w:sz w:val="20"/>
          <w:szCs w:val="20"/>
          <w:lang w:val="ro-RO" w:eastAsia="ro-RO"/>
        </w:rPr>
        <w:t>pentru contractul</w:t>
      </w:r>
    </w:p>
    <w:p>
      <w:pPr>
        <w:pStyle w:val="Style5"/>
        <w:widowControl/>
        <w:spacing w:line="360" w:lineRule="auto"/>
        <w:rPr>
          <w:sz w:val="20"/>
          <w:szCs w:val="20"/>
          <w:lang w:val="ro-RO"/>
        </w:rPr>
      </w:pPr>
    </w:p>
    <w:p>
      <w:pPr>
        <w:pStyle w:val="Style6"/>
        <w:widowControl/>
        <w:spacing w:line="360" w:lineRule="auto"/>
        <w:jc w:val="both"/>
        <w:rPr>
          <w:sz w:val="20"/>
          <w:szCs w:val="20"/>
          <w:lang w:val="ro-RO"/>
        </w:rPr>
      </w:pPr>
    </w:p>
    <w:p>
      <w:pPr>
        <w:pStyle w:val="Style6"/>
        <w:widowControl/>
        <w:spacing w:before="154" w:line="360" w:lineRule="auto"/>
        <w:rPr>
          <w:rStyle w:val="FontStyle92"/>
          <w:sz w:val="20"/>
          <w:szCs w:val="20"/>
          <w:lang w:val="ro-RO" w:eastAsia="ro-RO"/>
        </w:rPr>
      </w:pPr>
      <w:r>
        <w:rPr>
          <w:rStyle w:val="FontStyle92"/>
          <w:sz w:val="20"/>
          <w:szCs w:val="20"/>
          <w:lang w:val="ro-RO" w:eastAsia="ro-RO"/>
        </w:rPr>
        <w:t xml:space="preserve">PROIECTARE- EXECUŢIE- OPERARE  </w:t>
      </w:r>
    </w:p>
    <w:p>
      <w:pPr>
        <w:pStyle w:val="Style6"/>
        <w:widowControl/>
        <w:spacing w:before="154" w:line="360" w:lineRule="auto"/>
        <w:rPr>
          <w:rStyle w:val="FontStyle92"/>
          <w:sz w:val="20"/>
          <w:szCs w:val="20"/>
          <w:lang w:val="ro-RO" w:eastAsia="ro-RO"/>
        </w:rPr>
      </w:pPr>
      <w:r>
        <w:rPr>
          <w:rStyle w:val="FontStyle92"/>
          <w:sz w:val="20"/>
          <w:szCs w:val="20"/>
          <w:lang w:val="ro-RO" w:eastAsia="ro-RO"/>
        </w:rPr>
        <w:t>STAŢIE DE TRATARE MECANO-BIOLOGICĂ CU DIGESTIE ANAEROBĂ ȘI RECUPERARE DE ENERGIE ȘI STAŢIE DE TRANSFER GALAŢI</w:t>
      </w:r>
    </w:p>
    <w:p>
      <w:pPr>
        <w:pStyle w:val="Style6"/>
        <w:widowControl/>
        <w:spacing w:before="154" w:line="360" w:lineRule="auto"/>
        <w:rPr>
          <w:rStyle w:val="FontStyle92"/>
          <w:sz w:val="20"/>
          <w:szCs w:val="20"/>
          <w:lang w:val="ro-RO" w:eastAsia="ro-RO"/>
        </w:rPr>
      </w:pPr>
    </w:p>
    <w:p>
      <w:pPr>
        <w:pStyle w:val="Style6"/>
        <w:widowControl/>
        <w:spacing w:before="154" w:line="360" w:lineRule="auto"/>
        <w:rPr>
          <w:rStyle w:val="FontStyle92"/>
          <w:sz w:val="20"/>
          <w:szCs w:val="20"/>
          <w:lang w:val="ro-RO" w:eastAsia="ro-RO"/>
        </w:rPr>
      </w:pPr>
    </w:p>
    <w:p>
      <w:pPr>
        <w:pStyle w:val="Style6"/>
        <w:widowControl/>
        <w:spacing w:before="154" w:line="360" w:lineRule="auto"/>
        <w:rPr>
          <w:rStyle w:val="FontStyle92"/>
          <w:i/>
          <w:sz w:val="20"/>
          <w:szCs w:val="20"/>
          <w:lang w:val="ro-RO" w:eastAsia="ro-RO"/>
        </w:rPr>
      </w:pPr>
      <w:r>
        <w:rPr>
          <w:rStyle w:val="FontStyle92"/>
          <w:i/>
          <w:sz w:val="20"/>
          <w:szCs w:val="20"/>
          <w:lang w:val="ro-RO" w:eastAsia="ro-RO"/>
        </w:rPr>
        <w:t>PENTRU PROIECTUL ”SISTEM DE MANAGEMENT INTEGRAT AL DEȘEURILOR ÎN JUDEȚUL GALAȚI-ETAPA II”</w:t>
      </w:r>
    </w:p>
    <w:p>
      <w:pPr>
        <w:pStyle w:val="Style7"/>
        <w:widowControl/>
        <w:spacing w:line="360" w:lineRule="auto"/>
        <w:ind w:right="2304"/>
        <w:rPr>
          <w:sz w:val="20"/>
          <w:szCs w:val="20"/>
          <w:lang w:val="ro-RO"/>
        </w:rPr>
      </w:pPr>
    </w:p>
    <w:p>
      <w:pPr>
        <w:pStyle w:val="Style7"/>
        <w:widowControl/>
        <w:spacing w:line="360" w:lineRule="auto"/>
        <w:ind w:right="2304"/>
        <w:rPr>
          <w:sz w:val="20"/>
          <w:szCs w:val="20"/>
          <w:lang w:val="ro-RO"/>
        </w:rPr>
      </w:pPr>
    </w:p>
    <w:p>
      <w:pPr>
        <w:pStyle w:val="Style7"/>
        <w:widowControl/>
        <w:spacing w:line="360" w:lineRule="auto"/>
        <w:ind w:right="2304"/>
        <w:rPr>
          <w:sz w:val="20"/>
          <w:szCs w:val="20"/>
          <w:lang w:val="ro-RO"/>
        </w:rPr>
      </w:pPr>
    </w:p>
    <w:p>
      <w:pPr>
        <w:pStyle w:val="Style7"/>
        <w:widowControl/>
        <w:spacing w:line="360" w:lineRule="auto"/>
        <w:ind w:right="2304"/>
        <w:rPr>
          <w:sz w:val="20"/>
          <w:szCs w:val="20"/>
          <w:lang w:val="ro-RO"/>
        </w:rPr>
      </w:pPr>
    </w:p>
    <w:p>
      <w:pPr>
        <w:pStyle w:val="Style2"/>
        <w:widowControl/>
        <w:spacing w:line="360" w:lineRule="auto"/>
        <w:rPr>
          <w:sz w:val="20"/>
          <w:szCs w:val="20"/>
          <w:lang w:val="ro-RO"/>
        </w:rPr>
      </w:pPr>
    </w:p>
    <w:p>
      <w:pPr>
        <w:pStyle w:val="Style2"/>
        <w:widowControl/>
        <w:spacing w:line="360" w:lineRule="auto"/>
        <w:rPr>
          <w:sz w:val="20"/>
          <w:szCs w:val="20"/>
          <w:lang w:val="ro-RO"/>
        </w:rPr>
      </w:pPr>
    </w:p>
    <w:p>
      <w:pPr>
        <w:pStyle w:val="Style2"/>
        <w:widowControl/>
        <w:spacing w:line="360" w:lineRule="auto"/>
        <w:rPr>
          <w:sz w:val="20"/>
          <w:szCs w:val="20"/>
          <w:lang w:val="ro-RO"/>
        </w:rPr>
      </w:pPr>
    </w:p>
    <w:p>
      <w:pPr>
        <w:pStyle w:val="Style2"/>
        <w:widowControl/>
        <w:spacing w:before="120" w:line="360" w:lineRule="auto"/>
        <w:jc w:val="center"/>
        <w:rPr>
          <w:rStyle w:val="FontStyle93"/>
          <w:sz w:val="20"/>
          <w:szCs w:val="20"/>
          <w:lang w:val="ro-RO" w:eastAsia="ro-RO"/>
        </w:rPr>
      </w:pPr>
    </w:p>
    <w:p>
      <w:pPr>
        <w:pStyle w:val="Style2"/>
        <w:spacing w:before="120" w:line="360" w:lineRule="auto"/>
        <w:rPr>
          <w:rStyle w:val="FontStyle93"/>
          <w:sz w:val="20"/>
          <w:szCs w:val="20"/>
          <w:lang w:val="ro-RO" w:eastAsia="ro-RO"/>
        </w:rPr>
      </w:pPr>
    </w:p>
    <w:p>
      <w:pPr>
        <w:pStyle w:val="Style2"/>
        <w:spacing w:before="120" w:line="360" w:lineRule="auto"/>
        <w:rPr>
          <w:rStyle w:val="FontStyle93"/>
          <w:sz w:val="20"/>
          <w:szCs w:val="20"/>
          <w:lang w:val="ro-RO" w:eastAsia="ro-RO"/>
        </w:rPr>
      </w:pPr>
      <w:r>
        <w:rPr>
          <w:rStyle w:val="FontStyle93"/>
          <w:sz w:val="20"/>
          <w:szCs w:val="20"/>
          <w:lang w:val="ro-RO" w:eastAsia="ro-RO"/>
        </w:rPr>
        <w:lastRenderedPageBreak/>
        <w:t>LISTA DE ABREVIERI</w:t>
      </w:r>
    </w:p>
    <w:p>
      <w:pPr>
        <w:pStyle w:val="Style2"/>
        <w:spacing w:before="120" w:line="360" w:lineRule="auto"/>
        <w:rPr>
          <w:rStyle w:val="FontStyle93"/>
          <w:b w:val="0"/>
          <w:sz w:val="20"/>
          <w:szCs w:val="20"/>
          <w:lang w:val="ro-RO" w:eastAsia="ro-RO"/>
        </w:rPr>
      </w:pPr>
      <w:r>
        <w:rPr>
          <w:rStyle w:val="FontStyle93"/>
          <w:sz w:val="20"/>
          <w:szCs w:val="20"/>
          <w:lang w:val="ro-RO" w:eastAsia="ro-RO"/>
        </w:rPr>
        <w:t>AC</w:t>
      </w:r>
      <w:r>
        <w:rPr>
          <w:rStyle w:val="FontStyle93"/>
          <w:sz w:val="20"/>
          <w:szCs w:val="20"/>
          <w:lang w:val="ro-RO" w:eastAsia="ro-RO"/>
        </w:rPr>
        <w:tab/>
      </w:r>
      <w:r>
        <w:rPr>
          <w:rStyle w:val="FontStyle93"/>
          <w:b w:val="0"/>
          <w:sz w:val="20"/>
          <w:szCs w:val="20"/>
          <w:lang w:val="ro-RO" w:eastAsia="ro-RO"/>
        </w:rPr>
        <w:t>Autoritatea Contractantă</w:t>
      </w:r>
    </w:p>
    <w:p>
      <w:pPr>
        <w:pStyle w:val="Style2"/>
        <w:spacing w:before="120" w:line="360" w:lineRule="auto"/>
        <w:rPr>
          <w:rStyle w:val="FontStyle93"/>
          <w:b w:val="0"/>
          <w:sz w:val="20"/>
          <w:szCs w:val="20"/>
          <w:lang w:val="ro-RO" w:eastAsia="ro-RO"/>
        </w:rPr>
      </w:pPr>
      <w:r>
        <w:rPr>
          <w:rStyle w:val="FontStyle93"/>
          <w:sz w:val="20"/>
          <w:szCs w:val="20"/>
          <w:lang w:val="ro-RO" w:eastAsia="ro-RO"/>
        </w:rPr>
        <w:t>ADI</w:t>
      </w:r>
      <w:r>
        <w:rPr>
          <w:rStyle w:val="FontStyle93"/>
          <w:sz w:val="20"/>
          <w:szCs w:val="20"/>
          <w:lang w:val="ro-RO" w:eastAsia="ro-RO"/>
        </w:rPr>
        <w:tab/>
      </w:r>
      <w:r>
        <w:rPr>
          <w:rStyle w:val="FontStyle93"/>
          <w:b w:val="0"/>
          <w:sz w:val="20"/>
          <w:szCs w:val="20"/>
          <w:lang w:val="ro-RO" w:eastAsia="ro-RO"/>
        </w:rPr>
        <w:t>Asociaţia de Dezvoltare Intercomunitară ECOSERV Galaţi</w:t>
      </w:r>
    </w:p>
    <w:p>
      <w:pPr>
        <w:pStyle w:val="Style2"/>
        <w:spacing w:before="120" w:line="360" w:lineRule="auto"/>
        <w:rPr>
          <w:rStyle w:val="FontStyle93"/>
          <w:b w:val="0"/>
          <w:sz w:val="20"/>
          <w:szCs w:val="20"/>
          <w:lang w:val="ro-RO" w:eastAsia="ro-RO"/>
        </w:rPr>
      </w:pPr>
      <w:r>
        <w:rPr>
          <w:rStyle w:val="FontStyle93"/>
          <w:sz w:val="20"/>
          <w:szCs w:val="20"/>
          <w:lang w:val="ro-RO" w:eastAsia="ro-RO"/>
        </w:rPr>
        <w:t xml:space="preserve">ANRSC </w:t>
      </w:r>
      <w:r>
        <w:rPr>
          <w:rStyle w:val="FontStyle93"/>
          <w:b w:val="0"/>
          <w:sz w:val="20"/>
          <w:szCs w:val="20"/>
          <w:lang w:val="ro-RO" w:eastAsia="ro-RO"/>
        </w:rPr>
        <w:t>Autoritatea Naţională de Reglementare pentru Serviciile Comunitare de Utilităţi Publice</w:t>
      </w:r>
    </w:p>
    <w:p>
      <w:pPr>
        <w:pStyle w:val="Style2"/>
        <w:spacing w:before="120" w:line="360" w:lineRule="auto"/>
        <w:rPr>
          <w:rStyle w:val="FontStyle93"/>
          <w:b w:val="0"/>
          <w:sz w:val="20"/>
          <w:szCs w:val="20"/>
          <w:lang w:val="ro-RO" w:eastAsia="ro-RO"/>
        </w:rPr>
      </w:pPr>
      <w:r>
        <w:rPr>
          <w:rStyle w:val="FontStyle93"/>
          <w:sz w:val="20"/>
          <w:szCs w:val="20"/>
          <w:lang w:val="ro-RO" w:eastAsia="ro-RO"/>
        </w:rPr>
        <w:t>CJ</w:t>
      </w:r>
      <w:r>
        <w:rPr>
          <w:rStyle w:val="FontStyle93"/>
          <w:sz w:val="20"/>
          <w:szCs w:val="20"/>
          <w:lang w:val="ro-RO" w:eastAsia="ro-RO"/>
        </w:rPr>
        <w:tab/>
      </w:r>
      <w:r>
        <w:rPr>
          <w:rStyle w:val="FontStyle93"/>
          <w:b w:val="0"/>
          <w:sz w:val="20"/>
          <w:szCs w:val="20"/>
          <w:lang w:val="ro-RO" w:eastAsia="ro-RO"/>
        </w:rPr>
        <w:t>Consiliul Judeţean Galaţi</w:t>
      </w:r>
    </w:p>
    <w:p>
      <w:pPr>
        <w:pStyle w:val="Style2"/>
        <w:spacing w:before="120" w:line="360" w:lineRule="auto"/>
        <w:rPr>
          <w:rStyle w:val="FontStyle93"/>
          <w:bCs w:val="0"/>
          <w:sz w:val="20"/>
          <w:szCs w:val="20"/>
          <w:lang w:val="ro-RO" w:eastAsia="ro-RO"/>
        </w:rPr>
      </w:pPr>
      <w:r>
        <w:rPr>
          <w:rStyle w:val="FontStyle93"/>
          <w:bCs w:val="0"/>
          <w:sz w:val="20"/>
          <w:szCs w:val="20"/>
          <w:lang w:val="ro-RO" w:eastAsia="ro-RO"/>
        </w:rPr>
        <w:t>CLO</w:t>
      </w:r>
      <w:r>
        <w:rPr>
          <w:rStyle w:val="FontStyle93"/>
          <w:bCs w:val="0"/>
          <w:sz w:val="20"/>
          <w:szCs w:val="20"/>
          <w:lang w:val="ro-RO" w:eastAsia="ro-RO"/>
        </w:rPr>
        <w:tab/>
      </w:r>
      <w:r>
        <w:rPr>
          <w:rStyle w:val="FontStyle93"/>
          <w:b w:val="0"/>
          <w:sz w:val="20"/>
          <w:szCs w:val="20"/>
          <w:lang w:val="ro-RO" w:eastAsia="ro-RO"/>
        </w:rPr>
        <w:t>Compost Like Output</w:t>
      </w:r>
    </w:p>
    <w:p>
      <w:pPr>
        <w:pStyle w:val="Style2"/>
        <w:spacing w:before="120" w:line="360" w:lineRule="auto"/>
        <w:rPr>
          <w:rStyle w:val="FontStyle93"/>
          <w:b w:val="0"/>
          <w:sz w:val="20"/>
          <w:szCs w:val="20"/>
          <w:lang w:val="ro-RO" w:eastAsia="ro-RO"/>
        </w:rPr>
      </w:pPr>
      <w:r>
        <w:rPr>
          <w:rStyle w:val="FontStyle93"/>
          <w:sz w:val="20"/>
          <w:szCs w:val="20"/>
          <w:lang w:val="ro-RO" w:eastAsia="ro-RO"/>
        </w:rPr>
        <w:t>CS</w:t>
      </w:r>
      <w:r>
        <w:rPr>
          <w:rStyle w:val="FontStyle93"/>
          <w:sz w:val="20"/>
          <w:szCs w:val="20"/>
          <w:lang w:val="ro-RO" w:eastAsia="ro-RO"/>
        </w:rPr>
        <w:tab/>
      </w:r>
      <w:r>
        <w:rPr>
          <w:rStyle w:val="FontStyle93"/>
          <w:b w:val="0"/>
          <w:sz w:val="20"/>
          <w:szCs w:val="20"/>
          <w:lang w:val="ro-RO" w:eastAsia="ro-RO"/>
        </w:rPr>
        <w:t>Caiet de Sarcini</w:t>
      </w:r>
    </w:p>
    <w:p>
      <w:pPr>
        <w:pStyle w:val="Style2"/>
        <w:spacing w:before="120" w:line="360" w:lineRule="auto"/>
        <w:rPr>
          <w:rStyle w:val="FontStyle93"/>
          <w:b w:val="0"/>
          <w:sz w:val="20"/>
          <w:szCs w:val="20"/>
          <w:lang w:val="ro-RO" w:eastAsia="ro-RO"/>
        </w:rPr>
      </w:pPr>
      <w:r>
        <w:rPr>
          <w:rStyle w:val="FontStyle93"/>
          <w:sz w:val="20"/>
          <w:szCs w:val="20"/>
          <w:lang w:val="ro-RO" w:eastAsia="ro-RO"/>
        </w:rPr>
        <w:t>DA</w:t>
      </w:r>
      <w:r>
        <w:rPr>
          <w:rStyle w:val="FontStyle93"/>
          <w:sz w:val="20"/>
          <w:szCs w:val="20"/>
          <w:lang w:val="ro-RO" w:eastAsia="ro-RO"/>
        </w:rPr>
        <w:tab/>
      </w:r>
      <w:r>
        <w:rPr>
          <w:rStyle w:val="FontStyle93"/>
          <w:b w:val="0"/>
          <w:sz w:val="20"/>
          <w:szCs w:val="20"/>
          <w:lang w:val="ro-RO" w:eastAsia="ro-RO"/>
        </w:rPr>
        <w:t>Documentaţie de Atribuire</w:t>
      </w:r>
    </w:p>
    <w:p>
      <w:pPr>
        <w:pStyle w:val="Style2"/>
        <w:spacing w:before="120" w:line="360" w:lineRule="auto"/>
        <w:rPr>
          <w:rStyle w:val="FontStyle93"/>
          <w:b w:val="0"/>
          <w:sz w:val="20"/>
          <w:szCs w:val="20"/>
          <w:lang w:val="ro-RO" w:eastAsia="ro-RO"/>
        </w:rPr>
      </w:pPr>
      <w:r>
        <w:rPr>
          <w:rStyle w:val="FontStyle93"/>
          <w:sz w:val="20"/>
          <w:szCs w:val="20"/>
          <w:lang w:val="ro-RO" w:eastAsia="ro-RO"/>
        </w:rPr>
        <w:t>PEO</w:t>
      </w:r>
      <w:r>
        <w:rPr>
          <w:rStyle w:val="FontStyle93"/>
          <w:sz w:val="20"/>
          <w:szCs w:val="20"/>
          <w:lang w:val="ro-RO" w:eastAsia="ro-RO"/>
        </w:rPr>
        <w:tab/>
      </w:r>
      <w:r>
        <w:rPr>
          <w:rStyle w:val="FontStyle93"/>
          <w:b w:val="0"/>
          <w:sz w:val="20"/>
          <w:szCs w:val="20"/>
          <w:lang w:val="ro-RO" w:eastAsia="ro-RO"/>
        </w:rPr>
        <w:t>Proiectare - Execuţie - Operare</w:t>
      </w:r>
    </w:p>
    <w:p>
      <w:pPr>
        <w:pStyle w:val="Style2"/>
        <w:spacing w:before="120" w:line="360" w:lineRule="auto"/>
        <w:rPr>
          <w:rStyle w:val="FontStyle93"/>
          <w:b w:val="0"/>
          <w:sz w:val="20"/>
          <w:szCs w:val="20"/>
          <w:lang w:val="ro-RO" w:eastAsia="ro-RO"/>
        </w:rPr>
      </w:pPr>
      <w:r>
        <w:rPr>
          <w:rStyle w:val="FontStyle93"/>
          <w:sz w:val="20"/>
          <w:szCs w:val="20"/>
          <w:lang w:val="ro-RO" w:eastAsia="ro-RO"/>
        </w:rPr>
        <w:t>RDF</w:t>
      </w:r>
      <w:r>
        <w:rPr>
          <w:rStyle w:val="FontStyle93"/>
          <w:sz w:val="20"/>
          <w:szCs w:val="20"/>
          <w:lang w:val="ro-RO" w:eastAsia="ro-RO"/>
        </w:rPr>
        <w:tab/>
      </w:r>
      <w:r>
        <w:rPr>
          <w:rStyle w:val="FontStyle93"/>
          <w:b w:val="0"/>
          <w:sz w:val="20"/>
          <w:szCs w:val="20"/>
          <w:lang w:val="ro-RO" w:eastAsia="ro-RO"/>
        </w:rPr>
        <w:t>Refuse Derived Fuel (Carburant derivat din deşeuri)</w:t>
      </w:r>
    </w:p>
    <w:p>
      <w:pPr>
        <w:pStyle w:val="Style2"/>
        <w:spacing w:before="120" w:line="360" w:lineRule="auto"/>
        <w:rPr>
          <w:rStyle w:val="FontStyle93"/>
          <w:b w:val="0"/>
          <w:sz w:val="20"/>
          <w:szCs w:val="20"/>
          <w:lang w:val="ro-RO" w:eastAsia="ro-RO"/>
        </w:rPr>
      </w:pPr>
      <w:r>
        <w:rPr>
          <w:rStyle w:val="FontStyle93"/>
          <w:sz w:val="20"/>
          <w:szCs w:val="20"/>
          <w:lang w:val="ro-RO" w:eastAsia="ro-RO"/>
        </w:rPr>
        <w:t>SMID</w:t>
      </w:r>
      <w:r>
        <w:rPr>
          <w:rStyle w:val="FontStyle93"/>
          <w:sz w:val="20"/>
          <w:szCs w:val="20"/>
          <w:lang w:val="ro-RO" w:eastAsia="ro-RO"/>
        </w:rPr>
        <w:tab/>
      </w:r>
      <w:r>
        <w:rPr>
          <w:rStyle w:val="FontStyle93"/>
          <w:b w:val="0"/>
          <w:sz w:val="20"/>
          <w:szCs w:val="20"/>
          <w:lang w:val="ro-RO" w:eastAsia="ro-RO"/>
        </w:rPr>
        <w:t>Sistem de Management Integrat al Deşeurilor</w:t>
      </w:r>
    </w:p>
    <w:p>
      <w:pPr>
        <w:pStyle w:val="Style2"/>
        <w:spacing w:before="120" w:line="360" w:lineRule="auto"/>
        <w:rPr>
          <w:rStyle w:val="FontStyle93"/>
          <w:b w:val="0"/>
          <w:sz w:val="20"/>
          <w:szCs w:val="20"/>
          <w:lang w:val="ro-RO" w:eastAsia="ro-RO"/>
        </w:rPr>
      </w:pPr>
      <w:r>
        <w:rPr>
          <w:rStyle w:val="FontStyle93"/>
          <w:sz w:val="20"/>
          <w:szCs w:val="20"/>
          <w:lang w:val="ro-RO" w:eastAsia="ro-RO"/>
        </w:rPr>
        <w:t>ST</w:t>
      </w:r>
      <w:r>
        <w:rPr>
          <w:rStyle w:val="FontStyle93"/>
          <w:sz w:val="20"/>
          <w:szCs w:val="20"/>
          <w:lang w:val="ro-RO" w:eastAsia="ro-RO"/>
        </w:rPr>
        <w:tab/>
      </w:r>
      <w:r>
        <w:rPr>
          <w:rStyle w:val="FontStyle93"/>
          <w:b w:val="0"/>
          <w:sz w:val="20"/>
          <w:szCs w:val="20"/>
          <w:lang w:val="ro-RO" w:eastAsia="ro-RO"/>
        </w:rPr>
        <w:t>Staţie de Transfer</w:t>
      </w:r>
    </w:p>
    <w:p>
      <w:pPr>
        <w:pStyle w:val="Style2"/>
        <w:spacing w:before="120" w:line="360" w:lineRule="auto"/>
        <w:rPr>
          <w:rStyle w:val="FontStyle93"/>
          <w:sz w:val="20"/>
          <w:szCs w:val="20"/>
          <w:lang w:val="ro-RO" w:eastAsia="ro-RO"/>
        </w:rPr>
      </w:pPr>
      <w:r>
        <w:rPr>
          <w:rStyle w:val="FontStyle93"/>
          <w:sz w:val="20"/>
          <w:szCs w:val="20"/>
          <w:lang w:val="ro-RO" w:eastAsia="ro-RO"/>
        </w:rPr>
        <w:t>TMB</w:t>
      </w:r>
      <w:r>
        <w:rPr>
          <w:rStyle w:val="FontStyle93"/>
          <w:sz w:val="20"/>
          <w:szCs w:val="20"/>
          <w:lang w:val="ro-RO" w:eastAsia="ro-RO"/>
        </w:rPr>
        <w:tab/>
      </w:r>
      <w:r>
        <w:rPr>
          <w:rStyle w:val="FontStyle93"/>
          <w:b w:val="0"/>
          <w:sz w:val="20"/>
          <w:szCs w:val="20"/>
          <w:lang w:val="ro-RO" w:eastAsia="ro-RO"/>
        </w:rPr>
        <w:t>Stație/instalație de Tratare Mecano - Biologică</w:t>
      </w:r>
    </w:p>
    <w:p>
      <w:pPr>
        <w:pStyle w:val="Style2"/>
        <w:spacing w:before="120" w:line="360" w:lineRule="auto"/>
        <w:rPr>
          <w:rStyle w:val="FontStyle93"/>
          <w:b w:val="0"/>
          <w:sz w:val="20"/>
          <w:szCs w:val="20"/>
          <w:lang w:val="ro-RO" w:eastAsia="ro-RO"/>
        </w:rPr>
      </w:pPr>
      <w:r>
        <w:rPr>
          <w:rStyle w:val="FontStyle93"/>
          <w:sz w:val="20"/>
          <w:szCs w:val="20"/>
          <w:lang w:val="ro-RO" w:eastAsia="ro-RO"/>
        </w:rPr>
        <w:t>TVA</w:t>
      </w:r>
      <w:r>
        <w:rPr>
          <w:rStyle w:val="FontStyle93"/>
          <w:sz w:val="20"/>
          <w:szCs w:val="20"/>
          <w:lang w:val="ro-RO" w:eastAsia="ro-RO"/>
        </w:rPr>
        <w:tab/>
      </w:r>
      <w:r>
        <w:rPr>
          <w:rStyle w:val="FontStyle93"/>
          <w:b w:val="0"/>
          <w:sz w:val="20"/>
          <w:szCs w:val="20"/>
          <w:lang w:val="ro-RO" w:eastAsia="ro-RO"/>
        </w:rPr>
        <w:t>Taxa pe Valoarea Adăugată</w:t>
      </w:r>
    </w:p>
    <w:p>
      <w:pPr>
        <w:pStyle w:val="Style2"/>
        <w:spacing w:before="120" w:line="360" w:lineRule="auto"/>
        <w:rPr>
          <w:rStyle w:val="FontStyle93"/>
          <w:b w:val="0"/>
          <w:sz w:val="20"/>
          <w:szCs w:val="20"/>
          <w:lang w:val="ro-RO" w:eastAsia="ro-RO"/>
        </w:rPr>
      </w:pPr>
      <w:r>
        <w:rPr>
          <w:rStyle w:val="FontStyle93"/>
          <w:sz w:val="20"/>
          <w:szCs w:val="20"/>
          <w:lang w:val="ro-RO" w:eastAsia="ro-RO"/>
        </w:rPr>
        <w:t>UAT</w:t>
      </w:r>
      <w:r>
        <w:rPr>
          <w:rStyle w:val="FontStyle93"/>
          <w:sz w:val="20"/>
          <w:szCs w:val="20"/>
          <w:lang w:val="ro-RO" w:eastAsia="ro-RO"/>
        </w:rPr>
        <w:tab/>
      </w:r>
      <w:r>
        <w:rPr>
          <w:rStyle w:val="FontStyle93"/>
          <w:b w:val="0"/>
          <w:sz w:val="20"/>
          <w:szCs w:val="20"/>
          <w:lang w:val="ro-RO" w:eastAsia="ro-RO"/>
        </w:rPr>
        <w:t>Unitate Administrativ Teritorială</w:t>
      </w:r>
    </w:p>
    <w:p>
      <w:pPr>
        <w:pStyle w:val="Style2"/>
        <w:spacing w:before="120" w:line="360" w:lineRule="auto"/>
        <w:rPr>
          <w:rStyle w:val="FontStyle93"/>
          <w:sz w:val="20"/>
          <w:szCs w:val="20"/>
          <w:lang w:val="ro-RO" w:eastAsia="ro-RO"/>
        </w:rPr>
      </w:pPr>
      <w:r>
        <w:rPr>
          <w:rStyle w:val="FontStyle93"/>
          <w:sz w:val="20"/>
          <w:szCs w:val="20"/>
          <w:lang w:val="ro-RO" w:eastAsia="ro-RO"/>
        </w:rPr>
        <w:t>LNR</w:t>
      </w:r>
      <w:r>
        <w:rPr>
          <w:rStyle w:val="FontStyle93"/>
          <w:sz w:val="20"/>
          <w:szCs w:val="20"/>
          <w:lang w:val="ro-RO" w:eastAsia="ro-RO"/>
        </w:rPr>
        <w:tab/>
      </w:r>
      <w:r>
        <w:rPr>
          <w:rStyle w:val="FontStyle93"/>
          <w:b w:val="0"/>
          <w:sz w:val="20"/>
          <w:szCs w:val="20"/>
          <w:lang w:val="ro-RO" w:eastAsia="ro-RO"/>
        </w:rPr>
        <w:t>Legile naţionale relevante</w:t>
      </w:r>
    </w:p>
    <w:p>
      <w:pPr>
        <w:pStyle w:val="Style2"/>
        <w:spacing w:before="120"/>
        <w:rPr>
          <w:rStyle w:val="FontStyle93"/>
          <w:i/>
          <w:sz w:val="20"/>
          <w:szCs w:val="20"/>
          <w:lang w:val="ro-RO" w:eastAsia="ro-RO"/>
        </w:rPr>
      </w:pPr>
      <w:r>
        <w:rPr>
          <w:rStyle w:val="FontStyle93"/>
          <w:i/>
          <w:sz w:val="20"/>
          <w:szCs w:val="20"/>
          <w:lang w:val="ro-RO" w:eastAsia="ro-RO"/>
        </w:rPr>
        <w:t>Orice referire din cuprinsul prezentei documentaţii de atribuire (inclusiv a caietului de sarcini), prin care se indica o anumita origine, sursa, producţie, un procedeu special, standarde specifice, o marca de fabricatie sau de comert, un brevet de inventie si/sau o licenta de fabricatie, o autorizatie/certificare/atestare, se va citi si interpreta ca fiind insotita de mentiunea "sau echivalent".</w:t>
      </w:r>
    </w:p>
    <w:p>
      <w:pPr>
        <w:pStyle w:val="Style2"/>
        <w:spacing w:before="120"/>
        <w:rPr>
          <w:rStyle w:val="FontStyle93"/>
          <w:i/>
          <w:sz w:val="20"/>
          <w:szCs w:val="20"/>
          <w:lang w:val="ro-RO" w:eastAsia="ro-RO"/>
        </w:rPr>
      </w:pPr>
    </w:p>
    <w:p>
      <w:pPr>
        <w:pStyle w:val="Style2"/>
        <w:spacing w:before="120"/>
        <w:rPr>
          <w:rStyle w:val="FontStyle93"/>
          <w:i/>
          <w:sz w:val="20"/>
          <w:szCs w:val="20"/>
          <w:lang w:val="ro-RO" w:eastAsia="ro-RO"/>
        </w:rPr>
      </w:pPr>
      <w:r>
        <w:rPr>
          <w:rStyle w:val="FontStyle93"/>
          <w:i/>
          <w:sz w:val="20"/>
          <w:szCs w:val="20"/>
          <w:lang w:val="ro-RO" w:eastAsia="ro-RO"/>
        </w:rPr>
        <w:t>P</w:t>
      </w:r>
      <w:r>
        <w:rPr>
          <w:rStyle w:val="FontStyle93"/>
          <w:i/>
          <w:sz w:val="20"/>
          <w:szCs w:val="20"/>
          <w:lang w:eastAsia="ro-RO"/>
        </w:rPr>
        <w:t xml:space="preserve">entru alinierea cu cerințele actuale privind managementul deșeurilor, informațiile conținute în Studiul de fezabilitate (în special fluxurile de deșeuri, capacitatea instalațiilor și anumite cerințe funcționale) au fost actualizate prin Studiul de fundamentare, elaborat în anul 2026. </w:t>
      </w:r>
      <w:r>
        <w:rPr>
          <w:rStyle w:val="FontStyle93"/>
          <w:i/>
          <w:sz w:val="20"/>
          <w:szCs w:val="20"/>
          <w:lang w:val="pt-BR" w:eastAsia="ro-RO"/>
        </w:rPr>
        <w:t>Cerințele prezentului caiet de sarcini reflectă specificațiile din studiul de fundamentare actualizat în anul 2026.</w:t>
      </w:r>
    </w:p>
    <w:p>
      <w:pPr>
        <w:pStyle w:val="Style2"/>
        <w:spacing w:before="120"/>
        <w:rPr>
          <w:rStyle w:val="FontStyle93"/>
          <w:i/>
          <w:sz w:val="20"/>
          <w:szCs w:val="20"/>
          <w:lang w:val="ro-RO" w:eastAsia="ro-RO"/>
        </w:rPr>
      </w:pPr>
    </w:p>
    <w:p>
      <w:pPr>
        <w:pStyle w:val="Style2"/>
        <w:spacing w:before="120"/>
        <w:rPr>
          <w:rStyle w:val="FontStyle93"/>
          <w:i/>
          <w:sz w:val="20"/>
          <w:szCs w:val="20"/>
          <w:lang w:val="ro-RO" w:eastAsia="ro-RO"/>
        </w:rPr>
      </w:pPr>
    </w:p>
    <w:p>
      <w:pPr>
        <w:pStyle w:val="Style2"/>
        <w:spacing w:before="120"/>
        <w:rPr>
          <w:rStyle w:val="FontStyle93"/>
          <w:i/>
          <w:sz w:val="20"/>
          <w:szCs w:val="20"/>
          <w:lang w:val="ro-RO" w:eastAsia="ro-RO"/>
        </w:rPr>
      </w:pPr>
    </w:p>
    <w:p>
      <w:pPr>
        <w:pStyle w:val="Style2"/>
        <w:spacing w:before="120"/>
        <w:rPr>
          <w:rStyle w:val="FontStyle93"/>
          <w:i/>
          <w:sz w:val="20"/>
          <w:szCs w:val="20"/>
          <w:lang w:val="ro-RO" w:eastAsia="ro-RO"/>
        </w:rPr>
      </w:pPr>
    </w:p>
    <w:p>
      <w:pPr>
        <w:pStyle w:val="Style2"/>
        <w:spacing w:before="120"/>
        <w:rPr>
          <w:rStyle w:val="FontStyle93"/>
          <w:i/>
          <w:sz w:val="20"/>
          <w:szCs w:val="20"/>
          <w:lang w:val="ro-RO" w:eastAsia="ro-RO"/>
        </w:rPr>
      </w:pPr>
    </w:p>
    <w:p>
      <w:pPr>
        <w:pStyle w:val="Style2"/>
        <w:spacing w:before="120"/>
        <w:rPr>
          <w:rStyle w:val="FontStyle93"/>
          <w:i/>
          <w:sz w:val="20"/>
          <w:szCs w:val="20"/>
          <w:lang w:val="ro-RO" w:eastAsia="ro-RO"/>
        </w:rPr>
      </w:pPr>
    </w:p>
    <w:p>
      <w:pPr>
        <w:pStyle w:val="Style2"/>
        <w:spacing w:before="120"/>
        <w:rPr>
          <w:rStyle w:val="FontStyle93"/>
          <w:i/>
          <w:sz w:val="20"/>
          <w:szCs w:val="20"/>
          <w:lang w:val="ro-RO" w:eastAsia="ro-RO"/>
        </w:rPr>
      </w:pPr>
    </w:p>
    <w:p>
      <w:pPr>
        <w:pStyle w:val="Style2"/>
        <w:spacing w:before="120"/>
        <w:rPr>
          <w:rStyle w:val="FontStyle93"/>
          <w:i/>
          <w:sz w:val="20"/>
          <w:szCs w:val="20"/>
          <w:lang w:val="ro-RO" w:eastAsia="ro-RO"/>
        </w:rPr>
      </w:pPr>
    </w:p>
    <w:p>
      <w:pPr>
        <w:pStyle w:val="Style2"/>
        <w:spacing w:before="120"/>
        <w:rPr>
          <w:rStyle w:val="FontStyle93"/>
          <w:i/>
          <w:sz w:val="20"/>
          <w:szCs w:val="20"/>
          <w:lang w:val="ro-RO" w:eastAsia="ro-RO"/>
        </w:rPr>
      </w:pPr>
    </w:p>
    <w:p>
      <w:pPr>
        <w:spacing w:after="160" w:line="259" w:lineRule="auto"/>
        <w:jc w:val="left"/>
        <w:rPr>
          <w:rStyle w:val="FontStyle93"/>
          <w:rFonts w:cstheme="majorBidi"/>
          <w:bCs w:val="0"/>
          <w:sz w:val="20"/>
          <w:szCs w:val="20"/>
          <w:lang w:val="ro-RO"/>
        </w:rPr>
      </w:pPr>
      <w:bookmarkStart w:id="0" w:name="_Toc227161483"/>
      <w:r>
        <w:rPr>
          <w:rStyle w:val="FontStyle93"/>
          <w:rFonts w:cstheme="majorBidi"/>
          <w:bCs w:val="0"/>
          <w:sz w:val="20"/>
          <w:szCs w:val="20"/>
          <w:lang w:val="ro-RO"/>
        </w:rPr>
        <w:lastRenderedPageBreak/>
        <w:t>DATE GENERALE</w:t>
      </w:r>
      <w:bookmarkEnd w:id="0"/>
      <w:r>
        <w:rPr>
          <w:rStyle w:val="FontStyle93"/>
          <w:rFonts w:cstheme="majorBidi"/>
          <w:bCs w:val="0"/>
          <w:sz w:val="20"/>
          <w:szCs w:val="20"/>
          <w:lang w:val="ro-RO"/>
        </w:rPr>
        <w:t xml:space="preserve"> </w:t>
      </w:r>
    </w:p>
    <w:p>
      <w:pPr>
        <w:rPr>
          <w:rStyle w:val="FontStyle93"/>
          <w:rFonts w:cstheme="majorBidi"/>
          <w:b w:val="0"/>
          <w:bCs w:val="0"/>
          <w:sz w:val="20"/>
          <w:szCs w:val="20"/>
          <w:lang w:val="ro-RO"/>
        </w:rPr>
      </w:pPr>
      <w:r>
        <w:rPr>
          <w:rStyle w:val="FontStyle93"/>
          <w:sz w:val="20"/>
          <w:szCs w:val="20"/>
          <w:lang w:val="ro-RO" w:eastAsia="ro-RO"/>
        </w:rPr>
        <w:t xml:space="preserve"> </w:t>
      </w:r>
      <w:r>
        <w:rPr>
          <w:rStyle w:val="FontStyle93"/>
          <w:rFonts w:cstheme="majorBidi"/>
          <w:bCs w:val="0"/>
          <w:sz w:val="20"/>
          <w:szCs w:val="20"/>
          <w:lang w:val="ro-RO"/>
        </w:rPr>
        <w:t>0.1 Cadrul proiectului</w:t>
      </w:r>
    </w:p>
    <w:p>
      <w:pPr>
        <w:rPr>
          <w:rStyle w:val="FontStyle93"/>
          <w:b w:val="0"/>
          <w:sz w:val="20"/>
          <w:szCs w:val="20"/>
          <w:lang w:val="ro-RO" w:eastAsia="ro-RO"/>
        </w:rPr>
      </w:pPr>
      <w:r>
        <w:rPr>
          <w:rStyle w:val="FontStyle93"/>
          <w:b w:val="0"/>
          <w:sz w:val="20"/>
          <w:szCs w:val="20"/>
          <w:lang w:val="ro-RO" w:eastAsia="ro-RO"/>
        </w:rPr>
        <w:t>Judeţul Galaţi este situat în estul României, la confluenţa Prutului cu Dunărea, învecinându-se în partea de nord cu judeţul Vaslui şi judeţul Vrancea, spre sud cu judeţul Brăila şi judeţul Tulcea, la est cu Republica Moldova, iar la vest cu judeţul Vrancea. Judeţul are o suprafaţă de 4.466 km2 şi face parte din Regiunea de Dezvoltare Sud-Est.</w:t>
      </w:r>
    </w:p>
    <w:p>
      <w:pPr>
        <w:rPr>
          <w:rStyle w:val="FontStyle93"/>
          <w:b w:val="0"/>
          <w:sz w:val="20"/>
          <w:szCs w:val="20"/>
          <w:lang w:val="ro-RO" w:eastAsia="ro-RO"/>
        </w:rPr>
      </w:pPr>
      <w:r>
        <w:rPr>
          <w:rStyle w:val="FontStyle93"/>
          <w:b w:val="0"/>
          <w:sz w:val="20"/>
          <w:szCs w:val="20"/>
          <w:lang w:val="ro-RO" w:eastAsia="ro-RO"/>
        </w:rPr>
        <w:t>Din punct de vedere administrativ, judeţul este compus din 65 de Unităţi Administrativ Teritoriale, din care 2 municipii (Galaţi şi Tecuci), 2 oraşe (Tg. Bujor şi Bereşti), 61 de comune şi 180 de sate.</w:t>
      </w:r>
    </w:p>
    <w:p>
      <w:pPr>
        <w:rPr>
          <w:rStyle w:val="FontStyle93"/>
          <w:b w:val="0"/>
          <w:sz w:val="20"/>
          <w:szCs w:val="20"/>
          <w:lang w:val="ro-RO" w:eastAsia="ro-RO"/>
        </w:rPr>
      </w:pPr>
      <w:r>
        <w:rPr>
          <w:rStyle w:val="FontStyle93"/>
          <w:b w:val="0"/>
          <w:sz w:val="20"/>
          <w:szCs w:val="20"/>
          <w:lang w:val="ro-RO" w:eastAsia="ro-RO"/>
        </w:rPr>
        <w:t>Aria de proiect este reprezentată de toate unităţile administrativ - teritoriale din judeţ, care sunt în prezent membre ale Asociaţiei de Dezvoltare Intercomunitară (ADI) ECOSERV, înfiinţată în anul 2011.</w:t>
      </w:r>
    </w:p>
    <w:p>
      <w:pPr>
        <w:rPr>
          <w:rStyle w:val="FontStyle93"/>
          <w:b w:val="0"/>
          <w:sz w:val="20"/>
          <w:szCs w:val="20"/>
          <w:lang w:val="ro-RO" w:eastAsia="ro-RO"/>
        </w:rPr>
      </w:pPr>
      <w:r>
        <w:rPr>
          <w:rStyle w:val="FontStyle93"/>
          <w:b w:val="0"/>
          <w:sz w:val="20"/>
          <w:szCs w:val="20"/>
          <w:lang w:val="ro-RO" w:eastAsia="ro-RO"/>
        </w:rPr>
        <w:t>Beneficiarii finali ai proiectului sunt Unităţile Administrativ Teritoriale membre ale ADI ECOSERV.</w:t>
      </w:r>
    </w:p>
    <w:p>
      <w:pPr>
        <w:rPr>
          <w:rStyle w:val="FontStyle93"/>
          <w:b w:val="0"/>
          <w:sz w:val="20"/>
          <w:szCs w:val="20"/>
          <w:lang w:val="ro-RO" w:eastAsia="ro-RO"/>
        </w:rPr>
      </w:pPr>
      <w:r>
        <w:rPr>
          <w:rStyle w:val="FontStyle93"/>
          <w:b w:val="0"/>
          <w:sz w:val="20"/>
          <w:szCs w:val="20"/>
          <w:lang w:val="ro-RO" w:eastAsia="ro-RO"/>
        </w:rPr>
        <w:t>Asociaţia de Dezvoltare Intercomunitară ECOSERV Galaţi organizează in asociere cu Consiliul Judeţean Galati procedura de licitaţie pentru desemnarea Antreprenorului responsabil pentru proiectarea, execuţia şi operarea stației de tratare mecano-biologică (TMB) şi a staţiei de transfer a deşeurilor Galaţi.</w:t>
      </w:r>
    </w:p>
    <w:p>
      <w:pPr>
        <w:rPr>
          <w:rStyle w:val="FontStyle93"/>
          <w:b w:val="0"/>
          <w:sz w:val="20"/>
          <w:szCs w:val="20"/>
          <w:lang w:val="ro-RO" w:eastAsia="ro-RO"/>
        </w:rPr>
      </w:pPr>
      <w:r>
        <w:rPr>
          <w:rStyle w:val="FontStyle93"/>
          <w:b w:val="0"/>
          <w:sz w:val="20"/>
          <w:szCs w:val="20"/>
          <w:lang w:val="ro-RO" w:eastAsia="ro-RO"/>
        </w:rPr>
        <w:t>Prezentul Caiet de sarcini face parte din documentaţia de atribuire a contractului de delegare a gestiunii activităţilor de proiectare, execuție şi operare a stației de tratare mecano - biologică şi a staţiei de transfer situate pe amplasamentul din Municipiul Galaţi.</w:t>
      </w:r>
    </w:p>
    <w:p>
      <w:pPr>
        <w:rPr>
          <w:rStyle w:val="FontStyle93"/>
          <w:b w:val="0"/>
          <w:sz w:val="20"/>
          <w:szCs w:val="20"/>
          <w:lang w:val="ro-RO" w:eastAsia="ro-RO"/>
        </w:rPr>
      </w:pPr>
      <w:r>
        <w:rPr>
          <w:rStyle w:val="FontStyle93"/>
          <w:b w:val="0"/>
          <w:sz w:val="20"/>
          <w:szCs w:val="20"/>
          <w:lang w:val="ro-RO" w:eastAsia="ro-RO"/>
        </w:rPr>
        <w:t>Activităţile de proiectare, execuţie şi operare a stației de tratare mecano - biologică şi a staţiei de transfer Galaţi fac parte din Proiectul "Sistem de Management Integrat al Deşeurilor în judeţul Galaţi".</w:t>
      </w:r>
    </w:p>
    <w:p>
      <w:pPr>
        <w:rPr>
          <w:rStyle w:val="FontStyle93"/>
          <w:b w:val="0"/>
          <w:sz w:val="20"/>
          <w:szCs w:val="20"/>
          <w:lang w:val="ro-RO" w:eastAsia="ro-RO"/>
        </w:rPr>
      </w:pPr>
      <w:r>
        <w:rPr>
          <w:rStyle w:val="FontStyle93"/>
          <w:b w:val="0"/>
          <w:sz w:val="20"/>
          <w:szCs w:val="20"/>
          <w:lang w:val="ro-RO" w:eastAsia="ro-RO"/>
        </w:rPr>
        <w:t xml:space="preserve">În </w:t>
      </w:r>
      <w:r>
        <w:rPr>
          <w:rStyle w:val="FontStyle93"/>
          <w:sz w:val="20"/>
          <w:szCs w:val="20"/>
          <w:lang w:val="ro-RO" w:eastAsia="ro-RO"/>
        </w:rPr>
        <w:t>Anexa nr. 1</w:t>
      </w:r>
      <w:r>
        <w:rPr>
          <w:rStyle w:val="FontStyle93"/>
          <w:b w:val="0"/>
          <w:sz w:val="20"/>
          <w:szCs w:val="20"/>
          <w:lang w:val="ro-RO" w:eastAsia="ro-RO"/>
        </w:rPr>
        <w:t xml:space="preserve"> la prezentul Caiet de sarcini este prezentat Sistemul de Management Integrat al Deşeurilor implementat în judeţul Galaţi.</w:t>
      </w:r>
    </w:p>
    <w:p>
      <w:pPr>
        <w:pStyle w:val="Heading2"/>
        <w:numPr>
          <w:ilvl w:val="1"/>
          <w:numId w:val="1"/>
        </w:numPr>
        <w:spacing w:before="0" w:after="120"/>
        <w:ind w:left="0" w:firstLine="0"/>
        <w:rPr>
          <w:sz w:val="20"/>
          <w:szCs w:val="20"/>
          <w:lang w:val="ro-RO"/>
        </w:rPr>
      </w:pPr>
      <w:bookmarkStart w:id="1" w:name="_Toc227161484"/>
      <w:r>
        <w:rPr>
          <w:rStyle w:val="FontStyle93"/>
          <w:rFonts w:cstheme="majorBidi"/>
          <w:b/>
          <w:bCs w:val="0"/>
          <w:sz w:val="20"/>
          <w:szCs w:val="20"/>
          <w:lang w:val="ro-RO"/>
        </w:rPr>
        <w:t>Datele titularului</w:t>
      </w:r>
      <w:bookmarkEnd w:id="1"/>
    </w:p>
    <w:p>
      <w:pPr>
        <w:rPr>
          <w:rStyle w:val="FontStyle93"/>
          <w:b w:val="0"/>
          <w:sz w:val="20"/>
          <w:szCs w:val="20"/>
          <w:lang w:val="ro-RO" w:eastAsia="ro-RO"/>
        </w:rPr>
      </w:pPr>
      <w:r>
        <w:rPr>
          <w:rStyle w:val="FontStyle93"/>
          <w:b w:val="0"/>
          <w:sz w:val="20"/>
          <w:szCs w:val="20"/>
          <w:lang w:val="ro-RO" w:eastAsia="ro-RO"/>
        </w:rPr>
        <w:t>Autoritatea Contractantă:  Asocierea Consiliul Judeţean Galaţi şi Asociaţia de Dezvoltare Intercomunitară ECOSERV, prin Asociaţia de Dezvoltare Intercomunitară ECOSERV</w:t>
      </w:r>
    </w:p>
    <w:p>
      <w:pPr>
        <w:rPr>
          <w:rStyle w:val="FontStyle93"/>
          <w:b w:val="0"/>
          <w:sz w:val="20"/>
          <w:szCs w:val="20"/>
          <w:lang w:val="ro-RO" w:eastAsia="ro-RO"/>
        </w:rPr>
      </w:pPr>
      <w:r>
        <w:rPr>
          <w:rStyle w:val="FontStyle93"/>
          <w:b w:val="0"/>
          <w:sz w:val="20"/>
          <w:szCs w:val="20"/>
          <w:lang w:val="ro-RO" w:eastAsia="ro-RO"/>
        </w:rPr>
        <w:t>Adresa: Str. Tecuci nr. 5, Bl. V2, parter, Galaţi, judeţul Galaţi</w:t>
      </w:r>
    </w:p>
    <w:p>
      <w:pPr>
        <w:rPr>
          <w:rStyle w:val="FontStyle93"/>
          <w:b w:val="0"/>
          <w:sz w:val="20"/>
          <w:szCs w:val="20"/>
          <w:lang w:val="ro-RO" w:eastAsia="ro-RO"/>
        </w:rPr>
      </w:pPr>
      <w:r>
        <w:rPr>
          <w:rStyle w:val="FontStyle93"/>
          <w:b w:val="0"/>
          <w:sz w:val="20"/>
          <w:szCs w:val="20"/>
          <w:lang w:val="ro-RO" w:eastAsia="ro-RO"/>
        </w:rPr>
        <w:t>Contact: - tel: 0336 401985; 0770 351285;</w:t>
      </w:r>
    </w:p>
    <w:p>
      <w:pPr>
        <w:pStyle w:val="ListParagraph"/>
        <w:rPr>
          <w:rStyle w:val="FontStyle93"/>
          <w:b w:val="0"/>
          <w:sz w:val="20"/>
          <w:szCs w:val="20"/>
          <w:lang w:val="ro-RO" w:eastAsia="ro-RO"/>
        </w:rPr>
      </w:pPr>
      <w:r>
        <w:rPr>
          <w:rStyle w:val="FontStyle93"/>
          <w:b w:val="0"/>
          <w:sz w:val="20"/>
          <w:szCs w:val="20"/>
          <w:lang w:val="ro-RO" w:eastAsia="ro-RO"/>
        </w:rPr>
        <w:t xml:space="preserve">    -fax: 0336 401984;</w:t>
      </w:r>
    </w:p>
    <w:p>
      <w:pPr>
        <w:rPr>
          <w:rStyle w:val="FontStyle93"/>
          <w:b w:val="0"/>
          <w:sz w:val="20"/>
          <w:szCs w:val="20"/>
          <w:lang w:val="ro-RO" w:eastAsia="ro-RO"/>
        </w:rPr>
      </w:pPr>
      <w:r>
        <w:rPr>
          <w:rStyle w:val="FontStyle93"/>
          <w:b w:val="0"/>
          <w:sz w:val="20"/>
          <w:szCs w:val="20"/>
          <w:lang w:val="ro-RO" w:eastAsia="ro-RO"/>
        </w:rPr>
        <w:t xml:space="preserve">E-mail: </w:t>
      </w:r>
      <w:hyperlink r:id="rId8" w:history="1">
        <w:r>
          <w:rPr>
            <w:rStyle w:val="Hyperlink"/>
            <w:rFonts w:cs="Verdana"/>
            <w:color w:val="auto"/>
            <w:sz w:val="20"/>
            <w:szCs w:val="20"/>
            <w:lang w:val="ro-RO" w:eastAsia="ro-RO"/>
          </w:rPr>
          <w:t>adiecoserv@gmail.com</w:t>
        </w:r>
      </w:hyperlink>
      <w:r>
        <w:t xml:space="preserve"> </w:t>
      </w:r>
    </w:p>
    <w:p>
      <w:pPr>
        <w:pStyle w:val="Heading2"/>
        <w:rPr>
          <w:sz w:val="20"/>
          <w:szCs w:val="20"/>
          <w:lang w:val="ro-RO"/>
        </w:rPr>
      </w:pPr>
      <w:bookmarkStart w:id="2" w:name="_Toc227161485"/>
      <w:r>
        <w:rPr>
          <w:rStyle w:val="FontStyle93"/>
          <w:rFonts w:cstheme="majorBidi"/>
          <w:b/>
          <w:bCs w:val="0"/>
          <w:sz w:val="20"/>
          <w:szCs w:val="20"/>
          <w:lang w:val="ro-RO"/>
        </w:rPr>
        <w:t>0.3 Obiectul contractului de delegare</w:t>
      </w:r>
      <w:bookmarkEnd w:id="2"/>
    </w:p>
    <w:p>
      <w:pPr>
        <w:rPr>
          <w:rStyle w:val="FontStyle93"/>
          <w:b w:val="0"/>
          <w:sz w:val="20"/>
          <w:szCs w:val="20"/>
          <w:lang w:val="ro-RO" w:eastAsia="ro-RO"/>
        </w:rPr>
      </w:pPr>
      <w:r>
        <w:rPr>
          <w:rStyle w:val="FontStyle93"/>
          <w:b w:val="0"/>
          <w:sz w:val="20"/>
          <w:szCs w:val="20"/>
          <w:lang w:val="ro-RO" w:eastAsia="ro-RO"/>
        </w:rPr>
        <w:t>Obiectul contractului de delegare în cauză constă în:</w:t>
      </w:r>
    </w:p>
    <w:p>
      <w:pPr>
        <w:rPr>
          <w:rStyle w:val="FontStyle93"/>
          <w:b w:val="0"/>
          <w:sz w:val="20"/>
          <w:szCs w:val="20"/>
          <w:lang w:val="ro-RO" w:eastAsia="ro-RO"/>
        </w:rPr>
      </w:pPr>
      <w:r>
        <w:rPr>
          <w:rStyle w:val="FontStyle93"/>
          <w:b w:val="0"/>
          <w:sz w:val="20"/>
          <w:szCs w:val="20"/>
          <w:lang w:val="ro-RO" w:eastAsia="ro-RO"/>
        </w:rPr>
        <w:t>•</w:t>
      </w:r>
      <w:r>
        <w:rPr>
          <w:rStyle w:val="FontStyle93"/>
          <w:b w:val="0"/>
          <w:sz w:val="20"/>
          <w:szCs w:val="20"/>
          <w:lang w:val="ro-RO" w:eastAsia="ro-RO"/>
        </w:rPr>
        <w:tab/>
        <w:t>Proiectarea şi execuţia stației de tratare mecano - biologică cu recuperare de energie şi a staţiei de transfer a deşeurilor Galaţi;</w:t>
      </w:r>
    </w:p>
    <w:p>
      <w:pPr>
        <w:rPr>
          <w:rStyle w:val="FontStyle93"/>
          <w:b w:val="0"/>
          <w:sz w:val="20"/>
          <w:szCs w:val="20"/>
          <w:lang w:val="ro-RO" w:eastAsia="ro-RO"/>
        </w:rPr>
      </w:pPr>
      <w:r>
        <w:rPr>
          <w:rStyle w:val="FontStyle93"/>
          <w:b w:val="0"/>
          <w:sz w:val="20"/>
          <w:szCs w:val="20"/>
          <w:lang w:val="ro-RO" w:eastAsia="ro-RO"/>
        </w:rPr>
        <w:t>•</w:t>
      </w:r>
      <w:r>
        <w:rPr>
          <w:rStyle w:val="FontStyle93"/>
          <w:b w:val="0"/>
          <w:sz w:val="20"/>
          <w:szCs w:val="20"/>
          <w:lang w:val="ro-RO" w:eastAsia="ro-RO"/>
        </w:rPr>
        <w:tab/>
        <w:t>Organizarea activităţilor şi operarea staţiei de tratare mecano - biologică cu recuperare de energie şi a staţiei de transfer a deşeurilor Galaţi.</w:t>
      </w:r>
    </w:p>
    <w:p>
      <w:pPr>
        <w:rPr>
          <w:rStyle w:val="FontStyle93"/>
          <w:b w:val="0"/>
          <w:sz w:val="20"/>
          <w:szCs w:val="20"/>
          <w:lang w:val="ro-RO" w:eastAsia="ro-RO"/>
        </w:rPr>
      </w:pPr>
      <w:r>
        <w:rPr>
          <w:rStyle w:val="FontStyle93"/>
          <w:b w:val="0"/>
          <w:sz w:val="20"/>
          <w:szCs w:val="20"/>
          <w:lang w:val="ro-RO" w:eastAsia="ro-RO"/>
        </w:rPr>
        <w:t>Activităţile de colectare separată şi transport a deşeurilor municipale, operare a staţiilor de sortare sau a altor staţii de transfer decât cea din Municipiul Galaţi ori activitatea depozitare a deşeurilor nu fac obiectul prezentului contract de delegare.</w:t>
      </w:r>
    </w:p>
    <w:p>
      <w:pPr>
        <w:pStyle w:val="Heading2"/>
        <w:rPr>
          <w:sz w:val="20"/>
          <w:szCs w:val="20"/>
          <w:lang w:val="ro-RO"/>
        </w:rPr>
      </w:pPr>
      <w:bookmarkStart w:id="3" w:name="_Toc227161486"/>
      <w:r>
        <w:rPr>
          <w:sz w:val="20"/>
          <w:szCs w:val="20"/>
          <w:lang w:val="ro-RO"/>
        </w:rPr>
        <w:t>0.4 Obiectul caietului de sarcini</w:t>
      </w:r>
      <w:bookmarkEnd w:id="3"/>
    </w:p>
    <w:p>
      <w:pPr>
        <w:rPr>
          <w:sz w:val="20"/>
          <w:szCs w:val="20"/>
          <w:lang w:val="ro-RO"/>
        </w:rPr>
      </w:pPr>
      <w:r>
        <w:rPr>
          <w:sz w:val="20"/>
          <w:szCs w:val="20"/>
          <w:lang w:val="ro-RO"/>
        </w:rPr>
        <w:t>Prezentul caiet de sarcini stabileşte:</w:t>
      </w:r>
    </w:p>
    <w:p>
      <w:pPr>
        <w:rPr>
          <w:sz w:val="20"/>
          <w:szCs w:val="20"/>
          <w:lang w:val="ro-RO"/>
        </w:rPr>
      </w:pPr>
      <w:r>
        <w:rPr>
          <w:sz w:val="20"/>
          <w:szCs w:val="20"/>
          <w:lang w:val="ro-RO"/>
        </w:rPr>
        <w:lastRenderedPageBreak/>
        <w:t>•</w:t>
      </w:r>
      <w:r>
        <w:rPr>
          <w:sz w:val="20"/>
          <w:szCs w:val="20"/>
          <w:lang w:val="ro-RO"/>
        </w:rPr>
        <w:tab/>
        <w:t>Parametrii minimi tehnici privind proiectarea şi execuţia stației de tratare mecano-biologică cu recuperare de energie şi a staţiei de transfer Galaţi;</w:t>
      </w:r>
    </w:p>
    <w:p>
      <w:pPr>
        <w:rPr>
          <w:sz w:val="20"/>
          <w:szCs w:val="20"/>
          <w:lang w:val="ro-RO"/>
        </w:rPr>
      </w:pPr>
      <w:r>
        <w:rPr>
          <w:sz w:val="20"/>
          <w:szCs w:val="20"/>
          <w:lang w:val="ro-RO"/>
        </w:rPr>
        <w:t>•</w:t>
      </w:r>
      <w:r>
        <w:rPr>
          <w:sz w:val="20"/>
          <w:szCs w:val="20"/>
          <w:lang w:val="ro-RO"/>
        </w:rPr>
        <w:tab/>
        <w:t>Condiţiile de desfăşurare a activităţilor specifice instalaţiei de tratare mecano - biologică şi a staţiei de transfer a deşeurilor de la Galaţi, precizând nivelurile de calitate, indicatorii de performanţă, cerinţele tehnice şi organizatorice minimale necesare funcţionării acestor instalaţii în condiţii de eficientă şi siguranţă;</w:t>
      </w:r>
    </w:p>
    <w:p>
      <w:pPr>
        <w:rPr>
          <w:sz w:val="20"/>
          <w:szCs w:val="20"/>
          <w:lang w:val="ro-RO"/>
        </w:rPr>
      </w:pPr>
      <w:r>
        <w:rPr>
          <w:sz w:val="20"/>
          <w:szCs w:val="20"/>
          <w:lang w:val="ro-RO"/>
        </w:rPr>
        <w:t>Prezentul caiet de sarcini a fost elaborat spre a servi drept documentaţie tehnică şi de referinţă în vederea stabilirii condiţiilor specifice de proiectare, execuţie şi de operare a stației de tratare mecano - biologică şi a staţiei de transfer Galaţi, indiferent de modul de gestiune adoptat.</w:t>
      </w:r>
    </w:p>
    <w:p>
      <w:pPr>
        <w:rPr>
          <w:sz w:val="20"/>
          <w:szCs w:val="20"/>
          <w:lang w:val="ro-RO"/>
        </w:rPr>
      </w:pPr>
      <w:r>
        <w:rPr>
          <w:sz w:val="20"/>
          <w:szCs w:val="20"/>
          <w:lang w:val="ro-RO"/>
        </w:rPr>
        <w:t>Caietul de sarcini este organizat în 3 secţiuni care detaliază:</w:t>
      </w:r>
    </w:p>
    <w:p>
      <w:pPr>
        <w:rPr>
          <w:sz w:val="20"/>
          <w:szCs w:val="20"/>
          <w:lang w:val="ro-RO"/>
        </w:rPr>
      </w:pPr>
      <w:r>
        <w:rPr>
          <w:sz w:val="20"/>
          <w:szCs w:val="20"/>
          <w:lang w:val="ro-RO"/>
        </w:rPr>
        <w:t>•</w:t>
      </w:r>
      <w:r>
        <w:rPr>
          <w:sz w:val="20"/>
          <w:szCs w:val="20"/>
          <w:lang w:val="ro-RO"/>
        </w:rPr>
        <w:tab/>
        <w:t>SECŢIUNEA 1 - parametrii minimi tehnici pentru proiectarea stației de tratare mecano - biologică şi a staţiei de transfer Galaţi;</w:t>
      </w:r>
    </w:p>
    <w:p>
      <w:pPr>
        <w:rPr>
          <w:sz w:val="20"/>
          <w:szCs w:val="20"/>
          <w:lang w:val="ro-RO"/>
        </w:rPr>
      </w:pPr>
      <w:r>
        <w:rPr>
          <w:sz w:val="20"/>
          <w:szCs w:val="20"/>
          <w:lang w:val="ro-RO"/>
        </w:rPr>
        <w:t>•</w:t>
      </w:r>
      <w:r>
        <w:rPr>
          <w:sz w:val="20"/>
          <w:szCs w:val="20"/>
          <w:lang w:val="ro-RO"/>
        </w:rPr>
        <w:tab/>
        <w:t>SECŢIUNEA 2 - parametrii minimi tehnici pentru executia stației de tratare mecano - biologică şi a staţiei de transfer Galaţi;</w:t>
      </w:r>
    </w:p>
    <w:p>
      <w:pPr>
        <w:rPr>
          <w:sz w:val="20"/>
          <w:szCs w:val="20"/>
          <w:lang w:val="ro-RO"/>
        </w:rPr>
      </w:pPr>
      <w:r>
        <w:rPr>
          <w:sz w:val="20"/>
          <w:szCs w:val="20"/>
          <w:lang w:val="ro-RO"/>
        </w:rPr>
        <w:t>•</w:t>
      </w:r>
      <w:r>
        <w:rPr>
          <w:sz w:val="20"/>
          <w:szCs w:val="20"/>
          <w:lang w:val="ro-RO"/>
        </w:rPr>
        <w:tab/>
        <w:t>SECŢIUNEA 3 - condiţiile de desfăşurare a activităţilor de operare stației de tratare mecano - biologică şi a staţiei de transfer de la Galaţi.</w:t>
      </w:r>
    </w:p>
    <w:p>
      <w:pPr>
        <w:rPr>
          <w:sz w:val="20"/>
          <w:szCs w:val="20"/>
          <w:lang w:val="ro-RO"/>
        </w:rPr>
      </w:pPr>
      <w:r>
        <w:rPr>
          <w:sz w:val="20"/>
          <w:szCs w:val="20"/>
          <w:lang w:val="ro-RO"/>
        </w:rPr>
        <w:t>Caietul de sarcini face parte integrantă din documentaţia necesară desfăşurării activităţilor de proiectare, execuţie şi operare a stației de tratare mecano - biologică şi a staţiei de transfer Galaţi şi constituie ansamblul cerinţelor tehnice de bază.</w:t>
      </w:r>
    </w:p>
    <w:p>
      <w:pPr>
        <w:rPr>
          <w:sz w:val="20"/>
          <w:szCs w:val="20"/>
          <w:lang w:val="ro-RO"/>
        </w:rPr>
      </w:pPr>
      <w:r>
        <w:rPr>
          <w:sz w:val="20"/>
          <w:szCs w:val="20"/>
          <w:lang w:val="ro-RO"/>
        </w:rPr>
        <w:t>Caietul de sarcini precizează reglementările obligatorii referitoare la protecţia muncii, la prevenirea şi stingerea incendiilor şi la protecţia mediului, care trebuie respectate pe parcursul prestării activităţilor listate în Secţiunea 3.2 a prezentului document şi care sunt în vigoare.</w:t>
      </w:r>
    </w:p>
    <w:p>
      <w:pPr>
        <w:pStyle w:val="Heading2"/>
        <w:rPr>
          <w:sz w:val="20"/>
          <w:szCs w:val="20"/>
          <w:lang w:val="ro-RO"/>
        </w:rPr>
      </w:pPr>
      <w:bookmarkStart w:id="4" w:name="_Toc227161487"/>
      <w:r>
        <w:rPr>
          <w:sz w:val="20"/>
          <w:szCs w:val="20"/>
          <w:lang w:val="ro-RO"/>
        </w:rPr>
        <w:t>0.5 Durata contractului</w:t>
      </w:r>
      <w:bookmarkEnd w:id="4"/>
    </w:p>
    <w:p>
      <w:pPr>
        <w:rPr>
          <w:sz w:val="20"/>
          <w:szCs w:val="20"/>
          <w:lang w:val="ro-RO"/>
        </w:rPr>
      </w:pPr>
      <w:r>
        <w:rPr>
          <w:sz w:val="20"/>
          <w:szCs w:val="20"/>
          <w:lang w:val="ro-RO"/>
        </w:rPr>
        <w:t>Durata contractului va fi de 158 de luni cu următoarele durate ale etapelor principale:</w:t>
      </w:r>
    </w:p>
    <w:p>
      <w:pPr>
        <w:rPr>
          <w:sz w:val="20"/>
          <w:szCs w:val="20"/>
          <w:lang w:val="ro-RO"/>
        </w:rPr>
      </w:pPr>
      <w:r>
        <w:rPr>
          <w:sz w:val="20"/>
          <w:szCs w:val="20"/>
          <w:lang w:val="ro-RO"/>
        </w:rPr>
        <w:t>•</w:t>
      </w:r>
      <w:r>
        <w:rPr>
          <w:sz w:val="20"/>
          <w:szCs w:val="20"/>
          <w:lang w:val="ro-RO"/>
        </w:rPr>
        <w:tab/>
        <w:t>6 luni - proiectare (de la data primirii ordinului de incepere pana la data depunerii documentatiei pentru obţinerea autorizaţiei de construire);</w:t>
      </w:r>
    </w:p>
    <w:p>
      <w:pPr>
        <w:rPr>
          <w:sz w:val="20"/>
          <w:szCs w:val="20"/>
          <w:lang w:val="ro-RO"/>
        </w:rPr>
      </w:pPr>
      <w:r>
        <w:rPr>
          <w:sz w:val="20"/>
          <w:szCs w:val="20"/>
          <w:lang w:val="ro-RO"/>
        </w:rPr>
        <w:t>•</w:t>
      </w:r>
      <w:r>
        <w:rPr>
          <w:sz w:val="20"/>
          <w:szCs w:val="20"/>
          <w:lang w:val="ro-RO"/>
        </w:rPr>
        <w:tab/>
        <w:t>32 luni - execuţie şi</w:t>
      </w:r>
    </w:p>
    <w:p>
      <w:pPr>
        <w:rPr>
          <w:sz w:val="20"/>
          <w:szCs w:val="20"/>
          <w:lang w:val="ro-RO"/>
        </w:rPr>
      </w:pPr>
      <w:r>
        <w:rPr>
          <w:sz w:val="20"/>
          <w:szCs w:val="20"/>
          <w:lang w:val="ro-RO"/>
        </w:rPr>
        <w:t>•</w:t>
      </w:r>
      <w:r>
        <w:rPr>
          <w:sz w:val="20"/>
          <w:szCs w:val="20"/>
          <w:lang w:val="ro-RO"/>
        </w:rPr>
        <w:tab/>
        <w:t xml:space="preserve">120 luni – operare, începând după recepția la terminarea lucrărilor. </w:t>
      </w:r>
    </w:p>
    <w:p>
      <w:pPr>
        <w:rPr>
          <w:sz w:val="20"/>
          <w:szCs w:val="20"/>
          <w:lang w:val="ro-RO"/>
        </w:rPr>
      </w:pPr>
      <w:r>
        <w:rPr>
          <w:sz w:val="20"/>
          <w:szCs w:val="20"/>
          <w:lang w:val="ro-RO"/>
        </w:rPr>
        <w:t>Duratele normale de utilizare a  echipamentelor sunt prevăzute în Studiul de Fundamentare.</w:t>
      </w:r>
    </w:p>
    <w:p>
      <w:pPr>
        <w:pStyle w:val="Heading2"/>
        <w:rPr>
          <w:sz w:val="20"/>
          <w:szCs w:val="20"/>
          <w:lang w:val="ro-RO"/>
        </w:rPr>
      </w:pPr>
      <w:bookmarkStart w:id="5" w:name="_Toc227161488"/>
      <w:r>
        <w:rPr>
          <w:sz w:val="20"/>
          <w:szCs w:val="20"/>
          <w:lang w:val="ro-RO"/>
        </w:rPr>
        <w:t>0.6 Date principale</w:t>
      </w:r>
      <w:bookmarkEnd w:id="5"/>
    </w:p>
    <w:p>
      <w:pPr>
        <w:rPr>
          <w:sz w:val="20"/>
          <w:szCs w:val="20"/>
          <w:lang w:val="ro-RO"/>
        </w:rPr>
      </w:pPr>
      <w:r>
        <w:rPr>
          <w:sz w:val="20"/>
          <w:szCs w:val="20"/>
          <w:lang w:val="ro-RO"/>
        </w:rPr>
        <w:t xml:space="preserve">Pentru executia de lucrari au fost definite urmatoarele sectoare de lucru: </w:t>
      </w:r>
    </w:p>
    <w:p>
      <w:pPr>
        <w:rPr>
          <w:sz w:val="20"/>
          <w:szCs w:val="20"/>
          <w:lang w:val="ro-RO"/>
        </w:rPr>
      </w:pPr>
      <w:r>
        <w:rPr>
          <w:sz w:val="20"/>
          <w:szCs w:val="20"/>
          <w:lang w:val="ro-RO"/>
        </w:rPr>
        <w:t>Sector 1 - Statia de transfer</w:t>
      </w:r>
    </w:p>
    <w:p>
      <w:pPr>
        <w:rPr>
          <w:sz w:val="20"/>
          <w:szCs w:val="20"/>
          <w:lang w:val="ro-RO"/>
        </w:rPr>
      </w:pPr>
      <w:r>
        <w:rPr>
          <w:sz w:val="20"/>
          <w:szCs w:val="20"/>
          <w:lang w:val="ro-RO"/>
        </w:rPr>
        <w:t xml:space="preserve">Sector 2 - Stația de tratare mecanica </w:t>
      </w:r>
    </w:p>
    <w:p>
      <w:pPr>
        <w:rPr>
          <w:sz w:val="20"/>
          <w:szCs w:val="20"/>
          <w:lang w:val="ro-RO"/>
        </w:rPr>
      </w:pPr>
      <w:r>
        <w:rPr>
          <w:sz w:val="20"/>
          <w:szCs w:val="20"/>
          <w:lang w:val="ro-RO"/>
        </w:rPr>
        <w:t xml:space="preserve">Sector 3 - Stația de digestie anaeroba </w:t>
      </w:r>
    </w:p>
    <w:p>
      <w:pPr>
        <w:rPr>
          <w:sz w:val="20"/>
          <w:szCs w:val="20"/>
          <w:lang w:val="ro-RO"/>
        </w:rPr>
      </w:pPr>
      <w:r>
        <w:rPr>
          <w:sz w:val="20"/>
          <w:szCs w:val="20"/>
          <w:lang w:val="ro-RO"/>
        </w:rPr>
        <w:t>Sector 4 – Stația (instalația) de compostare și stabilizare a digestatului</w:t>
      </w:r>
    </w:p>
    <w:p>
      <w:pPr>
        <w:rPr>
          <w:sz w:val="20"/>
          <w:szCs w:val="20"/>
          <w:lang w:val="ro-RO"/>
        </w:rPr>
      </w:pPr>
      <w:r>
        <w:rPr>
          <w:sz w:val="20"/>
          <w:szCs w:val="20"/>
          <w:lang w:val="ro-RO"/>
        </w:rPr>
        <w:t>Executia lucrarilor si punerea in functiune a instalatiilor este de 32 luni din care se vor executa cu prioritate sectoarele 1 si 2 in primele maxim 16 luni.</w:t>
      </w:r>
    </w:p>
    <w:p>
      <w:pPr>
        <w:pStyle w:val="Heading1"/>
        <w:rPr>
          <w:sz w:val="20"/>
          <w:szCs w:val="20"/>
          <w:lang w:val="ro-RO"/>
        </w:rPr>
      </w:pPr>
      <w:bookmarkStart w:id="6" w:name="_Toc227161489"/>
      <w:r>
        <w:rPr>
          <w:sz w:val="20"/>
          <w:szCs w:val="20"/>
          <w:lang w:val="ro-RO"/>
        </w:rPr>
        <w:t>SECŢIUNEA 1. CERINŢELE BENEFICIARULUI PRIVIND PROIECTAREA STAȚIEI DE TRATARE MECANO -BIOLOGICĂ ŞI A STAŢIEI DE TRANSFER GALAŢI</w:t>
      </w:r>
      <w:bookmarkEnd w:id="6"/>
    </w:p>
    <w:p>
      <w:pPr>
        <w:pStyle w:val="Heading2"/>
        <w:rPr>
          <w:sz w:val="20"/>
          <w:szCs w:val="20"/>
          <w:lang w:val="ro-RO"/>
        </w:rPr>
      </w:pPr>
      <w:bookmarkStart w:id="7" w:name="_Toc227161490"/>
      <w:r>
        <w:rPr>
          <w:sz w:val="20"/>
          <w:szCs w:val="20"/>
          <w:lang w:val="ro-RO"/>
        </w:rPr>
        <w:t>1.1 DOMENIUL DE APLICARE</w:t>
      </w:r>
      <w:bookmarkEnd w:id="7"/>
    </w:p>
    <w:p>
      <w:pPr>
        <w:rPr>
          <w:sz w:val="20"/>
          <w:szCs w:val="20"/>
          <w:lang w:val="ro-RO"/>
        </w:rPr>
      </w:pPr>
      <w:r>
        <w:rPr>
          <w:sz w:val="20"/>
          <w:szCs w:val="20"/>
          <w:lang w:val="ro-RO"/>
        </w:rPr>
        <w:t xml:space="preserve">Domeniul de aplicare al Contractului îl reprezintă </w:t>
      </w:r>
      <w:r>
        <w:rPr>
          <w:b/>
          <w:sz w:val="20"/>
          <w:szCs w:val="20"/>
          <w:lang w:val="ro-RO"/>
        </w:rPr>
        <w:t>proiectarea staţiei de transfer si staţiei de tratare mecano-biologica cu recuperare de energie Galati</w:t>
      </w:r>
      <w:r>
        <w:rPr>
          <w:sz w:val="20"/>
          <w:szCs w:val="20"/>
          <w:lang w:val="ro-RO"/>
        </w:rPr>
        <w:t xml:space="preserve">, incluzand totalitatea </w:t>
      </w:r>
      <w:r>
        <w:rPr>
          <w:sz w:val="20"/>
          <w:szCs w:val="20"/>
          <w:lang w:val="ro-RO"/>
        </w:rPr>
        <w:lastRenderedPageBreak/>
        <w:t>constructiilor si echipamentelor fixe si mobile necesare indeplinirii indicilor si cantitatilor estimate.</w:t>
      </w:r>
    </w:p>
    <w:p>
      <w:pPr>
        <w:rPr>
          <w:sz w:val="20"/>
          <w:szCs w:val="20"/>
          <w:lang w:val="ro-RO"/>
        </w:rPr>
      </w:pPr>
      <w:r>
        <w:rPr>
          <w:sz w:val="20"/>
          <w:szCs w:val="20"/>
          <w:lang w:val="ro-RO"/>
        </w:rPr>
        <w:t>Investitia proiectată va respecta cerinţele beneficiarului specificate în acest caiet de sarcini, amenajarea teritorială şi condiţiile de construire conform legislatiei in domeniul construcţiilor, cerinţele procedurale ale Uniunii Europene prevăzute, standardele naţionale stabilite în legile naţionale relevante (LNR) şi legislaţia de protecţie a mediului, printre care amintim:</w:t>
      </w:r>
    </w:p>
    <w:p>
      <w:pPr>
        <w:pStyle w:val="ListParagraph"/>
        <w:numPr>
          <w:ilvl w:val="0"/>
          <w:numId w:val="2"/>
        </w:numPr>
        <w:rPr>
          <w:sz w:val="20"/>
          <w:szCs w:val="20"/>
          <w:lang w:val="ro-RO"/>
        </w:rPr>
      </w:pPr>
      <w:r>
        <w:rPr>
          <w:sz w:val="20"/>
          <w:szCs w:val="20"/>
          <w:lang w:val="ro-RO"/>
        </w:rPr>
        <w:t>Ordonanta de Urgenta 92 din 19 august 2021 privind regimul deşeurilor.</w:t>
      </w:r>
    </w:p>
    <w:p>
      <w:pPr>
        <w:pStyle w:val="ListParagraph"/>
        <w:numPr>
          <w:ilvl w:val="0"/>
          <w:numId w:val="2"/>
        </w:numPr>
        <w:rPr>
          <w:sz w:val="20"/>
          <w:szCs w:val="20"/>
          <w:lang w:val="ro-RO"/>
        </w:rPr>
      </w:pPr>
      <w:r>
        <w:rPr>
          <w:sz w:val="20"/>
          <w:szCs w:val="20"/>
          <w:lang w:val="ro-RO"/>
        </w:rPr>
        <w:t>Legea nr. 249/2015, privind modalitatea de gestionare a ambalajelor si a deseurilor de ambalaje.</w:t>
      </w:r>
    </w:p>
    <w:p>
      <w:pPr>
        <w:pStyle w:val="ListParagraph"/>
        <w:numPr>
          <w:ilvl w:val="0"/>
          <w:numId w:val="2"/>
        </w:numPr>
        <w:rPr>
          <w:sz w:val="20"/>
          <w:szCs w:val="20"/>
          <w:lang w:val="ro-RO"/>
        </w:rPr>
      </w:pPr>
      <w:r>
        <w:rPr>
          <w:sz w:val="20"/>
          <w:szCs w:val="20"/>
          <w:lang w:val="ro-RO"/>
        </w:rPr>
        <w:t>OUG nr. 195 din 22 decembrie 2005 privind protecţia mediului.</w:t>
      </w:r>
    </w:p>
    <w:p>
      <w:pPr>
        <w:pStyle w:val="ListParagraph"/>
        <w:numPr>
          <w:ilvl w:val="0"/>
          <w:numId w:val="2"/>
        </w:numPr>
        <w:rPr>
          <w:sz w:val="20"/>
          <w:szCs w:val="20"/>
          <w:lang w:val="ro-RO"/>
        </w:rPr>
      </w:pPr>
      <w:r>
        <w:rPr>
          <w:sz w:val="20"/>
          <w:szCs w:val="20"/>
          <w:lang w:val="ro-RO"/>
        </w:rPr>
        <w:t>Legea 181/2020 privind gestionarea deseurilor nepericuloase compostabile.</w:t>
      </w:r>
    </w:p>
    <w:p>
      <w:pPr>
        <w:rPr>
          <w:sz w:val="20"/>
          <w:szCs w:val="20"/>
          <w:lang w:val="ro-RO"/>
        </w:rPr>
      </w:pPr>
      <w:r>
        <w:rPr>
          <w:sz w:val="20"/>
          <w:szCs w:val="20"/>
          <w:lang w:val="ro-RO"/>
        </w:rPr>
        <w:t>Produsul final aşteptat va fi:</w:t>
      </w:r>
    </w:p>
    <w:p>
      <w:pPr>
        <w:pStyle w:val="ListParagraph"/>
        <w:numPr>
          <w:ilvl w:val="0"/>
          <w:numId w:val="3"/>
        </w:numPr>
        <w:rPr>
          <w:sz w:val="20"/>
          <w:szCs w:val="20"/>
          <w:lang w:val="ro-RO"/>
        </w:rPr>
      </w:pPr>
      <w:r>
        <w:rPr>
          <w:sz w:val="20"/>
          <w:szCs w:val="20"/>
          <w:lang w:val="ro-RO"/>
        </w:rPr>
        <w:t>Documentatiile pentru obtinerea tuturor avizelor/ acordurilor si a autorizatiei de construire.</w:t>
      </w:r>
    </w:p>
    <w:p>
      <w:pPr>
        <w:pStyle w:val="ListParagraph"/>
        <w:numPr>
          <w:ilvl w:val="0"/>
          <w:numId w:val="3"/>
        </w:numPr>
        <w:rPr>
          <w:sz w:val="20"/>
          <w:szCs w:val="20"/>
          <w:lang w:val="ro-RO"/>
        </w:rPr>
      </w:pPr>
      <w:r>
        <w:rPr>
          <w:sz w:val="20"/>
          <w:szCs w:val="20"/>
          <w:lang w:val="ro-RO"/>
        </w:rPr>
        <w:t>Proiectul tehnic si a detaliile de executie in conformitate cu legislatia in vigoare cuprinzand proiectarea procesului tehnologic si a constructiilor, instalatiilor si echipamentelor aferente obiectelor tehnologice pe fiecare flux de deşeuri, conform cerințelor descrise in sectiunea 2.</w:t>
      </w:r>
    </w:p>
    <w:p>
      <w:pPr>
        <w:pStyle w:val="ListParagraph"/>
        <w:numPr>
          <w:ilvl w:val="0"/>
          <w:numId w:val="3"/>
        </w:numPr>
        <w:rPr>
          <w:sz w:val="20"/>
          <w:szCs w:val="20"/>
          <w:lang w:val="ro-RO"/>
        </w:rPr>
      </w:pPr>
      <w:r>
        <w:rPr>
          <w:sz w:val="20"/>
          <w:szCs w:val="20"/>
          <w:lang w:val="ro-RO"/>
        </w:rPr>
        <w:t>Documente pentru punerea în funcţiune, testarea, funcţionarea de probă, lucrarile de intretinere, acceptarea şi aprobarea instalaţiei, inclusiv a sectoarelor de lucrări.</w:t>
      </w:r>
    </w:p>
    <w:p>
      <w:pPr>
        <w:pStyle w:val="ListParagraph"/>
        <w:numPr>
          <w:ilvl w:val="0"/>
          <w:numId w:val="3"/>
        </w:numPr>
        <w:rPr>
          <w:sz w:val="20"/>
          <w:szCs w:val="20"/>
          <w:lang w:val="ro-RO"/>
        </w:rPr>
      </w:pPr>
      <w:r>
        <w:rPr>
          <w:sz w:val="20"/>
          <w:szCs w:val="20"/>
          <w:lang w:val="ro-RO"/>
        </w:rPr>
        <w:t>Predarea tuturor documentelor conform cerintelor angajatorului pentru funcţionarea corectă a investitiei, inclusiv pe sectoare de lucrări.</w:t>
      </w:r>
    </w:p>
    <w:p>
      <w:pPr>
        <w:pStyle w:val="ListParagraph"/>
        <w:numPr>
          <w:ilvl w:val="0"/>
          <w:numId w:val="3"/>
        </w:numPr>
        <w:rPr>
          <w:sz w:val="20"/>
          <w:szCs w:val="20"/>
          <w:lang w:val="ro-RO"/>
        </w:rPr>
      </w:pPr>
      <w:r>
        <w:rPr>
          <w:sz w:val="20"/>
          <w:szCs w:val="20"/>
          <w:lang w:val="ro-RO"/>
        </w:rPr>
        <w:t>Predarea Cartii tehnice a constructiei si instalatiilor cu toate documentele prevăzute de reglementarile legale.</w:t>
      </w:r>
    </w:p>
    <w:p>
      <w:pPr>
        <w:rPr>
          <w:sz w:val="20"/>
          <w:szCs w:val="20"/>
          <w:lang w:val="ro-RO"/>
        </w:rPr>
      </w:pPr>
      <w:r>
        <w:rPr>
          <w:sz w:val="20"/>
          <w:szCs w:val="20"/>
          <w:lang w:val="ro-RO"/>
        </w:rPr>
        <w:t>Antreprenorul va avea obligatia de a furniza toate informatiile (piese scrise, piese desenate, documente adiacente, etc) necesare pentru completarea si depunerea cererii de emitere a autorizatiei. Antreprenorul, prin asociatii sau subcontractorii sai care vor realiza partea de proiectare, trebuie sa cunoasca procedurile locale si nationale specifice pentru emiterea diverselor autorizatii si avize, inclusiv emiterea autorizatiei de construire.</w:t>
      </w:r>
    </w:p>
    <w:p>
      <w:pPr>
        <w:rPr>
          <w:sz w:val="20"/>
          <w:szCs w:val="20"/>
          <w:lang w:val="ro-RO"/>
        </w:rPr>
      </w:pPr>
      <w:r>
        <w:rPr>
          <w:sz w:val="20"/>
          <w:szCs w:val="20"/>
          <w:lang w:val="ro-RO"/>
        </w:rPr>
        <w:t>Caracteristicile imperative vizează elementele esenţiale ale lucrărilor pe care proiectarea Antreprenorului trebuie să le respecte. Acestea includ:</w:t>
      </w:r>
    </w:p>
    <w:p>
      <w:pPr>
        <w:pStyle w:val="ListParagraph"/>
        <w:numPr>
          <w:ilvl w:val="0"/>
          <w:numId w:val="72"/>
        </w:numPr>
        <w:rPr>
          <w:sz w:val="20"/>
          <w:szCs w:val="20"/>
          <w:lang w:val="ro-RO"/>
        </w:rPr>
      </w:pPr>
      <w:r>
        <w:rPr>
          <w:sz w:val="20"/>
          <w:szCs w:val="20"/>
          <w:lang w:val="ro-RO"/>
        </w:rPr>
        <w:t>Proiectarea lucrărilor va respecta întocmai limitele cadastrale ale amplasamentului investiţiei;</w:t>
      </w:r>
    </w:p>
    <w:p>
      <w:pPr>
        <w:pStyle w:val="ListParagraph"/>
        <w:numPr>
          <w:ilvl w:val="0"/>
          <w:numId w:val="72"/>
        </w:numPr>
        <w:rPr>
          <w:sz w:val="20"/>
          <w:szCs w:val="20"/>
          <w:lang w:val="ro-RO"/>
        </w:rPr>
      </w:pPr>
      <w:r>
        <w:rPr>
          <w:sz w:val="20"/>
          <w:szCs w:val="20"/>
          <w:lang w:val="ro-RO"/>
        </w:rPr>
        <w:t>Cerinţele/condiţiile prevăzute în avize/acorduri;</w:t>
      </w:r>
    </w:p>
    <w:p>
      <w:pPr>
        <w:pStyle w:val="ListParagraph"/>
        <w:numPr>
          <w:ilvl w:val="0"/>
          <w:numId w:val="72"/>
        </w:numPr>
        <w:rPr>
          <w:sz w:val="20"/>
          <w:szCs w:val="20"/>
          <w:lang w:val="ro-RO"/>
        </w:rPr>
      </w:pPr>
      <w:r>
        <w:rPr>
          <w:sz w:val="20"/>
          <w:szCs w:val="20"/>
          <w:lang w:val="ro-RO"/>
        </w:rPr>
        <w:t>Specificaţiile prevăzute în documentaţia de atribuire şi cerinţele beneficiarului din</w:t>
      </w:r>
    </w:p>
    <w:p>
      <w:pPr>
        <w:pStyle w:val="ListParagraph"/>
        <w:numPr>
          <w:ilvl w:val="0"/>
          <w:numId w:val="72"/>
        </w:numPr>
        <w:rPr>
          <w:sz w:val="20"/>
          <w:szCs w:val="20"/>
          <w:lang w:val="ro-RO"/>
        </w:rPr>
      </w:pPr>
      <w:r>
        <w:rPr>
          <w:sz w:val="20"/>
          <w:szCs w:val="20"/>
          <w:lang w:val="ro-RO"/>
        </w:rPr>
        <w:t>Prezentul caiet de sarcini.</w:t>
      </w:r>
    </w:p>
    <w:p>
      <w:pPr>
        <w:pStyle w:val="ListParagraph"/>
        <w:numPr>
          <w:ilvl w:val="0"/>
          <w:numId w:val="72"/>
        </w:numPr>
        <w:rPr>
          <w:sz w:val="20"/>
          <w:szCs w:val="20"/>
          <w:lang w:val="ro-RO"/>
        </w:rPr>
      </w:pPr>
      <w:r>
        <w:rPr>
          <w:sz w:val="20"/>
          <w:szCs w:val="20"/>
          <w:lang w:val="ro-RO"/>
        </w:rPr>
        <w:t>Proiectantul in cadrul documentaţiei PT pentru elementele cheie ale investiţiei va prezenta randari.</w:t>
      </w:r>
    </w:p>
    <w:p>
      <w:pPr>
        <w:pStyle w:val="Heading2"/>
        <w:rPr>
          <w:sz w:val="20"/>
          <w:szCs w:val="20"/>
          <w:lang w:val="ro-RO"/>
        </w:rPr>
      </w:pPr>
      <w:bookmarkStart w:id="8" w:name="_Toc227161491"/>
      <w:r>
        <w:rPr>
          <w:sz w:val="20"/>
          <w:szCs w:val="20"/>
          <w:lang w:val="ro-RO"/>
        </w:rPr>
        <w:t>1.2 PREDAREA TUTUROR DOCUMENTELOR CONFORM CERINŢELOR BENEFICIARULUI PENTRU FUNCŢIONAREA CORECTĂ A INVESTIŢIEI</w:t>
      </w:r>
      <w:bookmarkEnd w:id="8"/>
    </w:p>
    <w:p>
      <w:pPr>
        <w:pStyle w:val="Heading3"/>
        <w:rPr>
          <w:sz w:val="20"/>
          <w:szCs w:val="20"/>
          <w:lang w:val="ro-RO"/>
        </w:rPr>
      </w:pPr>
      <w:bookmarkStart w:id="9" w:name="_Toc227161492"/>
      <w:r>
        <w:rPr>
          <w:sz w:val="20"/>
          <w:szCs w:val="20"/>
          <w:lang w:val="ro-RO"/>
        </w:rPr>
        <w:t>1.2.1</w:t>
      </w:r>
      <w:r>
        <w:rPr>
          <w:sz w:val="20"/>
          <w:szCs w:val="20"/>
          <w:lang w:val="ro-RO"/>
        </w:rPr>
        <w:tab/>
        <w:t xml:space="preserve"> Generalităţi</w:t>
      </w:r>
      <w:bookmarkEnd w:id="9"/>
    </w:p>
    <w:p>
      <w:pPr>
        <w:rPr>
          <w:sz w:val="20"/>
          <w:szCs w:val="20"/>
          <w:lang w:val="ro-RO"/>
        </w:rPr>
      </w:pPr>
      <w:r>
        <w:rPr>
          <w:sz w:val="20"/>
          <w:szCs w:val="20"/>
          <w:lang w:val="ro-RO"/>
        </w:rPr>
        <w:t>Activităţile de realizat conform acestor specificaţii se referă la proiectarea, testarea, punerea în funcţiune, funcţionarea de probă, testele de recepţie şi acceptare, garanţia de bună execuţie, instruirea, program de operare etc. referitoare investiţie, ce sunt descrise în prezentul document.</w:t>
      </w:r>
    </w:p>
    <w:p>
      <w:pPr>
        <w:rPr>
          <w:sz w:val="20"/>
          <w:szCs w:val="20"/>
          <w:lang w:val="ro-RO"/>
        </w:rPr>
      </w:pPr>
      <w:r>
        <w:rPr>
          <w:sz w:val="20"/>
          <w:szCs w:val="20"/>
          <w:lang w:val="ro-RO"/>
        </w:rPr>
        <w:t>În această documentaţie de atribuire a contractului de achiziţie publică pentru realizarea obiectivului, se furnizează datele din studiul de fezabilitate aprobat pentru investitie (ataşat la prezenta documentaţie) si studiul de fundamentare actualizat în anul 2026. Participantul la licitaţie trebuie să depună o ofertă pentru investitie, respectând toate cerinţele, reglementările şi indicatorii din prezentul caiet de sarcini si legislatiei in vigoare(LNR).</w:t>
      </w:r>
    </w:p>
    <w:p>
      <w:pPr>
        <w:rPr>
          <w:sz w:val="20"/>
          <w:szCs w:val="20"/>
          <w:lang w:val="ro-RO"/>
        </w:rPr>
      </w:pPr>
      <w:r>
        <w:rPr>
          <w:sz w:val="20"/>
          <w:szCs w:val="20"/>
          <w:lang w:val="ro-RO"/>
        </w:rPr>
        <w:lastRenderedPageBreak/>
        <w:t>Toate costurile legate de obtinerea acordurilor, autorizatiilor şi aprobărilor de la autorităţile competente pentru proiectul de execuţie pregătit de Antreprenor pentru instalatie, inclusiv toate modificările substanţiale admisibile, ce respectă LNR, aduse studiului de fezabilitate aprobat, urmează a fi suportate de către Antreprenor. Toate costurile aferente pregătirii și realizării recepției la termen a lucrărilor (inclusiv pe sectoare), vor fi suportate de antreprenor, aceasta reprezintă obligații legale ale acestuia.</w:t>
      </w:r>
    </w:p>
    <w:p>
      <w:pPr>
        <w:rPr>
          <w:sz w:val="20"/>
          <w:szCs w:val="20"/>
          <w:lang w:val="ro-RO"/>
        </w:rPr>
      </w:pPr>
      <w:r>
        <w:rPr>
          <w:sz w:val="20"/>
          <w:szCs w:val="20"/>
          <w:lang w:val="ro-RO"/>
        </w:rPr>
        <w:t>Antreprenorul va asigura conformitatea proiectului de execuţie cu condiţiile stipulate în avizele si acordurile obtinute.</w:t>
      </w:r>
    </w:p>
    <w:p>
      <w:pPr>
        <w:rPr>
          <w:sz w:val="20"/>
          <w:szCs w:val="20"/>
          <w:lang w:val="ro-RO"/>
        </w:rPr>
      </w:pPr>
      <w:r>
        <w:rPr>
          <w:sz w:val="20"/>
          <w:szCs w:val="20"/>
          <w:lang w:val="ro-RO"/>
        </w:rPr>
        <w:t>Este de precizat că pentru alinierea cu cerințele actuale privind managementul deșeurilor, informațiile conținute în Studiul de fezabilitate (în special fluxurile de deșeuri, capacitatea instalațiilor și anumite cerințe funcționale) au fost actualizate prin Studiul de fundamentare, elaborat în anul 2026. Cerințele prezentului caiet de sarcini reflectă specificațiile din studiul de fundamentare actualizat în anul 2026.</w:t>
      </w:r>
    </w:p>
    <w:p>
      <w:pPr>
        <w:pStyle w:val="Heading3"/>
        <w:rPr>
          <w:sz w:val="20"/>
          <w:szCs w:val="20"/>
          <w:lang w:val="ro-RO"/>
        </w:rPr>
      </w:pPr>
      <w:bookmarkStart w:id="10" w:name="_Toc227161493"/>
      <w:r>
        <w:rPr>
          <w:sz w:val="20"/>
          <w:szCs w:val="20"/>
          <w:lang w:val="ro-RO"/>
        </w:rPr>
        <w:t>1.2.2 Domeniul de aplicare al lucrărilor şi furniturilor</w:t>
      </w:r>
      <w:bookmarkEnd w:id="10"/>
    </w:p>
    <w:p>
      <w:pPr>
        <w:rPr>
          <w:sz w:val="20"/>
          <w:szCs w:val="20"/>
          <w:lang w:val="ro-RO"/>
        </w:rPr>
      </w:pPr>
      <w:r>
        <w:rPr>
          <w:sz w:val="20"/>
          <w:szCs w:val="20"/>
          <w:lang w:val="ro-RO"/>
        </w:rPr>
        <w:t>Antreprenorul va furniza toate documentele tehnice de proiectare aferente constructiilor, instalatiilor si echipamentelor aferente obiectelor tehnologice de pe fiecare din cele doua obiecte (TMB si ST) și cele patru sectoare, fie ele de natură provizorie sau permanentă, pentru a realiza lucrările necesare avand ca scop final construirea instalatiilor.</w:t>
      </w:r>
    </w:p>
    <w:p>
      <w:pPr>
        <w:pStyle w:val="Heading3"/>
        <w:rPr>
          <w:sz w:val="20"/>
          <w:szCs w:val="20"/>
          <w:lang w:val="ro-RO"/>
        </w:rPr>
      </w:pPr>
      <w:bookmarkStart w:id="11" w:name="_Toc227161494"/>
      <w:r>
        <w:rPr>
          <w:sz w:val="20"/>
          <w:szCs w:val="20"/>
          <w:lang w:val="ro-RO"/>
        </w:rPr>
        <w:t>1.2.3</w:t>
      </w:r>
      <w:r>
        <w:rPr>
          <w:sz w:val="20"/>
          <w:szCs w:val="20"/>
          <w:lang w:val="ro-RO"/>
        </w:rPr>
        <w:tab/>
        <w:t xml:space="preserve"> Proiectul şi documentaţia</w:t>
      </w:r>
      <w:bookmarkEnd w:id="11"/>
    </w:p>
    <w:p>
      <w:pPr>
        <w:rPr>
          <w:sz w:val="20"/>
          <w:szCs w:val="20"/>
          <w:lang w:val="ro-RO"/>
        </w:rPr>
      </w:pPr>
      <w:r>
        <w:rPr>
          <w:sz w:val="20"/>
          <w:szCs w:val="20"/>
          <w:lang w:val="ro-RO"/>
        </w:rPr>
        <w:t>Antreprenorul va pregăti întreaga documentaţie a proiectului tehnic si a detaliilor de executie, inclusiv a documentatiei necesare obtinerii tuturor acordurilor şi autorizaţiilor necesare, în conformitate cu legislaţia şi reglementările naţionale, incluzând şi modificările ulterioare.</w:t>
      </w:r>
    </w:p>
    <w:p>
      <w:pPr>
        <w:rPr>
          <w:sz w:val="20"/>
          <w:szCs w:val="20"/>
          <w:lang w:val="ro-RO"/>
        </w:rPr>
      </w:pPr>
      <w:r>
        <w:rPr>
          <w:sz w:val="20"/>
          <w:szCs w:val="20"/>
          <w:lang w:val="ro-RO"/>
        </w:rPr>
        <w:t>Proiectul tehnic si detaliile de executie vor fi pregătite în conformitate cu legislaţia naţională. Antreprenorul este responsabil de:</w:t>
      </w:r>
    </w:p>
    <w:p>
      <w:pPr>
        <w:pStyle w:val="ListParagraph"/>
        <w:numPr>
          <w:ilvl w:val="0"/>
          <w:numId w:val="5"/>
        </w:numPr>
        <w:rPr>
          <w:sz w:val="20"/>
          <w:szCs w:val="20"/>
          <w:lang w:val="ro-RO"/>
        </w:rPr>
      </w:pPr>
      <w:r>
        <w:rPr>
          <w:sz w:val="20"/>
          <w:szCs w:val="20"/>
          <w:lang w:val="ro-RO"/>
        </w:rPr>
        <w:t xml:space="preserve">pregătirea proiectului de execuţie în conformitate cu acordurile descrise, cu standardele şi legislaţia naţională în vigoare, inclusiv LNR, Anexa din data de 28.02.2023 </w:t>
      </w:r>
      <w:r>
        <w:rPr>
          <w:sz w:val="20"/>
          <w:szCs w:val="20"/>
          <w:shd w:val="clear" w:color="auto" w:fill="FFFFFF" w:themeFill="background1"/>
          <w:lang w:val="ro-RO"/>
        </w:rPr>
        <w:t>la Acordul de Mediu nr.08/19.12.2019 revizuit in 28.04.2021</w:t>
      </w:r>
      <w:r>
        <w:rPr>
          <w:sz w:val="20"/>
          <w:szCs w:val="20"/>
          <w:lang w:val="ro-RO"/>
        </w:rPr>
        <w:t xml:space="preserve"> etc.</w:t>
      </w:r>
    </w:p>
    <w:p>
      <w:pPr>
        <w:pStyle w:val="ListParagraph"/>
        <w:numPr>
          <w:ilvl w:val="0"/>
          <w:numId w:val="4"/>
        </w:numPr>
        <w:rPr>
          <w:sz w:val="20"/>
          <w:szCs w:val="20"/>
          <w:lang w:val="ro-RO"/>
        </w:rPr>
      </w:pPr>
      <w:r>
        <w:rPr>
          <w:sz w:val="20"/>
          <w:szCs w:val="20"/>
          <w:lang w:val="ro-RO"/>
        </w:rPr>
        <w:t xml:space="preserve">pregatirea documentatiilor necesare obtinerii autorizaţiilor, avizelor si acordurilor solicitate </w:t>
      </w:r>
      <w:r>
        <w:rPr>
          <w:sz w:val="20"/>
          <w:szCs w:val="20"/>
          <w:shd w:val="clear" w:color="auto" w:fill="FFFFFF" w:themeFill="background1"/>
          <w:lang w:val="ro-RO"/>
        </w:rPr>
        <w:t>prin Certificatul de urbanism nr. 910/04.08.2023, valabil până la data de 04.08.2026,</w:t>
      </w:r>
      <w:r>
        <w:rPr>
          <w:sz w:val="20"/>
          <w:szCs w:val="20"/>
          <w:lang w:val="ro-RO"/>
        </w:rPr>
        <w:t xml:space="preserve"> în conformitate cu standardele şi legislaţia naţională în vigoare;</w:t>
      </w:r>
    </w:p>
    <w:p>
      <w:pPr>
        <w:pStyle w:val="ListParagraph"/>
        <w:numPr>
          <w:ilvl w:val="0"/>
          <w:numId w:val="4"/>
        </w:numPr>
        <w:rPr>
          <w:sz w:val="20"/>
          <w:szCs w:val="20"/>
          <w:lang w:val="ro-RO"/>
        </w:rPr>
      </w:pPr>
      <w:r>
        <w:rPr>
          <w:sz w:val="20"/>
          <w:szCs w:val="20"/>
          <w:lang w:val="ro-RO"/>
        </w:rPr>
        <w:t>asistenta tehnica a proiectantului in perioada de executie a investiei.</w:t>
      </w:r>
    </w:p>
    <w:p>
      <w:pPr>
        <w:rPr>
          <w:sz w:val="20"/>
          <w:szCs w:val="20"/>
          <w:lang w:val="ro-RO"/>
        </w:rPr>
      </w:pPr>
      <w:r>
        <w:rPr>
          <w:sz w:val="20"/>
          <w:szCs w:val="20"/>
          <w:lang w:val="ro-RO"/>
        </w:rPr>
        <w:t xml:space="preserve">Elaborarea documentaţiilor tehnico-economice va ţine seama de condiţiile impuse prin avizele şi acordurile necesare/solicitate prin certificate de urbanism şi de cerinţele de accesibilitate ale persoanelor cu dizabilităţi sau de conceptul de proiectare pentru toate categoriile de utilizatori. </w:t>
      </w:r>
    </w:p>
    <w:p>
      <w:pPr>
        <w:rPr>
          <w:sz w:val="20"/>
          <w:szCs w:val="20"/>
          <w:lang w:val="ro-RO"/>
        </w:rPr>
      </w:pPr>
      <w:r>
        <w:rPr>
          <w:sz w:val="20"/>
          <w:szCs w:val="20"/>
          <w:lang w:val="ro-RO"/>
        </w:rPr>
        <w:t xml:space="preserve">În situaţia în care anumite reţele de utilităţi existente se suprapun peste lucrările nou-proiectate, Antreprenorul va proiecta şi executa protejarea acestora. </w:t>
      </w:r>
    </w:p>
    <w:p>
      <w:pPr>
        <w:rPr>
          <w:sz w:val="20"/>
          <w:szCs w:val="20"/>
          <w:lang w:val="ro-RO"/>
        </w:rPr>
      </w:pPr>
      <w:r>
        <w:rPr>
          <w:sz w:val="20"/>
          <w:szCs w:val="20"/>
          <w:lang w:val="ro-RO"/>
        </w:rPr>
        <w:t xml:space="preserve">Utilitățile prezente pe amplasament la nivelul realizării documentației nu se relocă, realizarea stațiilor se va încadra în spațiul liber, elementele sale componente nu se vor suprapune și se vor încadra în condițiile avizatorilor ale căror rețele sunt prezente pe amplasament. </w:t>
      </w:r>
    </w:p>
    <w:p>
      <w:pPr>
        <w:rPr>
          <w:sz w:val="20"/>
          <w:szCs w:val="20"/>
          <w:lang w:val="ro-RO"/>
        </w:rPr>
      </w:pPr>
      <w:r>
        <w:rPr>
          <w:sz w:val="20"/>
          <w:szCs w:val="20"/>
          <w:lang w:val="ro-RO"/>
        </w:rPr>
        <w:t>În cazul în care Antreprenorul consideră necesară, în cadrul propriei proiectări, modificarea unor trasee ale rețelei existente acesta va urma procedurile de reavizare fără a depăși termenele impuse prin caietul de sarcini în ceea ce privește avizarea, proiectarea și execuția lucrărilor. Costurile cu modificările propuse de acesta vor fi acoperite integral de acesta.</w:t>
      </w:r>
    </w:p>
    <w:p>
      <w:pPr>
        <w:pStyle w:val="Heading4"/>
        <w:rPr>
          <w:sz w:val="20"/>
          <w:szCs w:val="20"/>
          <w:lang w:val="ro-RO"/>
        </w:rPr>
      </w:pPr>
      <w:r>
        <w:rPr>
          <w:sz w:val="20"/>
          <w:szCs w:val="20"/>
          <w:lang w:val="ro-RO"/>
        </w:rPr>
        <w:t>1.2.3.1 Proiectul tehnic si detaliile de execuţie</w:t>
      </w:r>
    </w:p>
    <w:p>
      <w:pPr>
        <w:rPr>
          <w:sz w:val="20"/>
          <w:szCs w:val="20"/>
          <w:lang w:val="ro-RO"/>
        </w:rPr>
      </w:pPr>
      <w:r>
        <w:rPr>
          <w:sz w:val="20"/>
          <w:szCs w:val="20"/>
          <w:lang w:val="ro-RO"/>
        </w:rPr>
        <w:t xml:space="preserve">Proiectul tehnic pe baza caruia se face executia trebuie pregatit pe baza normelor si standardelor nationale si trebuie sa se obtina acordurile, avizele si autoritatiile necesare de la autoritatile competente in conformitate cu cerintele Certificatul de urbanism nr. </w:t>
      </w:r>
      <w:r>
        <w:rPr>
          <w:sz w:val="20"/>
          <w:szCs w:val="20"/>
          <w:shd w:val="clear" w:color="auto" w:fill="FFFFFF" w:themeFill="background1"/>
          <w:lang w:val="ro-RO"/>
        </w:rPr>
        <w:t>910/04.08.2023, valabil până la data de 04.08.2026.</w:t>
      </w:r>
    </w:p>
    <w:p>
      <w:pPr>
        <w:rPr>
          <w:sz w:val="20"/>
          <w:szCs w:val="20"/>
          <w:lang w:val="ro-RO"/>
        </w:rPr>
      </w:pPr>
      <w:r>
        <w:rPr>
          <w:sz w:val="20"/>
          <w:szCs w:val="20"/>
          <w:lang w:val="ro-RO"/>
        </w:rPr>
        <w:t xml:space="preserve">Valabilitatea certificatului de urbanism, respectiv prelungirea acestuia sau eliberarea unui certificat de urbanism nou intra in atributiile Beneficiarului, orice intarzaiere din aceasta cauza </w:t>
      </w:r>
      <w:r>
        <w:rPr>
          <w:sz w:val="20"/>
          <w:szCs w:val="20"/>
          <w:lang w:val="ro-RO"/>
        </w:rPr>
        <w:lastRenderedPageBreak/>
        <w:t>ne putandu-i fi imputata Antreprenorului, acesta avand dreptul de a aplica penalitati conform prevederilor contractuale pentru astfel de situatie. Prelungirea sau eliberarea unui certificat de urbanism nou se vor face in cel mai scurt timp, astfel incat sa nu afecteze graficul de lucru al Antreprenorului incadrandu-se in termenul legal specific.</w:t>
      </w:r>
    </w:p>
    <w:p>
      <w:pPr>
        <w:rPr>
          <w:sz w:val="20"/>
          <w:szCs w:val="20"/>
          <w:lang w:val="ro-RO"/>
        </w:rPr>
      </w:pPr>
      <w:r>
        <w:rPr>
          <w:sz w:val="20"/>
          <w:szCs w:val="20"/>
          <w:lang w:val="ro-RO"/>
        </w:rPr>
        <w:t>Executia lucrarilor se va face in baza unei autorizatii de construire. Documentatia Tehnica pentru Autorizarea Constructiei (PAC/DTAC) va avea in vedere cerintele din Legea nr. 50/1991 republicata si actualizata, HG907 /2016 si va fi verificata pentru pentru cerinţele de calitate de specialişti verificatori de proiecte atestaţi.</w:t>
      </w:r>
    </w:p>
    <w:p>
      <w:pPr>
        <w:rPr>
          <w:sz w:val="20"/>
          <w:szCs w:val="20"/>
          <w:lang w:val="ro-RO"/>
        </w:rPr>
      </w:pPr>
      <w:r>
        <w:rPr>
          <w:sz w:val="20"/>
          <w:szCs w:val="20"/>
          <w:lang w:val="ro-RO"/>
        </w:rPr>
        <w:t>Antreprenorul va realiza studii suplimentare inginereşti, topografice şi geologice pentru a colecta toate informaţiile necesare pentru pregătirea proiectului de execuţie în cadrul domeniului de aplicare al contractului.</w:t>
      </w:r>
    </w:p>
    <w:p>
      <w:pPr>
        <w:rPr>
          <w:sz w:val="20"/>
          <w:szCs w:val="20"/>
          <w:lang w:val="ro-RO"/>
        </w:rPr>
      </w:pPr>
      <w:r>
        <w:rPr>
          <w:sz w:val="20"/>
          <w:szCs w:val="20"/>
          <w:lang w:val="ro-RO"/>
        </w:rPr>
        <w:t>Antreprenorul va realiza documentațiile etapizat după cum urmează:</w:t>
      </w:r>
    </w:p>
    <w:p>
      <w:pPr>
        <w:pStyle w:val="ListParagraph"/>
        <w:numPr>
          <w:ilvl w:val="0"/>
          <w:numId w:val="6"/>
        </w:numPr>
        <w:rPr>
          <w:sz w:val="20"/>
          <w:szCs w:val="20"/>
          <w:lang w:val="ro-RO"/>
        </w:rPr>
      </w:pPr>
      <w:r>
        <w:rPr>
          <w:sz w:val="20"/>
          <w:szCs w:val="20"/>
          <w:lang w:val="ro-RO"/>
        </w:rPr>
        <w:t>Investigatii geotehnice, hidrologice si topografice.</w:t>
      </w:r>
    </w:p>
    <w:p>
      <w:pPr>
        <w:pStyle w:val="ListParagraph"/>
        <w:numPr>
          <w:ilvl w:val="0"/>
          <w:numId w:val="6"/>
        </w:numPr>
        <w:rPr>
          <w:sz w:val="20"/>
          <w:szCs w:val="20"/>
          <w:lang w:val="ro-RO"/>
        </w:rPr>
      </w:pPr>
      <w:r>
        <w:rPr>
          <w:sz w:val="20"/>
          <w:szCs w:val="20"/>
          <w:lang w:val="ro-RO"/>
        </w:rPr>
        <w:t>Documentatie pentru obtinerea avizelor si acordurilor sau pentru revizuirea/actualizarea avizelor și acordurilor obținute pentru aceste obiective de investiție până la data prezentei proceduri de atribuire.</w:t>
      </w:r>
    </w:p>
    <w:p>
      <w:pPr>
        <w:pStyle w:val="ListParagraph"/>
        <w:numPr>
          <w:ilvl w:val="0"/>
          <w:numId w:val="6"/>
        </w:numPr>
        <w:rPr>
          <w:sz w:val="20"/>
          <w:szCs w:val="20"/>
          <w:lang w:val="ro-RO"/>
        </w:rPr>
      </w:pPr>
      <w:r>
        <w:rPr>
          <w:sz w:val="20"/>
          <w:szCs w:val="20"/>
          <w:lang w:val="ro-RO"/>
        </w:rPr>
        <w:t>Documentatie in faza PAC/DTAC + POE/DTOE. La etapa de proiectare, în cadru procedurii de avizare a soluției construcției și a organizării de șantier(DTOE) Antreprenorul va preciza modul în care se va face alimentarea cu energie electrică aferentă organizării de șantier: generator propriu sau conectare la rețeaua existentă în funcție de avizul ATR primit de la distribuitorul local de energie electrică.</w:t>
      </w:r>
    </w:p>
    <w:p>
      <w:pPr>
        <w:pStyle w:val="ListParagraph"/>
        <w:numPr>
          <w:ilvl w:val="0"/>
          <w:numId w:val="6"/>
        </w:numPr>
        <w:rPr>
          <w:sz w:val="20"/>
          <w:szCs w:val="20"/>
          <w:lang w:val="ro-RO"/>
        </w:rPr>
      </w:pPr>
      <w:r>
        <w:rPr>
          <w:sz w:val="20"/>
          <w:szCs w:val="20"/>
          <w:lang w:val="ro-RO"/>
        </w:rPr>
        <w:t>Proiect tehnic și detalii de executie însotit de toate formularele și informatiile asa cum sunt ele prevazute in HG 907/2016 privind aprobarea conţinutului-cadru al documentaţiei tehnico-economice aferente investiţiilor publice, precum şi a structurii şi metodologiei de elaborare a devizului general pentru obiective de investiţii şi lucrări de intervenţii. Totodata Proiectul Tehnic (PT) va fi verificat pentru cerinţele de calitate de specialişti atestaţi de Ministerul Dezvoltării, Lucrărilor Publice şi Locuinţelor.</w:t>
      </w:r>
    </w:p>
    <w:p>
      <w:pPr>
        <w:pStyle w:val="ListParagraph"/>
        <w:numPr>
          <w:ilvl w:val="0"/>
          <w:numId w:val="6"/>
        </w:numPr>
        <w:rPr>
          <w:sz w:val="20"/>
          <w:szCs w:val="20"/>
          <w:lang w:val="ro-RO"/>
        </w:rPr>
      </w:pPr>
      <w:r>
        <w:rPr>
          <w:sz w:val="20"/>
          <w:szCs w:val="20"/>
          <w:lang w:val="ro-RO"/>
        </w:rPr>
        <w:t>Planul de sanatate si securitate in munca intocmit conform prevederilor legale in vigoare.</w:t>
      </w:r>
    </w:p>
    <w:p>
      <w:pPr>
        <w:pStyle w:val="ListParagraph"/>
        <w:numPr>
          <w:ilvl w:val="0"/>
          <w:numId w:val="6"/>
        </w:numPr>
        <w:rPr>
          <w:sz w:val="20"/>
          <w:szCs w:val="20"/>
          <w:lang w:val="ro-RO"/>
        </w:rPr>
      </w:pPr>
      <w:r>
        <w:rPr>
          <w:sz w:val="20"/>
          <w:szCs w:val="20"/>
          <w:lang w:val="ro-RO"/>
        </w:rPr>
        <w:t>Documentatiilor necesare autorizatiilor de punere in functiune, dupa caz.</w:t>
      </w:r>
    </w:p>
    <w:p>
      <w:pPr>
        <w:pStyle w:val="ListParagraph"/>
        <w:numPr>
          <w:ilvl w:val="0"/>
          <w:numId w:val="6"/>
        </w:numPr>
        <w:rPr>
          <w:sz w:val="20"/>
          <w:szCs w:val="20"/>
          <w:lang w:val="ro-RO"/>
        </w:rPr>
      </w:pPr>
      <w:r>
        <w:rPr>
          <w:sz w:val="20"/>
          <w:szCs w:val="20"/>
          <w:lang w:val="ro-RO"/>
        </w:rPr>
        <w:t>Documentatiile pentru instruirea personalului de operare.</w:t>
      </w:r>
    </w:p>
    <w:p>
      <w:pPr>
        <w:pStyle w:val="ListParagraph"/>
        <w:numPr>
          <w:ilvl w:val="0"/>
          <w:numId w:val="6"/>
        </w:numPr>
        <w:rPr>
          <w:sz w:val="20"/>
          <w:szCs w:val="20"/>
          <w:lang w:val="ro-RO"/>
        </w:rPr>
      </w:pPr>
      <w:r>
        <w:rPr>
          <w:sz w:val="20"/>
          <w:szCs w:val="20"/>
          <w:lang w:val="ro-RO"/>
        </w:rPr>
        <w:t>Întocmirea desenelor post executie si a documentelor necesare Cartii Constructiei conform HG 343/2017 privind modificarea HG 273/1994.</w:t>
      </w:r>
    </w:p>
    <w:p>
      <w:pPr>
        <w:rPr>
          <w:sz w:val="20"/>
          <w:szCs w:val="20"/>
          <w:lang w:val="ro-RO"/>
        </w:rPr>
      </w:pPr>
      <w:r>
        <w:rPr>
          <w:sz w:val="20"/>
          <w:szCs w:val="20"/>
          <w:lang w:val="ro-RO"/>
        </w:rPr>
        <w:t xml:space="preserve">Antreprenorul va realiza orice studii sunt necesare pentru realizare investiției, nelimitativ la cele enumerate aici. Pentru racordul electric nu exista studiu de coexistenta și acesta, sau orice studii necesare realizării investiției intră in sarcina ofertantului. Precizam ca planul prezentat conform anexa („Anexa 2 CS DBO Plan de situație proiectat cu compostare”), are caracter orientativ, fiecare ofertant, va prezenta în oferta sa, în funcție de propriul proces tehnologic, planul de situație in conformitate cu instalațiile și expertiza proprie. </w:t>
      </w:r>
    </w:p>
    <w:p>
      <w:pPr>
        <w:rPr>
          <w:sz w:val="20"/>
          <w:szCs w:val="20"/>
          <w:lang w:val="ro-RO"/>
        </w:rPr>
      </w:pPr>
      <w:r>
        <w:rPr>
          <w:sz w:val="20"/>
          <w:szCs w:val="20"/>
          <w:lang w:val="ro-RO"/>
        </w:rPr>
        <w:t>Suprafața pusă la dispoziție de către beneficiar este de circa 9,5 ha, în planul din Anexa 2, cu caracter orientativ, nu a fost ocupată întreaga suprafața, existând un spațiu de rezervă care poate fi utilizat.</w:t>
      </w:r>
    </w:p>
    <w:p>
      <w:pPr>
        <w:rPr>
          <w:sz w:val="20"/>
          <w:szCs w:val="20"/>
          <w:lang w:val="ro-RO"/>
        </w:rPr>
      </w:pPr>
      <w:r>
        <w:rPr>
          <w:sz w:val="20"/>
          <w:szCs w:val="20"/>
          <w:lang w:val="ro-RO"/>
        </w:rPr>
        <w:t>Elaborarea proiectelor tehnice va tine cont de standardele si normativele de proiectare in vigoare privind legislatia aplicabila. Breviarele de calcul vor mentiona in clar:</w:t>
      </w:r>
    </w:p>
    <w:p>
      <w:pPr>
        <w:pStyle w:val="ListParagraph"/>
        <w:numPr>
          <w:ilvl w:val="0"/>
          <w:numId w:val="7"/>
        </w:numPr>
        <w:rPr>
          <w:sz w:val="20"/>
          <w:szCs w:val="20"/>
          <w:lang w:val="ro-RO"/>
        </w:rPr>
      </w:pPr>
      <w:r>
        <w:rPr>
          <w:sz w:val="20"/>
          <w:szCs w:val="20"/>
          <w:lang w:val="ro-RO"/>
        </w:rPr>
        <w:t>standardul, normativul caruia i se racordează;</w:t>
      </w:r>
    </w:p>
    <w:p>
      <w:pPr>
        <w:numPr>
          <w:ilvl w:val="0"/>
          <w:numId w:val="7"/>
        </w:numPr>
        <w:rPr>
          <w:sz w:val="20"/>
          <w:szCs w:val="20"/>
          <w:lang w:val="ro-RO"/>
        </w:rPr>
      </w:pPr>
      <w:r>
        <w:rPr>
          <w:sz w:val="20"/>
          <w:szCs w:val="20"/>
          <w:lang w:val="ro-RO"/>
        </w:rPr>
        <w:t>metoda de calcul si programul utilizat;</w:t>
      </w:r>
    </w:p>
    <w:p>
      <w:pPr>
        <w:numPr>
          <w:ilvl w:val="0"/>
          <w:numId w:val="7"/>
        </w:numPr>
        <w:rPr>
          <w:sz w:val="20"/>
          <w:szCs w:val="20"/>
          <w:lang w:val="ro-RO"/>
        </w:rPr>
      </w:pPr>
      <w:r>
        <w:rPr>
          <w:sz w:val="20"/>
          <w:szCs w:val="20"/>
          <w:lang w:val="ro-RO"/>
        </w:rPr>
        <w:t>incarcarile si ipotezele de calcul de la care porneste calculul;</w:t>
      </w:r>
    </w:p>
    <w:p>
      <w:pPr>
        <w:numPr>
          <w:ilvl w:val="0"/>
          <w:numId w:val="7"/>
        </w:numPr>
        <w:rPr>
          <w:sz w:val="20"/>
          <w:szCs w:val="20"/>
          <w:lang w:val="ro-RO"/>
        </w:rPr>
      </w:pPr>
      <w:r>
        <w:rPr>
          <w:sz w:val="20"/>
          <w:szCs w:val="20"/>
          <w:lang w:val="ro-RO"/>
        </w:rPr>
        <w:t>constrangerile impuse prin avizele si acordurile furnizorilor de utilitati;</w:t>
      </w:r>
    </w:p>
    <w:p>
      <w:pPr>
        <w:numPr>
          <w:ilvl w:val="0"/>
          <w:numId w:val="7"/>
        </w:numPr>
        <w:rPr>
          <w:sz w:val="20"/>
          <w:szCs w:val="20"/>
          <w:lang w:val="ro-RO"/>
        </w:rPr>
      </w:pPr>
      <w:r>
        <w:rPr>
          <w:sz w:val="20"/>
          <w:szCs w:val="20"/>
          <w:lang w:val="ro-RO"/>
        </w:rPr>
        <w:t>modul in care premisele tehnologice influenteaza solutiile proiectate in cadrul celorlalte specialitati;</w:t>
      </w:r>
    </w:p>
    <w:p>
      <w:pPr>
        <w:numPr>
          <w:ilvl w:val="0"/>
          <w:numId w:val="7"/>
        </w:numPr>
        <w:rPr>
          <w:sz w:val="20"/>
          <w:szCs w:val="20"/>
          <w:lang w:val="ro-RO"/>
        </w:rPr>
      </w:pPr>
      <w:r>
        <w:rPr>
          <w:sz w:val="20"/>
          <w:szCs w:val="20"/>
          <w:lang w:val="ro-RO"/>
        </w:rPr>
        <w:t>rezultatele calculelor si coeficientii de siguranta utilizati, incadrarea in rezultatele admise conform prevederilor tehnice legale in vigoare;</w:t>
      </w:r>
    </w:p>
    <w:p>
      <w:pPr>
        <w:numPr>
          <w:ilvl w:val="0"/>
          <w:numId w:val="7"/>
        </w:numPr>
        <w:rPr>
          <w:sz w:val="20"/>
          <w:szCs w:val="20"/>
          <w:lang w:val="ro-RO"/>
        </w:rPr>
      </w:pPr>
      <w:r>
        <w:rPr>
          <w:sz w:val="20"/>
          <w:szCs w:val="20"/>
          <w:lang w:val="ro-RO"/>
        </w:rPr>
        <w:lastRenderedPageBreak/>
        <w:t>concluziile conform carora au rezultat dimensionarile constructiilor, instalatiilor si ale utilajelor si echipamentelor tehnologice.</w:t>
      </w:r>
    </w:p>
    <w:p>
      <w:pPr>
        <w:rPr>
          <w:sz w:val="20"/>
          <w:szCs w:val="20"/>
          <w:lang w:val="ro-RO"/>
        </w:rPr>
      </w:pPr>
      <w:r>
        <w:rPr>
          <w:sz w:val="20"/>
          <w:szCs w:val="20"/>
          <w:lang w:val="ro-RO"/>
        </w:rPr>
        <w:t>Proiectele (inclusiv PAC/DTAC) vor fi verificate la cerintele de verificare prevazute prin lege. In sarcina Antreprenorului sunt incluse si lucrarile de conectare/reconectare a obiectelor noi/reabilitate la infrastructura existenta, conform prezentelor specificatii si pieselor desenate, respectiv la rețelele de alimentare cu energie electrică, alimentarea cu apă potabilă, la rețelele de canalizare și de evacuare a apelor uzate, de conectare la drumul de acces etc.</w:t>
      </w:r>
    </w:p>
    <w:p>
      <w:pPr>
        <w:rPr>
          <w:sz w:val="20"/>
          <w:szCs w:val="20"/>
          <w:lang w:val="ro-RO"/>
        </w:rPr>
      </w:pPr>
      <w:r>
        <w:rPr>
          <w:sz w:val="20"/>
          <w:szCs w:val="20"/>
          <w:lang w:val="ro-RO"/>
        </w:rPr>
        <w:t>Detaliile de executie vor fi elaborate astfel incat ele sa prezinte in clar solutiile tehnice de realizare a diferitelor elemente, fiind corelate cu piesele scrise.</w:t>
      </w:r>
    </w:p>
    <w:p>
      <w:pPr>
        <w:rPr>
          <w:sz w:val="20"/>
          <w:szCs w:val="20"/>
          <w:lang w:val="ro-RO"/>
        </w:rPr>
      </w:pPr>
      <w:r>
        <w:rPr>
          <w:sz w:val="20"/>
          <w:szCs w:val="20"/>
          <w:lang w:val="ro-RO"/>
        </w:rPr>
        <w:t>De asemenea detaliile de executie urmaresc:</w:t>
      </w:r>
    </w:p>
    <w:p>
      <w:pPr>
        <w:pStyle w:val="ListParagraph"/>
        <w:numPr>
          <w:ilvl w:val="0"/>
          <w:numId w:val="7"/>
        </w:numPr>
        <w:rPr>
          <w:sz w:val="20"/>
          <w:szCs w:val="20"/>
          <w:lang w:val="ro-RO"/>
        </w:rPr>
      </w:pPr>
      <w:r>
        <w:rPr>
          <w:sz w:val="20"/>
          <w:szCs w:val="20"/>
          <w:lang w:val="ro-RO"/>
        </w:rPr>
        <w:t>detalierea soluţiilor tehnice ale proiectului tehnic astfel încât să asigure posibilitatea de implementare a tuturor lucrărilor de construcţie şi montaj (LCM), precum livrarea şi asamblarea echipamentelor şi instalaţiilor tehnologice din proiect;</w:t>
      </w:r>
    </w:p>
    <w:p>
      <w:pPr>
        <w:pStyle w:val="ListParagraph"/>
        <w:numPr>
          <w:ilvl w:val="0"/>
          <w:numId w:val="7"/>
        </w:numPr>
        <w:rPr>
          <w:sz w:val="20"/>
          <w:szCs w:val="20"/>
          <w:lang w:val="ro-RO"/>
        </w:rPr>
      </w:pPr>
      <w:r>
        <w:rPr>
          <w:sz w:val="20"/>
          <w:szCs w:val="20"/>
          <w:lang w:val="ro-RO"/>
        </w:rPr>
        <w:t>asigură conformitatea deciziilor din proiect cu cerinţele privind construcţiile conform LNR (Legea 10/1995 a calitatii in constructii).</w:t>
      </w:r>
    </w:p>
    <w:p>
      <w:pPr>
        <w:rPr>
          <w:sz w:val="20"/>
          <w:szCs w:val="20"/>
          <w:lang w:val="ro-RO"/>
        </w:rPr>
      </w:pPr>
      <w:r>
        <w:rPr>
          <w:sz w:val="20"/>
          <w:szCs w:val="20"/>
          <w:lang w:val="ro-RO"/>
        </w:rPr>
        <w:t>In vederea obtinerii avizelor si acordurilor necesare inceperii lucrarilor, Antreprenorul va pregati in termenele stabilite prin graficul general de executie, documentatiile tehnice corespunzatoare, in elaborarea acestora tinand cont de cerintele specifice fiecarui furnizor de utilitati local.</w:t>
      </w:r>
    </w:p>
    <w:p>
      <w:pPr>
        <w:pStyle w:val="ListParagraph"/>
        <w:numPr>
          <w:ilvl w:val="0"/>
          <w:numId w:val="8"/>
        </w:numPr>
        <w:rPr>
          <w:sz w:val="20"/>
          <w:szCs w:val="20"/>
          <w:lang w:val="ro-RO"/>
        </w:rPr>
      </w:pPr>
      <w:r>
        <w:rPr>
          <w:sz w:val="20"/>
          <w:szCs w:val="20"/>
          <w:lang w:val="ro-RO"/>
        </w:rPr>
        <w:t xml:space="preserve">Toate documentația aferentă PT/DTAC și cea pentru obținerea avizelor/acordurilor va respecta cerințele și obligațiile impuse prin avizele și acordurile deja obținute pentru aceste obiective de investiție și care sunt atașate prezentului caiet de sarcini. </w:t>
      </w:r>
    </w:p>
    <w:p>
      <w:pPr>
        <w:pStyle w:val="ListParagraph"/>
        <w:numPr>
          <w:ilvl w:val="0"/>
          <w:numId w:val="8"/>
        </w:numPr>
        <w:rPr>
          <w:sz w:val="20"/>
          <w:szCs w:val="20"/>
          <w:lang w:val="ro-RO"/>
        </w:rPr>
      </w:pPr>
      <w:r>
        <w:rPr>
          <w:sz w:val="20"/>
          <w:szCs w:val="20"/>
          <w:lang w:val="ro-RO"/>
        </w:rPr>
        <w:t>În cazul în care soluția propusă prin PT/DTAC modifică cerințele din cadrul avizelor și acordurilor obținute deja, pe cheltuiala Antreprenorului, se vor realiza toate demersurile și documentele necesare (studii și alte documentații) pentru revizuirea acestor acorduri și avize.</w:t>
      </w:r>
    </w:p>
    <w:p>
      <w:pPr>
        <w:pStyle w:val="ListParagraph"/>
        <w:numPr>
          <w:ilvl w:val="0"/>
          <w:numId w:val="8"/>
        </w:numPr>
        <w:rPr>
          <w:sz w:val="20"/>
          <w:szCs w:val="20"/>
          <w:lang w:val="ro-RO"/>
        </w:rPr>
      </w:pPr>
      <w:r>
        <w:rPr>
          <w:sz w:val="20"/>
          <w:szCs w:val="20"/>
          <w:lang w:val="ro-RO"/>
        </w:rPr>
        <w:t>Se va avea in vedere numarul de copii necesare din fiecare documentatie, pentru fiecare furnizor de utilitati caruia ii este destinata.</w:t>
      </w:r>
    </w:p>
    <w:p>
      <w:pPr>
        <w:pStyle w:val="ListParagraph"/>
        <w:numPr>
          <w:ilvl w:val="0"/>
          <w:numId w:val="8"/>
        </w:numPr>
        <w:rPr>
          <w:sz w:val="20"/>
          <w:szCs w:val="20"/>
          <w:lang w:val="ro-RO"/>
        </w:rPr>
      </w:pPr>
      <w:r>
        <w:rPr>
          <w:sz w:val="20"/>
          <w:szCs w:val="20"/>
          <w:lang w:val="ro-RO"/>
        </w:rPr>
        <w:t>In elaborarea documentatiei tehnice PAC/DTAC + POE/DTOE se vor urmari indeproape prevederile LNR (Legea 50/1991 actualizata), cerintele certificatului de urbanism actualizat ca si cele ale avizelor de gopsodărire a apelor şi actului de reglementare privind protecţia mediului.</w:t>
      </w:r>
    </w:p>
    <w:p>
      <w:pPr>
        <w:rPr>
          <w:sz w:val="20"/>
          <w:szCs w:val="20"/>
          <w:lang w:val="ro-RO"/>
        </w:rPr>
      </w:pPr>
      <w:r>
        <w:rPr>
          <w:sz w:val="20"/>
          <w:szCs w:val="20"/>
          <w:lang w:val="ro-RO"/>
        </w:rPr>
        <w:t>Proiectul de execuţie, toate materialele, manopera si testele vor fi conforme cel puţin cu cerinţele din Normativele, Codurile de Practică si Standardele aplicabile în UE si România. Proiectul va fi bazat pe cerinţele din Secţiunea 2 - Cerinţele beneficiarului privind execuţia stației de tratare mecano-biologică cu recuperare de energie şi a staţiei de transfer Galaţi. Antreprenorul va fi responsabil pe deplin pentru soluţia de proiectare propusă, in functie de tehnologia proprie cu conditia respectarii indicatorilor solicitati.</w:t>
      </w:r>
    </w:p>
    <w:p>
      <w:pPr>
        <w:pStyle w:val="Heading4"/>
        <w:rPr>
          <w:sz w:val="20"/>
          <w:szCs w:val="20"/>
          <w:lang w:val="ro-RO"/>
        </w:rPr>
      </w:pPr>
      <w:r>
        <w:rPr>
          <w:sz w:val="20"/>
          <w:szCs w:val="20"/>
          <w:lang w:val="ro-RO"/>
        </w:rPr>
        <w:t>1.2.3.2 Documentaţia conformă cu execuţia</w:t>
      </w:r>
    </w:p>
    <w:p>
      <w:pPr>
        <w:rPr>
          <w:sz w:val="20"/>
          <w:szCs w:val="20"/>
          <w:lang w:val="ro-RO"/>
        </w:rPr>
      </w:pPr>
      <w:r>
        <w:rPr>
          <w:sz w:val="20"/>
          <w:szCs w:val="20"/>
          <w:lang w:val="ro-RO"/>
        </w:rPr>
        <w:t>Pe parcursul derularii lucrarilor, Antreprenorul are obligatia de a elabora următoarele documentaţii:</w:t>
      </w:r>
    </w:p>
    <w:p>
      <w:pPr>
        <w:pStyle w:val="ListParagraph"/>
        <w:numPr>
          <w:ilvl w:val="0"/>
          <w:numId w:val="8"/>
        </w:numPr>
        <w:rPr>
          <w:sz w:val="20"/>
          <w:szCs w:val="20"/>
          <w:lang w:val="ro-RO"/>
        </w:rPr>
      </w:pPr>
      <w:r>
        <w:rPr>
          <w:sz w:val="20"/>
          <w:szCs w:val="20"/>
          <w:lang w:val="ro-RO"/>
        </w:rPr>
        <w:t>Documentatia conforma cu executia, relevand prin aceasta elementele constructive modificate pe baza instructiunilor de lucru elaborate de Reprezentantul Beneficiarului sau orice alte aspect ce nu concorda cu proiectul tehnic si detaliile de executie aprobate.</w:t>
      </w:r>
    </w:p>
    <w:p>
      <w:pPr>
        <w:pStyle w:val="ListParagraph"/>
        <w:numPr>
          <w:ilvl w:val="0"/>
          <w:numId w:val="8"/>
        </w:numPr>
        <w:rPr>
          <w:sz w:val="20"/>
          <w:szCs w:val="20"/>
          <w:lang w:val="ro-RO"/>
        </w:rPr>
      </w:pPr>
      <w:r>
        <w:rPr>
          <w:sz w:val="20"/>
          <w:szCs w:val="20"/>
          <w:lang w:val="ro-RO"/>
        </w:rPr>
        <w:t>Manualele de operare si intretinere ale echipamentelor tehnologice construite.</w:t>
      </w:r>
    </w:p>
    <w:p>
      <w:pPr>
        <w:pStyle w:val="ListParagraph"/>
        <w:numPr>
          <w:ilvl w:val="0"/>
          <w:numId w:val="8"/>
        </w:numPr>
        <w:rPr>
          <w:sz w:val="20"/>
          <w:szCs w:val="20"/>
          <w:lang w:val="ro-RO"/>
        </w:rPr>
      </w:pPr>
      <w:r>
        <w:rPr>
          <w:sz w:val="20"/>
          <w:szCs w:val="20"/>
          <w:lang w:val="ro-RO"/>
        </w:rPr>
        <w:t>Alte documente cu privire la rezultatele testarilor, verificarilor si a reviziilor utilajelor si echipamentelor tehnologice pe parcursul perioadei de garantie.</w:t>
      </w:r>
    </w:p>
    <w:p>
      <w:pPr>
        <w:rPr>
          <w:sz w:val="20"/>
          <w:szCs w:val="20"/>
          <w:lang w:val="ro-RO"/>
        </w:rPr>
      </w:pPr>
      <w:r>
        <w:rPr>
          <w:sz w:val="20"/>
          <w:szCs w:val="20"/>
          <w:lang w:val="ro-RO"/>
        </w:rPr>
        <w:t>Documentatia conforma cu executia se vor intocmi de catre Antreprenor in doua exemplare, cate un exemplar la Beneficiar si la Antreprenor in conformitate cu LNR.</w:t>
      </w:r>
    </w:p>
    <w:p>
      <w:pPr>
        <w:rPr>
          <w:sz w:val="20"/>
          <w:szCs w:val="20"/>
          <w:lang w:val="ro-RO"/>
        </w:rPr>
      </w:pPr>
      <w:r>
        <w:rPr>
          <w:sz w:val="20"/>
          <w:szCs w:val="20"/>
          <w:lang w:val="ro-RO"/>
        </w:rPr>
        <w:t>Documentatia conforma cu executia va include: documente scrise si planse, modificatoare fie ale detaliilor de executie, fie ale caracteristicilor diferitelor materiale sau utilaje puse in opera.</w:t>
      </w:r>
    </w:p>
    <w:p>
      <w:pPr>
        <w:rPr>
          <w:sz w:val="20"/>
          <w:szCs w:val="20"/>
          <w:lang w:val="ro-RO"/>
        </w:rPr>
      </w:pPr>
      <w:r>
        <w:rPr>
          <w:sz w:val="20"/>
          <w:szCs w:val="20"/>
          <w:lang w:val="ro-RO"/>
        </w:rPr>
        <w:lastRenderedPageBreak/>
        <w:t>Manualele finale de functionare si intretinere se vor intocmi de catre Antreprenor doua exemplare, cate un exemplar pentru fiecare parte.</w:t>
      </w:r>
    </w:p>
    <w:p>
      <w:pPr>
        <w:rPr>
          <w:sz w:val="20"/>
          <w:szCs w:val="20"/>
          <w:lang w:val="ro-RO"/>
        </w:rPr>
      </w:pPr>
      <w:r>
        <w:rPr>
          <w:sz w:val="20"/>
          <w:szCs w:val="20"/>
          <w:lang w:val="ro-RO"/>
        </w:rPr>
        <w:t>Manualele cu instrucţiuni pentru fiecare element al instalaţiei vor include, de asemenea, instrucţiuni colective, care se vor referi în special la operaţiunile specifice functionarii.</w:t>
      </w:r>
    </w:p>
    <w:p>
      <w:pPr>
        <w:rPr>
          <w:sz w:val="20"/>
          <w:szCs w:val="20"/>
          <w:lang w:val="ro-RO"/>
        </w:rPr>
      </w:pPr>
      <w:r>
        <w:rPr>
          <w:sz w:val="20"/>
          <w:szCs w:val="20"/>
          <w:lang w:val="ro-RO"/>
        </w:rPr>
        <w:t xml:space="preserve">Documentatia conforma cu executia si manualele de functionare si intretinere va fi intocmita si predata Beneficiarului(exemplarul acestuia) in format fizic(tiparit) cat si in format electronic(pdf). </w:t>
      </w:r>
    </w:p>
    <w:p>
      <w:pPr>
        <w:keepNext/>
        <w:rPr>
          <w:sz w:val="20"/>
          <w:szCs w:val="20"/>
          <w:u w:val="single"/>
          <w:lang w:val="ro-RO"/>
        </w:rPr>
      </w:pPr>
      <w:r>
        <w:rPr>
          <w:sz w:val="20"/>
          <w:szCs w:val="20"/>
          <w:u w:val="single"/>
          <w:lang w:val="ro-RO"/>
        </w:rPr>
        <w:t>Programul de operare</w:t>
      </w:r>
    </w:p>
    <w:p>
      <w:pPr>
        <w:rPr>
          <w:sz w:val="20"/>
          <w:szCs w:val="20"/>
          <w:lang w:val="ro-RO"/>
        </w:rPr>
      </w:pPr>
      <w:r>
        <w:rPr>
          <w:sz w:val="20"/>
          <w:szCs w:val="20"/>
          <w:lang w:val="ro-RO"/>
        </w:rPr>
        <w:t xml:space="preserve">Antreprenorul va depune un program de operare in care va fi prezentat personalul, intervalul orar si numarul de schimburi, parametrii de functionare, fluxurile interne, costuri de operare si intretinere, programul de mentenanta si alte elemente care cuprind activitati de operare. </w:t>
      </w:r>
    </w:p>
    <w:p>
      <w:pPr>
        <w:rPr>
          <w:sz w:val="20"/>
          <w:szCs w:val="20"/>
          <w:lang w:val="ro-RO"/>
        </w:rPr>
      </w:pPr>
      <w:r>
        <w:rPr>
          <w:sz w:val="20"/>
          <w:szCs w:val="20"/>
          <w:lang w:val="ro-RO"/>
        </w:rPr>
        <w:t>Durata si costul proiectarii</w:t>
      </w:r>
    </w:p>
    <w:p>
      <w:pPr>
        <w:rPr>
          <w:sz w:val="20"/>
          <w:szCs w:val="20"/>
          <w:u w:val="single"/>
          <w:lang w:val="ro-RO"/>
        </w:rPr>
      </w:pPr>
      <w:r>
        <w:rPr>
          <w:sz w:val="20"/>
          <w:szCs w:val="20"/>
          <w:u w:val="single"/>
          <w:lang w:val="ro-RO"/>
        </w:rPr>
        <w:t>Termenul de executie</w:t>
      </w:r>
    </w:p>
    <w:p>
      <w:pPr>
        <w:rPr>
          <w:sz w:val="20"/>
          <w:szCs w:val="20"/>
          <w:lang w:val="ro-RO"/>
        </w:rPr>
      </w:pPr>
      <w:r>
        <w:rPr>
          <w:sz w:val="20"/>
          <w:szCs w:val="20"/>
          <w:lang w:val="ro-RO"/>
        </w:rPr>
        <w:t>Perioada de realizare si predare a tuturor studiilor necesare, doumentatiilor pentru obţinerea avizelor obtinerii autorizatiei de construire, PAC si PTH-DDE este de 6 luni de la Data de începere, notificata prin Ordinului Administrativ de Incepere(include termenul de 120 de zile exclusiv pentru elaborarea si predarea PAC/DTAC). Termenul de 6 luni include şi perioadele necesare realizarii eventualelor revizuiri şi aprobări de către Supervizor.</w:t>
      </w:r>
    </w:p>
    <w:p>
      <w:pPr>
        <w:rPr>
          <w:sz w:val="20"/>
          <w:szCs w:val="20"/>
          <w:lang w:val="ro-RO"/>
        </w:rPr>
      </w:pPr>
      <w:r>
        <w:rPr>
          <w:sz w:val="20"/>
          <w:szCs w:val="20"/>
          <w:lang w:val="ro-RO"/>
        </w:rPr>
        <w:t>Documentatiile vor fi verificate pentru cerinţele de calitate de specialişti atestaţi și acreditați conform normelor și reglementărilor legale în vigoare. Costul cu verificarea intra in atributiile Antreprenorului.</w:t>
      </w:r>
    </w:p>
    <w:p>
      <w:pPr>
        <w:rPr>
          <w:sz w:val="20"/>
          <w:szCs w:val="20"/>
          <w:lang w:val="ro-RO"/>
        </w:rPr>
      </w:pPr>
      <w:r>
        <w:rPr>
          <w:sz w:val="20"/>
          <w:szCs w:val="20"/>
          <w:lang w:val="ro-RO"/>
        </w:rPr>
        <w:t>La finalul celor 6 luni, Antreprenorul trebuie sa depuna documentatia pentru obtinerea Autorizatiei de Construire la Consiliul Judetean Galati în caz contrar se vor percepe penalități zilnice de 0,1% din valoare.</w:t>
      </w:r>
    </w:p>
    <w:p>
      <w:pPr>
        <w:rPr>
          <w:sz w:val="20"/>
          <w:szCs w:val="20"/>
          <w:lang w:val="ro-RO"/>
        </w:rPr>
      </w:pPr>
      <w:r>
        <w:rPr>
          <w:sz w:val="20"/>
          <w:szCs w:val="20"/>
          <w:lang w:val="ro-RO"/>
        </w:rPr>
        <w:t>Beneficiarul și Supervizorul vor recepționa și aproba PAC, PTH-DDE in maximum 15 zile calendaristice de la depunerea si inregistrarea documentelor, cu condiția ca Antreprenorul să răspundă eventualelor clarificări și revizuiri în termen de maximum 5 zile de la data solicitării acestora, timp în care termenul de 15 zile calendaristice necesare recepției și aprobării se suspendă.</w:t>
      </w:r>
    </w:p>
    <w:p>
      <w:pPr>
        <w:rPr>
          <w:sz w:val="20"/>
          <w:szCs w:val="20"/>
          <w:u w:val="single"/>
          <w:lang w:val="ro-RO"/>
        </w:rPr>
      </w:pPr>
      <w:r>
        <w:rPr>
          <w:sz w:val="20"/>
          <w:szCs w:val="20"/>
          <w:u w:val="single"/>
          <w:lang w:val="ro-RO"/>
        </w:rPr>
        <w:t>Costul</w:t>
      </w:r>
    </w:p>
    <w:p>
      <w:pPr>
        <w:rPr>
          <w:sz w:val="20"/>
          <w:szCs w:val="20"/>
          <w:lang w:val="ro-RO"/>
        </w:rPr>
      </w:pPr>
      <w:r>
        <w:rPr>
          <w:sz w:val="20"/>
          <w:szCs w:val="20"/>
          <w:lang w:val="ro-RO"/>
        </w:rPr>
        <w:t>Costul cu proiectarea se va deconta in trei etape distincte conform ofertei financiare a Antreprenorului dupa depunerea documentatiilor de avize, respectiv dupa depunerea proiectului tehnic, DTAC si dupa predarea Cartii Tehnice a Constructiei.</w:t>
      </w:r>
    </w:p>
    <w:p>
      <w:pPr>
        <w:pStyle w:val="Heading2"/>
        <w:rPr>
          <w:sz w:val="20"/>
          <w:szCs w:val="20"/>
          <w:lang w:val="ro-RO"/>
        </w:rPr>
      </w:pPr>
      <w:bookmarkStart w:id="12" w:name="_Toc227161495"/>
      <w:r>
        <w:rPr>
          <w:sz w:val="20"/>
          <w:szCs w:val="20"/>
          <w:lang w:val="ro-RO"/>
        </w:rPr>
        <w:t>1.3 DESCRIEREA LUCRARILOR PROIECTATE</w:t>
      </w:r>
      <w:bookmarkEnd w:id="12"/>
    </w:p>
    <w:p>
      <w:pPr>
        <w:pStyle w:val="Heading3"/>
        <w:rPr>
          <w:sz w:val="20"/>
          <w:szCs w:val="20"/>
          <w:lang w:val="ro-RO"/>
        </w:rPr>
      </w:pPr>
      <w:bookmarkStart w:id="13" w:name="_Toc227161496"/>
      <w:r>
        <w:rPr>
          <w:sz w:val="20"/>
          <w:szCs w:val="20"/>
          <w:lang w:val="ro-RO"/>
        </w:rPr>
        <w:t>1.3.1 Furnizarea de utilitati</w:t>
      </w:r>
      <w:bookmarkEnd w:id="13"/>
    </w:p>
    <w:p>
      <w:pPr>
        <w:rPr>
          <w:sz w:val="20"/>
          <w:szCs w:val="20"/>
          <w:u w:val="single"/>
          <w:lang w:val="ro-RO"/>
        </w:rPr>
      </w:pPr>
      <w:r>
        <w:rPr>
          <w:sz w:val="20"/>
          <w:szCs w:val="20"/>
          <w:u w:val="single"/>
          <w:lang w:val="ro-RO"/>
        </w:rPr>
        <w:t>Atributiile Antreprenorului</w:t>
      </w:r>
    </w:p>
    <w:p>
      <w:pPr>
        <w:rPr>
          <w:sz w:val="20"/>
          <w:szCs w:val="20"/>
          <w:lang w:val="ro-RO"/>
        </w:rPr>
      </w:pPr>
      <w:r>
        <w:rPr>
          <w:sz w:val="20"/>
          <w:szCs w:val="20"/>
          <w:lang w:val="ro-RO"/>
        </w:rPr>
        <w:t>In atributiile Antreprenorului intra realizarea tuturor lucrarilor de bransare la retele publice necesare din punctul de conexiune in care acest lucru este posibil pina la amplasament. Atributille constau in toate operatiunile de proiectare-avizare-contructie-bransare-dare in folosinta cu asumarea tuturor costurilor adiacente.</w:t>
      </w:r>
    </w:p>
    <w:p>
      <w:pPr>
        <w:rPr>
          <w:sz w:val="20"/>
          <w:szCs w:val="20"/>
          <w:u w:val="single"/>
          <w:lang w:val="ro-RO"/>
        </w:rPr>
      </w:pPr>
      <w:r>
        <w:rPr>
          <w:sz w:val="20"/>
          <w:szCs w:val="20"/>
          <w:u w:val="single"/>
          <w:lang w:val="ro-RO"/>
        </w:rPr>
        <w:t>Acces amplasament</w:t>
      </w:r>
    </w:p>
    <w:p>
      <w:pPr>
        <w:rPr>
          <w:sz w:val="20"/>
          <w:szCs w:val="20"/>
          <w:lang w:val="ro-RO"/>
        </w:rPr>
      </w:pPr>
      <w:r>
        <w:rPr>
          <w:sz w:val="20"/>
          <w:szCs w:val="20"/>
          <w:lang w:val="ro-RO"/>
        </w:rPr>
        <w:t>Accesul pe amplasament se va face prin drumul de acces special dedicat, care este in legatura cu drumul national DN2B. Drumul a fost modernizat, conform proiectului nr 244 din 2020 „Drumuri de acces TMB Galati si depozit Valea Marului pentru proiectul Sistem de Management Integrat al deseurilor in judetul Galati" in cadrul contractului de lucrari GL-CL 03.</w:t>
      </w:r>
    </w:p>
    <w:p>
      <w:pPr>
        <w:rPr>
          <w:sz w:val="20"/>
          <w:szCs w:val="20"/>
          <w:u w:val="single"/>
          <w:lang w:val="ro-RO"/>
        </w:rPr>
      </w:pPr>
      <w:r>
        <w:rPr>
          <w:sz w:val="20"/>
          <w:szCs w:val="20"/>
          <w:u w:val="single"/>
          <w:lang w:val="ro-RO"/>
        </w:rPr>
        <w:t>Alimentare cu apa</w:t>
      </w:r>
    </w:p>
    <w:p>
      <w:pPr>
        <w:rPr>
          <w:sz w:val="20"/>
          <w:szCs w:val="20"/>
          <w:lang w:val="ro-RO"/>
        </w:rPr>
      </w:pPr>
      <w:r>
        <w:rPr>
          <w:sz w:val="20"/>
          <w:szCs w:val="20"/>
          <w:lang w:val="ro-RO"/>
        </w:rPr>
        <w:lastRenderedPageBreak/>
        <w:t>Alimentarea cu apa potabila, tehnologica si pentru incendiu a complexului se realizeaza de la reteaua publica a mun. Galati. Reteaua publica a fost extinsa prin Contractul de lucrari GL- CL 03 de modernizare a drumului de acces, punctul de racordare este situat la limita amplasamentului, mai precis in zona de sud-vest, in zona benzii transportoare si a conductei de apa(lira) apartinand combinatului Sidex.</w:t>
      </w:r>
    </w:p>
    <w:p>
      <w:pPr>
        <w:rPr>
          <w:sz w:val="20"/>
          <w:szCs w:val="20"/>
          <w:u w:val="single"/>
          <w:lang w:val="ro-RO"/>
        </w:rPr>
      </w:pPr>
      <w:r>
        <w:rPr>
          <w:sz w:val="20"/>
          <w:szCs w:val="20"/>
          <w:u w:val="single"/>
          <w:lang w:val="ro-RO"/>
        </w:rPr>
        <w:t>Retea de canalizare</w:t>
      </w:r>
    </w:p>
    <w:p>
      <w:pPr>
        <w:rPr>
          <w:sz w:val="20"/>
          <w:szCs w:val="20"/>
          <w:lang w:val="ro-RO"/>
        </w:rPr>
      </w:pPr>
      <w:r>
        <w:rPr>
          <w:sz w:val="20"/>
          <w:szCs w:val="20"/>
          <w:lang w:val="ro-RO"/>
        </w:rPr>
        <w:t>Apele uzate menajere vor fi deversate in reteaua publica a mun. Galati. Reteaua publica de canalizare a fost extinsa prin Contractul de Lucrari GL-03 de modernizare a drumului de acces TMB, punctul de bransare este situat la limita amplasamentului, mai precis in zona de sud-vest, in zona benzii transportoare si a conductei de apa(lira) apartinand combinatului Sidex.</w:t>
      </w:r>
    </w:p>
    <w:p>
      <w:pPr>
        <w:keepNext/>
        <w:rPr>
          <w:sz w:val="20"/>
          <w:szCs w:val="20"/>
          <w:u w:val="single"/>
          <w:lang w:val="ro-RO"/>
        </w:rPr>
      </w:pPr>
      <w:r>
        <w:rPr>
          <w:sz w:val="20"/>
          <w:szCs w:val="20"/>
          <w:u w:val="single"/>
          <w:lang w:val="ro-RO"/>
        </w:rPr>
        <w:t>Retea de alimentare cu energie electrica</w:t>
      </w:r>
    </w:p>
    <w:p>
      <w:pPr>
        <w:rPr>
          <w:lang w:val="ro-RO"/>
        </w:rPr>
      </w:pPr>
      <w:r>
        <w:rPr>
          <w:sz w:val="20"/>
          <w:szCs w:val="20"/>
          <w:lang w:val="ro-RO"/>
        </w:rPr>
        <w:t>Complexul statiei va fi racordat la sistemul national de distribuite a energiei electrice. Punctul de bransare va fi dat de necesitatile complexului in concordanta cu capacitatea retelei existente, in zona amplasamentului si pe amplasament exista linii electrice aeriene care pot constitui punct de bransare.</w:t>
      </w:r>
      <w:r>
        <w:rPr>
          <w:lang w:val="ro-RO"/>
        </w:rPr>
        <w:t xml:space="preserve"> </w:t>
      </w:r>
    </w:p>
    <w:p>
      <w:pPr>
        <w:rPr>
          <w:sz w:val="20"/>
          <w:szCs w:val="20"/>
          <w:lang w:val="ro-RO"/>
        </w:rPr>
      </w:pPr>
      <w:r>
        <w:rPr>
          <w:sz w:val="20"/>
          <w:szCs w:val="20"/>
          <w:lang w:val="ro-RO"/>
        </w:rPr>
        <w:t>Avizul deținătorilor de rețele electrice de pe amplasament se va solicita în momentul în care documentația tehnică, faza PT, va fi realizată și vor fi cunoscute consumurile de energie și soluția tehnică/fluxul tehnologic.</w:t>
      </w:r>
    </w:p>
    <w:p>
      <w:pPr>
        <w:rPr>
          <w:sz w:val="20"/>
          <w:szCs w:val="20"/>
          <w:lang w:val="ro-RO"/>
        </w:rPr>
      </w:pPr>
      <w:r>
        <w:rPr>
          <w:sz w:val="20"/>
          <w:szCs w:val="20"/>
          <w:lang w:val="ro-RO"/>
        </w:rPr>
        <w:t>Executarea retelelor de alimentare cu energie electrica si a bransamentului se va realiza de către Antreprenorul contractului de lucrari GL-CL-04.</w:t>
      </w:r>
    </w:p>
    <w:p>
      <w:pPr>
        <w:pStyle w:val="Heading3"/>
        <w:rPr>
          <w:sz w:val="20"/>
          <w:szCs w:val="20"/>
          <w:lang w:val="ro-RO"/>
        </w:rPr>
      </w:pPr>
      <w:bookmarkStart w:id="14" w:name="_Toc227161497"/>
      <w:r>
        <w:rPr>
          <w:sz w:val="20"/>
          <w:szCs w:val="20"/>
          <w:lang w:val="ro-RO"/>
        </w:rPr>
        <w:t>1.3.2 Construcţii civile si utilitati</w:t>
      </w:r>
      <w:bookmarkEnd w:id="14"/>
    </w:p>
    <w:p>
      <w:pPr>
        <w:pStyle w:val="Heading4"/>
        <w:rPr>
          <w:sz w:val="20"/>
          <w:szCs w:val="20"/>
          <w:lang w:val="ro-RO"/>
        </w:rPr>
      </w:pPr>
      <w:r>
        <w:rPr>
          <w:sz w:val="20"/>
          <w:szCs w:val="20"/>
          <w:lang w:val="ro-RO"/>
        </w:rPr>
        <w:t>1.3.2.1 Construcţii civile</w:t>
      </w:r>
    </w:p>
    <w:p>
      <w:pPr>
        <w:rPr>
          <w:sz w:val="20"/>
          <w:szCs w:val="20"/>
          <w:lang w:val="ro-RO"/>
        </w:rPr>
      </w:pPr>
      <w:r>
        <w:rPr>
          <w:sz w:val="20"/>
          <w:szCs w:val="20"/>
          <w:u w:val="single"/>
          <w:lang w:val="ro-RO"/>
        </w:rPr>
        <w:t>Zona recepţie/primire deşeuri</w:t>
      </w:r>
      <w:r>
        <w:rPr>
          <w:sz w:val="20"/>
          <w:szCs w:val="20"/>
          <w:lang w:val="ro-RO"/>
        </w:rPr>
        <w:t xml:space="preserve"> - consta intr-o platforma betonata cu acces direct la intrarea pe amplasament in imediata vecinatate a portii, pentru a permite verificarea si inregistrarea fiecarui vehicul de transport al deseurilor ce intra sau iese din amplasament.</w:t>
      </w:r>
    </w:p>
    <w:p>
      <w:pPr>
        <w:rPr>
          <w:sz w:val="20"/>
          <w:szCs w:val="20"/>
          <w:lang w:val="ro-RO"/>
        </w:rPr>
      </w:pPr>
      <w:r>
        <w:rPr>
          <w:sz w:val="20"/>
          <w:szCs w:val="20"/>
          <w:lang w:val="ro-RO"/>
        </w:rPr>
        <w:t>Zona de receptie are trei componente principale: cantarul, cabina de receptie si statia de spalare automat. Cabina de receptie este alcatuita dintr-un eurocontainer compartimentat(grup sanitar, vestiar, birou receptie) conectata la utilitati, amplasata la inaltimea cabinei autovehiculelor receptionate. Apa din ciclul de spălare va fi reutilizată.</w:t>
      </w:r>
    </w:p>
    <w:p>
      <w:pPr>
        <w:rPr>
          <w:sz w:val="20"/>
          <w:szCs w:val="20"/>
          <w:lang w:val="ro-RO"/>
        </w:rPr>
      </w:pPr>
      <w:r>
        <w:rPr>
          <w:sz w:val="20"/>
          <w:szCs w:val="20"/>
          <w:u w:val="single"/>
          <w:lang w:val="ro-RO"/>
        </w:rPr>
        <w:t>Clădirea administrativa</w:t>
      </w:r>
      <w:r>
        <w:rPr>
          <w:sz w:val="20"/>
          <w:szCs w:val="20"/>
          <w:lang w:val="ro-RO"/>
        </w:rPr>
        <w:t xml:space="preserve"> - consta intr-o cladire cu rol de a centralizata activitatea de administrare si coordonare a intregii activitati a complexului. Cladirea va asigura toate facilitatile necesare desfasurarii activitatilor in conditii optime si va contine minim: birouri TESA, sala de sedinte, sala de masa, vestiare, toalete, dusuri, birou SCADA (cu transmiterea informațiilor prin fibră), laborator (se va utiliza pentru monitorizarea parametrilor si factorilor implicati in si din procesul tehnologic). Suprafatele incaperilor vor fi dimensioate in functie de personalul care va deservi complexul. Cladirea admininstrativa va fi prevazuta cu toate utilitatile necesare desfasurarii activitatilor iar laboratorul va fi dotat astfel incat sa se asigure acreditarea acestuia de către organismele nationale. Antreprenorul va fi responsabil cu dotarea si acreditarea laboratorului, inclusiv toate costurile adiacente. Cheltuielile aferente acreditarii laboratorului nu constituie costuri de capital, deci nu se vor cota in devizul oferta. Aceste cheltuieli constituie costuri de operare si se vor înregistra in Fișă fundamentare Tarif pentru tratarea mecano-biologică a deșeurilor reziduale si in Fișă fundamentare Tarif pentru digestie anaerobă biodeșeuri colectate separat, linia 1.11.3 Cheltuieli cu taxe, licențe, acreditări/ certificări și autorizări. In conformitate cu prevederile Ordinului ANRSC 640/2022 se vor detalia aceste cheltuieli, repartizarea lor pe ani si pe cele doua tarife.</w:t>
      </w:r>
    </w:p>
    <w:p>
      <w:pPr>
        <w:rPr>
          <w:sz w:val="20"/>
          <w:szCs w:val="20"/>
          <w:lang w:val="ro-RO"/>
        </w:rPr>
      </w:pPr>
      <w:r>
        <w:rPr>
          <w:sz w:val="20"/>
          <w:szCs w:val="20"/>
          <w:lang w:val="ro-RO"/>
        </w:rPr>
        <w:t>Dotările de natura mijloacelor fixe, precum și acreditarea laboratorului se vor cota în Lista „1.4.3 Lista echipamentelor si mobilierului de laborator” din „Secţiunea 1: Liste de plăţi pentru etapa de proiectare și execuție” – a se vedea capitolul „Formulare” din documentația de atribuire (fișier „GL-PEO_Sectiunea 4 Formulare Anexa C la Oferta financiara.pdf”).</w:t>
      </w:r>
    </w:p>
    <w:p>
      <w:pPr>
        <w:rPr>
          <w:sz w:val="20"/>
          <w:szCs w:val="20"/>
          <w:lang w:val="ro-RO"/>
        </w:rPr>
      </w:pPr>
      <w:r>
        <w:rPr>
          <w:sz w:val="20"/>
          <w:szCs w:val="20"/>
          <w:lang w:val="ro-RO"/>
        </w:rPr>
        <w:t>Dotările care nu sunt mijloace fixe vor fi considerate în costurile de operare, respectiv în formularul „GL-PEO_Sectiunea 4 Formulare Anexa B – FF si MTEJ”.</w:t>
      </w:r>
    </w:p>
    <w:p>
      <w:pPr>
        <w:rPr>
          <w:sz w:val="20"/>
          <w:szCs w:val="20"/>
          <w:lang w:val="ro-RO"/>
        </w:rPr>
      </w:pPr>
      <w:r>
        <w:rPr>
          <w:sz w:val="20"/>
          <w:szCs w:val="20"/>
          <w:u w:val="single"/>
          <w:lang w:val="ro-RO"/>
        </w:rPr>
        <w:lastRenderedPageBreak/>
        <w:t>Garaj si atelier mecanic</w:t>
      </w:r>
      <w:r>
        <w:rPr>
          <w:sz w:val="20"/>
          <w:szCs w:val="20"/>
          <w:lang w:val="ro-RO"/>
        </w:rPr>
        <w:t xml:space="preserve"> - va fi o constructie cu structura metalica. Spatiul destinat garajului si atelierului mecanic este protejat de intemperii pe trei laturi, cu tabla cutata si cu usa metalica culisanta pe toata latura de acces. Cladirea va fi racordata la toate utilitatile necesare desfasurari activitatii.</w:t>
      </w:r>
    </w:p>
    <w:p>
      <w:pPr>
        <w:rPr>
          <w:sz w:val="20"/>
          <w:szCs w:val="20"/>
          <w:lang w:val="ro-RO"/>
        </w:rPr>
      </w:pPr>
      <w:r>
        <w:rPr>
          <w:sz w:val="20"/>
          <w:szCs w:val="20"/>
          <w:u w:val="single"/>
          <w:lang w:val="ro-RO"/>
        </w:rPr>
        <w:t>Hala metalica tratare mecanica</w:t>
      </w:r>
      <w:r>
        <w:rPr>
          <w:sz w:val="20"/>
          <w:szCs w:val="20"/>
          <w:lang w:val="ro-RO"/>
        </w:rPr>
        <w:t xml:space="preserve"> - procesul de tratate mecanica a deseurilor se va desfasura in interiorul unei hale metalice inchise. Hala va fi prevazuta cu inchideri laterale pe toate laturile precum si cu ziduri din beton, inaltimea zidului de beton va fi de minim 1,50 m.</w:t>
      </w:r>
    </w:p>
    <w:p>
      <w:pPr>
        <w:rPr>
          <w:sz w:val="20"/>
          <w:szCs w:val="20"/>
          <w:lang w:val="ro-RO"/>
        </w:rPr>
      </w:pPr>
      <w:r>
        <w:rPr>
          <w:sz w:val="20"/>
          <w:szCs w:val="20"/>
          <w:lang w:val="ro-RO"/>
        </w:rPr>
        <w:t>Structura de rezistenta este alcatuita din stalpi si grinzi metalice. Usile de acces auto vor fi cu deschidere culisanta electrica.</w:t>
      </w:r>
    </w:p>
    <w:p>
      <w:pPr>
        <w:rPr>
          <w:sz w:val="20"/>
          <w:szCs w:val="20"/>
          <w:lang w:val="ro-RO"/>
        </w:rPr>
      </w:pPr>
      <w:r>
        <w:rPr>
          <w:sz w:val="20"/>
          <w:szCs w:val="20"/>
          <w:u w:val="single"/>
          <w:lang w:val="ro-RO"/>
        </w:rPr>
        <w:t>Tratarea biologica</w:t>
      </w:r>
      <w:r>
        <w:rPr>
          <w:sz w:val="20"/>
          <w:szCs w:val="20"/>
          <w:lang w:val="ro-RO"/>
        </w:rPr>
        <w:t xml:space="preserve"> - procesul de tratare biologica a deseurilor ce au trecut prin linia de tratare mecano-biologica va incepe in interirorul unor structuri inchise unde sunt pozitionate utilajele de tocare, digestoare, tancuri de sedimentare, tancuri de igienizare, instalatii adiacente.</w:t>
      </w:r>
    </w:p>
    <w:p>
      <w:pPr>
        <w:rPr>
          <w:sz w:val="20"/>
          <w:szCs w:val="20"/>
          <w:lang w:val="ro-RO"/>
        </w:rPr>
      </w:pPr>
      <w:r>
        <w:rPr>
          <w:sz w:val="20"/>
          <w:szCs w:val="20"/>
          <w:lang w:val="ro-RO"/>
        </w:rPr>
        <w:t>Hala tratare mecano-biologica nu poate fi asimilata cu Hala metalica de tratare mecanica, fiecare tip de hala va fi prevăzută pentru un proces distinct.</w:t>
      </w:r>
    </w:p>
    <w:p>
      <w:pPr>
        <w:rPr>
          <w:sz w:val="20"/>
          <w:szCs w:val="20"/>
          <w:lang w:val="ro-RO"/>
        </w:rPr>
      </w:pPr>
      <w:r>
        <w:rPr>
          <w:sz w:val="20"/>
          <w:szCs w:val="20"/>
          <w:u w:val="single"/>
          <w:lang w:val="ro-RO"/>
        </w:rPr>
        <w:t>Hala metalica compostare</w:t>
      </w:r>
      <w:r>
        <w:rPr>
          <w:sz w:val="20"/>
          <w:szCs w:val="20"/>
          <w:lang w:val="ro-RO"/>
        </w:rPr>
        <w:t xml:space="preserve"> - procesul de compostare și stabilizare se va desfasura in interiorul unui sopron metalic. Sopronul va fi prevazut cu inchideri laterale si cu ziduri din beton pe 3 laturi; inaltimea zidului de beton va fi de minim 1.50 m. Şopronul va delimita şi acoperi platforma de compostare și stabilizare a digestatului. Se poate asimila „șopron metalic” cu „incinta/e” compostare, soluția tehnică adoptată fiind necesar a fi proiectată astfel încât să întrunească cerințele cantitative și calitative impuse de procesul propriu propus de ofertant.</w:t>
      </w:r>
    </w:p>
    <w:p>
      <w:pPr>
        <w:rPr>
          <w:sz w:val="20"/>
          <w:szCs w:val="20"/>
          <w:lang w:val="ro-RO"/>
        </w:rPr>
      </w:pPr>
      <w:r>
        <w:rPr>
          <w:sz w:val="20"/>
          <w:szCs w:val="20"/>
          <w:lang w:val="ro-RO"/>
        </w:rPr>
        <w:t>Structura de rezistenta este alcatuita din stalpi si grinzi metalice, cu inaltime medie la streasina care sa permita functionarea in conditii normale a utilajului de intors brazde, a incarcatorului frontal etc.</w:t>
      </w:r>
    </w:p>
    <w:p>
      <w:pPr>
        <w:rPr>
          <w:sz w:val="20"/>
          <w:szCs w:val="20"/>
          <w:lang w:val="ro-RO"/>
        </w:rPr>
      </w:pPr>
      <w:r>
        <w:rPr>
          <w:sz w:val="20"/>
          <w:szCs w:val="20"/>
          <w:lang w:val="ro-RO"/>
        </w:rPr>
        <w:t>Acoperisul si inchiderile laterale vor fi realizate din panouri de tabla cutata zincata, fixate pe grinzile metalice.</w:t>
      </w:r>
    </w:p>
    <w:p>
      <w:pPr>
        <w:rPr>
          <w:i/>
          <w:sz w:val="20"/>
          <w:szCs w:val="20"/>
          <w:lang w:val="ro-RO"/>
        </w:rPr>
      </w:pPr>
      <w:r>
        <w:rPr>
          <w:i/>
          <w:sz w:val="20"/>
          <w:szCs w:val="20"/>
          <w:lang w:val="ro-RO"/>
        </w:rPr>
        <w:t>NOTA: Pentru a nu limita participarea operatorilor economici, în funcție de tehnologia proprie de realizare a procesului tehnologic se acceptă posibilitatea executării acestor construcții și din alte materiale.</w:t>
      </w:r>
    </w:p>
    <w:p>
      <w:pPr>
        <w:rPr>
          <w:sz w:val="20"/>
          <w:szCs w:val="20"/>
          <w:lang w:val="ro-RO"/>
        </w:rPr>
      </w:pPr>
      <w:r>
        <w:rPr>
          <w:sz w:val="20"/>
          <w:szCs w:val="20"/>
          <w:lang w:val="ro-RO"/>
        </w:rPr>
        <w:t>Antreprenorul trebuie să își facă proiectarea și să propună tehnologia optimă necesară. Procesul se va derula într-o hală/incintă închisă, cu pardoseală impermeabilă, acoperită și prevăzută cu filtru/filtre pentru reținerea substanțelor volatile cauzatoare de emisii olfactive. Procesul și instalațiile vor respecta toate cerințele de protecție a mediului (de ex. emisii in aer, apa, sol, zgomot și vibrații etc).</w:t>
      </w:r>
    </w:p>
    <w:p>
      <w:pPr>
        <w:rPr>
          <w:sz w:val="20"/>
          <w:szCs w:val="20"/>
          <w:lang w:val="ro-RO"/>
        </w:rPr>
      </w:pPr>
      <w:r>
        <w:rPr>
          <w:sz w:val="20"/>
          <w:szCs w:val="20"/>
          <w:lang w:val="ro-RO"/>
        </w:rPr>
        <w:t>Atragem atenția asupra necesității și obligativității compostării (tratării aerobe) a digestatului obținut în urma procesului de tratare biologică anaerobă a biodeşeurilor colectate separat, în absența acestui proces produsul finit neputând îndeplini cerințele Regulamentului UE 2019/1009 privind produsele fertilizante și comercializarea acestora.</w:t>
      </w:r>
    </w:p>
    <w:p>
      <w:pPr>
        <w:rPr>
          <w:sz w:val="20"/>
          <w:szCs w:val="20"/>
          <w:lang w:val="ro-RO"/>
        </w:rPr>
      </w:pPr>
      <w:r>
        <w:rPr>
          <w:sz w:val="20"/>
          <w:szCs w:val="20"/>
          <w:lang w:val="ro-RO"/>
        </w:rPr>
        <w:t>Atragem atenția asupra necesității și obligativității tratării aerobe a digestatului obținut în urma procesului de tratare biologică anaerobă a deșeurilor reziduale, în vederea stabilizării biologice a acestuia.</w:t>
      </w:r>
    </w:p>
    <w:p>
      <w:pPr>
        <w:rPr>
          <w:b/>
          <w:i/>
          <w:sz w:val="20"/>
          <w:szCs w:val="20"/>
          <w:lang w:val="ro-RO"/>
        </w:rPr>
      </w:pPr>
      <w:r>
        <w:rPr>
          <w:b/>
          <w:i/>
          <w:sz w:val="20"/>
          <w:szCs w:val="20"/>
          <w:lang w:val="ro-RO"/>
        </w:rPr>
        <w:t>NOTA: Tipul de contract este proiectare-execuție-operare, prin urmare la dimensionarea suprafețelor construcțiilor/halelor Antreprenorul va ține cont de fluxurile tehnologice proprii și de utilajele implicate în specificul fiecărei clădiri/hale, inclusiv adăugarea de construcții noi sau altor tipuri de construcții necesare desfașurării activității.</w:t>
      </w:r>
      <w:r>
        <w:rPr>
          <w:lang w:val="ro-RO"/>
        </w:rPr>
        <w:t xml:space="preserve"> </w:t>
      </w:r>
      <w:r>
        <w:rPr>
          <w:b/>
          <w:i/>
          <w:sz w:val="20"/>
          <w:szCs w:val="20"/>
          <w:lang w:val="ro-RO"/>
        </w:rPr>
        <w:t>Antreprenorul va respecta cerințele Caietului de Sarcini, asigurând amplasarea la intrarea în amplasament a măsurilor prevăzute (poarta pentru securizarea amplasamentului după încetarea programului de transport, barierele automate pe perioada desfășurării transporturilor) și costurile vor fi cotate în clar în zonele specifice lucrărilor.</w:t>
      </w:r>
    </w:p>
    <w:p>
      <w:pPr>
        <w:pStyle w:val="Heading4"/>
        <w:rPr>
          <w:sz w:val="20"/>
          <w:szCs w:val="20"/>
          <w:lang w:val="ro-RO"/>
        </w:rPr>
      </w:pPr>
      <w:r>
        <w:rPr>
          <w:sz w:val="20"/>
          <w:szCs w:val="20"/>
          <w:lang w:val="ro-RO"/>
        </w:rPr>
        <w:lastRenderedPageBreak/>
        <w:t>1.3.2.2 Utilitati (interne si externe)</w:t>
      </w:r>
    </w:p>
    <w:p>
      <w:pPr>
        <w:rPr>
          <w:sz w:val="20"/>
          <w:szCs w:val="20"/>
          <w:lang w:val="ro-RO"/>
        </w:rPr>
      </w:pPr>
      <w:r>
        <w:rPr>
          <w:b/>
          <w:sz w:val="20"/>
          <w:szCs w:val="20"/>
          <w:lang w:val="ro-RO"/>
        </w:rPr>
        <w:t>Retele existente pe amplasament</w:t>
      </w:r>
      <w:r>
        <w:rPr>
          <w:sz w:val="20"/>
          <w:szCs w:val="20"/>
          <w:lang w:val="ro-RO"/>
        </w:rPr>
        <w:t xml:space="preserve"> - pe amplasamentul complexului se localizeaza retele existente. Antreprenorul va realiza etapele de proiectare si constructie in functie de zonele de protectie si interventie aferente fiecarei retele. Retele aflate pe amplasament nu se vor reloca.</w:t>
      </w:r>
    </w:p>
    <w:p>
      <w:pPr>
        <w:rPr>
          <w:sz w:val="20"/>
          <w:szCs w:val="20"/>
          <w:u w:val="single"/>
          <w:lang w:val="ro-RO"/>
        </w:rPr>
      </w:pPr>
      <w:r>
        <w:rPr>
          <w:sz w:val="20"/>
          <w:szCs w:val="20"/>
          <w:u w:val="single"/>
          <w:lang w:val="ro-RO"/>
        </w:rPr>
        <w:t>Retea de distributie a energie electrica</w:t>
      </w:r>
    </w:p>
    <w:p>
      <w:pPr>
        <w:rPr>
          <w:sz w:val="20"/>
          <w:szCs w:val="20"/>
          <w:lang w:val="ro-RO"/>
        </w:rPr>
      </w:pPr>
      <w:r>
        <w:rPr>
          <w:sz w:val="20"/>
          <w:szCs w:val="20"/>
          <w:lang w:val="ro-RO"/>
        </w:rPr>
        <w:t>Amplasamentul este traversat de linii electrice aeriene localizate in zona centrala (3 linii separate), care traverseaza de la est la vest aplasamentul si la limita estica a terenului, sub care nu se pot executa lucrari, conform zonelor de protecţie figurate in Planul de situatie proiectat -Anexa 2.</w:t>
      </w:r>
    </w:p>
    <w:p>
      <w:pPr>
        <w:rPr>
          <w:sz w:val="20"/>
          <w:szCs w:val="20"/>
          <w:lang w:val="ro-RO"/>
        </w:rPr>
      </w:pPr>
      <w:r>
        <w:rPr>
          <w:sz w:val="20"/>
          <w:szCs w:val="20"/>
          <w:lang w:val="ro-RO"/>
        </w:rPr>
        <w:t>Terenul alocat investitiilor este traversat de linii electrice aeriene de mare capacitate, astfel:</w:t>
      </w:r>
    </w:p>
    <w:p>
      <w:pPr>
        <w:pStyle w:val="ListParagraph"/>
        <w:numPr>
          <w:ilvl w:val="0"/>
          <w:numId w:val="71"/>
        </w:numPr>
        <w:ind w:left="426"/>
        <w:rPr>
          <w:sz w:val="20"/>
          <w:szCs w:val="20"/>
          <w:lang w:val="ro-RO"/>
        </w:rPr>
      </w:pPr>
      <w:r>
        <w:rPr>
          <w:sz w:val="20"/>
          <w:szCs w:val="20"/>
          <w:lang w:val="ro-RO"/>
        </w:rPr>
        <w:t>linie LEA 35kv;</w:t>
      </w:r>
    </w:p>
    <w:p>
      <w:pPr>
        <w:pStyle w:val="ListParagraph"/>
        <w:numPr>
          <w:ilvl w:val="0"/>
          <w:numId w:val="71"/>
        </w:numPr>
        <w:ind w:left="426"/>
        <w:rPr>
          <w:sz w:val="20"/>
          <w:szCs w:val="20"/>
          <w:lang w:val="ro-RO"/>
        </w:rPr>
      </w:pPr>
      <w:r>
        <w:rPr>
          <w:sz w:val="20"/>
          <w:szCs w:val="20"/>
          <w:lang w:val="ro-RO"/>
        </w:rPr>
        <w:t>linie LEA 110 kv;</w:t>
      </w:r>
    </w:p>
    <w:p>
      <w:pPr>
        <w:pStyle w:val="ListParagraph"/>
        <w:numPr>
          <w:ilvl w:val="0"/>
          <w:numId w:val="71"/>
        </w:numPr>
        <w:ind w:left="426"/>
        <w:rPr>
          <w:sz w:val="20"/>
          <w:szCs w:val="20"/>
          <w:lang w:val="ro-RO"/>
        </w:rPr>
      </w:pPr>
      <w:r>
        <w:rPr>
          <w:sz w:val="20"/>
          <w:szCs w:val="20"/>
          <w:lang w:val="ro-RO"/>
        </w:rPr>
        <w:t>linie LEA 220 kv;</w:t>
      </w:r>
    </w:p>
    <w:p>
      <w:pPr>
        <w:keepNext/>
        <w:rPr>
          <w:sz w:val="20"/>
          <w:szCs w:val="20"/>
          <w:u w:val="single"/>
          <w:lang w:val="ro-RO"/>
        </w:rPr>
      </w:pPr>
      <w:r>
        <w:rPr>
          <w:sz w:val="20"/>
          <w:szCs w:val="20"/>
          <w:u w:val="single"/>
          <w:lang w:val="ro-RO"/>
        </w:rPr>
        <w:t>Retea de evacuare pluvial/tehnologic</w:t>
      </w:r>
    </w:p>
    <w:p>
      <w:pPr>
        <w:rPr>
          <w:sz w:val="20"/>
          <w:szCs w:val="20"/>
          <w:lang w:val="ro-RO"/>
        </w:rPr>
      </w:pPr>
      <w:r>
        <w:rPr>
          <w:sz w:val="20"/>
          <w:szCs w:val="20"/>
          <w:lang w:val="ro-RO"/>
        </w:rPr>
        <w:t>Amplasamentul este traversat de conducte specifice apartinand combinatului sidelurgic Sidex (1 conducta).</w:t>
      </w:r>
    </w:p>
    <w:p>
      <w:pPr>
        <w:rPr>
          <w:sz w:val="20"/>
          <w:szCs w:val="20"/>
          <w:lang w:val="ro-RO"/>
        </w:rPr>
      </w:pPr>
      <w:r>
        <w:rPr>
          <w:sz w:val="20"/>
          <w:szCs w:val="20"/>
          <w:lang w:val="ro-RO"/>
        </w:rPr>
        <w:t>Conducta de evacuare a debitelor pluviale provenite de pe suprafata combinatului sidelurgic traverseaza terenul de la vest la est. Conducta este situata in zona centrala.</w:t>
      </w:r>
    </w:p>
    <w:p>
      <w:pPr>
        <w:rPr>
          <w:sz w:val="20"/>
          <w:szCs w:val="20"/>
          <w:lang w:val="ro-RO"/>
        </w:rPr>
      </w:pPr>
      <w:r>
        <w:rPr>
          <w:sz w:val="20"/>
          <w:szCs w:val="20"/>
          <w:lang w:val="ro-RO"/>
        </w:rPr>
        <w:t>Conducta este realizata din tuburi PREMO, Dn 1800 mm si are preavazute 2 camine de vizitare.</w:t>
      </w:r>
    </w:p>
    <w:p>
      <w:pPr>
        <w:rPr>
          <w:sz w:val="20"/>
          <w:szCs w:val="20"/>
          <w:lang w:val="ro-RO"/>
        </w:rPr>
      </w:pPr>
      <w:r>
        <w:rPr>
          <w:b/>
          <w:sz w:val="20"/>
          <w:szCs w:val="20"/>
          <w:lang w:val="ro-RO"/>
        </w:rPr>
        <w:t>Sistemul de drumuri si platforme interioare</w:t>
      </w:r>
      <w:r>
        <w:rPr>
          <w:sz w:val="20"/>
          <w:szCs w:val="20"/>
          <w:lang w:val="ro-RO"/>
        </w:rPr>
        <w:t xml:space="preserve"> - structura drumului si a platformelor interioare vor fi proiectate conform NP 081/2002 pentru trafic greu.</w:t>
      </w:r>
    </w:p>
    <w:p>
      <w:pPr>
        <w:rPr>
          <w:sz w:val="20"/>
          <w:szCs w:val="20"/>
          <w:lang w:val="ro-RO"/>
        </w:rPr>
      </w:pPr>
      <w:r>
        <w:rPr>
          <w:sz w:val="20"/>
          <w:szCs w:val="20"/>
          <w:lang w:val="ro-RO"/>
        </w:rPr>
        <w:t>Structura drumurilor interioare si platformelor va fi identica. Complexul va fi prevazut cu locuri de parcare. Latimea minima a drumurilor va fi de 7,00 m, respectiv 3,50 m pe sens.</w:t>
      </w:r>
    </w:p>
    <w:p>
      <w:pPr>
        <w:rPr>
          <w:sz w:val="20"/>
          <w:szCs w:val="20"/>
          <w:lang w:val="ro-RO"/>
        </w:rPr>
      </w:pPr>
      <w:r>
        <w:rPr>
          <w:sz w:val="20"/>
          <w:szCs w:val="20"/>
          <w:lang w:val="ro-RO"/>
        </w:rPr>
        <w:t>In zona statiei de transfer, platforma pentru descarcare si platforma de manevra si ridicare a containerelor va avea aceiasi structura ca si platformele amplasamentului.</w:t>
      </w:r>
    </w:p>
    <w:p>
      <w:pPr>
        <w:rPr>
          <w:sz w:val="20"/>
          <w:szCs w:val="20"/>
          <w:lang w:val="ro-RO"/>
        </w:rPr>
      </w:pPr>
      <w:r>
        <w:rPr>
          <w:sz w:val="20"/>
          <w:szCs w:val="20"/>
          <w:lang w:val="ro-RO"/>
        </w:rPr>
        <w:t>La proiectarea traseului drumurilor interioare se va avea in vedere asigurarea unei raze exterioare de racordare specifica utilajelor si autovehiculelor implicate in procesul tehnologic</w:t>
      </w:r>
    </w:p>
    <w:p>
      <w:pPr>
        <w:rPr>
          <w:sz w:val="20"/>
          <w:szCs w:val="20"/>
          <w:lang w:val="ro-RO"/>
        </w:rPr>
      </w:pPr>
      <w:r>
        <w:rPr>
          <w:sz w:val="20"/>
          <w:szCs w:val="20"/>
          <w:lang w:val="ro-RO"/>
        </w:rPr>
        <w:t>Sistemul rutier de tip rigid este proiectat conform NP 081/2002, pentru un trafic de tip greu si are urmatoarea structura minima:</w:t>
      </w:r>
    </w:p>
    <w:p>
      <w:pPr>
        <w:pStyle w:val="ListParagraph"/>
        <w:numPr>
          <w:ilvl w:val="0"/>
          <w:numId w:val="9"/>
        </w:numPr>
        <w:rPr>
          <w:sz w:val="20"/>
          <w:szCs w:val="20"/>
          <w:lang w:val="ro-RO"/>
        </w:rPr>
      </w:pPr>
      <w:r>
        <w:rPr>
          <w:sz w:val="20"/>
          <w:szCs w:val="20"/>
          <w:lang w:val="ro-RO"/>
        </w:rPr>
        <w:t>dala de beton de ciment;</w:t>
      </w:r>
    </w:p>
    <w:p>
      <w:pPr>
        <w:pStyle w:val="ListParagraph"/>
        <w:numPr>
          <w:ilvl w:val="0"/>
          <w:numId w:val="9"/>
        </w:numPr>
        <w:rPr>
          <w:sz w:val="20"/>
          <w:szCs w:val="20"/>
          <w:lang w:val="ro-RO"/>
        </w:rPr>
      </w:pPr>
      <w:r>
        <w:rPr>
          <w:sz w:val="20"/>
          <w:szCs w:val="20"/>
          <w:lang w:val="ro-RO"/>
        </w:rPr>
        <w:t>hârtie kraft;</w:t>
      </w:r>
    </w:p>
    <w:p>
      <w:pPr>
        <w:pStyle w:val="ListParagraph"/>
        <w:numPr>
          <w:ilvl w:val="0"/>
          <w:numId w:val="9"/>
        </w:numPr>
        <w:rPr>
          <w:sz w:val="20"/>
          <w:szCs w:val="20"/>
          <w:lang w:val="ro-RO"/>
        </w:rPr>
      </w:pPr>
      <w:r>
        <w:rPr>
          <w:sz w:val="20"/>
          <w:szCs w:val="20"/>
          <w:lang w:val="ro-RO"/>
        </w:rPr>
        <w:t>nisip;</w:t>
      </w:r>
    </w:p>
    <w:p>
      <w:pPr>
        <w:pStyle w:val="ListParagraph"/>
        <w:numPr>
          <w:ilvl w:val="0"/>
          <w:numId w:val="9"/>
        </w:numPr>
        <w:rPr>
          <w:sz w:val="20"/>
          <w:szCs w:val="20"/>
          <w:lang w:val="ro-RO"/>
        </w:rPr>
      </w:pPr>
      <w:r>
        <w:rPr>
          <w:sz w:val="20"/>
          <w:szCs w:val="20"/>
          <w:lang w:val="ro-RO"/>
        </w:rPr>
        <w:t>strat de piatra sparta;</w:t>
      </w:r>
    </w:p>
    <w:p>
      <w:pPr>
        <w:pStyle w:val="ListParagraph"/>
        <w:numPr>
          <w:ilvl w:val="0"/>
          <w:numId w:val="9"/>
        </w:numPr>
        <w:rPr>
          <w:sz w:val="20"/>
          <w:szCs w:val="20"/>
          <w:lang w:val="ro-RO"/>
        </w:rPr>
      </w:pPr>
      <w:r>
        <w:rPr>
          <w:sz w:val="20"/>
          <w:szCs w:val="20"/>
          <w:lang w:val="ro-RO"/>
        </w:rPr>
        <w:t>strat de balast;</w:t>
      </w:r>
    </w:p>
    <w:p>
      <w:pPr>
        <w:pStyle w:val="ListParagraph"/>
        <w:numPr>
          <w:ilvl w:val="0"/>
          <w:numId w:val="9"/>
        </w:numPr>
        <w:rPr>
          <w:sz w:val="20"/>
          <w:szCs w:val="20"/>
          <w:lang w:val="ro-RO"/>
        </w:rPr>
      </w:pPr>
      <w:r>
        <w:rPr>
          <w:sz w:val="20"/>
          <w:szCs w:val="20"/>
          <w:lang w:val="ro-RO"/>
        </w:rPr>
        <w:t>geogrile de separatie.</w:t>
      </w:r>
    </w:p>
    <w:p>
      <w:pPr>
        <w:rPr>
          <w:b/>
          <w:i/>
          <w:sz w:val="20"/>
          <w:szCs w:val="20"/>
          <w:lang w:val="ro-RO"/>
        </w:rPr>
      </w:pPr>
      <w:r>
        <w:rPr>
          <w:b/>
          <w:i/>
          <w:sz w:val="20"/>
          <w:szCs w:val="20"/>
          <w:lang w:val="ro-RO"/>
        </w:rPr>
        <w:t>NOTA: Accesul in amplasament se realizeaza din drumul national DN 2B pe un drum de exploatare (str. Brăilei) modernizat in cadrul contractului de lucrari GL-CL 03. In functie de organizarea obiectelor in interiorul complexului, Antreprenorul va realiza conectarea punctului de acces in statie cu drumul mondernizat.</w:t>
      </w:r>
    </w:p>
    <w:p>
      <w:pPr>
        <w:rPr>
          <w:sz w:val="20"/>
          <w:szCs w:val="20"/>
          <w:lang w:val="ro-RO"/>
        </w:rPr>
      </w:pPr>
      <w:r>
        <w:rPr>
          <w:sz w:val="20"/>
          <w:szCs w:val="20"/>
          <w:lang w:val="ro-RO"/>
        </w:rPr>
        <w:t>Sistemul de alimentare cu apa - alimentarea cu apa potabila, tehnologica si pentru incendiu se va realiza din reteaua de alimentare cu apa a mun. Galati, retea care a fost extinsa in cadru proiectului de modenizare a drumului de acces GL - CL 03.</w:t>
      </w:r>
    </w:p>
    <w:p>
      <w:pPr>
        <w:rPr>
          <w:sz w:val="20"/>
          <w:szCs w:val="20"/>
          <w:lang w:val="ro-RO"/>
        </w:rPr>
      </w:pPr>
      <w:r>
        <w:rPr>
          <w:sz w:val="20"/>
          <w:szCs w:val="20"/>
          <w:lang w:val="ro-RO"/>
        </w:rPr>
        <w:t>Sistemul de alimentare cu apa se compune din: conducte PEID, camine de vane, hidranti, rezervor tampon/incendiu, statii de pompare incendiu/retea.</w:t>
      </w:r>
    </w:p>
    <w:p>
      <w:pPr>
        <w:rPr>
          <w:sz w:val="20"/>
          <w:szCs w:val="20"/>
          <w:lang w:val="ro-RO"/>
        </w:rPr>
      </w:pPr>
      <w:r>
        <w:rPr>
          <w:sz w:val="20"/>
          <w:szCs w:val="20"/>
          <w:lang w:val="ro-RO"/>
        </w:rPr>
        <w:t xml:space="preserve">Antrepenorul la faza de proiectare, in functie de tehnologia utilizata si de constructiile interne va asigura dimensionarea bazinului tampon/incendiu astfel incat sa asigure debitul necesar functionarii statiei, inclusiv pe perioadele de intrerupere a alimentarii din reteaua publica sau in </w:t>
      </w:r>
      <w:r>
        <w:rPr>
          <w:sz w:val="20"/>
          <w:szCs w:val="20"/>
          <w:lang w:val="ro-RO"/>
        </w:rPr>
        <w:lastRenderedPageBreak/>
        <w:t>caz de incendiu. Debitul preluat din reteaua publica este limitat in functie de reteaua zonala existenta.</w:t>
      </w:r>
    </w:p>
    <w:p>
      <w:pPr>
        <w:rPr>
          <w:sz w:val="20"/>
          <w:szCs w:val="20"/>
          <w:lang w:val="ro-RO"/>
        </w:rPr>
      </w:pPr>
      <w:r>
        <w:rPr>
          <w:sz w:val="20"/>
          <w:szCs w:val="20"/>
          <w:lang w:val="ro-RO"/>
        </w:rPr>
        <w:t>Conducta de alimentare cu apa existenta este realizate din PEID De 110 mm, PN 10 si este prevazut cu camin de golire Cv-g2 in punctul de racordare.</w:t>
      </w:r>
    </w:p>
    <w:p>
      <w:pPr>
        <w:rPr>
          <w:b/>
          <w:i/>
          <w:sz w:val="20"/>
          <w:szCs w:val="20"/>
          <w:lang w:val="ro-RO"/>
        </w:rPr>
      </w:pPr>
      <w:r>
        <w:rPr>
          <w:b/>
          <w:i/>
          <w:sz w:val="20"/>
          <w:szCs w:val="20"/>
          <w:lang w:val="ro-RO"/>
        </w:rPr>
        <w:t>NOTA: Antreprenorul va realiza conectarea conductei de alimentare cu apa la caminul de vane existent(CV-g2).</w:t>
      </w:r>
    </w:p>
    <w:p>
      <w:pPr>
        <w:rPr>
          <w:sz w:val="20"/>
          <w:szCs w:val="20"/>
          <w:lang w:val="ro-RO"/>
        </w:rPr>
      </w:pPr>
      <w:r>
        <w:rPr>
          <w:b/>
          <w:sz w:val="20"/>
          <w:szCs w:val="20"/>
          <w:lang w:val="ro-RO"/>
        </w:rPr>
        <w:t>Sistemul de evacuare a apelor menajere</w:t>
      </w:r>
      <w:r>
        <w:rPr>
          <w:sz w:val="20"/>
          <w:szCs w:val="20"/>
          <w:lang w:val="ro-RO"/>
        </w:rPr>
        <w:t xml:space="preserve"> </w:t>
      </w:r>
      <w:r>
        <w:rPr>
          <w:b/>
          <w:sz w:val="20"/>
          <w:szCs w:val="20"/>
          <w:lang w:val="ro-RO"/>
        </w:rPr>
        <w:t>și tehnologice</w:t>
      </w:r>
      <w:r>
        <w:rPr>
          <w:sz w:val="20"/>
          <w:szCs w:val="20"/>
          <w:lang w:val="ro-RO"/>
        </w:rPr>
        <w:t xml:space="preserve"> - apele uzate menajere provenite de la grupurile sanitare si de la stația de spălare automată vor fi deversate in rețeaua de canalizare menajera interna. Apele uzate menajere vor fi evacuate in rețeaua de canalizare a mun. Galați.</w:t>
      </w:r>
    </w:p>
    <w:p>
      <w:pPr>
        <w:rPr>
          <w:sz w:val="20"/>
          <w:szCs w:val="20"/>
          <w:lang w:val="ro-RO"/>
        </w:rPr>
      </w:pPr>
      <w:r>
        <w:rPr>
          <w:sz w:val="20"/>
          <w:szCs w:val="20"/>
          <w:lang w:val="ro-RO"/>
        </w:rPr>
        <w:t>Menționăm că rețele de alimentare cu apă și evacuare apă uzată menajeră au fost executate simultan cu drumul de acces spre amplasament, conform DTAC nr. 244/2020 „Drumuri de acces TMB Galati”, de la punctul de conectare până la limita de proprietate a amplasamentului TMB.</w:t>
      </w:r>
    </w:p>
    <w:p>
      <w:pPr>
        <w:rPr>
          <w:sz w:val="20"/>
          <w:szCs w:val="20"/>
          <w:lang w:val="ro-RO"/>
        </w:rPr>
      </w:pPr>
      <w:r>
        <w:rPr>
          <w:sz w:val="20"/>
          <w:szCs w:val="20"/>
          <w:lang w:val="ro-RO"/>
        </w:rPr>
        <w:t>Sistemul de evacuare a apelor menajere se compune din: conducte PVC, camine de vizitare, stație de pompare;</w:t>
      </w:r>
    </w:p>
    <w:p>
      <w:pPr>
        <w:rPr>
          <w:sz w:val="20"/>
          <w:szCs w:val="20"/>
          <w:lang w:val="ro-RO"/>
        </w:rPr>
      </w:pPr>
      <w:r>
        <w:rPr>
          <w:sz w:val="20"/>
          <w:szCs w:val="20"/>
          <w:lang w:val="ro-RO"/>
        </w:rPr>
        <w:t>Statia de pompare va fi echipata cu 2 pompe (1A+1R), avand corpul staţiei din PEID cu perete dublu /PAFSIN. Toate instalatii hidraulice vor fi realizate din materiale rezistente la specificul lichidului vehiculat. Stația de pompare va avea în componența ei agitator și tocător la intrarea în stație și va fi legată la SCADA.</w:t>
      </w:r>
    </w:p>
    <w:p>
      <w:pPr>
        <w:rPr>
          <w:sz w:val="20"/>
          <w:szCs w:val="20"/>
          <w:lang w:val="ro-RO"/>
        </w:rPr>
      </w:pPr>
      <w:r>
        <w:rPr>
          <w:sz w:val="20"/>
          <w:szCs w:val="20"/>
          <w:lang w:val="ro-RO"/>
        </w:rPr>
        <w:t>Sistemul de canalizare menajer are ca punct final colectarea apelor uzate in statia de pompare. Conducta de refulare va fi conectata la reteaua de refulare existenta realizata in drumul modernizat din caminul existent Cm2. Conducta de refulare existenta face legatura intre amplasament si reteua de canalizare a mun.Galati si are o lungime de circa 660m. Conducta este realizate din PEID De 110 mm, PN 10 si este prevazut cu 3 camine specifice.</w:t>
      </w:r>
    </w:p>
    <w:p>
      <w:pPr>
        <w:rPr>
          <w:sz w:val="20"/>
          <w:szCs w:val="20"/>
          <w:lang w:val="ro-RO"/>
        </w:rPr>
      </w:pPr>
      <w:r>
        <w:rPr>
          <w:sz w:val="20"/>
          <w:szCs w:val="20"/>
          <w:lang w:val="ro-RO"/>
        </w:rPr>
        <w:t>Debitul deversat se va incadra in normele de calitate privind deversarea apelor in reteaua de canalizare menajera- Normativul NTPA 002 si a avizelor specifice.</w:t>
      </w:r>
    </w:p>
    <w:p>
      <w:pPr>
        <w:rPr>
          <w:b/>
          <w:i/>
          <w:sz w:val="20"/>
          <w:szCs w:val="20"/>
          <w:lang w:val="ro-RO"/>
        </w:rPr>
      </w:pPr>
      <w:r>
        <w:rPr>
          <w:b/>
          <w:i/>
          <w:sz w:val="20"/>
          <w:szCs w:val="20"/>
          <w:lang w:val="ro-RO"/>
        </w:rPr>
        <w:t>NOTA: Antreprenorul va realiza conectarea conductei de refulare la caminul existent(Cm2). Antreprenorul va avea in vederea solutia optima de dimensionare a statiei de pompare ape uzate si a conductei de refulare, avand la dispozitie cel putin 2 posibile solutii: dimensionarea statiei de pompare asfel incat conducta de refulare sa corespunda cu diametrul conductei existente sau o conducta de refulare cu un diametru inferior, caz in care conducta proiectata va fi introdusa in conducta existenta pe toata lungimea de 660m cu asumarea tuturor costurilor privitoare la reechiparea caminelor de vane.</w:t>
      </w:r>
    </w:p>
    <w:p>
      <w:pPr>
        <w:rPr>
          <w:sz w:val="20"/>
          <w:szCs w:val="20"/>
          <w:lang w:val="ro-RO"/>
        </w:rPr>
      </w:pPr>
      <w:r>
        <w:rPr>
          <w:b/>
          <w:sz w:val="20"/>
          <w:szCs w:val="20"/>
          <w:lang w:val="ro-RO"/>
        </w:rPr>
        <w:t>Sistemul de evacuare a apelor pluviale</w:t>
      </w:r>
      <w:r>
        <w:rPr>
          <w:sz w:val="20"/>
          <w:szCs w:val="20"/>
          <w:lang w:val="ro-RO"/>
        </w:rPr>
        <w:t xml:space="preserve"> - suprafata si amplasarea obiectivului genereaza debite pluviale care trebuie indepartate de pe amplasament. Apele pluviale dupa tratare vor fi evacuate in lacul de decantare aflat in imediatat apropiere, lacul apartine combinatului siderurgic Galati</w:t>
      </w:r>
      <w:r>
        <w:rPr>
          <w:lang w:val="ro-RO"/>
        </w:rPr>
        <w:t xml:space="preserve"> (</w:t>
      </w:r>
      <w:r>
        <w:rPr>
          <w:sz w:val="20"/>
          <w:szCs w:val="20"/>
          <w:lang w:val="ro-RO"/>
        </w:rPr>
        <w:t>acordul Arcelor Mittal Galați S.A nr. 1140/163/13.02.2019, conform căruia nu sunt prevăzute costuri).</w:t>
      </w:r>
    </w:p>
    <w:p>
      <w:pPr>
        <w:rPr>
          <w:sz w:val="20"/>
          <w:szCs w:val="20"/>
          <w:lang w:val="ro-RO"/>
        </w:rPr>
      </w:pPr>
      <w:r>
        <w:rPr>
          <w:sz w:val="20"/>
          <w:szCs w:val="20"/>
          <w:lang w:val="ro-RO"/>
        </w:rPr>
        <w:t>Apele meteorice ajunse pe suprafata statiei sunt preluate de 2 subsisteme de colectare, transport si tratare separate.</w:t>
      </w:r>
    </w:p>
    <w:p>
      <w:pPr>
        <w:rPr>
          <w:sz w:val="20"/>
          <w:szCs w:val="20"/>
          <w:lang w:val="ro-RO"/>
        </w:rPr>
      </w:pPr>
      <w:r>
        <w:rPr>
          <w:sz w:val="20"/>
          <w:szCs w:val="20"/>
          <w:lang w:val="ro-RO"/>
        </w:rPr>
        <w:t>Apele care provin de pe taluzele inerbate si de pe suprafetele halelor (daca sunt deversate direct in canal) sunt preluate de un canal perimetral consolidat mecanic si deversare direct prin intermediul unei guri de varsare consolidata mecanic</w:t>
      </w:r>
    </w:p>
    <w:p>
      <w:pPr>
        <w:rPr>
          <w:sz w:val="20"/>
          <w:szCs w:val="20"/>
          <w:lang w:val="ro-RO"/>
        </w:rPr>
      </w:pPr>
      <w:r>
        <w:rPr>
          <w:sz w:val="20"/>
          <w:szCs w:val="20"/>
          <w:lang w:val="ro-RO"/>
        </w:rPr>
        <w:t>Apele care provin de pe suprafetele platformei de manevra, drumuri, sunt preluate de un sistem de canalizare pluvial si tratate cu ajutorul unor separatore de hidrocarburi anterior evacuarii.</w:t>
      </w:r>
    </w:p>
    <w:p>
      <w:pPr>
        <w:rPr>
          <w:sz w:val="20"/>
          <w:szCs w:val="20"/>
          <w:lang w:val="ro-RO"/>
        </w:rPr>
      </w:pPr>
      <w:r>
        <w:rPr>
          <w:sz w:val="20"/>
          <w:szCs w:val="20"/>
          <w:lang w:val="ro-RO"/>
        </w:rPr>
        <w:t>Sistemul de evacuare a apelor pluviale se compune din: conducte PVC, guri de scurgere cu capac carosabil, camine de vizitare, rigole carosabile, separatoare de hidrocarburi, canal perimetral consilidat mecanic, canal evacuare in emisar, gura de varsare consolidata mecanic;</w:t>
      </w:r>
    </w:p>
    <w:p>
      <w:pPr>
        <w:rPr>
          <w:sz w:val="20"/>
          <w:szCs w:val="20"/>
          <w:lang w:val="ro-RO"/>
        </w:rPr>
      </w:pPr>
      <w:r>
        <w:rPr>
          <w:sz w:val="20"/>
          <w:szCs w:val="20"/>
          <w:lang w:val="ro-RO"/>
        </w:rPr>
        <w:lastRenderedPageBreak/>
        <w:t>Debitul deversat se va incadra in normele de calitate privind deversarea apelor pluviale in mediul natural - Normativul NTPA 001 si a avizelor specifice.</w:t>
      </w:r>
    </w:p>
    <w:p>
      <w:pPr>
        <w:rPr>
          <w:sz w:val="20"/>
          <w:szCs w:val="20"/>
          <w:lang w:val="ro-RO"/>
        </w:rPr>
      </w:pPr>
      <w:r>
        <w:rPr>
          <w:b/>
          <w:sz w:val="20"/>
          <w:szCs w:val="20"/>
          <w:lang w:val="ro-RO"/>
        </w:rPr>
        <w:t>Sistemul de alimentare cu energie electrica</w:t>
      </w:r>
      <w:r>
        <w:rPr>
          <w:sz w:val="20"/>
          <w:szCs w:val="20"/>
          <w:lang w:val="ro-RO"/>
        </w:rPr>
        <w:t xml:space="preserve"> - alimentarea cu energie electrica se va face prin racordarea la sistemul national de distribuite a energiei electrice.</w:t>
      </w:r>
    </w:p>
    <w:p>
      <w:pPr>
        <w:rPr>
          <w:sz w:val="20"/>
          <w:szCs w:val="20"/>
          <w:lang w:val="ro-RO"/>
        </w:rPr>
      </w:pPr>
      <w:r>
        <w:rPr>
          <w:sz w:val="20"/>
          <w:szCs w:val="20"/>
          <w:lang w:val="ro-RO"/>
        </w:rPr>
        <w:t>Sistemul de alimentare cu energie electrica se compune din: retea LES, stalpi metalici galvanizati de iluminat exterior cu tehnologie LED, post TRAFO, grup electrogen care va asigura functionarea de urgenta a sistemelor esentiale;</w:t>
      </w:r>
    </w:p>
    <w:p>
      <w:pPr>
        <w:rPr>
          <w:sz w:val="20"/>
          <w:szCs w:val="20"/>
          <w:lang w:val="ro-RO"/>
        </w:rPr>
      </w:pPr>
      <w:r>
        <w:rPr>
          <w:sz w:val="20"/>
          <w:szCs w:val="20"/>
          <w:lang w:val="ro-RO"/>
        </w:rPr>
        <w:t>Numarul de stalpi metalici si corpurile de iluminat echipate cu lampi tip LED vor fi dimensionate pentru iluminatul corespunzator al tuturor suprafetelor.</w:t>
      </w:r>
    </w:p>
    <w:p>
      <w:pPr>
        <w:rPr>
          <w:sz w:val="20"/>
          <w:szCs w:val="20"/>
          <w:lang w:val="ro-RO"/>
        </w:rPr>
      </w:pPr>
      <w:r>
        <w:rPr>
          <w:sz w:val="20"/>
          <w:szCs w:val="20"/>
          <w:lang w:val="ro-RO"/>
        </w:rPr>
        <w:t>Aprinderea si stingerea lampilor pentru iluminatul exterior se va face automat, prin instalarea unui dispozitiv electronic care va avea integrat sistem de telegestiune și vor fi monitorizate în SCADA.</w:t>
      </w:r>
    </w:p>
    <w:p>
      <w:pPr>
        <w:rPr>
          <w:sz w:val="20"/>
          <w:szCs w:val="20"/>
          <w:lang w:val="ro-RO"/>
        </w:rPr>
      </w:pPr>
      <w:r>
        <w:rPr>
          <w:sz w:val="20"/>
          <w:szCs w:val="20"/>
          <w:lang w:val="ro-RO"/>
        </w:rPr>
        <w:t>Punctul de bransare la reteaua de distributie a energiei va fi dat de necesitatile complexului in concordanta cu capacitatea retelei existente. In zona amplasamentului si pe amplasament exista linii electrice aeriene care pot constitui punct de bransare. Antreprenorul va realiza bransamentul in concordanta cu sursa proprie de energie generata pe amplasament de ansamblul de cogenerare. Energia generata de ansamblu de cogenerare va fi utilizata pentru acoperirea consumurilor interne.</w:t>
      </w:r>
    </w:p>
    <w:p>
      <w:pPr>
        <w:rPr>
          <w:b/>
          <w:i/>
          <w:sz w:val="20"/>
          <w:szCs w:val="20"/>
          <w:lang w:val="ro-RO"/>
        </w:rPr>
      </w:pPr>
      <w:r>
        <w:rPr>
          <w:b/>
          <w:i/>
          <w:sz w:val="20"/>
          <w:szCs w:val="20"/>
          <w:lang w:val="ro-RO"/>
        </w:rPr>
        <w:t>NOTA: Execuția bransamentului electric intră în scopul prezentului contract (GL-CL 04). Racordarea complexului la sistemul naţional de distributie a energiei electrice se va realiza de catre Antreprenorul contractului GL-CL 04. Antreprenorul CL 04 va realiza toate etapele necesare racordarii: realizarea studiului de solutie, plata tuturor taxelor necesare avizarii studiilor de solutie, PTh-DEE, etc, executia lucrarilor in functie de solutia aprobata si punerea in opera a tuturor echipamentelor etc.</w:t>
      </w:r>
    </w:p>
    <w:p>
      <w:pPr>
        <w:rPr>
          <w:sz w:val="20"/>
          <w:szCs w:val="20"/>
          <w:lang w:val="ro-RO"/>
        </w:rPr>
      </w:pPr>
      <w:r>
        <w:rPr>
          <w:b/>
          <w:sz w:val="20"/>
          <w:szCs w:val="20"/>
          <w:lang w:val="ro-RO"/>
        </w:rPr>
        <w:t>Sistemul de monitorizare si control</w:t>
      </w:r>
      <w:r>
        <w:rPr>
          <w:sz w:val="20"/>
          <w:szCs w:val="20"/>
          <w:lang w:val="ro-RO"/>
        </w:rPr>
        <w:t xml:space="preserve"> - activitatile din cadru complexului vor fi monitorizate cu ajutorul unui sistem integrat de urmarire a fluxului tehnologic. Componenta centrala a sistemului de monitorizare (serverul) va fi localizata in biroul SCADA situat in zona administrativa.</w:t>
      </w:r>
    </w:p>
    <w:p>
      <w:pPr>
        <w:rPr>
          <w:sz w:val="20"/>
          <w:szCs w:val="20"/>
          <w:lang w:val="ro-RO"/>
        </w:rPr>
      </w:pPr>
      <w:r>
        <w:rPr>
          <w:sz w:val="20"/>
          <w:szCs w:val="20"/>
          <w:lang w:val="ro-RO"/>
        </w:rPr>
        <w:t>Sistemul de monitorizare si control este compus din 4 subsisteme, după cum urmează:</w:t>
      </w:r>
    </w:p>
    <w:p>
      <w:pPr>
        <w:rPr>
          <w:sz w:val="20"/>
          <w:szCs w:val="20"/>
          <w:u w:val="single"/>
          <w:lang w:val="ro-RO"/>
        </w:rPr>
      </w:pPr>
      <w:r>
        <w:rPr>
          <w:sz w:val="20"/>
          <w:szCs w:val="20"/>
          <w:u w:val="single"/>
          <w:lang w:val="ro-RO"/>
        </w:rPr>
        <w:t>Subsistemul de identificare automata a mijloacelor de transport</w:t>
      </w:r>
    </w:p>
    <w:p>
      <w:pPr>
        <w:rPr>
          <w:sz w:val="20"/>
          <w:szCs w:val="20"/>
          <w:lang w:val="ro-RO"/>
        </w:rPr>
      </w:pPr>
      <w:r>
        <w:rPr>
          <w:sz w:val="20"/>
          <w:szCs w:val="20"/>
          <w:lang w:val="ro-RO"/>
        </w:rPr>
        <w:t>Pentru mentinerea controlului asupra cantitatilor prelucrate, sistemul de monitorizare si control va fi prevazut in zona de receptie, cu un subsistem de identificare automata a mijloacelor de transport si care sa permita achizitia numerelor de inmatriculare a vehiculelor in orice conditii de vreme si pentru conditii de noapte sau vizibilitate redusa. Sistemul de identificare automata a vehiculelor va stoca in baza de date comuna informatii referitoare la numarul de inmatriculare, data si ora cand vehiculele au accesat zona de receptie.</w:t>
      </w:r>
    </w:p>
    <w:p>
      <w:pPr>
        <w:rPr>
          <w:sz w:val="20"/>
          <w:szCs w:val="20"/>
          <w:lang w:val="ro-RO"/>
        </w:rPr>
      </w:pPr>
      <w:r>
        <w:rPr>
          <w:sz w:val="20"/>
          <w:szCs w:val="20"/>
          <w:lang w:val="ro-RO"/>
        </w:rPr>
        <w:t>De asemenea, subsistemul va fi corelat cu aplicatia de la cantar, care va prelua automat informatiile furnizate de acest subsistem( tipul deseurilor, cantitatea, producatorul deseului).</w:t>
      </w:r>
    </w:p>
    <w:p>
      <w:pPr>
        <w:rPr>
          <w:sz w:val="20"/>
          <w:szCs w:val="20"/>
          <w:u w:val="single"/>
          <w:lang w:val="ro-RO"/>
        </w:rPr>
      </w:pPr>
      <w:r>
        <w:rPr>
          <w:sz w:val="20"/>
          <w:szCs w:val="20"/>
          <w:u w:val="single"/>
          <w:lang w:val="ro-RO"/>
        </w:rPr>
        <w:t>Subsistemul de comunicatii date/voce</w:t>
      </w:r>
    </w:p>
    <w:p>
      <w:pPr>
        <w:rPr>
          <w:sz w:val="20"/>
          <w:szCs w:val="20"/>
          <w:lang w:val="ro-RO"/>
        </w:rPr>
      </w:pPr>
      <w:r>
        <w:rPr>
          <w:sz w:val="20"/>
          <w:szCs w:val="20"/>
          <w:lang w:val="ro-RO"/>
        </w:rPr>
        <w:t>Reteaua de voce va utiliza protocolul VolP si se va instala peste reteaua de date. Echipamentele VolP vor trebui sa fie alimentate prin PoE în toate birourile si zonele operationale.</w:t>
      </w:r>
    </w:p>
    <w:p>
      <w:pPr>
        <w:rPr>
          <w:sz w:val="20"/>
          <w:szCs w:val="20"/>
          <w:u w:val="single"/>
          <w:lang w:val="ro-RO"/>
        </w:rPr>
      </w:pPr>
      <w:r>
        <w:rPr>
          <w:sz w:val="20"/>
          <w:szCs w:val="20"/>
          <w:u w:val="single"/>
          <w:lang w:val="ro-RO"/>
        </w:rPr>
        <w:t>Subsistemul de automatizare si control</w:t>
      </w:r>
    </w:p>
    <w:p>
      <w:pPr>
        <w:rPr>
          <w:sz w:val="20"/>
          <w:szCs w:val="20"/>
          <w:lang w:val="ro-RO"/>
        </w:rPr>
      </w:pPr>
      <w:r>
        <w:rPr>
          <w:sz w:val="20"/>
          <w:szCs w:val="20"/>
          <w:lang w:val="ro-RO"/>
        </w:rPr>
        <w:t>Sistemul de monitorizare si control va ingloba un subsistem de senzori ce furnizeaza informatii de la toate procesele desfasurate in amplasament.</w:t>
      </w:r>
    </w:p>
    <w:p>
      <w:pPr>
        <w:rPr>
          <w:sz w:val="20"/>
          <w:szCs w:val="20"/>
          <w:lang w:val="ro-RO"/>
        </w:rPr>
      </w:pPr>
      <w:r>
        <w:rPr>
          <w:sz w:val="20"/>
          <w:szCs w:val="20"/>
          <w:lang w:val="ro-RO"/>
        </w:rPr>
        <w:t>Acest subsistem asigura monitorizarea si controlul echipamentelor prin intermediul subansamblelor de automatizare conectate la sistemul SCADA.</w:t>
      </w:r>
    </w:p>
    <w:p>
      <w:pPr>
        <w:rPr>
          <w:sz w:val="20"/>
          <w:szCs w:val="20"/>
          <w:lang w:val="ro-RO"/>
        </w:rPr>
      </w:pPr>
      <w:r>
        <w:rPr>
          <w:sz w:val="20"/>
          <w:szCs w:val="20"/>
          <w:lang w:val="ro-RO"/>
        </w:rPr>
        <w:t xml:space="preserve">Pentru fiecare echipament se vor monitoriza nelimitativ parametrii de functionare, inclusiv parametrii primiti de la senzori (temperatura, umiditate, grad de umplere, SO2, NOx, HCl, praf, COV, CO2, H2O, presiune, output turbina, staţia de compactare nivel de gaze, ore de functionare, etc), avariile, pornirile/opririle de la distanta, informatii cu privire la tensiuni, curent, </w:t>
      </w:r>
      <w:r>
        <w:rPr>
          <w:sz w:val="20"/>
          <w:szCs w:val="20"/>
          <w:lang w:val="ro-RO"/>
        </w:rPr>
        <w:lastRenderedPageBreak/>
        <w:t>putere (aparenta/reactiva), factori de putere, energie, defazaje, s.a.m.d. Toate informatiile vor fi arhivate in baza de date comuna.</w:t>
      </w:r>
    </w:p>
    <w:p>
      <w:pPr>
        <w:rPr>
          <w:sz w:val="20"/>
          <w:szCs w:val="20"/>
          <w:u w:val="single"/>
          <w:lang w:val="ro-RO"/>
        </w:rPr>
      </w:pPr>
      <w:r>
        <w:rPr>
          <w:sz w:val="20"/>
          <w:szCs w:val="20"/>
          <w:u w:val="single"/>
          <w:lang w:val="ro-RO"/>
        </w:rPr>
        <w:t>Subsistemul de stocare informatii si raportare</w:t>
      </w:r>
    </w:p>
    <w:p>
      <w:pPr>
        <w:rPr>
          <w:sz w:val="20"/>
          <w:szCs w:val="20"/>
          <w:lang w:val="ro-RO"/>
        </w:rPr>
      </w:pPr>
      <w:r>
        <w:rPr>
          <w:sz w:val="20"/>
          <w:szCs w:val="20"/>
          <w:lang w:val="ro-RO"/>
        </w:rPr>
        <w:t>Subsistemul asigura stocarea unitara a tuturor informatiilor primite de la celelalte subsisteme, inclusiv de la cantar, gramada de compostare, ansamblul de compactare, si genereaza rapoarte pe baza informatiilor continute, pentru managementul financiar al deseurilor procesate.</w:t>
      </w:r>
    </w:p>
    <w:p>
      <w:pPr>
        <w:rPr>
          <w:sz w:val="20"/>
          <w:szCs w:val="20"/>
          <w:lang w:val="ro-RO"/>
        </w:rPr>
      </w:pPr>
      <w:r>
        <w:rPr>
          <w:sz w:val="20"/>
          <w:szCs w:val="20"/>
          <w:lang w:val="ro-RO"/>
        </w:rPr>
        <w:t>Subsistemul de monitorizare al compostării va monitoriza in timp real si in mod continuu, prin sonde de oxigen/ temperatura, plasate direct in materialul supus compostării, propus de ofertant având in vedere ca este un contract de tip proiectare- execuție –operare.</w:t>
      </w:r>
    </w:p>
    <w:p>
      <w:pPr>
        <w:rPr>
          <w:sz w:val="20"/>
          <w:szCs w:val="20"/>
          <w:lang w:val="ro-RO"/>
        </w:rPr>
      </w:pPr>
      <w:r>
        <w:rPr>
          <w:sz w:val="20"/>
          <w:szCs w:val="20"/>
          <w:lang w:val="ro-RO"/>
        </w:rPr>
        <w:t>Cerința privind culegerea informațiilor privind procesele biologice si factorii implicați, precum si raportarea acestora, se va realiza pentru compostarea realizată în hală metalică, sistemul și software-ul urmând să fie adaptate pentru specificul zonei în care se desfășoară procesul biologic.</w:t>
      </w:r>
    </w:p>
    <w:p>
      <w:pPr>
        <w:rPr>
          <w:sz w:val="20"/>
          <w:szCs w:val="20"/>
          <w:lang w:val="ro-RO"/>
        </w:rPr>
      </w:pPr>
      <w:r>
        <w:rPr>
          <w:sz w:val="20"/>
          <w:szCs w:val="20"/>
          <w:lang w:val="ro-RO"/>
        </w:rPr>
        <w:t>Sistemul de monitorizare si control este prevazut cu unitati hardware (server redundant, switch redundant, sistem de backup, statii de lucru, rack, UPS-uri dimensionate corespunzator pentru a sustine serverul si statiile de lucru, imprimante A4 laser) si software care va prelua informatii de la cantar, statia da transfer, compostare intensiva si vor tine o evidenta a tuturor operatiunilor si cantitatilor procesate in cadrul amplasamentului.</w:t>
      </w:r>
    </w:p>
    <w:p>
      <w:pPr>
        <w:rPr>
          <w:sz w:val="20"/>
          <w:szCs w:val="20"/>
          <w:lang w:val="ro-RO"/>
        </w:rPr>
      </w:pPr>
      <w:r>
        <w:rPr>
          <w:sz w:val="20"/>
          <w:szCs w:val="20"/>
          <w:lang w:val="ro-RO"/>
        </w:rPr>
        <w:t>Sistemul de supraveghere și control, precum și toate manualele si instrucțiunile vor trebui sa fie in limba romana. Acest sistem de supraveghere va permite în mod obligatoriu vizionarea parametrilor în timp real și în mod continuu și va asigura integrarea datelor într-un sistem centralizat.</w:t>
      </w:r>
    </w:p>
    <w:p>
      <w:pPr>
        <w:rPr>
          <w:sz w:val="20"/>
          <w:szCs w:val="20"/>
          <w:lang w:val="ro-RO"/>
        </w:rPr>
      </w:pPr>
      <w:r>
        <w:rPr>
          <w:sz w:val="20"/>
          <w:szCs w:val="20"/>
          <w:lang w:val="ro-RO"/>
        </w:rPr>
        <w:t>Numarul de statii de lucru va fi stabilit prin proiectul tehnic, in functie de solutia si produsele software propuse.</w:t>
      </w:r>
    </w:p>
    <w:p>
      <w:pPr>
        <w:rPr>
          <w:sz w:val="20"/>
          <w:szCs w:val="20"/>
          <w:lang w:val="ro-RO"/>
        </w:rPr>
      </w:pPr>
      <w:r>
        <w:rPr>
          <w:sz w:val="20"/>
          <w:szCs w:val="20"/>
          <w:lang w:val="ro-RO"/>
        </w:rPr>
        <w:t>Dimensionarea serverului si a statiilor se va face astfel incat aceste echipamente sa functioneze in conditii optime.</w:t>
      </w:r>
    </w:p>
    <w:p>
      <w:pPr>
        <w:rPr>
          <w:sz w:val="20"/>
          <w:szCs w:val="20"/>
          <w:lang w:val="ro-RO"/>
        </w:rPr>
      </w:pPr>
      <w:r>
        <w:rPr>
          <w:b/>
          <w:sz w:val="20"/>
          <w:szCs w:val="20"/>
          <w:lang w:val="ro-RO"/>
        </w:rPr>
        <w:t>Sistemul de protectie si spatii verzi</w:t>
      </w:r>
      <w:r>
        <w:rPr>
          <w:sz w:val="20"/>
          <w:szCs w:val="20"/>
          <w:lang w:val="ro-RO"/>
        </w:rPr>
        <w:t xml:space="preserve"> - in vederea delimitarii suprafetelor unde se desfasoara procesele tehnologice de lucru din cadrul complexului, este necesara imprejmuirea zonei cu un gard, pentru a nu permite accesul accidental al persoanelor neautorizate in arealul de lucru.</w:t>
      </w:r>
    </w:p>
    <w:p>
      <w:pPr>
        <w:rPr>
          <w:sz w:val="20"/>
          <w:szCs w:val="20"/>
          <w:lang w:val="ro-RO"/>
        </w:rPr>
      </w:pPr>
      <w:r>
        <w:rPr>
          <w:sz w:val="20"/>
          <w:szCs w:val="20"/>
          <w:lang w:val="ro-RO"/>
        </w:rPr>
        <w:t>Imprejmuirea se va realiza pe conturul perimetrului necesar realizarii investititie si va fi prevazuta cu instalatii de alarma in caz de acces neautorizat si sistem de supraveghere video perimetral pentru zi si noapte, cu o rezolutie a camerelor de luat vederi de minimum 2MP (mega pixel) sj DVR/NVR (Digital Video Recorder/Network Video Recorder) care sa "permita" păstrarea înregistrarilor pentru cel putin 7 zile.</w:t>
      </w:r>
    </w:p>
    <w:p>
      <w:pPr>
        <w:rPr>
          <w:sz w:val="20"/>
          <w:szCs w:val="20"/>
          <w:lang w:val="ro-RO"/>
        </w:rPr>
      </w:pPr>
      <w:r>
        <w:rPr>
          <w:sz w:val="20"/>
          <w:szCs w:val="20"/>
          <w:lang w:val="ro-RO"/>
        </w:rPr>
        <w:t>Împrejmuirea se va realiza din panouri de plasa sudata dispuse pe stalpi din metalici zincati si va fi prevazuta cu panouri de avertizare, montate in locuri vizibile, cu mesajul: «Accesul persoanelor neautorizate pe suprafata obiectivului este interzisa"» si panouri de avertizare, montate în locuri vizibile, cu mesajul: «Dispozitiv supravegheat video»." Stalpi metalici vor fi incastrati in fundatie din beton. Inaltimea gardului va fi de minim 2 m si va respecta prevederile art 1 alin 2 din Ordinul 415/2018.</w:t>
      </w:r>
    </w:p>
    <w:p>
      <w:pPr>
        <w:rPr>
          <w:sz w:val="20"/>
          <w:szCs w:val="20"/>
          <w:lang w:val="ro-RO"/>
        </w:rPr>
      </w:pPr>
      <w:r>
        <w:rPr>
          <w:sz w:val="20"/>
          <w:szCs w:val="20"/>
          <w:lang w:val="ro-RO"/>
        </w:rPr>
        <w:t>Accesul in incinta statiei se va realiza prin intermediul unei porti metalice de aceeasi inaltime cu gardul prevăzute cu sisteme de inchidere si asigurare, bariere automate, prevazuta cu actionare electrica prin intermediul unui motor electric cu telecomanda.</w:t>
      </w:r>
    </w:p>
    <w:p>
      <w:pPr>
        <w:rPr>
          <w:sz w:val="20"/>
          <w:szCs w:val="20"/>
          <w:lang w:val="ro-RO"/>
        </w:rPr>
      </w:pPr>
      <w:r>
        <w:rPr>
          <w:sz w:val="20"/>
          <w:szCs w:val="20"/>
          <w:lang w:val="ro-RO"/>
        </w:rPr>
        <w:t>Zona adiacenta imprejmuirii, respectiv pe o latime de minim 10 m de la gard spre interiorul complexului, va fi prevazuta ca zona de protectie. Zona de protectie va fi plantata cu arbori specifici zonei.</w:t>
      </w:r>
    </w:p>
    <w:p>
      <w:pPr>
        <w:rPr>
          <w:sz w:val="20"/>
          <w:szCs w:val="20"/>
          <w:lang w:val="ro-RO"/>
        </w:rPr>
      </w:pPr>
      <w:r>
        <w:rPr>
          <w:sz w:val="20"/>
          <w:szCs w:val="20"/>
          <w:lang w:val="ro-RO"/>
        </w:rPr>
        <w:t>Hala destinată instalației de compostare, unde pot aparea mirosuri neplacute va fi prevazuta cu zona de protectie cu latimea de 10 m, zona care va fi prevazuta cu arbori.</w:t>
      </w:r>
    </w:p>
    <w:p>
      <w:pPr>
        <w:rPr>
          <w:sz w:val="20"/>
          <w:szCs w:val="20"/>
          <w:lang w:val="ro-RO"/>
        </w:rPr>
      </w:pPr>
      <w:r>
        <w:rPr>
          <w:sz w:val="20"/>
          <w:szCs w:val="20"/>
          <w:lang w:val="ro-RO"/>
        </w:rPr>
        <w:t>Toate taluzele rezultate in urma sistematizarii vor fi prevazute cu strat de pamânt vegetal si consolidate cu saltea din fibre de iuta cu rol antierozional.</w:t>
      </w:r>
    </w:p>
    <w:p>
      <w:pPr>
        <w:rPr>
          <w:sz w:val="20"/>
          <w:szCs w:val="20"/>
          <w:lang w:val="ro-RO"/>
        </w:rPr>
      </w:pPr>
      <w:r>
        <w:rPr>
          <w:b/>
          <w:sz w:val="20"/>
          <w:szCs w:val="20"/>
          <w:lang w:val="ro-RO"/>
        </w:rPr>
        <w:lastRenderedPageBreak/>
        <w:t>Alte cerinte</w:t>
      </w:r>
      <w:r>
        <w:rPr>
          <w:sz w:val="20"/>
          <w:szCs w:val="20"/>
          <w:lang w:val="ro-RO"/>
        </w:rPr>
        <w:t xml:space="preserve"> - Ofertantii vor respecta cerintele in vigoare privind siguranta tehnologiei, protectia la zgomot si siguranta si protectia impotriva incendiilor.</w:t>
      </w:r>
    </w:p>
    <w:p>
      <w:pPr>
        <w:pStyle w:val="Heading4"/>
        <w:rPr>
          <w:sz w:val="20"/>
          <w:szCs w:val="20"/>
          <w:lang w:val="ro-RO"/>
        </w:rPr>
      </w:pPr>
      <w:r>
        <w:rPr>
          <w:sz w:val="20"/>
          <w:szCs w:val="20"/>
          <w:lang w:val="ro-RO"/>
        </w:rPr>
        <w:t>1.3.2.3 Investiţii realizate de Antreprenor</w:t>
      </w:r>
    </w:p>
    <w:p>
      <w:pPr>
        <w:rPr>
          <w:sz w:val="20"/>
          <w:szCs w:val="20"/>
          <w:lang w:val="ro-RO"/>
        </w:rPr>
      </w:pPr>
      <w:r>
        <w:rPr>
          <w:sz w:val="20"/>
          <w:szCs w:val="20"/>
          <w:lang w:val="ro-RO"/>
        </w:rPr>
        <w:t xml:space="preserve">Orice alte constructii considerate de Antreprenor a fi necesare desfasurarii activitatii. </w:t>
      </w:r>
    </w:p>
    <w:p>
      <w:pPr>
        <w:rPr>
          <w:sz w:val="20"/>
          <w:szCs w:val="20"/>
          <w:lang w:val="ro-RO"/>
        </w:rPr>
      </w:pPr>
    </w:p>
    <w:p>
      <w:pPr>
        <w:pStyle w:val="Heading3"/>
        <w:rPr>
          <w:sz w:val="20"/>
          <w:szCs w:val="20"/>
          <w:lang w:val="ro-RO"/>
        </w:rPr>
      </w:pPr>
      <w:bookmarkStart w:id="15" w:name="_Toc227161498"/>
      <w:r>
        <w:rPr>
          <w:sz w:val="20"/>
          <w:szCs w:val="20"/>
          <w:lang w:val="ro-RO"/>
        </w:rPr>
        <w:t>1.3.3  Stația de tratare mecano-biologica Galati</w:t>
      </w:r>
      <w:bookmarkEnd w:id="15"/>
      <w:r>
        <w:rPr>
          <w:sz w:val="20"/>
          <w:szCs w:val="20"/>
          <w:lang w:val="ro-RO"/>
        </w:rPr>
        <w:t xml:space="preserve"> </w:t>
      </w:r>
    </w:p>
    <w:p>
      <w:pPr>
        <w:pStyle w:val="Heading4"/>
        <w:rPr>
          <w:sz w:val="20"/>
          <w:szCs w:val="20"/>
          <w:lang w:val="ro-RO"/>
        </w:rPr>
      </w:pPr>
      <w:r>
        <w:rPr>
          <w:sz w:val="20"/>
          <w:szCs w:val="20"/>
          <w:lang w:val="ro-RO"/>
        </w:rPr>
        <w:t>1.3.3.1 Parametri generali de proiectare</w:t>
      </w:r>
    </w:p>
    <w:p>
      <w:pPr>
        <w:rPr>
          <w:sz w:val="20"/>
          <w:szCs w:val="20"/>
          <w:lang w:val="ro-RO"/>
        </w:rPr>
      </w:pPr>
      <w:r>
        <w:rPr>
          <w:sz w:val="20"/>
          <w:szCs w:val="20"/>
          <w:lang w:val="ro-RO"/>
        </w:rPr>
        <w:t>Stația de tratare mecano-biologică a deşeurilor de la Galaţi, cu o capacitate maxima a liniei mecanice de 50.000 t/an si a celei biologice de 89.000 tone/an.</w:t>
      </w:r>
    </w:p>
    <w:p>
      <w:pPr>
        <w:rPr>
          <w:sz w:val="20"/>
          <w:szCs w:val="20"/>
          <w:lang w:val="ro-RO"/>
        </w:rPr>
      </w:pPr>
      <w:r>
        <w:rPr>
          <w:sz w:val="20"/>
          <w:szCs w:val="20"/>
          <w:lang w:val="ro-RO"/>
        </w:rPr>
        <w:t xml:space="preserve">Capacitatea de 50.000 tone/an a instalației este în condițiile în care operarea acesteia se face într-un singur schimb zilnic. </w:t>
      </w:r>
    </w:p>
    <w:p>
      <w:pPr>
        <w:rPr>
          <w:sz w:val="20"/>
          <w:szCs w:val="20"/>
          <w:lang w:val="ro-RO"/>
        </w:rPr>
      </w:pPr>
      <w:r>
        <w:rPr>
          <w:sz w:val="20"/>
          <w:szCs w:val="20"/>
          <w:lang w:val="ro-RO"/>
        </w:rPr>
        <w:t>În ceea ce privește cantitatea de biogaz estimată a fi produsă, Autoritatea contractanta estimează o rată de generare de 80 mc/tona de fractie organică care intră în procesul de tratare biologică anaerobă. În compoziția generală a deșeurilor colectate de operatorii de salubrizare, este luată în considerare o pondere de 60,9% de biodeșeuri. Intrarile în treapa biologică vor fi constituite din biodeșeuri colectate separat și din fracție organică rezultată din tratarea mecanică a deșeurilor reziduale. In cazul biodeseurilor colectate separat este luată în considerare o rată de capturare de 75% în 2030 și 80% în 2035 și un grad de impurificare de 10%. În cazul deșeurilor reziduale, se consideră că o proporție de 65% din inputul în instalația mecanică reprezintă fracție organică care intră la tratare biologică. În aceste condiții, pentru primul an de funcționare este estimată obținerea a cca 6.656.712 mc de biogaz (4.051.370 mc din biodeșeuri colectate separat, 2.605.342 mc din fracția organică din deșeuri reziduale). Pentru perioada 2030-2040 este estimată o medie anuală de biogaz total de cca 6.275.000 mc/an Fiind vorba despre un contract de tip proiectare – execuție – operare, calitatea materialelor (din punct de vedere a capacității de fermentare) va fi apreciata de proiectant, pe baza experienței similare deținute.</w:t>
      </w:r>
    </w:p>
    <w:p>
      <w:pPr>
        <w:rPr>
          <w:sz w:val="20"/>
          <w:szCs w:val="20"/>
          <w:lang w:val="ro-RO"/>
        </w:rPr>
      </w:pPr>
      <w:r>
        <w:rPr>
          <w:sz w:val="20"/>
          <w:szCs w:val="20"/>
          <w:lang w:val="ro-RO"/>
        </w:rPr>
        <w:t>În ceea ce privește cantitatea de compost valorificabil în agricultură estimată a fi produsă, au fost luate în considerare prevederile Regulamentului (UE) nr. 2019/1009, astfel încât produsul finit (compostul) să fie îndepărtat de la depozitare și utilizat ca agent de fertilizare/ameliorare a calității solului. In Anexa 1 a Regulamentului sunt indicate compoziția de bază, valorile limită pentru contaminanți și agenți patogeni. Anexa 2 indică materiile componente, tipurile de instalații dedicate diverselor produse fertilizante si cerințe de baza referitoare la procese, conținutul de baza al produselor, valori limita.</w:t>
      </w:r>
      <w:r>
        <w:rPr>
          <w:rFonts w:cs="Calibri"/>
          <w:szCs w:val="18"/>
          <w:lang w:val="ro-RO"/>
        </w:rPr>
        <w:t xml:space="preserve"> </w:t>
      </w:r>
      <w:r>
        <w:rPr>
          <w:rFonts w:cs="Calibri"/>
          <w:sz w:val="20"/>
          <w:szCs w:val="20"/>
          <w:lang w:val="ro-RO"/>
        </w:rPr>
        <w:t>Produsul final obținut va fi compost de calitate A, în acest sens fiind respectate cerințele impuse de Regulamentul UE nr. 2019/1009 (Anexa II, CMC 3 și 5), respectiv cerințele Legii 181/2020.</w:t>
      </w:r>
      <w:r>
        <w:rPr>
          <w:sz w:val="20"/>
          <w:szCs w:val="20"/>
          <w:lang w:val="ro-RO"/>
        </w:rPr>
        <w:t xml:space="preserve"> Fiind vorba despre un contract de tip proiectare – execuție – operare, calitatea deșeurilor va fi apreciata de proiectant, pe baza experienței similare deținute.</w:t>
      </w:r>
    </w:p>
    <w:p>
      <w:pPr>
        <w:rPr>
          <w:sz w:val="20"/>
          <w:szCs w:val="20"/>
          <w:lang w:val="ro-RO"/>
        </w:rPr>
      </w:pPr>
      <w:r>
        <w:rPr>
          <w:sz w:val="20"/>
          <w:szCs w:val="20"/>
          <w:lang w:val="ro-RO"/>
        </w:rPr>
        <w:t xml:space="preserve">În privința obtinerii de CLO (compost like output), s-a considerat că 20% din digestatul rezultat din tratarea biologică a deșeurilor reziduale (dupa tratare – deshidratare, tratare aerobă, uscare) poate fi transformat in CLO. </w:t>
      </w:r>
      <w:r>
        <w:rPr>
          <w:rFonts w:cs="Times"/>
          <w:color w:val="000000"/>
          <w:sz w:val="20"/>
          <w:szCs w:val="20"/>
          <w:lang w:val="ro-RO"/>
        </w:rPr>
        <w:t xml:space="preserve">CLO va putea fi exceptat de la plata CEC și valorificat </w:t>
      </w:r>
      <w:r>
        <w:rPr>
          <w:sz w:val="20"/>
          <w:szCs w:val="20"/>
          <w:lang w:val="ro-RO"/>
        </w:rPr>
        <w:t>ca material pentru straturile de suport şi de acoperire a depozitelor de deșeuri, pentru reabilitarea minelor abandonate şi/sau a terenurilor contaminate</w:t>
      </w:r>
      <w:r>
        <w:rPr>
          <w:rFonts w:cs="Times"/>
          <w:color w:val="000000"/>
          <w:sz w:val="20"/>
          <w:szCs w:val="20"/>
          <w:lang w:val="ro-RO"/>
        </w:rPr>
        <w:t>, atât timp cât îndeplinește cerințele legale (OUG 92/2021, OUG 196/2006, ambele cu modificările ulterioare).</w:t>
      </w:r>
    </w:p>
    <w:p>
      <w:pPr>
        <w:rPr>
          <w:sz w:val="20"/>
          <w:szCs w:val="20"/>
          <w:lang w:val="ro-RO"/>
        </w:rPr>
      </w:pPr>
      <w:r>
        <w:rPr>
          <w:sz w:val="20"/>
          <w:szCs w:val="20"/>
          <w:lang w:val="ro-RO"/>
        </w:rPr>
        <w:t xml:space="preserve">Din perspectiva cantităților, instalația de digestie anaerobă a fost dimensionată pe baza estimărilor de biodeșeuri colectate separat și a celor de deșeuri reziduale colectate în amestec, așa cum este menționat in Studiul de fundamentare. </w:t>
      </w:r>
      <w:r>
        <w:rPr>
          <w:rFonts w:cs="Calibri"/>
          <w:color w:val="000000" w:themeColor="text1"/>
          <w:sz w:val="20"/>
          <w:szCs w:val="20"/>
          <w:lang w:val="ro-RO"/>
        </w:rPr>
        <w:t>Instalația de tratare biologică a fost dimensionată astfel încât să fie asigurată flexibilitatea proceselor și să nu existe posibilitatea intersectării fluxurilor de biodeșeuri colectate separat și a celor de deșeuri reziduale, de la intrare până la ieșire</w:t>
      </w:r>
    </w:p>
    <w:p>
      <w:pPr>
        <w:rPr>
          <w:sz w:val="20"/>
          <w:szCs w:val="20"/>
          <w:lang w:val="ro-RO"/>
        </w:rPr>
      </w:pPr>
      <w:r>
        <w:rPr>
          <w:sz w:val="20"/>
          <w:szCs w:val="20"/>
          <w:lang w:val="ro-RO"/>
        </w:rPr>
        <w:t>În instalație nu intra deșeuri reciclabile colectate separat, deci nu exista deșeuri reciclabile colectate separat ce trebuie procesate.</w:t>
      </w:r>
    </w:p>
    <w:p>
      <w:pPr>
        <w:rPr>
          <w:sz w:val="20"/>
          <w:szCs w:val="20"/>
          <w:lang w:val="ro-RO"/>
        </w:rPr>
      </w:pPr>
      <w:r>
        <w:rPr>
          <w:sz w:val="20"/>
          <w:szCs w:val="20"/>
          <w:lang w:val="ro-RO"/>
        </w:rPr>
        <w:lastRenderedPageBreak/>
        <w:t>Cantitățile estimate de fracție organică provenită din deșeuri reziduale, respectiv cele de biodeșeuri colectate separat, fluctuează de-a lungul timpului, tendința fiind de creștere a cantităților de biodeșeuri colectate separat, odată cu scăderea celor de deșeuri colectate în amestec.</w:t>
      </w:r>
    </w:p>
    <w:p>
      <w:pPr>
        <w:rPr>
          <w:sz w:val="20"/>
          <w:szCs w:val="20"/>
          <w:lang w:val="ro-RO"/>
        </w:rPr>
      </w:pPr>
      <w:r>
        <w:rPr>
          <w:sz w:val="20"/>
          <w:szCs w:val="20"/>
          <w:lang w:val="ro-RO"/>
        </w:rPr>
        <w:t>De aceea, contractul fiind de tip Proiectare- Execuție – Operare, se solicită ofertanților proiectarea instalației de tratare biologică cu o capacitate totală de 89.000 tone/an, capabilă să asigure flexibilitatea tratării celor 2 categorii de deșeuri pe fluxuri distincte, de la intrare până la ieșirea produsului finit (compost din digestat, respectiv digestat stabilizat). Flexibilitatea poate fi asigurată, spre exemplu, prin  utilizarea mai multor digestoare de capacități mai mici.</w:t>
      </w:r>
    </w:p>
    <w:p>
      <w:pPr>
        <w:rPr>
          <w:sz w:val="20"/>
          <w:szCs w:val="20"/>
          <w:lang w:val="ro-RO"/>
        </w:rPr>
      </w:pPr>
      <w:r>
        <w:rPr>
          <w:sz w:val="20"/>
          <w:szCs w:val="20"/>
          <w:lang w:val="ro-RO"/>
        </w:rPr>
        <w:t>Colectarea separată a deșeurilor biodegradabile  generate la nivelul județului Galați va începe la data operaționalizării TMB.</w:t>
      </w:r>
    </w:p>
    <w:p>
      <w:pPr>
        <w:rPr>
          <w:sz w:val="20"/>
          <w:szCs w:val="20"/>
          <w:lang w:val="ro-RO"/>
        </w:rPr>
      </w:pPr>
      <w:r>
        <w:rPr>
          <w:sz w:val="20"/>
          <w:szCs w:val="20"/>
          <w:lang w:val="ro-RO"/>
        </w:rPr>
        <w:t>Estimările privind cantitățile care constituie input în instalații au luat în calcul impactul SGR asupra sistemului de colectare a deșeurilor reciclabile.</w:t>
      </w:r>
    </w:p>
    <w:p>
      <w:pPr>
        <w:rPr>
          <w:sz w:val="20"/>
          <w:szCs w:val="20"/>
          <w:lang w:val="ro-RO"/>
        </w:rPr>
      </w:pPr>
      <w:r>
        <w:rPr>
          <w:sz w:val="20"/>
          <w:szCs w:val="20"/>
          <w:lang w:val="ro-RO"/>
        </w:rPr>
        <w:t>Compoziția deșeurilor generate și colectate luată în considerare pentru estimările input-urilor in instalatii este următoarea:</w:t>
      </w:r>
    </w:p>
    <w:p>
      <w:pPr>
        <w:rPr>
          <w:sz w:val="20"/>
          <w:szCs w:val="20"/>
          <w:lang w:val="ro-RO"/>
        </w:rPr>
      </w:pPr>
    </w:p>
    <w:p>
      <w:pPr>
        <w:rPr>
          <w:sz w:val="20"/>
          <w:szCs w:val="20"/>
          <w:lang w:val="ro-RO"/>
        </w:rPr>
      </w:pPr>
    </w:p>
    <w:p>
      <w:pPr>
        <w:rPr>
          <w:sz w:val="20"/>
          <w:szCs w:val="20"/>
          <w:lang w:val="ro-RO"/>
        </w:rPr>
      </w:pPr>
    </w:p>
    <w:p>
      <w:pPr>
        <w:rPr>
          <w:sz w:val="20"/>
          <w:szCs w:val="20"/>
          <w:lang w:val="ro-RO"/>
        </w:rPr>
      </w:pPr>
    </w:p>
    <w:p>
      <w:pPr>
        <w:rPr>
          <w:sz w:val="20"/>
          <w:szCs w:val="20"/>
          <w:lang w:val="ro-RO"/>
        </w:rPr>
      </w:pPr>
    </w:p>
    <w:p>
      <w:pPr>
        <w:rPr>
          <w:sz w:val="20"/>
          <w:szCs w:val="20"/>
          <w:lang w:val="ro-RO"/>
        </w:rPr>
      </w:pPr>
    </w:p>
    <w:p>
      <w:pPr>
        <w:rPr>
          <w:sz w:val="20"/>
          <w:szCs w:val="20"/>
          <w:lang w:val="ro-RO"/>
        </w:rPr>
      </w:pPr>
    </w:p>
    <w:p>
      <w:pPr>
        <w:rPr>
          <w:sz w:val="20"/>
          <w:szCs w:val="20"/>
          <w:lang w:val="ro-RO"/>
        </w:rPr>
      </w:pPr>
    </w:p>
    <w:p>
      <w:pPr>
        <w:rPr>
          <w:sz w:val="20"/>
          <w:szCs w:val="20"/>
          <w:lang w:val="ro-RO"/>
        </w:rPr>
      </w:pPr>
    </w:p>
    <w:p>
      <w:pPr>
        <w:rPr>
          <w:sz w:val="20"/>
          <w:szCs w:val="20"/>
          <w:lang w:val="ro-RO"/>
        </w:rPr>
      </w:pPr>
    </w:p>
    <w:p>
      <w:pPr>
        <w:rPr>
          <w:sz w:val="20"/>
          <w:szCs w:val="20"/>
          <w:lang w:val="ro-RO"/>
        </w:rPr>
      </w:pPr>
    </w:p>
    <w:p>
      <w:pPr>
        <w:rPr>
          <w:sz w:val="20"/>
          <w:szCs w:val="20"/>
          <w:lang w:val="ro-RO"/>
        </w:rPr>
      </w:pPr>
    </w:p>
    <w:p>
      <w:pPr>
        <w:rPr>
          <w:sz w:val="20"/>
          <w:szCs w:val="20"/>
          <w:lang w:val="ro-RO"/>
        </w:rPr>
      </w:pPr>
    </w:p>
    <w:tbl>
      <w:tblPr>
        <w:tblW w:w="5000" w:type="pct"/>
        <w:tblLook w:val="04A0" w:firstRow="1" w:lastRow="0" w:firstColumn="1" w:lastColumn="0" w:noHBand="0" w:noVBand="1"/>
      </w:tblPr>
      <w:tblGrid>
        <w:gridCol w:w="8212"/>
        <w:gridCol w:w="1395"/>
      </w:tblGrid>
      <w:tr>
        <w:trPr>
          <w:trHeight w:val="285"/>
          <w:tblHeader/>
        </w:trPr>
        <w:tc>
          <w:tcPr>
            <w:tcW w:w="4274" w:type="pct"/>
            <w:tcBorders>
              <w:top w:val="single" w:sz="4" w:space="0" w:color="auto"/>
              <w:left w:val="single" w:sz="4" w:space="0" w:color="auto"/>
              <w:bottom w:val="single" w:sz="4" w:space="0" w:color="auto"/>
              <w:right w:val="single" w:sz="4" w:space="0" w:color="auto"/>
            </w:tcBorders>
            <w:shd w:val="clear" w:color="000000" w:fill="FFFFFF"/>
            <w:noWrap/>
            <w:vAlign w:val="center"/>
          </w:tcPr>
          <w:p>
            <w:pPr>
              <w:rPr>
                <w:sz w:val="20"/>
                <w:szCs w:val="20"/>
                <w:lang w:val="ro-RO"/>
              </w:rPr>
            </w:pPr>
            <w:r>
              <w:rPr>
                <w:sz w:val="20"/>
                <w:szCs w:val="20"/>
                <w:lang w:val="ro-RO"/>
              </w:rPr>
              <w:t>Fracție deșeu</w:t>
            </w:r>
          </w:p>
        </w:tc>
        <w:tc>
          <w:tcPr>
            <w:tcW w:w="726" w:type="pct"/>
            <w:tcBorders>
              <w:top w:val="single" w:sz="4" w:space="0" w:color="auto"/>
              <w:left w:val="nil"/>
              <w:bottom w:val="single" w:sz="4" w:space="0" w:color="auto"/>
              <w:right w:val="single" w:sz="4" w:space="0" w:color="auto"/>
            </w:tcBorders>
            <w:shd w:val="clear" w:color="000000" w:fill="FFFFFF"/>
            <w:noWrap/>
            <w:vAlign w:val="center"/>
          </w:tcPr>
          <w:p>
            <w:pPr>
              <w:rPr>
                <w:sz w:val="20"/>
                <w:szCs w:val="20"/>
                <w:lang w:val="ro-RO"/>
              </w:rPr>
            </w:pPr>
            <w:bookmarkStart w:id="16" w:name="_Toc227161357"/>
            <w:r>
              <w:rPr>
                <w:sz w:val="20"/>
                <w:szCs w:val="20"/>
                <w:lang w:val="ro-RO"/>
              </w:rPr>
              <w:t>Pondere</w:t>
            </w:r>
            <w:bookmarkEnd w:id="16"/>
          </w:p>
        </w:tc>
      </w:tr>
      <w:tr>
        <w:trPr>
          <w:trHeight w:val="285"/>
        </w:trPr>
        <w:tc>
          <w:tcPr>
            <w:tcW w:w="4274" w:type="pct"/>
            <w:tcBorders>
              <w:top w:val="single" w:sz="4" w:space="0" w:color="auto"/>
              <w:left w:val="single" w:sz="4" w:space="0" w:color="auto"/>
              <w:bottom w:val="single" w:sz="4" w:space="0" w:color="auto"/>
              <w:right w:val="single" w:sz="4" w:space="0" w:color="auto"/>
            </w:tcBorders>
            <w:shd w:val="clear" w:color="000000" w:fill="FFFFFF"/>
            <w:noWrap/>
            <w:vAlign w:val="center"/>
          </w:tcPr>
          <w:p>
            <w:pPr>
              <w:rPr>
                <w:sz w:val="20"/>
                <w:szCs w:val="20"/>
                <w:lang w:val="ro-RO"/>
              </w:rPr>
            </w:pPr>
            <w:bookmarkStart w:id="17" w:name="_Toc227161358"/>
            <w:r>
              <w:rPr>
                <w:sz w:val="20"/>
                <w:szCs w:val="20"/>
                <w:lang w:val="ro-RO"/>
              </w:rPr>
              <w:t>Hârtie și carton – non-ambalaj</w:t>
            </w:r>
            <w:bookmarkEnd w:id="17"/>
          </w:p>
        </w:tc>
        <w:tc>
          <w:tcPr>
            <w:tcW w:w="726" w:type="pct"/>
            <w:tcBorders>
              <w:top w:val="single" w:sz="4" w:space="0" w:color="auto"/>
              <w:left w:val="nil"/>
              <w:bottom w:val="single" w:sz="4" w:space="0" w:color="auto"/>
              <w:right w:val="single" w:sz="4" w:space="0" w:color="auto"/>
            </w:tcBorders>
            <w:shd w:val="clear" w:color="000000" w:fill="FFFFFF"/>
            <w:noWrap/>
            <w:vAlign w:val="center"/>
          </w:tcPr>
          <w:p>
            <w:pPr>
              <w:rPr>
                <w:sz w:val="20"/>
                <w:szCs w:val="20"/>
                <w:lang w:val="ro-RO"/>
              </w:rPr>
            </w:pPr>
            <w:bookmarkStart w:id="18" w:name="_Toc227161359"/>
            <w:r>
              <w:rPr>
                <w:sz w:val="20"/>
                <w:szCs w:val="20"/>
                <w:lang w:val="ro-RO"/>
              </w:rPr>
              <w:t>2,6%</w:t>
            </w:r>
            <w:bookmarkEnd w:id="18"/>
          </w:p>
        </w:tc>
      </w:tr>
      <w:tr>
        <w:trPr>
          <w:trHeight w:val="285"/>
        </w:trPr>
        <w:tc>
          <w:tcPr>
            <w:tcW w:w="4274" w:type="pct"/>
            <w:tcBorders>
              <w:top w:val="nil"/>
              <w:left w:val="single" w:sz="4" w:space="0" w:color="auto"/>
              <w:bottom w:val="single" w:sz="4" w:space="0" w:color="auto"/>
              <w:right w:val="single" w:sz="4" w:space="0" w:color="auto"/>
            </w:tcBorders>
            <w:shd w:val="clear" w:color="000000" w:fill="FFFFFF"/>
            <w:noWrap/>
            <w:vAlign w:val="center"/>
            <w:hideMark/>
          </w:tcPr>
          <w:p>
            <w:pPr>
              <w:rPr>
                <w:sz w:val="20"/>
                <w:szCs w:val="20"/>
                <w:lang w:val="ro-RO"/>
              </w:rPr>
            </w:pPr>
            <w:bookmarkStart w:id="19" w:name="_Toc227161360"/>
            <w:r>
              <w:rPr>
                <w:sz w:val="20"/>
                <w:szCs w:val="20"/>
                <w:lang w:val="ro-RO"/>
              </w:rPr>
              <w:t>Metale non-ambalaj</w:t>
            </w:r>
            <w:bookmarkEnd w:id="19"/>
          </w:p>
        </w:tc>
        <w:tc>
          <w:tcPr>
            <w:tcW w:w="726" w:type="pct"/>
            <w:tcBorders>
              <w:top w:val="nil"/>
              <w:left w:val="nil"/>
              <w:bottom w:val="single" w:sz="4" w:space="0" w:color="auto"/>
              <w:right w:val="single" w:sz="4" w:space="0" w:color="auto"/>
            </w:tcBorders>
            <w:shd w:val="clear" w:color="000000" w:fill="FFFFFF"/>
            <w:noWrap/>
            <w:vAlign w:val="center"/>
            <w:hideMark/>
          </w:tcPr>
          <w:p>
            <w:pPr>
              <w:rPr>
                <w:sz w:val="20"/>
                <w:szCs w:val="20"/>
                <w:lang w:val="ro-RO"/>
              </w:rPr>
            </w:pPr>
            <w:bookmarkStart w:id="20" w:name="_Toc227161361"/>
            <w:r>
              <w:rPr>
                <w:sz w:val="20"/>
                <w:szCs w:val="20"/>
                <w:lang w:val="ro-RO"/>
              </w:rPr>
              <w:t>0,3%</w:t>
            </w:r>
            <w:bookmarkEnd w:id="20"/>
          </w:p>
        </w:tc>
      </w:tr>
      <w:tr>
        <w:trPr>
          <w:trHeight w:val="285"/>
        </w:trPr>
        <w:tc>
          <w:tcPr>
            <w:tcW w:w="4274" w:type="pct"/>
            <w:tcBorders>
              <w:top w:val="nil"/>
              <w:left w:val="single" w:sz="4" w:space="0" w:color="auto"/>
              <w:bottom w:val="single" w:sz="4" w:space="0" w:color="auto"/>
              <w:right w:val="single" w:sz="4" w:space="0" w:color="auto"/>
            </w:tcBorders>
            <w:shd w:val="clear" w:color="000000" w:fill="FFFFFF"/>
            <w:noWrap/>
            <w:vAlign w:val="center"/>
            <w:hideMark/>
          </w:tcPr>
          <w:p>
            <w:pPr>
              <w:rPr>
                <w:sz w:val="20"/>
                <w:szCs w:val="20"/>
                <w:lang w:val="ro-RO"/>
              </w:rPr>
            </w:pPr>
            <w:bookmarkStart w:id="21" w:name="_Toc227161362"/>
            <w:r>
              <w:rPr>
                <w:sz w:val="20"/>
                <w:szCs w:val="20"/>
                <w:lang w:val="ro-RO"/>
              </w:rPr>
              <w:t>Plastic – non-ambalaj</w:t>
            </w:r>
            <w:bookmarkEnd w:id="21"/>
          </w:p>
        </w:tc>
        <w:tc>
          <w:tcPr>
            <w:tcW w:w="726" w:type="pct"/>
            <w:tcBorders>
              <w:top w:val="nil"/>
              <w:left w:val="nil"/>
              <w:bottom w:val="single" w:sz="4" w:space="0" w:color="auto"/>
              <w:right w:val="single" w:sz="4" w:space="0" w:color="auto"/>
            </w:tcBorders>
            <w:shd w:val="clear" w:color="000000" w:fill="FFFFFF"/>
            <w:noWrap/>
            <w:vAlign w:val="center"/>
            <w:hideMark/>
          </w:tcPr>
          <w:p>
            <w:pPr>
              <w:rPr>
                <w:sz w:val="20"/>
                <w:szCs w:val="20"/>
                <w:lang w:val="ro-RO"/>
              </w:rPr>
            </w:pPr>
            <w:bookmarkStart w:id="22" w:name="_Toc227161363"/>
            <w:r>
              <w:rPr>
                <w:sz w:val="20"/>
                <w:szCs w:val="20"/>
                <w:lang w:val="ro-RO"/>
              </w:rPr>
              <w:t>2,0%</w:t>
            </w:r>
            <w:bookmarkEnd w:id="22"/>
          </w:p>
        </w:tc>
      </w:tr>
      <w:tr>
        <w:trPr>
          <w:trHeight w:val="285"/>
        </w:trPr>
        <w:tc>
          <w:tcPr>
            <w:tcW w:w="4274" w:type="pct"/>
            <w:tcBorders>
              <w:top w:val="nil"/>
              <w:left w:val="single" w:sz="4" w:space="0" w:color="auto"/>
              <w:bottom w:val="single" w:sz="4" w:space="0" w:color="auto"/>
              <w:right w:val="single" w:sz="4" w:space="0" w:color="auto"/>
            </w:tcBorders>
            <w:shd w:val="clear" w:color="000000" w:fill="FFFFFF"/>
            <w:noWrap/>
            <w:vAlign w:val="center"/>
            <w:hideMark/>
          </w:tcPr>
          <w:p>
            <w:pPr>
              <w:rPr>
                <w:sz w:val="20"/>
                <w:szCs w:val="20"/>
                <w:lang w:val="ro-RO"/>
              </w:rPr>
            </w:pPr>
            <w:bookmarkStart w:id="23" w:name="_Toc227161364"/>
            <w:r>
              <w:rPr>
                <w:sz w:val="20"/>
                <w:szCs w:val="20"/>
                <w:lang w:val="ro-RO"/>
              </w:rPr>
              <w:t>Sticlă – non-ambalaj</w:t>
            </w:r>
            <w:bookmarkEnd w:id="23"/>
          </w:p>
        </w:tc>
        <w:tc>
          <w:tcPr>
            <w:tcW w:w="726" w:type="pct"/>
            <w:tcBorders>
              <w:top w:val="nil"/>
              <w:left w:val="nil"/>
              <w:bottom w:val="single" w:sz="4" w:space="0" w:color="auto"/>
              <w:right w:val="single" w:sz="4" w:space="0" w:color="auto"/>
            </w:tcBorders>
            <w:shd w:val="clear" w:color="000000" w:fill="FFFFFF"/>
            <w:noWrap/>
            <w:vAlign w:val="center"/>
            <w:hideMark/>
          </w:tcPr>
          <w:p>
            <w:pPr>
              <w:rPr>
                <w:sz w:val="20"/>
                <w:szCs w:val="20"/>
                <w:lang w:val="ro-RO"/>
              </w:rPr>
            </w:pPr>
            <w:r>
              <w:rPr>
                <w:sz w:val="20"/>
                <w:szCs w:val="20"/>
                <w:lang w:val="ro-RO"/>
              </w:rPr>
              <w:t>0,6%</w:t>
            </w:r>
          </w:p>
        </w:tc>
      </w:tr>
      <w:tr>
        <w:trPr>
          <w:trHeight w:val="285"/>
        </w:trPr>
        <w:tc>
          <w:tcPr>
            <w:tcW w:w="4274" w:type="pct"/>
            <w:tcBorders>
              <w:top w:val="nil"/>
              <w:left w:val="single" w:sz="4" w:space="0" w:color="auto"/>
              <w:bottom w:val="single" w:sz="4" w:space="0" w:color="auto"/>
              <w:right w:val="single" w:sz="4" w:space="0" w:color="auto"/>
            </w:tcBorders>
            <w:shd w:val="clear" w:color="000000" w:fill="FFFFFF"/>
            <w:noWrap/>
            <w:vAlign w:val="center"/>
            <w:hideMark/>
          </w:tcPr>
          <w:p>
            <w:pPr>
              <w:rPr>
                <w:sz w:val="20"/>
                <w:szCs w:val="20"/>
                <w:lang w:val="ro-RO"/>
              </w:rPr>
            </w:pPr>
            <w:r>
              <w:rPr>
                <w:sz w:val="20"/>
                <w:szCs w:val="20"/>
                <w:lang w:val="ro-RO"/>
              </w:rPr>
              <w:t>Lemn  – non-ambalaj</w:t>
            </w:r>
          </w:p>
        </w:tc>
        <w:tc>
          <w:tcPr>
            <w:tcW w:w="726" w:type="pct"/>
            <w:tcBorders>
              <w:top w:val="nil"/>
              <w:left w:val="nil"/>
              <w:bottom w:val="single" w:sz="4" w:space="0" w:color="auto"/>
              <w:right w:val="single" w:sz="4" w:space="0" w:color="auto"/>
            </w:tcBorders>
            <w:shd w:val="clear" w:color="000000" w:fill="FFFFFF"/>
            <w:noWrap/>
            <w:vAlign w:val="center"/>
            <w:hideMark/>
          </w:tcPr>
          <w:p>
            <w:pPr>
              <w:rPr>
                <w:sz w:val="20"/>
                <w:szCs w:val="20"/>
                <w:lang w:val="ro-RO"/>
              </w:rPr>
            </w:pPr>
            <w:r>
              <w:rPr>
                <w:sz w:val="20"/>
                <w:szCs w:val="20"/>
                <w:lang w:val="ro-RO"/>
              </w:rPr>
              <w:t>0,2%</w:t>
            </w:r>
          </w:p>
        </w:tc>
      </w:tr>
      <w:tr>
        <w:trPr>
          <w:trHeight w:val="285"/>
        </w:trPr>
        <w:tc>
          <w:tcPr>
            <w:tcW w:w="4274" w:type="pct"/>
            <w:tcBorders>
              <w:top w:val="nil"/>
              <w:left w:val="single" w:sz="4" w:space="0" w:color="auto"/>
              <w:bottom w:val="single" w:sz="4" w:space="0" w:color="auto"/>
              <w:right w:val="single" w:sz="4" w:space="0" w:color="auto"/>
            </w:tcBorders>
            <w:shd w:val="clear" w:color="000000" w:fill="FFFFFF"/>
            <w:noWrap/>
            <w:vAlign w:val="center"/>
            <w:hideMark/>
          </w:tcPr>
          <w:p>
            <w:pPr>
              <w:rPr>
                <w:sz w:val="20"/>
                <w:szCs w:val="20"/>
                <w:lang w:val="ro-RO"/>
              </w:rPr>
            </w:pPr>
            <w:r>
              <w:rPr>
                <w:sz w:val="20"/>
                <w:szCs w:val="20"/>
                <w:lang w:val="ro-RO"/>
              </w:rPr>
              <w:t>Hârtie și carton – ambalaj</w:t>
            </w:r>
          </w:p>
        </w:tc>
        <w:tc>
          <w:tcPr>
            <w:tcW w:w="726" w:type="pct"/>
            <w:tcBorders>
              <w:top w:val="nil"/>
              <w:left w:val="nil"/>
              <w:bottom w:val="single" w:sz="4" w:space="0" w:color="auto"/>
              <w:right w:val="single" w:sz="4" w:space="0" w:color="auto"/>
            </w:tcBorders>
            <w:shd w:val="clear" w:color="000000" w:fill="FFFFFF"/>
            <w:noWrap/>
            <w:vAlign w:val="center"/>
            <w:hideMark/>
          </w:tcPr>
          <w:p>
            <w:pPr>
              <w:rPr>
                <w:sz w:val="20"/>
                <w:szCs w:val="20"/>
                <w:lang w:val="ro-RO"/>
              </w:rPr>
            </w:pPr>
            <w:r>
              <w:rPr>
                <w:sz w:val="20"/>
                <w:szCs w:val="20"/>
                <w:lang w:val="ro-RO"/>
              </w:rPr>
              <w:t>7,9%</w:t>
            </w:r>
          </w:p>
        </w:tc>
      </w:tr>
      <w:tr>
        <w:trPr>
          <w:trHeight w:val="285"/>
        </w:trPr>
        <w:tc>
          <w:tcPr>
            <w:tcW w:w="4274" w:type="pct"/>
            <w:tcBorders>
              <w:top w:val="nil"/>
              <w:left w:val="single" w:sz="4" w:space="0" w:color="auto"/>
              <w:bottom w:val="single" w:sz="4" w:space="0" w:color="auto"/>
              <w:right w:val="single" w:sz="4" w:space="0" w:color="auto"/>
            </w:tcBorders>
            <w:shd w:val="clear" w:color="000000" w:fill="FFFFFF"/>
            <w:noWrap/>
            <w:vAlign w:val="center"/>
            <w:hideMark/>
          </w:tcPr>
          <w:p>
            <w:pPr>
              <w:rPr>
                <w:sz w:val="20"/>
                <w:szCs w:val="20"/>
                <w:lang w:val="ro-RO"/>
              </w:rPr>
            </w:pPr>
            <w:r>
              <w:rPr>
                <w:sz w:val="20"/>
                <w:szCs w:val="20"/>
                <w:lang w:val="ro-RO"/>
              </w:rPr>
              <w:t>Metale – ambalaj</w:t>
            </w:r>
          </w:p>
        </w:tc>
        <w:tc>
          <w:tcPr>
            <w:tcW w:w="726" w:type="pct"/>
            <w:tcBorders>
              <w:top w:val="nil"/>
              <w:left w:val="nil"/>
              <w:bottom w:val="single" w:sz="4" w:space="0" w:color="auto"/>
              <w:right w:val="single" w:sz="4" w:space="0" w:color="auto"/>
            </w:tcBorders>
            <w:shd w:val="clear" w:color="000000" w:fill="FFFFFF"/>
            <w:noWrap/>
            <w:vAlign w:val="center"/>
            <w:hideMark/>
          </w:tcPr>
          <w:p>
            <w:pPr>
              <w:rPr>
                <w:sz w:val="20"/>
                <w:szCs w:val="20"/>
                <w:lang w:val="ro-RO"/>
              </w:rPr>
            </w:pPr>
            <w:r>
              <w:rPr>
                <w:sz w:val="20"/>
                <w:szCs w:val="20"/>
                <w:lang w:val="ro-RO"/>
              </w:rPr>
              <w:t>0,9%</w:t>
            </w:r>
          </w:p>
        </w:tc>
      </w:tr>
      <w:tr>
        <w:trPr>
          <w:trHeight w:val="285"/>
        </w:trPr>
        <w:tc>
          <w:tcPr>
            <w:tcW w:w="4274" w:type="pct"/>
            <w:tcBorders>
              <w:top w:val="nil"/>
              <w:left w:val="single" w:sz="4" w:space="0" w:color="auto"/>
              <w:bottom w:val="single" w:sz="4" w:space="0" w:color="auto"/>
              <w:right w:val="single" w:sz="4" w:space="0" w:color="auto"/>
            </w:tcBorders>
            <w:shd w:val="clear" w:color="000000" w:fill="FFFFFF"/>
            <w:noWrap/>
            <w:vAlign w:val="center"/>
            <w:hideMark/>
          </w:tcPr>
          <w:p>
            <w:pPr>
              <w:rPr>
                <w:sz w:val="20"/>
                <w:szCs w:val="20"/>
                <w:lang w:val="ro-RO"/>
              </w:rPr>
            </w:pPr>
            <w:r>
              <w:rPr>
                <w:sz w:val="20"/>
                <w:szCs w:val="20"/>
                <w:lang w:val="ro-RO"/>
              </w:rPr>
              <w:t>Plastic – ambalaj</w:t>
            </w:r>
          </w:p>
        </w:tc>
        <w:tc>
          <w:tcPr>
            <w:tcW w:w="726" w:type="pct"/>
            <w:tcBorders>
              <w:top w:val="nil"/>
              <w:left w:val="nil"/>
              <w:bottom w:val="single" w:sz="4" w:space="0" w:color="auto"/>
              <w:right w:val="single" w:sz="4" w:space="0" w:color="auto"/>
            </w:tcBorders>
            <w:shd w:val="clear" w:color="000000" w:fill="FFFFFF"/>
            <w:noWrap/>
            <w:vAlign w:val="center"/>
            <w:hideMark/>
          </w:tcPr>
          <w:p>
            <w:pPr>
              <w:rPr>
                <w:sz w:val="20"/>
                <w:szCs w:val="20"/>
                <w:lang w:val="ro-RO"/>
              </w:rPr>
            </w:pPr>
            <w:r>
              <w:rPr>
                <w:sz w:val="20"/>
                <w:szCs w:val="20"/>
                <w:lang w:val="ro-RO"/>
              </w:rPr>
              <w:t>4,7%</w:t>
            </w:r>
          </w:p>
        </w:tc>
      </w:tr>
      <w:tr>
        <w:trPr>
          <w:trHeight w:val="285"/>
        </w:trPr>
        <w:tc>
          <w:tcPr>
            <w:tcW w:w="4274" w:type="pct"/>
            <w:tcBorders>
              <w:top w:val="nil"/>
              <w:left w:val="single" w:sz="4" w:space="0" w:color="auto"/>
              <w:bottom w:val="single" w:sz="4" w:space="0" w:color="auto"/>
              <w:right w:val="single" w:sz="4" w:space="0" w:color="auto"/>
            </w:tcBorders>
            <w:shd w:val="clear" w:color="000000" w:fill="FFFFFF"/>
            <w:noWrap/>
            <w:vAlign w:val="center"/>
            <w:hideMark/>
          </w:tcPr>
          <w:p>
            <w:pPr>
              <w:rPr>
                <w:sz w:val="20"/>
                <w:szCs w:val="20"/>
                <w:lang w:val="ro-RO"/>
              </w:rPr>
            </w:pPr>
            <w:r>
              <w:rPr>
                <w:sz w:val="20"/>
                <w:szCs w:val="20"/>
                <w:lang w:val="ro-RO"/>
              </w:rPr>
              <w:t>Sticlă – ambalaj</w:t>
            </w:r>
          </w:p>
        </w:tc>
        <w:tc>
          <w:tcPr>
            <w:tcW w:w="726" w:type="pct"/>
            <w:tcBorders>
              <w:top w:val="nil"/>
              <w:left w:val="nil"/>
              <w:bottom w:val="single" w:sz="4" w:space="0" w:color="auto"/>
              <w:right w:val="single" w:sz="4" w:space="0" w:color="auto"/>
            </w:tcBorders>
            <w:shd w:val="clear" w:color="000000" w:fill="FFFFFF"/>
            <w:noWrap/>
            <w:vAlign w:val="center"/>
            <w:hideMark/>
          </w:tcPr>
          <w:p>
            <w:pPr>
              <w:rPr>
                <w:sz w:val="20"/>
                <w:szCs w:val="20"/>
                <w:lang w:val="ro-RO"/>
              </w:rPr>
            </w:pPr>
            <w:r>
              <w:rPr>
                <w:sz w:val="20"/>
                <w:szCs w:val="20"/>
                <w:lang w:val="ro-RO"/>
              </w:rPr>
              <w:t>3,7%</w:t>
            </w:r>
          </w:p>
        </w:tc>
      </w:tr>
      <w:tr>
        <w:trPr>
          <w:trHeight w:val="285"/>
        </w:trPr>
        <w:tc>
          <w:tcPr>
            <w:tcW w:w="4274" w:type="pct"/>
            <w:tcBorders>
              <w:top w:val="nil"/>
              <w:left w:val="single" w:sz="4" w:space="0" w:color="auto"/>
              <w:bottom w:val="single" w:sz="4" w:space="0" w:color="auto"/>
              <w:right w:val="single" w:sz="4" w:space="0" w:color="auto"/>
            </w:tcBorders>
            <w:shd w:val="clear" w:color="000000" w:fill="FFFFFF"/>
            <w:noWrap/>
            <w:vAlign w:val="center"/>
            <w:hideMark/>
          </w:tcPr>
          <w:p>
            <w:pPr>
              <w:rPr>
                <w:sz w:val="20"/>
                <w:szCs w:val="20"/>
                <w:lang w:val="ro-RO"/>
              </w:rPr>
            </w:pPr>
            <w:r>
              <w:rPr>
                <w:sz w:val="20"/>
                <w:szCs w:val="20"/>
                <w:lang w:val="ro-RO"/>
              </w:rPr>
              <w:t>Lemn – ambalaj</w:t>
            </w:r>
          </w:p>
        </w:tc>
        <w:tc>
          <w:tcPr>
            <w:tcW w:w="726" w:type="pct"/>
            <w:tcBorders>
              <w:top w:val="nil"/>
              <w:left w:val="nil"/>
              <w:bottom w:val="single" w:sz="4" w:space="0" w:color="auto"/>
              <w:right w:val="single" w:sz="4" w:space="0" w:color="auto"/>
            </w:tcBorders>
            <w:shd w:val="clear" w:color="000000" w:fill="FFFFFF"/>
            <w:noWrap/>
            <w:vAlign w:val="center"/>
            <w:hideMark/>
          </w:tcPr>
          <w:p>
            <w:pPr>
              <w:rPr>
                <w:sz w:val="20"/>
                <w:szCs w:val="20"/>
                <w:lang w:val="ro-RO"/>
              </w:rPr>
            </w:pPr>
            <w:r>
              <w:rPr>
                <w:sz w:val="20"/>
                <w:szCs w:val="20"/>
                <w:lang w:val="ro-RO"/>
              </w:rPr>
              <w:t>0,4%</w:t>
            </w:r>
          </w:p>
        </w:tc>
      </w:tr>
      <w:tr>
        <w:trPr>
          <w:trHeight w:val="285"/>
        </w:trPr>
        <w:tc>
          <w:tcPr>
            <w:tcW w:w="4274" w:type="pct"/>
            <w:tcBorders>
              <w:top w:val="nil"/>
              <w:left w:val="single" w:sz="4" w:space="0" w:color="auto"/>
              <w:bottom w:val="single" w:sz="4" w:space="0" w:color="auto"/>
              <w:right w:val="single" w:sz="4" w:space="0" w:color="auto"/>
            </w:tcBorders>
            <w:shd w:val="clear" w:color="000000" w:fill="FFFFFF"/>
            <w:noWrap/>
            <w:vAlign w:val="center"/>
            <w:hideMark/>
          </w:tcPr>
          <w:p>
            <w:pPr>
              <w:rPr>
                <w:sz w:val="20"/>
                <w:szCs w:val="20"/>
                <w:lang w:val="ro-RO"/>
              </w:rPr>
            </w:pPr>
            <w:r>
              <w:rPr>
                <w:sz w:val="20"/>
                <w:szCs w:val="20"/>
                <w:lang w:val="ro-RO"/>
              </w:rPr>
              <w:t>Deșeuri textile</w:t>
            </w:r>
          </w:p>
        </w:tc>
        <w:tc>
          <w:tcPr>
            <w:tcW w:w="726" w:type="pct"/>
            <w:tcBorders>
              <w:top w:val="nil"/>
              <w:left w:val="nil"/>
              <w:bottom w:val="single" w:sz="4" w:space="0" w:color="auto"/>
              <w:right w:val="single" w:sz="4" w:space="0" w:color="auto"/>
            </w:tcBorders>
            <w:shd w:val="clear" w:color="000000" w:fill="FFFFFF"/>
            <w:noWrap/>
            <w:vAlign w:val="center"/>
            <w:hideMark/>
          </w:tcPr>
          <w:p>
            <w:pPr>
              <w:rPr>
                <w:sz w:val="20"/>
                <w:szCs w:val="20"/>
                <w:lang w:val="ro-RO"/>
              </w:rPr>
            </w:pPr>
            <w:r>
              <w:rPr>
                <w:sz w:val="20"/>
                <w:szCs w:val="20"/>
                <w:lang w:val="ro-RO"/>
              </w:rPr>
              <w:t>3,1%</w:t>
            </w:r>
          </w:p>
        </w:tc>
      </w:tr>
      <w:tr>
        <w:trPr>
          <w:trHeight w:val="285"/>
        </w:trPr>
        <w:tc>
          <w:tcPr>
            <w:tcW w:w="4274" w:type="pct"/>
            <w:tcBorders>
              <w:top w:val="nil"/>
              <w:left w:val="single" w:sz="4" w:space="0" w:color="auto"/>
              <w:bottom w:val="single" w:sz="4" w:space="0" w:color="auto"/>
              <w:right w:val="single" w:sz="4" w:space="0" w:color="auto"/>
            </w:tcBorders>
            <w:shd w:val="clear" w:color="000000" w:fill="FFFFFF"/>
            <w:noWrap/>
            <w:vAlign w:val="center"/>
            <w:hideMark/>
          </w:tcPr>
          <w:p>
            <w:pPr>
              <w:rPr>
                <w:sz w:val="20"/>
                <w:szCs w:val="20"/>
                <w:lang w:val="ro-RO"/>
              </w:rPr>
            </w:pPr>
            <w:r>
              <w:rPr>
                <w:sz w:val="20"/>
                <w:szCs w:val="20"/>
                <w:lang w:val="ro-RO"/>
              </w:rPr>
              <w:t>Biodeșeuri</w:t>
            </w:r>
          </w:p>
        </w:tc>
        <w:tc>
          <w:tcPr>
            <w:tcW w:w="726" w:type="pct"/>
            <w:tcBorders>
              <w:top w:val="nil"/>
              <w:left w:val="nil"/>
              <w:bottom w:val="single" w:sz="4" w:space="0" w:color="auto"/>
              <w:right w:val="single" w:sz="4" w:space="0" w:color="auto"/>
            </w:tcBorders>
            <w:shd w:val="clear" w:color="000000" w:fill="FFFFFF"/>
            <w:noWrap/>
            <w:vAlign w:val="center"/>
            <w:hideMark/>
          </w:tcPr>
          <w:p>
            <w:pPr>
              <w:rPr>
                <w:sz w:val="20"/>
                <w:szCs w:val="20"/>
                <w:lang w:val="ro-RO"/>
              </w:rPr>
            </w:pPr>
            <w:r>
              <w:rPr>
                <w:sz w:val="20"/>
                <w:szCs w:val="20"/>
                <w:lang w:val="ro-RO"/>
              </w:rPr>
              <w:t>60,9%</w:t>
            </w:r>
          </w:p>
        </w:tc>
      </w:tr>
      <w:tr>
        <w:trPr>
          <w:trHeight w:val="285"/>
        </w:trPr>
        <w:tc>
          <w:tcPr>
            <w:tcW w:w="4274" w:type="pct"/>
            <w:tcBorders>
              <w:top w:val="nil"/>
              <w:left w:val="single" w:sz="4" w:space="0" w:color="auto"/>
              <w:bottom w:val="single" w:sz="4" w:space="0" w:color="auto"/>
              <w:right w:val="single" w:sz="4" w:space="0" w:color="auto"/>
            </w:tcBorders>
            <w:shd w:val="clear" w:color="000000" w:fill="FFFFFF"/>
            <w:noWrap/>
            <w:vAlign w:val="center"/>
            <w:hideMark/>
          </w:tcPr>
          <w:p>
            <w:pPr>
              <w:rPr>
                <w:sz w:val="20"/>
                <w:szCs w:val="20"/>
                <w:lang w:val="ro-RO"/>
              </w:rPr>
            </w:pPr>
            <w:r>
              <w:rPr>
                <w:sz w:val="20"/>
                <w:szCs w:val="20"/>
                <w:lang w:val="ro-RO"/>
              </w:rPr>
              <w:lastRenderedPageBreak/>
              <w:t>Deșeuri voluminoase</w:t>
            </w:r>
          </w:p>
        </w:tc>
        <w:tc>
          <w:tcPr>
            <w:tcW w:w="726" w:type="pct"/>
            <w:tcBorders>
              <w:top w:val="nil"/>
              <w:left w:val="nil"/>
              <w:bottom w:val="single" w:sz="4" w:space="0" w:color="auto"/>
              <w:right w:val="single" w:sz="4" w:space="0" w:color="auto"/>
            </w:tcBorders>
            <w:shd w:val="clear" w:color="000000" w:fill="FFFFFF"/>
            <w:noWrap/>
            <w:vAlign w:val="center"/>
            <w:hideMark/>
          </w:tcPr>
          <w:p>
            <w:pPr>
              <w:rPr>
                <w:sz w:val="20"/>
                <w:szCs w:val="20"/>
                <w:lang w:val="ro-RO"/>
              </w:rPr>
            </w:pPr>
            <w:r>
              <w:rPr>
                <w:sz w:val="20"/>
                <w:szCs w:val="20"/>
                <w:lang w:val="ro-RO"/>
              </w:rPr>
              <w:t>2,4%</w:t>
            </w:r>
          </w:p>
        </w:tc>
      </w:tr>
      <w:tr>
        <w:trPr>
          <w:trHeight w:val="285"/>
        </w:trPr>
        <w:tc>
          <w:tcPr>
            <w:tcW w:w="4274" w:type="pct"/>
            <w:tcBorders>
              <w:top w:val="nil"/>
              <w:left w:val="single" w:sz="4" w:space="0" w:color="auto"/>
              <w:bottom w:val="single" w:sz="4" w:space="0" w:color="auto"/>
              <w:right w:val="single" w:sz="4" w:space="0" w:color="auto"/>
            </w:tcBorders>
            <w:shd w:val="clear" w:color="000000" w:fill="FFFFFF"/>
            <w:noWrap/>
            <w:vAlign w:val="center"/>
            <w:hideMark/>
          </w:tcPr>
          <w:p>
            <w:pPr>
              <w:rPr>
                <w:sz w:val="20"/>
                <w:szCs w:val="20"/>
                <w:lang w:val="ro-RO"/>
              </w:rPr>
            </w:pPr>
            <w:r>
              <w:rPr>
                <w:sz w:val="20"/>
                <w:szCs w:val="20"/>
                <w:lang w:val="ro-RO"/>
              </w:rPr>
              <w:t>Deșeuri periculoase</w:t>
            </w:r>
          </w:p>
        </w:tc>
        <w:tc>
          <w:tcPr>
            <w:tcW w:w="726" w:type="pct"/>
            <w:tcBorders>
              <w:top w:val="nil"/>
              <w:left w:val="nil"/>
              <w:bottom w:val="single" w:sz="4" w:space="0" w:color="auto"/>
              <w:right w:val="single" w:sz="4" w:space="0" w:color="auto"/>
            </w:tcBorders>
            <w:shd w:val="clear" w:color="000000" w:fill="FFFFFF"/>
            <w:noWrap/>
            <w:vAlign w:val="center"/>
            <w:hideMark/>
          </w:tcPr>
          <w:p>
            <w:pPr>
              <w:rPr>
                <w:sz w:val="20"/>
                <w:szCs w:val="20"/>
                <w:lang w:val="ro-RO"/>
              </w:rPr>
            </w:pPr>
            <w:r>
              <w:rPr>
                <w:sz w:val="20"/>
                <w:szCs w:val="20"/>
                <w:lang w:val="ro-RO"/>
              </w:rPr>
              <w:t>1,2%</w:t>
            </w:r>
          </w:p>
        </w:tc>
      </w:tr>
      <w:tr>
        <w:trPr>
          <w:trHeight w:val="285"/>
        </w:trPr>
        <w:tc>
          <w:tcPr>
            <w:tcW w:w="4274" w:type="pct"/>
            <w:tcBorders>
              <w:top w:val="nil"/>
              <w:left w:val="single" w:sz="4" w:space="0" w:color="auto"/>
              <w:bottom w:val="single" w:sz="4" w:space="0" w:color="auto"/>
              <w:right w:val="single" w:sz="4" w:space="0" w:color="auto"/>
            </w:tcBorders>
            <w:shd w:val="clear" w:color="000000" w:fill="FFFFFF"/>
            <w:noWrap/>
            <w:vAlign w:val="center"/>
            <w:hideMark/>
          </w:tcPr>
          <w:p>
            <w:pPr>
              <w:rPr>
                <w:sz w:val="20"/>
                <w:szCs w:val="20"/>
                <w:lang w:val="ro-RO"/>
              </w:rPr>
            </w:pPr>
            <w:r>
              <w:rPr>
                <w:sz w:val="20"/>
                <w:szCs w:val="20"/>
                <w:lang w:val="ro-RO"/>
              </w:rPr>
              <w:t>Alte deșeuri</w:t>
            </w:r>
          </w:p>
        </w:tc>
        <w:tc>
          <w:tcPr>
            <w:tcW w:w="726" w:type="pct"/>
            <w:tcBorders>
              <w:top w:val="nil"/>
              <w:left w:val="nil"/>
              <w:bottom w:val="single" w:sz="4" w:space="0" w:color="auto"/>
              <w:right w:val="single" w:sz="4" w:space="0" w:color="auto"/>
            </w:tcBorders>
            <w:shd w:val="clear" w:color="000000" w:fill="FFFFFF"/>
            <w:noWrap/>
            <w:vAlign w:val="center"/>
            <w:hideMark/>
          </w:tcPr>
          <w:p>
            <w:pPr>
              <w:rPr>
                <w:sz w:val="20"/>
                <w:szCs w:val="20"/>
                <w:lang w:val="ro-RO"/>
              </w:rPr>
            </w:pPr>
            <w:r>
              <w:rPr>
                <w:sz w:val="20"/>
                <w:szCs w:val="20"/>
                <w:lang w:val="ro-RO"/>
              </w:rPr>
              <w:t>9,2%</w:t>
            </w:r>
          </w:p>
        </w:tc>
      </w:tr>
      <w:tr>
        <w:trPr>
          <w:trHeight w:val="285"/>
        </w:trPr>
        <w:tc>
          <w:tcPr>
            <w:tcW w:w="4274" w:type="pct"/>
            <w:tcBorders>
              <w:top w:val="nil"/>
              <w:left w:val="single" w:sz="4" w:space="0" w:color="auto"/>
              <w:bottom w:val="single" w:sz="4" w:space="0" w:color="auto"/>
              <w:right w:val="single" w:sz="4" w:space="0" w:color="auto"/>
            </w:tcBorders>
            <w:shd w:val="clear" w:color="000000" w:fill="FFFFFF"/>
            <w:noWrap/>
            <w:vAlign w:val="center"/>
            <w:hideMark/>
          </w:tcPr>
          <w:p>
            <w:pPr>
              <w:rPr>
                <w:sz w:val="20"/>
                <w:szCs w:val="20"/>
                <w:lang w:val="ro-RO"/>
              </w:rPr>
            </w:pPr>
            <w:r>
              <w:rPr>
                <w:sz w:val="20"/>
                <w:szCs w:val="20"/>
                <w:lang w:val="ro-RO"/>
              </w:rPr>
              <w:t>TOTAL</w:t>
            </w:r>
          </w:p>
        </w:tc>
        <w:tc>
          <w:tcPr>
            <w:tcW w:w="726" w:type="pct"/>
            <w:tcBorders>
              <w:top w:val="nil"/>
              <w:left w:val="nil"/>
              <w:bottom w:val="single" w:sz="4" w:space="0" w:color="auto"/>
              <w:right w:val="single" w:sz="4" w:space="0" w:color="auto"/>
            </w:tcBorders>
            <w:shd w:val="clear" w:color="000000" w:fill="FFFFFF"/>
            <w:noWrap/>
            <w:vAlign w:val="center"/>
            <w:hideMark/>
          </w:tcPr>
          <w:p>
            <w:pPr>
              <w:rPr>
                <w:sz w:val="20"/>
                <w:szCs w:val="20"/>
                <w:lang w:val="ro-RO"/>
              </w:rPr>
            </w:pPr>
            <w:r>
              <w:rPr>
                <w:sz w:val="20"/>
                <w:szCs w:val="20"/>
                <w:lang w:val="ro-RO"/>
              </w:rPr>
              <w:t>100%</w:t>
            </w:r>
          </w:p>
        </w:tc>
      </w:tr>
    </w:tbl>
    <w:p>
      <w:pPr>
        <w:rPr>
          <w:sz w:val="20"/>
          <w:szCs w:val="20"/>
          <w:lang w:val="ro-RO"/>
        </w:rPr>
      </w:pPr>
    </w:p>
    <w:p>
      <w:pPr>
        <w:rPr>
          <w:sz w:val="20"/>
          <w:szCs w:val="20"/>
          <w:lang w:val="ro-RO"/>
        </w:rPr>
      </w:pPr>
      <w:r>
        <w:rPr>
          <w:sz w:val="20"/>
          <w:szCs w:val="20"/>
          <w:lang w:val="ro-RO"/>
        </w:rPr>
        <w:t xml:space="preserve">Cantităţile de deşeuri tratate în stația TMB Galaţi sunt prezentate în tabelul următor. </w:t>
      </w:r>
    </w:p>
    <w:p>
      <w:pPr>
        <w:rPr>
          <w:sz w:val="20"/>
          <w:szCs w:val="20"/>
          <w:lang w:val="ro-RO"/>
        </w:rPr>
      </w:pPr>
    </w:p>
    <w:p>
      <w:pPr>
        <w:rPr>
          <w:sz w:val="20"/>
          <w:szCs w:val="20"/>
          <w:lang w:val="ro-RO"/>
        </w:rPr>
      </w:pPr>
    </w:p>
    <w:p>
      <w:pPr>
        <w:rPr>
          <w:sz w:val="20"/>
          <w:szCs w:val="20"/>
          <w:lang w:val="ro-RO"/>
        </w:rPr>
      </w:pPr>
    </w:p>
    <w:p>
      <w:pPr>
        <w:rPr>
          <w:sz w:val="20"/>
          <w:szCs w:val="20"/>
          <w:lang w:val="ro-RO"/>
        </w:rPr>
      </w:pPr>
    </w:p>
    <w:p>
      <w:pPr>
        <w:tabs>
          <w:tab w:val="left" w:pos="3772"/>
        </w:tabs>
        <w:rPr>
          <w:sz w:val="20"/>
          <w:szCs w:val="20"/>
          <w:lang w:val="ro-RO"/>
        </w:rPr>
      </w:pPr>
      <w:r>
        <w:rPr>
          <w:sz w:val="20"/>
          <w:szCs w:val="20"/>
          <w:lang w:val="ro-RO"/>
        </w:rPr>
        <w:tab/>
      </w:r>
    </w:p>
    <w:p>
      <w:pPr>
        <w:tabs>
          <w:tab w:val="left" w:pos="3772"/>
        </w:tabs>
        <w:rPr>
          <w:sz w:val="20"/>
          <w:szCs w:val="20"/>
          <w:lang w:val="ro-RO"/>
        </w:rPr>
        <w:sectPr>
          <w:headerReference w:type="default" r:id="rId9"/>
          <w:footerReference w:type="default" r:id="rId10"/>
          <w:pgSz w:w="11906" w:h="16838"/>
          <w:pgMar w:top="1135" w:right="849" w:bottom="993" w:left="1440" w:header="708" w:footer="570" w:gutter="0"/>
          <w:pgNumType w:start="122"/>
          <w:cols w:space="708"/>
          <w:docGrid w:linePitch="360"/>
        </w:sectPr>
      </w:pPr>
      <w:r>
        <w:rPr>
          <w:sz w:val="20"/>
          <w:szCs w:val="20"/>
          <w:lang w:val="ro-RO"/>
        </w:rPr>
        <w:tab/>
      </w:r>
    </w:p>
    <w:p>
      <w:pPr>
        <w:rPr>
          <w:sz w:val="20"/>
          <w:szCs w:val="20"/>
          <w:lang w:val="ro-RO"/>
        </w:rPr>
      </w:pPr>
      <w:r>
        <w:rPr>
          <w:sz w:val="20"/>
          <w:szCs w:val="20"/>
          <w:lang w:val="ro-RO"/>
        </w:rPr>
        <w:lastRenderedPageBreak/>
        <w:t>Estimarea cantităților aferente stației TMB cu DA</w:t>
      </w:r>
      <w:r>
        <w:rPr>
          <w:rStyle w:val="FootnoteReference"/>
          <w:sz w:val="20"/>
          <w:szCs w:val="20"/>
          <w:lang w:val="ro-RO"/>
        </w:rPr>
        <w:footnoteReference w:id="1"/>
      </w:r>
      <w:r>
        <w:rPr>
          <w:sz w:val="20"/>
          <w:szCs w:val="20"/>
          <w:lang w:val="ro-RO"/>
        </w:rPr>
        <w:t>, tone/an.</w:t>
      </w:r>
    </w:p>
    <w:tbl>
      <w:tblPr>
        <w:tblStyle w:val="PlainTable1"/>
        <w:tblW w:w="5000" w:type="pct"/>
        <w:tblLook w:val="04A0" w:firstRow="1" w:lastRow="0" w:firstColumn="1" w:lastColumn="0" w:noHBand="0" w:noVBand="1"/>
      </w:tblPr>
      <w:tblGrid>
        <w:gridCol w:w="2445"/>
        <w:gridCol w:w="684"/>
        <w:gridCol w:w="1049"/>
        <w:gridCol w:w="1050"/>
        <w:gridCol w:w="1053"/>
        <w:gridCol w:w="1053"/>
        <w:gridCol w:w="1053"/>
        <w:gridCol w:w="1053"/>
        <w:gridCol w:w="1053"/>
        <w:gridCol w:w="1053"/>
        <w:gridCol w:w="1053"/>
        <w:gridCol w:w="1053"/>
        <w:gridCol w:w="1050"/>
      </w:tblGrid>
      <w:tr>
        <w:trPr>
          <w:cnfStyle w:val="100000000000" w:firstRow="1" w:lastRow="0" w:firstColumn="0" w:lastColumn="0" w:oddVBand="0" w:evenVBand="0" w:oddHBand="0" w:evenHBand="0" w:firstRowFirstColumn="0" w:firstRowLastColumn="0" w:lastRowFirstColumn="0" w:lastRowLastColumn="0"/>
          <w:trHeight w:val="315"/>
          <w:tblHeader/>
        </w:trPr>
        <w:tc>
          <w:tcPr>
            <w:cnfStyle w:val="001000000000" w:firstRow="0" w:lastRow="0" w:firstColumn="1" w:lastColumn="0" w:oddVBand="0" w:evenVBand="0" w:oddHBand="0" w:evenHBand="0" w:firstRowFirstColumn="0" w:firstRowLastColumn="0" w:lastRowFirstColumn="0" w:lastRowLastColumn="0"/>
            <w:tcW w:w="832" w:type="pct"/>
            <w:shd w:val="clear" w:color="auto" w:fill="D0CECE" w:themeFill="background2" w:themeFillShade="E6"/>
            <w:noWrap/>
            <w:vAlign w:val="center"/>
            <w:hideMark/>
          </w:tcPr>
          <w:p>
            <w:pPr>
              <w:spacing w:before="120"/>
              <w:rPr>
                <w:rFonts w:eastAsia="Times New Roman" w:cs="Calibri"/>
                <w:sz w:val="17"/>
                <w:szCs w:val="17"/>
                <w:lang w:val="ro-RO"/>
              </w:rPr>
            </w:pPr>
            <w:r>
              <w:rPr>
                <w:rFonts w:eastAsia="Times New Roman" w:cs="Calibri"/>
                <w:sz w:val="17"/>
                <w:szCs w:val="17"/>
                <w:lang w:val="ro-RO"/>
              </w:rPr>
              <w:t>Anul</w:t>
            </w:r>
          </w:p>
        </w:tc>
        <w:tc>
          <w:tcPr>
            <w:tcW w:w="233" w:type="pct"/>
            <w:shd w:val="clear" w:color="auto" w:fill="D0CECE" w:themeFill="background2" w:themeFillShade="E6"/>
            <w:noWrap/>
            <w:vAlign w:val="center"/>
            <w:hideMark/>
          </w:tcPr>
          <w:p>
            <w:pPr>
              <w:spacing w:before="120"/>
              <w:cnfStyle w:val="100000000000" w:firstRow="1"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 </w:t>
            </w:r>
          </w:p>
        </w:tc>
        <w:tc>
          <w:tcPr>
            <w:tcW w:w="357" w:type="pct"/>
            <w:shd w:val="clear" w:color="auto" w:fill="D0CECE" w:themeFill="background2" w:themeFillShade="E6"/>
            <w:noWrap/>
            <w:vAlign w:val="center"/>
            <w:hideMark/>
          </w:tcPr>
          <w:p>
            <w:pPr>
              <w:spacing w:before="120"/>
              <w:jc w:val="right"/>
              <w:cnfStyle w:val="100000000000" w:firstRow="1"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2030</w:t>
            </w:r>
          </w:p>
        </w:tc>
        <w:tc>
          <w:tcPr>
            <w:tcW w:w="357" w:type="pct"/>
            <w:shd w:val="clear" w:color="auto" w:fill="D0CECE" w:themeFill="background2" w:themeFillShade="E6"/>
            <w:noWrap/>
            <w:vAlign w:val="center"/>
            <w:hideMark/>
          </w:tcPr>
          <w:p>
            <w:pPr>
              <w:spacing w:before="120"/>
              <w:jc w:val="right"/>
              <w:cnfStyle w:val="100000000000" w:firstRow="1"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2031</w:t>
            </w:r>
          </w:p>
        </w:tc>
        <w:tc>
          <w:tcPr>
            <w:tcW w:w="358" w:type="pct"/>
            <w:shd w:val="clear" w:color="auto" w:fill="D0CECE" w:themeFill="background2" w:themeFillShade="E6"/>
            <w:noWrap/>
            <w:vAlign w:val="center"/>
            <w:hideMark/>
          </w:tcPr>
          <w:p>
            <w:pPr>
              <w:spacing w:before="120"/>
              <w:jc w:val="right"/>
              <w:cnfStyle w:val="100000000000" w:firstRow="1"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2032</w:t>
            </w:r>
          </w:p>
        </w:tc>
        <w:tc>
          <w:tcPr>
            <w:tcW w:w="358" w:type="pct"/>
            <w:shd w:val="clear" w:color="auto" w:fill="D0CECE" w:themeFill="background2" w:themeFillShade="E6"/>
            <w:noWrap/>
            <w:vAlign w:val="center"/>
            <w:hideMark/>
          </w:tcPr>
          <w:p>
            <w:pPr>
              <w:spacing w:before="120"/>
              <w:jc w:val="right"/>
              <w:cnfStyle w:val="100000000000" w:firstRow="1"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2033</w:t>
            </w:r>
          </w:p>
        </w:tc>
        <w:tc>
          <w:tcPr>
            <w:tcW w:w="358" w:type="pct"/>
            <w:shd w:val="clear" w:color="auto" w:fill="D0CECE" w:themeFill="background2" w:themeFillShade="E6"/>
            <w:noWrap/>
            <w:vAlign w:val="center"/>
            <w:hideMark/>
          </w:tcPr>
          <w:p>
            <w:pPr>
              <w:spacing w:before="120"/>
              <w:jc w:val="right"/>
              <w:cnfStyle w:val="100000000000" w:firstRow="1"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2034</w:t>
            </w:r>
          </w:p>
        </w:tc>
        <w:tc>
          <w:tcPr>
            <w:tcW w:w="358" w:type="pct"/>
            <w:shd w:val="clear" w:color="auto" w:fill="D0CECE" w:themeFill="background2" w:themeFillShade="E6"/>
            <w:noWrap/>
            <w:vAlign w:val="center"/>
            <w:hideMark/>
          </w:tcPr>
          <w:p>
            <w:pPr>
              <w:spacing w:before="120"/>
              <w:jc w:val="right"/>
              <w:cnfStyle w:val="100000000000" w:firstRow="1"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2035</w:t>
            </w:r>
          </w:p>
        </w:tc>
        <w:tc>
          <w:tcPr>
            <w:tcW w:w="358" w:type="pct"/>
            <w:shd w:val="clear" w:color="auto" w:fill="D0CECE" w:themeFill="background2" w:themeFillShade="E6"/>
            <w:noWrap/>
            <w:vAlign w:val="center"/>
            <w:hideMark/>
          </w:tcPr>
          <w:p>
            <w:pPr>
              <w:spacing w:before="120"/>
              <w:jc w:val="right"/>
              <w:cnfStyle w:val="100000000000" w:firstRow="1"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2036</w:t>
            </w:r>
          </w:p>
        </w:tc>
        <w:tc>
          <w:tcPr>
            <w:tcW w:w="358" w:type="pct"/>
            <w:shd w:val="clear" w:color="auto" w:fill="D0CECE" w:themeFill="background2" w:themeFillShade="E6"/>
            <w:noWrap/>
            <w:vAlign w:val="center"/>
            <w:hideMark/>
          </w:tcPr>
          <w:p>
            <w:pPr>
              <w:spacing w:before="120"/>
              <w:jc w:val="right"/>
              <w:cnfStyle w:val="100000000000" w:firstRow="1"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2037</w:t>
            </w:r>
          </w:p>
        </w:tc>
        <w:tc>
          <w:tcPr>
            <w:tcW w:w="358" w:type="pct"/>
            <w:shd w:val="clear" w:color="auto" w:fill="D0CECE" w:themeFill="background2" w:themeFillShade="E6"/>
            <w:noWrap/>
            <w:vAlign w:val="center"/>
            <w:hideMark/>
          </w:tcPr>
          <w:p>
            <w:pPr>
              <w:spacing w:before="120"/>
              <w:jc w:val="right"/>
              <w:cnfStyle w:val="100000000000" w:firstRow="1"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2038</w:t>
            </w:r>
          </w:p>
        </w:tc>
        <w:tc>
          <w:tcPr>
            <w:tcW w:w="358" w:type="pct"/>
            <w:shd w:val="clear" w:color="auto" w:fill="D0CECE" w:themeFill="background2" w:themeFillShade="E6"/>
            <w:noWrap/>
            <w:vAlign w:val="center"/>
            <w:hideMark/>
          </w:tcPr>
          <w:p>
            <w:pPr>
              <w:spacing w:before="120"/>
              <w:jc w:val="right"/>
              <w:cnfStyle w:val="100000000000" w:firstRow="1"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2039</w:t>
            </w:r>
          </w:p>
        </w:tc>
        <w:tc>
          <w:tcPr>
            <w:tcW w:w="357" w:type="pct"/>
            <w:shd w:val="clear" w:color="auto" w:fill="D0CECE" w:themeFill="background2" w:themeFillShade="E6"/>
            <w:noWrap/>
            <w:vAlign w:val="center"/>
            <w:hideMark/>
          </w:tcPr>
          <w:p>
            <w:pPr>
              <w:spacing w:before="120"/>
              <w:jc w:val="right"/>
              <w:cnfStyle w:val="100000000000" w:firstRow="1"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2040</w:t>
            </w:r>
          </w:p>
        </w:tc>
      </w:tr>
      <w:tr>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000" w:type="pct"/>
            <w:gridSpan w:val="13"/>
            <w:vAlign w:val="center"/>
            <w:hideMark/>
          </w:tcPr>
          <w:p>
            <w:pPr>
              <w:rPr>
                <w:rFonts w:eastAsia="Times New Roman" w:cs="Calibri"/>
                <w:sz w:val="17"/>
                <w:szCs w:val="17"/>
                <w:lang w:val="ro-RO"/>
              </w:rPr>
            </w:pPr>
            <w:r>
              <w:rPr>
                <w:rFonts w:eastAsia="Times New Roman" w:cs="Calibri"/>
                <w:sz w:val="17"/>
                <w:szCs w:val="17"/>
              </w:rPr>
              <w:t>TRATAREA MECANICĂ A DEȘEURILOR REZIDUALE ÎN TMB GALAȚI</w:t>
            </w:r>
          </w:p>
        </w:tc>
      </w:tr>
      <w:tr>
        <w:trPr>
          <w:trHeight w:val="300"/>
        </w:trPr>
        <w:tc>
          <w:tcPr>
            <w:cnfStyle w:val="001000000000" w:firstRow="0" w:lastRow="0" w:firstColumn="1" w:lastColumn="0" w:oddVBand="0" w:evenVBand="0" w:oddHBand="0" w:evenHBand="0" w:firstRowFirstColumn="0" w:firstRowLastColumn="0" w:lastRowFirstColumn="0" w:lastRowLastColumn="0"/>
            <w:tcW w:w="832" w:type="pct"/>
            <w:vAlign w:val="center"/>
            <w:hideMark/>
          </w:tcPr>
          <w:p>
            <w:pPr>
              <w:rPr>
                <w:rFonts w:eastAsia="Times New Roman" w:cs="Calibri"/>
                <w:sz w:val="17"/>
                <w:szCs w:val="17"/>
                <w:lang w:val="ro-RO"/>
              </w:rPr>
            </w:pPr>
            <w:r>
              <w:rPr>
                <w:rFonts w:eastAsia="Times New Roman" w:cs="Calibri"/>
                <w:sz w:val="17"/>
                <w:szCs w:val="17"/>
                <w:lang w:val="ro-RO"/>
              </w:rPr>
              <w:t>TOTAL INPUT, din care:</w:t>
            </w:r>
          </w:p>
        </w:tc>
        <w:tc>
          <w:tcPr>
            <w:tcW w:w="233" w:type="pct"/>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t/</w:t>
            </w:r>
            <w:r>
              <w:rPr>
                <w:rFonts w:eastAsia="Times New Roman" w:cs="Calibri"/>
                <w:b/>
                <w:bCs/>
                <w:sz w:val="17"/>
                <w:szCs w:val="17"/>
              </w:rPr>
              <w:t>an</w:t>
            </w:r>
          </w:p>
        </w:tc>
        <w:tc>
          <w:tcPr>
            <w:tcW w:w="357"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50.103</w:t>
            </w:r>
          </w:p>
        </w:tc>
        <w:tc>
          <w:tcPr>
            <w:tcW w:w="357"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49.557</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49.017</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48.169</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46.274</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38.805</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38.376</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37.951</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37.531</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37.116</w:t>
            </w:r>
          </w:p>
        </w:tc>
        <w:tc>
          <w:tcPr>
            <w:tcW w:w="357"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36.706</w:t>
            </w:r>
          </w:p>
        </w:tc>
      </w:tr>
      <w:tr>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2" w:type="pct"/>
            <w:vAlign w:val="center"/>
            <w:hideMark/>
          </w:tcPr>
          <w:p>
            <w:pPr>
              <w:rPr>
                <w:rFonts w:eastAsia="Times New Roman" w:cs="Calibri"/>
                <w:b w:val="0"/>
                <w:bCs w:val="0"/>
                <w:sz w:val="17"/>
                <w:szCs w:val="17"/>
                <w:lang w:val="ro-RO"/>
              </w:rPr>
            </w:pPr>
            <w:r>
              <w:rPr>
                <w:rFonts w:eastAsia="Times New Roman" w:cs="Calibri"/>
                <w:sz w:val="17"/>
                <w:szCs w:val="17"/>
                <w:lang w:val="ro-RO"/>
              </w:rPr>
              <w:t>Deșeuri în amestec</w:t>
            </w:r>
          </w:p>
        </w:tc>
        <w:tc>
          <w:tcPr>
            <w:tcW w:w="233" w:type="pct"/>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t/</w:t>
            </w:r>
            <w:r>
              <w:rPr>
                <w:rFonts w:eastAsia="Times New Roman" w:cs="Calibri"/>
                <w:sz w:val="17"/>
                <w:szCs w:val="17"/>
              </w:rPr>
              <w:t>an</w:t>
            </w:r>
          </w:p>
        </w:tc>
        <w:tc>
          <w:tcPr>
            <w:tcW w:w="357"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45.988</w:t>
            </w:r>
          </w:p>
        </w:tc>
        <w:tc>
          <w:tcPr>
            <w:tcW w:w="357"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45.473</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44.963</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44.116</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42.223</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34.600</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34.203</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33.810</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33.421</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33.037</w:t>
            </w:r>
          </w:p>
        </w:tc>
        <w:tc>
          <w:tcPr>
            <w:tcW w:w="357"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32.657</w:t>
            </w:r>
          </w:p>
        </w:tc>
      </w:tr>
      <w:tr>
        <w:trPr>
          <w:trHeight w:val="300"/>
        </w:trPr>
        <w:tc>
          <w:tcPr>
            <w:cnfStyle w:val="001000000000" w:firstRow="0" w:lastRow="0" w:firstColumn="1" w:lastColumn="0" w:oddVBand="0" w:evenVBand="0" w:oddHBand="0" w:evenHBand="0" w:firstRowFirstColumn="0" w:firstRowLastColumn="0" w:lastRowFirstColumn="0" w:lastRowLastColumn="0"/>
            <w:tcW w:w="832" w:type="pct"/>
            <w:vAlign w:val="center"/>
            <w:hideMark/>
          </w:tcPr>
          <w:p>
            <w:pPr>
              <w:rPr>
                <w:rFonts w:eastAsia="Times New Roman" w:cs="Calibri"/>
                <w:b w:val="0"/>
                <w:bCs w:val="0"/>
                <w:sz w:val="17"/>
                <w:szCs w:val="17"/>
                <w:lang w:val="ro-RO"/>
              </w:rPr>
            </w:pPr>
            <w:r>
              <w:rPr>
                <w:rFonts w:eastAsia="Times New Roman" w:cs="Calibri"/>
                <w:sz w:val="17"/>
                <w:szCs w:val="17"/>
                <w:lang w:val="ro-RO"/>
              </w:rPr>
              <w:t xml:space="preserve">Reziduuri de la </w:t>
            </w:r>
            <w:r>
              <w:rPr>
                <w:rFonts w:eastAsia="Times New Roman" w:cs="Calibri"/>
                <w:sz w:val="17"/>
                <w:szCs w:val="17"/>
                <w:lang w:val="es-ES"/>
              </w:rPr>
              <w:t>stațiile</w:t>
            </w:r>
            <w:r>
              <w:rPr>
                <w:rFonts w:eastAsia="Times New Roman" w:cs="Calibri"/>
                <w:sz w:val="17"/>
                <w:szCs w:val="17"/>
                <w:lang w:val="ro-RO"/>
              </w:rPr>
              <w:t xml:space="preserve"> de sortare</w:t>
            </w:r>
          </w:p>
        </w:tc>
        <w:tc>
          <w:tcPr>
            <w:tcW w:w="233" w:type="pct"/>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t/</w:t>
            </w:r>
            <w:r>
              <w:rPr>
                <w:rFonts w:eastAsia="Times New Roman" w:cs="Calibri"/>
                <w:sz w:val="17"/>
                <w:szCs w:val="17"/>
              </w:rPr>
              <w:t>an</w:t>
            </w:r>
          </w:p>
        </w:tc>
        <w:tc>
          <w:tcPr>
            <w:tcW w:w="357"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2.555</w:t>
            </w:r>
          </w:p>
        </w:tc>
        <w:tc>
          <w:tcPr>
            <w:tcW w:w="357"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2.526</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2.498</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2.498</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2.498</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2.654</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2.623</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2.593</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2.563</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2.534</w:t>
            </w:r>
          </w:p>
        </w:tc>
        <w:tc>
          <w:tcPr>
            <w:tcW w:w="357"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2.505</w:t>
            </w:r>
          </w:p>
        </w:tc>
      </w:tr>
      <w:tr>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2" w:type="pct"/>
            <w:vAlign w:val="center"/>
            <w:hideMark/>
          </w:tcPr>
          <w:p>
            <w:pPr>
              <w:rPr>
                <w:rFonts w:eastAsia="Times New Roman" w:cs="Calibri"/>
                <w:b w:val="0"/>
                <w:bCs w:val="0"/>
                <w:sz w:val="17"/>
                <w:szCs w:val="17"/>
                <w:lang w:val="ro-RO"/>
              </w:rPr>
            </w:pPr>
            <w:r>
              <w:rPr>
                <w:rFonts w:eastAsia="Times New Roman" w:cs="Calibri"/>
                <w:sz w:val="17"/>
                <w:szCs w:val="17"/>
                <w:lang w:val="ro-RO"/>
              </w:rPr>
              <w:t xml:space="preserve">Reziduuri de la stațiile de compostare </w:t>
            </w:r>
          </w:p>
        </w:tc>
        <w:tc>
          <w:tcPr>
            <w:tcW w:w="233" w:type="pct"/>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t/</w:t>
            </w:r>
            <w:r>
              <w:rPr>
                <w:rFonts w:eastAsia="Times New Roman" w:cs="Calibri"/>
                <w:sz w:val="17"/>
                <w:szCs w:val="17"/>
              </w:rPr>
              <w:t>an</w:t>
            </w:r>
          </w:p>
        </w:tc>
        <w:tc>
          <w:tcPr>
            <w:tcW w:w="357"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1.560</w:t>
            </w:r>
          </w:p>
        </w:tc>
        <w:tc>
          <w:tcPr>
            <w:tcW w:w="357"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1.558</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1.557</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1.555</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1.553</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1.552</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1.550</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1.548</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1.547</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1.545</w:t>
            </w:r>
          </w:p>
        </w:tc>
        <w:tc>
          <w:tcPr>
            <w:tcW w:w="357"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1.543</w:t>
            </w:r>
          </w:p>
        </w:tc>
      </w:tr>
      <w:tr>
        <w:trPr>
          <w:trHeight w:val="300"/>
        </w:trPr>
        <w:tc>
          <w:tcPr>
            <w:cnfStyle w:val="001000000000" w:firstRow="0" w:lastRow="0" w:firstColumn="1" w:lastColumn="0" w:oddVBand="0" w:evenVBand="0" w:oddHBand="0" w:evenHBand="0" w:firstRowFirstColumn="0" w:firstRowLastColumn="0" w:lastRowFirstColumn="0" w:lastRowLastColumn="0"/>
            <w:tcW w:w="832" w:type="pct"/>
            <w:vAlign w:val="center"/>
            <w:hideMark/>
          </w:tcPr>
          <w:p>
            <w:pPr>
              <w:rPr>
                <w:rFonts w:eastAsia="Times New Roman" w:cs="Calibri"/>
                <w:sz w:val="17"/>
                <w:szCs w:val="17"/>
                <w:lang w:val="ro-RO"/>
              </w:rPr>
            </w:pPr>
            <w:r>
              <w:rPr>
                <w:rFonts w:eastAsia="Times New Roman" w:cs="Calibri"/>
                <w:sz w:val="17"/>
                <w:szCs w:val="17"/>
                <w:lang w:val="ro-RO"/>
              </w:rPr>
              <w:t>TOTAL OUTPUT, din care:</w:t>
            </w:r>
          </w:p>
        </w:tc>
        <w:tc>
          <w:tcPr>
            <w:tcW w:w="233" w:type="pct"/>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t/</w:t>
            </w:r>
            <w:r>
              <w:rPr>
                <w:rFonts w:eastAsia="Times New Roman" w:cs="Calibri"/>
                <w:b/>
                <w:bCs/>
                <w:sz w:val="17"/>
                <w:szCs w:val="17"/>
              </w:rPr>
              <w:t>an</w:t>
            </w:r>
          </w:p>
        </w:tc>
        <w:tc>
          <w:tcPr>
            <w:tcW w:w="357"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50.103</w:t>
            </w:r>
          </w:p>
        </w:tc>
        <w:tc>
          <w:tcPr>
            <w:tcW w:w="357"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49.557</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49.017</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48.169</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46.274</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38.805</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38.376</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37.951</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37.531</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37.116</w:t>
            </w:r>
          </w:p>
        </w:tc>
        <w:tc>
          <w:tcPr>
            <w:tcW w:w="357"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36.706</w:t>
            </w:r>
          </w:p>
        </w:tc>
      </w:tr>
      <w:tr>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32" w:type="pct"/>
            <w:vAlign w:val="center"/>
            <w:hideMark/>
          </w:tcPr>
          <w:p>
            <w:pPr>
              <w:rPr>
                <w:rFonts w:eastAsia="Times New Roman" w:cs="Calibri"/>
                <w:b w:val="0"/>
                <w:bCs w:val="0"/>
                <w:sz w:val="17"/>
                <w:szCs w:val="17"/>
                <w:lang w:val="ro-RO"/>
              </w:rPr>
            </w:pPr>
            <w:r>
              <w:rPr>
                <w:rFonts w:eastAsia="Times New Roman" w:cs="Calibri"/>
                <w:sz w:val="17"/>
                <w:szCs w:val="17"/>
                <w:lang w:val="ro-RO"/>
              </w:rPr>
              <w:t>Deșeuri reciclabile rezultate din tratarea deșeurilor reziduale și trimise la reciclare</w:t>
            </w:r>
          </w:p>
        </w:tc>
        <w:tc>
          <w:tcPr>
            <w:tcW w:w="233" w:type="pct"/>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t/</w:t>
            </w:r>
            <w:r>
              <w:rPr>
                <w:rFonts w:eastAsia="Times New Roman" w:cs="Calibri"/>
                <w:sz w:val="17"/>
                <w:szCs w:val="17"/>
              </w:rPr>
              <w:t>an</w:t>
            </w:r>
          </w:p>
        </w:tc>
        <w:tc>
          <w:tcPr>
            <w:tcW w:w="357"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2.505</w:t>
            </w:r>
          </w:p>
        </w:tc>
        <w:tc>
          <w:tcPr>
            <w:tcW w:w="357"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2.478</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2.451</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2.408</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2.314</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1.940</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1.919</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1.898</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1.877</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1.856</w:t>
            </w:r>
          </w:p>
        </w:tc>
        <w:tc>
          <w:tcPr>
            <w:tcW w:w="357"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1.835</w:t>
            </w:r>
          </w:p>
        </w:tc>
      </w:tr>
      <w:tr>
        <w:trPr>
          <w:trHeight w:val="300"/>
        </w:trPr>
        <w:tc>
          <w:tcPr>
            <w:cnfStyle w:val="001000000000" w:firstRow="0" w:lastRow="0" w:firstColumn="1" w:lastColumn="0" w:oddVBand="0" w:evenVBand="0" w:oddHBand="0" w:evenHBand="0" w:firstRowFirstColumn="0" w:firstRowLastColumn="0" w:lastRowFirstColumn="0" w:lastRowLastColumn="0"/>
            <w:tcW w:w="832" w:type="pct"/>
            <w:vAlign w:val="center"/>
            <w:hideMark/>
          </w:tcPr>
          <w:p>
            <w:pPr>
              <w:rPr>
                <w:rFonts w:eastAsia="Times New Roman" w:cs="Calibri"/>
                <w:b w:val="0"/>
                <w:bCs w:val="0"/>
                <w:sz w:val="17"/>
                <w:szCs w:val="17"/>
                <w:lang w:val="ro-RO"/>
              </w:rPr>
            </w:pPr>
            <w:r>
              <w:rPr>
                <w:rFonts w:eastAsia="Times New Roman" w:cs="Calibri"/>
                <w:sz w:val="17"/>
                <w:szCs w:val="17"/>
                <w:lang w:val="ro-RO"/>
              </w:rPr>
              <w:t>Deșeuri rezultate din tratarea biologică</w:t>
            </w:r>
          </w:p>
        </w:tc>
        <w:tc>
          <w:tcPr>
            <w:tcW w:w="233" w:type="pct"/>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t/</w:t>
            </w:r>
            <w:r>
              <w:rPr>
                <w:rFonts w:eastAsia="Times New Roman" w:cs="Calibri"/>
                <w:sz w:val="17"/>
                <w:szCs w:val="17"/>
              </w:rPr>
              <w:t>an</w:t>
            </w:r>
          </w:p>
        </w:tc>
        <w:tc>
          <w:tcPr>
            <w:tcW w:w="357"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32.567</w:t>
            </w:r>
          </w:p>
        </w:tc>
        <w:tc>
          <w:tcPr>
            <w:tcW w:w="357"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32.212</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31.861</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31.310</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30.078</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25.224</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24.944</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24.668</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24.395</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24.125</w:t>
            </w:r>
          </w:p>
        </w:tc>
        <w:tc>
          <w:tcPr>
            <w:tcW w:w="357"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23.859</w:t>
            </w:r>
          </w:p>
        </w:tc>
      </w:tr>
      <w:tr>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32" w:type="pct"/>
            <w:vAlign w:val="center"/>
            <w:hideMark/>
          </w:tcPr>
          <w:p>
            <w:pPr>
              <w:rPr>
                <w:rFonts w:eastAsia="Times New Roman" w:cs="Calibri"/>
                <w:b w:val="0"/>
                <w:bCs w:val="0"/>
                <w:sz w:val="17"/>
                <w:szCs w:val="17"/>
                <w:lang w:val="ro-RO"/>
              </w:rPr>
            </w:pPr>
            <w:r>
              <w:rPr>
                <w:rFonts w:eastAsia="Times New Roman" w:cs="Calibri"/>
                <w:sz w:val="17"/>
                <w:szCs w:val="17"/>
                <w:lang w:val="ro-RO"/>
              </w:rPr>
              <w:t xml:space="preserve">Deșeuri valorificabile energetic (RDF) rezultate din TMB </w:t>
            </w:r>
            <w:r>
              <w:rPr>
                <w:rFonts w:eastAsia="Times New Roman" w:cs="Calibri"/>
                <w:sz w:val="17"/>
                <w:szCs w:val="17"/>
                <w:lang w:val="ro-RO"/>
              </w:rPr>
              <w:br/>
              <w:t xml:space="preserve">către </w:t>
            </w:r>
            <w:r>
              <w:rPr>
                <w:rFonts w:eastAsia="Times New Roman" w:cs="Calibri"/>
                <w:sz w:val="17"/>
                <w:szCs w:val="17"/>
              </w:rPr>
              <w:t>valorificare energetică în instalații cu eficiență energetică ridicată</w:t>
            </w:r>
          </w:p>
        </w:tc>
        <w:tc>
          <w:tcPr>
            <w:tcW w:w="233" w:type="pct"/>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t/</w:t>
            </w:r>
            <w:r>
              <w:rPr>
                <w:rFonts w:eastAsia="Times New Roman" w:cs="Calibri"/>
                <w:sz w:val="17"/>
                <w:szCs w:val="17"/>
              </w:rPr>
              <w:t>an</w:t>
            </w:r>
          </w:p>
        </w:tc>
        <w:tc>
          <w:tcPr>
            <w:tcW w:w="357"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10.021</w:t>
            </w:r>
          </w:p>
        </w:tc>
        <w:tc>
          <w:tcPr>
            <w:tcW w:w="357"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9.911</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9.803</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9.634</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9.255</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7.761</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7.675</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7.590</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7.506</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7.423</w:t>
            </w:r>
          </w:p>
        </w:tc>
        <w:tc>
          <w:tcPr>
            <w:tcW w:w="357"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7.341</w:t>
            </w:r>
          </w:p>
        </w:tc>
      </w:tr>
      <w:tr>
        <w:trPr>
          <w:trHeight w:val="315"/>
        </w:trPr>
        <w:tc>
          <w:tcPr>
            <w:cnfStyle w:val="001000000000" w:firstRow="0" w:lastRow="0" w:firstColumn="1" w:lastColumn="0" w:oddVBand="0" w:evenVBand="0" w:oddHBand="0" w:evenHBand="0" w:firstRowFirstColumn="0" w:firstRowLastColumn="0" w:lastRowFirstColumn="0" w:lastRowLastColumn="0"/>
            <w:tcW w:w="832" w:type="pct"/>
            <w:vAlign w:val="center"/>
            <w:hideMark/>
          </w:tcPr>
          <w:p>
            <w:pPr>
              <w:rPr>
                <w:rFonts w:eastAsia="Times New Roman" w:cs="Calibri"/>
                <w:b w:val="0"/>
                <w:bCs w:val="0"/>
                <w:sz w:val="17"/>
                <w:szCs w:val="17"/>
                <w:lang w:val="ro-RO"/>
              </w:rPr>
            </w:pPr>
            <w:r>
              <w:rPr>
                <w:rFonts w:eastAsia="Times New Roman" w:cs="Calibri"/>
                <w:sz w:val="17"/>
                <w:szCs w:val="17"/>
                <w:lang w:val="ro-RO"/>
              </w:rPr>
              <w:t>Reziduuri trimise la depozitare</w:t>
            </w:r>
          </w:p>
        </w:tc>
        <w:tc>
          <w:tcPr>
            <w:tcW w:w="233" w:type="pct"/>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t/</w:t>
            </w:r>
            <w:r>
              <w:rPr>
                <w:rFonts w:eastAsia="Times New Roman" w:cs="Calibri"/>
                <w:sz w:val="17"/>
                <w:szCs w:val="17"/>
              </w:rPr>
              <w:t>an</w:t>
            </w:r>
          </w:p>
        </w:tc>
        <w:tc>
          <w:tcPr>
            <w:tcW w:w="357"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5.010</w:t>
            </w:r>
          </w:p>
        </w:tc>
        <w:tc>
          <w:tcPr>
            <w:tcW w:w="357"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4.956</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4.902</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4.817</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4.627</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3.881</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3.838</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3.795</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3.753</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3.712</w:t>
            </w:r>
          </w:p>
        </w:tc>
        <w:tc>
          <w:tcPr>
            <w:tcW w:w="357"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3.671</w:t>
            </w:r>
          </w:p>
        </w:tc>
      </w:tr>
      <w:tr>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000" w:type="pct"/>
            <w:gridSpan w:val="13"/>
            <w:vAlign w:val="center"/>
            <w:hideMark/>
          </w:tcPr>
          <w:p>
            <w:pPr>
              <w:rPr>
                <w:rFonts w:eastAsia="Times New Roman" w:cs="Calibri"/>
                <w:sz w:val="17"/>
                <w:szCs w:val="17"/>
                <w:lang w:val="ro-RO"/>
              </w:rPr>
            </w:pPr>
            <w:r>
              <w:rPr>
                <w:rFonts w:eastAsia="Times New Roman" w:cs="Calibri"/>
                <w:sz w:val="17"/>
                <w:szCs w:val="17"/>
              </w:rPr>
              <w:t>TRATARE BIOLOGICĂ ÎN TMB GALAȚI</w:t>
            </w:r>
          </w:p>
        </w:tc>
      </w:tr>
      <w:tr>
        <w:trPr>
          <w:trHeight w:val="300"/>
        </w:trPr>
        <w:tc>
          <w:tcPr>
            <w:cnfStyle w:val="001000000000" w:firstRow="0" w:lastRow="0" w:firstColumn="1" w:lastColumn="0" w:oddVBand="0" w:evenVBand="0" w:oddHBand="0" w:evenHBand="0" w:firstRowFirstColumn="0" w:firstRowLastColumn="0" w:lastRowFirstColumn="0" w:lastRowLastColumn="0"/>
            <w:tcW w:w="832" w:type="pct"/>
            <w:vAlign w:val="center"/>
            <w:hideMark/>
          </w:tcPr>
          <w:p>
            <w:pPr>
              <w:rPr>
                <w:rFonts w:eastAsia="Times New Roman" w:cs="Calibri"/>
                <w:sz w:val="17"/>
                <w:szCs w:val="17"/>
                <w:lang w:val="ro-RO"/>
              </w:rPr>
            </w:pPr>
            <w:r>
              <w:rPr>
                <w:rFonts w:eastAsia="Times New Roman" w:cs="Calibri"/>
                <w:sz w:val="17"/>
                <w:szCs w:val="17"/>
                <w:lang w:val="ro-RO"/>
              </w:rPr>
              <w:t>TOTAL INPUT, din care:</w:t>
            </w:r>
          </w:p>
        </w:tc>
        <w:tc>
          <w:tcPr>
            <w:tcW w:w="233" w:type="pct"/>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t/</w:t>
            </w:r>
            <w:r>
              <w:rPr>
                <w:rFonts w:eastAsia="Times New Roman" w:cs="Calibri"/>
                <w:b/>
                <w:bCs/>
                <w:sz w:val="17"/>
                <w:szCs w:val="17"/>
              </w:rPr>
              <w:t>an</w:t>
            </w:r>
          </w:p>
        </w:tc>
        <w:tc>
          <w:tcPr>
            <w:tcW w:w="357"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88.836</w:t>
            </w:r>
          </w:p>
        </w:tc>
        <w:tc>
          <w:tcPr>
            <w:tcW w:w="357"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87.852</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86.878</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85.712</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84.932</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84.113</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83.159</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82.217</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81.286</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80.365</w:t>
            </w:r>
          </w:p>
        </w:tc>
        <w:tc>
          <w:tcPr>
            <w:tcW w:w="357"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79.455</w:t>
            </w:r>
          </w:p>
        </w:tc>
      </w:tr>
      <w:tr>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32" w:type="pct"/>
            <w:vAlign w:val="center"/>
            <w:hideMark/>
          </w:tcPr>
          <w:p>
            <w:pPr>
              <w:rPr>
                <w:rFonts w:eastAsia="Times New Roman" w:cs="Calibri"/>
                <w:b w:val="0"/>
                <w:bCs w:val="0"/>
                <w:sz w:val="17"/>
                <w:szCs w:val="17"/>
                <w:lang w:val="ro-RO"/>
              </w:rPr>
            </w:pPr>
            <w:r>
              <w:rPr>
                <w:rFonts w:eastAsia="Times New Roman" w:cs="Calibri"/>
                <w:sz w:val="17"/>
                <w:szCs w:val="17"/>
                <w:lang w:val="ro-RO"/>
              </w:rPr>
              <w:t xml:space="preserve">Biodeșeuri menajere, similare și din piețe </w:t>
            </w:r>
            <w:r>
              <w:rPr>
                <w:rFonts w:eastAsia="Times New Roman" w:cs="Calibri"/>
                <w:sz w:val="17"/>
                <w:szCs w:val="17"/>
                <w:lang w:val="ro-RO"/>
              </w:rPr>
              <w:lastRenderedPageBreak/>
              <w:t>colectate separat de operatori</w:t>
            </w:r>
          </w:p>
        </w:tc>
        <w:tc>
          <w:tcPr>
            <w:tcW w:w="233" w:type="pct"/>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lastRenderedPageBreak/>
              <w:t>t/</w:t>
            </w:r>
            <w:r>
              <w:rPr>
                <w:rFonts w:eastAsia="Times New Roman" w:cs="Calibri"/>
                <w:sz w:val="17"/>
                <w:szCs w:val="17"/>
              </w:rPr>
              <w:t>an</w:t>
            </w:r>
          </w:p>
        </w:tc>
        <w:tc>
          <w:tcPr>
            <w:tcW w:w="357"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56.269</w:t>
            </w:r>
          </w:p>
        </w:tc>
        <w:tc>
          <w:tcPr>
            <w:tcW w:w="357"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55.640</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55.017</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54.402</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54.854</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58.889</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58.215</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57.549</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56.891</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56.240</w:t>
            </w:r>
          </w:p>
        </w:tc>
        <w:tc>
          <w:tcPr>
            <w:tcW w:w="357"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55.596</w:t>
            </w:r>
          </w:p>
        </w:tc>
      </w:tr>
      <w:tr>
        <w:trPr>
          <w:trHeight w:val="300"/>
        </w:trPr>
        <w:tc>
          <w:tcPr>
            <w:cnfStyle w:val="001000000000" w:firstRow="0" w:lastRow="0" w:firstColumn="1" w:lastColumn="0" w:oddVBand="0" w:evenVBand="0" w:oddHBand="0" w:evenHBand="0" w:firstRowFirstColumn="0" w:firstRowLastColumn="0" w:lastRowFirstColumn="0" w:lastRowLastColumn="0"/>
            <w:tcW w:w="832" w:type="pct"/>
            <w:vAlign w:val="center"/>
            <w:hideMark/>
          </w:tcPr>
          <w:p>
            <w:pPr>
              <w:rPr>
                <w:rFonts w:eastAsia="Times New Roman" w:cs="Calibri"/>
                <w:b w:val="0"/>
                <w:bCs w:val="0"/>
                <w:sz w:val="17"/>
                <w:szCs w:val="17"/>
                <w:lang w:val="ro-RO"/>
              </w:rPr>
            </w:pPr>
            <w:r>
              <w:rPr>
                <w:rFonts w:eastAsia="Times New Roman" w:cs="Calibri"/>
                <w:sz w:val="17"/>
                <w:szCs w:val="17"/>
                <w:lang w:val="ro-RO"/>
              </w:rPr>
              <w:t>Biodeșeuri din deșeuri reziduale, după tratarea mecanică</w:t>
            </w:r>
          </w:p>
        </w:tc>
        <w:tc>
          <w:tcPr>
            <w:tcW w:w="233" w:type="pct"/>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t/</w:t>
            </w:r>
            <w:r>
              <w:rPr>
                <w:rFonts w:eastAsia="Times New Roman" w:cs="Calibri"/>
                <w:sz w:val="17"/>
                <w:szCs w:val="17"/>
              </w:rPr>
              <w:t>an</w:t>
            </w:r>
          </w:p>
        </w:tc>
        <w:tc>
          <w:tcPr>
            <w:tcW w:w="357"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32.567</w:t>
            </w:r>
          </w:p>
        </w:tc>
        <w:tc>
          <w:tcPr>
            <w:tcW w:w="357"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32.212</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31.861</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31.310</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30.078</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25.224</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24.944</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24.668</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24.395</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24.125</w:t>
            </w:r>
          </w:p>
        </w:tc>
        <w:tc>
          <w:tcPr>
            <w:tcW w:w="357"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23.859</w:t>
            </w:r>
          </w:p>
        </w:tc>
      </w:tr>
      <w:tr>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32" w:type="pct"/>
            <w:vAlign w:val="center"/>
            <w:hideMark/>
          </w:tcPr>
          <w:p>
            <w:pPr>
              <w:rPr>
                <w:rFonts w:eastAsia="Times New Roman" w:cs="Calibri"/>
                <w:b w:val="0"/>
                <w:bCs w:val="0"/>
                <w:sz w:val="17"/>
                <w:szCs w:val="17"/>
                <w:lang w:val="ro-RO"/>
              </w:rPr>
            </w:pPr>
            <w:r>
              <w:rPr>
                <w:rFonts w:eastAsia="Times New Roman" w:cs="Calibri"/>
                <w:sz w:val="17"/>
                <w:szCs w:val="17"/>
                <w:lang w:val="ro-RO"/>
              </w:rPr>
              <w:t>Biodeșeuri colectate separat trimise către digestie (după pretratare)</w:t>
            </w:r>
          </w:p>
        </w:tc>
        <w:tc>
          <w:tcPr>
            <w:tcW w:w="233" w:type="pct"/>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t/</w:t>
            </w:r>
            <w:r>
              <w:rPr>
                <w:rFonts w:eastAsia="Times New Roman" w:cs="Calibri"/>
                <w:sz w:val="17"/>
                <w:szCs w:val="17"/>
              </w:rPr>
              <w:t>an</w:t>
            </w:r>
          </w:p>
        </w:tc>
        <w:tc>
          <w:tcPr>
            <w:tcW w:w="357"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50.642</w:t>
            </w:r>
          </w:p>
        </w:tc>
        <w:tc>
          <w:tcPr>
            <w:tcW w:w="357"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50.076</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49.515</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48.962</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49.368</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53.000</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52.394</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51.794</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51.202</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50.616</w:t>
            </w:r>
          </w:p>
        </w:tc>
        <w:tc>
          <w:tcPr>
            <w:tcW w:w="357"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50.037</w:t>
            </w:r>
          </w:p>
        </w:tc>
      </w:tr>
      <w:tr>
        <w:trPr>
          <w:trHeight w:val="300"/>
        </w:trPr>
        <w:tc>
          <w:tcPr>
            <w:cnfStyle w:val="001000000000" w:firstRow="0" w:lastRow="0" w:firstColumn="1" w:lastColumn="0" w:oddVBand="0" w:evenVBand="0" w:oddHBand="0" w:evenHBand="0" w:firstRowFirstColumn="0" w:firstRowLastColumn="0" w:lastRowFirstColumn="0" w:lastRowLastColumn="0"/>
            <w:tcW w:w="832" w:type="pct"/>
            <w:vAlign w:val="center"/>
            <w:hideMark/>
          </w:tcPr>
          <w:p>
            <w:pPr>
              <w:rPr>
                <w:rFonts w:eastAsia="Times New Roman" w:cs="Calibri"/>
                <w:b w:val="0"/>
                <w:bCs w:val="0"/>
                <w:sz w:val="17"/>
                <w:szCs w:val="17"/>
                <w:lang w:val="ro-RO"/>
              </w:rPr>
            </w:pPr>
            <w:r>
              <w:rPr>
                <w:rFonts w:eastAsia="Times New Roman" w:cs="Calibri"/>
                <w:sz w:val="17"/>
                <w:szCs w:val="17"/>
                <w:lang w:val="ro-RO"/>
              </w:rPr>
              <w:t>Digestat obținut din biodeșeurile colectate separat</w:t>
            </w:r>
          </w:p>
        </w:tc>
        <w:tc>
          <w:tcPr>
            <w:tcW w:w="233" w:type="pct"/>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t/</w:t>
            </w:r>
            <w:r>
              <w:rPr>
                <w:rFonts w:eastAsia="Times New Roman" w:cs="Calibri"/>
                <w:sz w:val="17"/>
                <w:szCs w:val="17"/>
              </w:rPr>
              <w:t>an</w:t>
            </w:r>
          </w:p>
        </w:tc>
        <w:tc>
          <w:tcPr>
            <w:tcW w:w="357"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42.945</w:t>
            </w:r>
          </w:p>
        </w:tc>
        <w:tc>
          <w:tcPr>
            <w:tcW w:w="357"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42.464</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41.989</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41.519</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41.864</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44.944</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44.430</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43.921</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43.419</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42.922</w:t>
            </w:r>
          </w:p>
        </w:tc>
        <w:tc>
          <w:tcPr>
            <w:tcW w:w="357"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42.431</w:t>
            </w:r>
          </w:p>
        </w:tc>
      </w:tr>
      <w:tr>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2" w:type="pct"/>
            <w:vAlign w:val="center"/>
            <w:hideMark/>
          </w:tcPr>
          <w:p>
            <w:pPr>
              <w:rPr>
                <w:rFonts w:eastAsia="Times New Roman" w:cs="Calibri"/>
                <w:b w:val="0"/>
                <w:bCs w:val="0"/>
                <w:sz w:val="17"/>
                <w:szCs w:val="17"/>
                <w:lang w:val="ro-RO"/>
              </w:rPr>
            </w:pPr>
            <w:r>
              <w:rPr>
                <w:rFonts w:eastAsia="Times New Roman" w:cs="Calibri"/>
                <w:sz w:val="17"/>
                <w:szCs w:val="17"/>
                <w:lang w:val="ro-RO"/>
              </w:rPr>
              <w:t xml:space="preserve">Digestat obținut din biodeseurile din deșeurile reziduale </w:t>
            </w:r>
          </w:p>
        </w:tc>
        <w:tc>
          <w:tcPr>
            <w:tcW w:w="233" w:type="pct"/>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t/</w:t>
            </w:r>
            <w:r>
              <w:rPr>
                <w:rFonts w:eastAsia="Times New Roman" w:cs="Calibri"/>
                <w:sz w:val="17"/>
                <w:szCs w:val="17"/>
              </w:rPr>
              <w:t>an</w:t>
            </w:r>
          </w:p>
        </w:tc>
        <w:tc>
          <w:tcPr>
            <w:tcW w:w="357"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27.617</w:t>
            </w:r>
          </w:p>
        </w:tc>
        <w:tc>
          <w:tcPr>
            <w:tcW w:w="357"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27.316</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27.018</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26.551</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25.506</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21.390</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21.153</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20.918</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20.687</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20.458</w:t>
            </w:r>
          </w:p>
        </w:tc>
        <w:tc>
          <w:tcPr>
            <w:tcW w:w="357"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20.232</w:t>
            </w:r>
          </w:p>
        </w:tc>
      </w:tr>
      <w:tr>
        <w:trPr>
          <w:trHeight w:val="600"/>
        </w:trPr>
        <w:tc>
          <w:tcPr>
            <w:cnfStyle w:val="001000000000" w:firstRow="0" w:lastRow="0" w:firstColumn="1" w:lastColumn="0" w:oddVBand="0" w:evenVBand="0" w:oddHBand="0" w:evenHBand="0" w:firstRowFirstColumn="0" w:firstRowLastColumn="0" w:lastRowFirstColumn="0" w:lastRowLastColumn="0"/>
            <w:tcW w:w="832" w:type="pct"/>
            <w:vAlign w:val="center"/>
            <w:hideMark/>
          </w:tcPr>
          <w:p>
            <w:pPr>
              <w:rPr>
                <w:rFonts w:eastAsia="Times New Roman" w:cs="Calibri"/>
                <w:b w:val="0"/>
                <w:bCs w:val="0"/>
                <w:sz w:val="17"/>
                <w:szCs w:val="17"/>
                <w:lang w:val="ro-RO"/>
              </w:rPr>
            </w:pPr>
            <w:r>
              <w:rPr>
                <w:rFonts w:eastAsia="Times New Roman" w:cs="Calibri"/>
                <w:sz w:val="17"/>
                <w:szCs w:val="17"/>
                <w:lang w:val="ro-RO"/>
              </w:rPr>
              <w:t xml:space="preserve">Digestat din biodeșeurile colectate separat obținut prin tratare (deshidratare) si trimis către compostare </w:t>
            </w:r>
          </w:p>
        </w:tc>
        <w:tc>
          <w:tcPr>
            <w:tcW w:w="233" w:type="pct"/>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t/</w:t>
            </w:r>
            <w:r>
              <w:rPr>
                <w:rFonts w:eastAsia="Times New Roman" w:cs="Calibri"/>
                <w:sz w:val="17"/>
                <w:szCs w:val="17"/>
              </w:rPr>
              <w:t>an</w:t>
            </w:r>
          </w:p>
        </w:tc>
        <w:tc>
          <w:tcPr>
            <w:tcW w:w="357"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25.767</w:t>
            </w:r>
          </w:p>
        </w:tc>
        <w:tc>
          <w:tcPr>
            <w:tcW w:w="357"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25.478</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25.193</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24.912</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25.119</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26.967</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26.658</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26.353</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26.051</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25.753</w:t>
            </w:r>
          </w:p>
        </w:tc>
        <w:tc>
          <w:tcPr>
            <w:tcW w:w="357"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25.459</w:t>
            </w:r>
          </w:p>
        </w:tc>
      </w:tr>
      <w:tr>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32" w:type="pct"/>
            <w:vAlign w:val="center"/>
            <w:hideMark/>
          </w:tcPr>
          <w:p>
            <w:pPr>
              <w:rPr>
                <w:rFonts w:eastAsia="Times New Roman" w:cs="Calibri"/>
                <w:b w:val="0"/>
                <w:bCs w:val="0"/>
                <w:sz w:val="17"/>
                <w:szCs w:val="17"/>
                <w:lang w:val="ro-RO"/>
              </w:rPr>
            </w:pPr>
            <w:r>
              <w:rPr>
                <w:rFonts w:eastAsia="Times New Roman" w:cs="Calibri"/>
                <w:sz w:val="17"/>
                <w:szCs w:val="17"/>
                <w:lang w:val="ro-RO"/>
              </w:rPr>
              <w:t>Digestatul din biodeșeurile din deșeuri reziduale rezultat prin tratare (deshidratare</w:t>
            </w:r>
            <w:r>
              <w:rPr>
                <w:rFonts w:eastAsia="Times New Roman" w:cs="Calibri"/>
                <w:sz w:val="17"/>
                <w:szCs w:val="17"/>
              </w:rPr>
              <w:t>/uscare) și trimis către stabilizare aerobă</w:t>
            </w:r>
          </w:p>
        </w:tc>
        <w:tc>
          <w:tcPr>
            <w:tcW w:w="233" w:type="pct"/>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t/</w:t>
            </w:r>
            <w:r>
              <w:rPr>
                <w:rFonts w:eastAsia="Times New Roman" w:cs="Calibri"/>
                <w:sz w:val="17"/>
                <w:szCs w:val="17"/>
              </w:rPr>
              <w:t>an</w:t>
            </w:r>
          </w:p>
        </w:tc>
        <w:tc>
          <w:tcPr>
            <w:tcW w:w="357"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11.047</w:t>
            </w:r>
          </w:p>
        </w:tc>
        <w:tc>
          <w:tcPr>
            <w:tcW w:w="357"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10.926</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10.807</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10.620</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10.203</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8.556</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8.461</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8.367</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8.275</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8.183</w:t>
            </w:r>
          </w:p>
        </w:tc>
        <w:tc>
          <w:tcPr>
            <w:tcW w:w="357"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8.093</w:t>
            </w:r>
          </w:p>
        </w:tc>
      </w:tr>
      <w:tr>
        <w:trPr>
          <w:trHeight w:val="300"/>
        </w:trPr>
        <w:tc>
          <w:tcPr>
            <w:cnfStyle w:val="001000000000" w:firstRow="0" w:lastRow="0" w:firstColumn="1" w:lastColumn="0" w:oddVBand="0" w:evenVBand="0" w:oddHBand="0" w:evenHBand="0" w:firstRowFirstColumn="0" w:firstRowLastColumn="0" w:lastRowFirstColumn="0" w:lastRowLastColumn="0"/>
            <w:tcW w:w="832" w:type="pct"/>
            <w:vAlign w:val="center"/>
            <w:hideMark/>
          </w:tcPr>
          <w:p>
            <w:pPr>
              <w:rPr>
                <w:rFonts w:eastAsia="Times New Roman" w:cs="Calibri"/>
                <w:sz w:val="17"/>
                <w:szCs w:val="17"/>
                <w:lang w:val="ro-RO"/>
              </w:rPr>
            </w:pPr>
            <w:r>
              <w:rPr>
                <w:rFonts w:eastAsia="Times New Roman" w:cs="Calibri"/>
                <w:sz w:val="17"/>
                <w:szCs w:val="17"/>
                <w:lang w:val="ro-RO"/>
              </w:rPr>
              <w:t>TOTAL OUTPUT, din care:</w:t>
            </w:r>
          </w:p>
        </w:tc>
        <w:tc>
          <w:tcPr>
            <w:tcW w:w="233" w:type="pct"/>
            <w:noWrap/>
            <w:vAlign w:val="center"/>
            <w:hideMark/>
          </w:tcPr>
          <w:p>
            <w:pPr>
              <w:cnfStyle w:val="000000000000" w:firstRow="0" w:lastRow="0" w:firstColumn="0" w:lastColumn="0" w:oddVBand="0" w:evenVBand="0" w:oddHBand="0"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rPr>
              <w:t>t/an</w:t>
            </w:r>
          </w:p>
        </w:tc>
        <w:tc>
          <w:tcPr>
            <w:tcW w:w="357"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88.836</w:t>
            </w:r>
          </w:p>
        </w:tc>
        <w:tc>
          <w:tcPr>
            <w:tcW w:w="357"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87.852</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86.878</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85.712</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84.932</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84.113</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83.159</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82.217</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81.286</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80.365</w:t>
            </w:r>
          </w:p>
        </w:tc>
        <w:tc>
          <w:tcPr>
            <w:tcW w:w="357"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79.455</w:t>
            </w:r>
          </w:p>
        </w:tc>
      </w:tr>
      <w:tr>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832" w:type="pct"/>
            <w:vAlign w:val="center"/>
            <w:hideMark/>
          </w:tcPr>
          <w:p>
            <w:pPr>
              <w:rPr>
                <w:rFonts w:eastAsia="Times New Roman" w:cs="Calibri"/>
                <w:b w:val="0"/>
                <w:bCs w:val="0"/>
                <w:sz w:val="17"/>
                <w:szCs w:val="17"/>
                <w:lang w:val="ro-RO"/>
              </w:rPr>
            </w:pPr>
            <w:r>
              <w:rPr>
                <w:rFonts w:eastAsia="Times New Roman" w:cs="Calibri"/>
                <w:sz w:val="17"/>
                <w:szCs w:val="17"/>
                <w:lang w:val="ro-RO"/>
              </w:rPr>
              <w:t>Compost din digestat provenit din biodeșeurile colectate separat</w:t>
            </w:r>
          </w:p>
        </w:tc>
        <w:tc>
          <w:tcPr>
            <w:tcW w:w="233" w:type="pct"/>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t/</w:t>
            </w:r>
            <w:r>
              <w:rPr>
                <w:rFonts w:eastAsia="Times New Roman" w:cs="Calibri"/>
                <w:sz w:val="17"/>
                <w:szCs w:val="17"/>
              </w:rPr>
              <w:t>an</w:t>
            </w:r>
          </w:p>
        </w:tc>
        <w:tc>
          <w:tcPr>
            <w:tcW w:w="357"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9.018</w:t>
            </w:r>
          </w:p>
        </w:tc>
        <w:tc>
          <w:tcPr>
            <w:tcW w:w="357"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8.917</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8.818</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8.719</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8.792</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9.438</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9.330</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9.224</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9.118</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9.014</w:t>
            </w:r>
          </w:p>
        </w:tc>
        <w:tc>
          <w:tcPr>
            <w:tcW w:w="357"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8.911</w:t>
            </w:r>
          </w:p>
        </w:tc>
      </w:tr>
      <w:tr>
        <w:trPr>
          <w:trHeight w:val="900"/>
        </w:trPr>
        <w:tc>
          <w:tcPr>
            <w:cnfStyle w:val="001000000000" w:firstRow="0" w:lastRow="0" w:firstColumn="1" w:lastColumn="0" w:oddVBand="0" w:evenVBand="0" w:oddHBand="0" w:evenHBand="0" w:firstRowFirstColumn="0" w:firstRowLastColumn="0" w:lastRowFirstColumn="0" w:lastRowLastColumn="0"/>
            <w:tcW w:w="832" w:type="pct"/>
            <w:vAlign w:val="center"/>
            <w:hideMark/>
          </w:tcPr>
          <w:p>
            <w:pPr>
              <w:rPr>
                <w:rFonts w:eastAsia="Times New Roman" w:cs="Calibri"/>
                <w:b w:val="0"/>
                <w:bCs w:val="0"/>
                <w:sz w:val="17"/>
                <w:szCs w:val="17"/>
                <w:lang w:val="ro-RO"/>
              </w:rPr>
            </w:pPr>
            <w:r>
              <w:rPr>
                <w:rFonts w:eastAsia="Times New Roman" w:cs="Calibri"/>
                <w:sz w:val="17"/>
                <w:szCs w:val="17"/>
                <w:lang w:val="ro-RO"/>
              </w:rPr>
              <w:lastRenderedPageBreak/>
              <w:t xml:space="preserve">CLO recuperat din digestatul provenit din </w:t>
            </w:r>
            <w:r>
              <w:rPr>
                <w:rFonts w:eastAsia="Times New Roman" w:cs="Calibri"/>
                <w:b w:val="0"/>
                <w:bCs w:val="0"/>
                <w:sz w:val="17"/>
                <w:szCs w:val="17"/>
                <w:lang w:val="ro-RO"/>
              </w:rPr>
              <w:t xml:space="preserve">fracția organică din </w:t>
            </w:r>
            <w:r>
              <w:rPr>
                <w:rFonts w:eastAsia="Times New Roman" w:cs="Calibri"/>
                <w:sz w:val="17"/>
                <w:szCs w:val="17"/>
                <w:lang w:val="ro-RO"/>
              </w:rPr>
              <w:t xml:space="preserve">deșeurile reziduale, rezultat în urma procesului de </w:t>
            </w:r>
            <w:r>
              <w:rPr>
                <w:rFonts w:eastAsia="Times New Roman" w:cs="Calibri"/>
                <w:b w:val="0"/>
                <w:bCs w:val="0"/>
                <w:sz w:val="17"/>
                <w:szCs w:val="17"/>
                <w:lang w:val="ro-RO"/>
              </w:rPr>
              <w:t xml:space="preserve">stabilizare / </w:t>
            </w:r>
            <w:r>
              <w:rPr>
                <w:rFonts w:eastAsia="Times New Roman" w:cs="Calibri"/>
                <w:sz w:val="17"/>
                <w:szCs w:val="17"/>
                <w:lang w:val="ro-RO"/>
              </w:rPr>
              <w:t>deshidratare/</w:t>
            </w:r>
            <w:r>
              <w:rPr>
                <w:rFonts w:eastAsia="Times New Roman" w:cs="Calibri"/>
                <w:b w:val="0"/>
                <w:bCs w:val="0"/>
                <w:sz w:val="17"/>
                <w:szCs w:val="17"/>
                <w:lang w:val="ro-RO"/>
              </w:rPr>
              <w:t xml:space="preserve"> </w:t>
            </w:r>
            <w:r>
              <w:rPr>
                <w:rFonts w:eastAsia="Times New Roman" w:cs="Calibri"/>
                <w:sz w:val="17"/>
                <w:szCs w:val="17"/>
                <w:lang w:val="ro-RO"/>
              </w:rPr>
              <w:t>uscare</w:t>
            </w:r>
          </w:p>
        </w:tc>
        <w:tc>
          <w:tcPr>
            <w:tcW w:w="233" w:type="pct"/>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t/</w:t>
            </w:r>
            <w:r>
              <w:rPr>
                <w:rFonts w:eastAsia="Times New Roman" w:cs="Calibri"/>
                <w:sz w:val="17"/>
                <w:szCs w:val="17"/>
              </w:rPr>
              <w:t>an</w:t>
            </w:r>
          </w:p>
        </w:tc>
        <w:tc>
          <w:tcPr>
            <w:tcW w:w="357"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2.209</w:t>
            </w:r>
          </w:p>
        </w:tc>
        <w:tc>
          <w:tcPr>
            <w:tcW w:w="357"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2.185</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2.161</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2.124</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2.041</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1.711</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1.692</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1.673</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1.655</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1.637</w:t>
            </w:r>
          </w:p>
        </w:tc>
        <w:tc>
          <w:tcPr>
            <w:tcW w:w="357"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1.619</w:t>
            </w:r>
          </w:p>
        </w:tc>
      </w:tr>
      <w:tr>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832" w:type="pct"/>
            <w:vAlign w:val="center"/>
            <w:hideMark/>
          </w:tcPr>
          <w:p>
            <w:pPr>
              <w:rPr>
                <w:rFonts w:eastAsia="Times New Roman" w:cs="Calibri"/>
                <w:b w:val="0"/>
                <w:bCs w:val="0"/>
                <w:sz w:val="17"/>
                <w:szCs w:val="17"/>
                <w:lang w:val="ro-RO"/>
              </w:rPr>
            </w:pPr>
            <w:r>
              <w:rPr>
                <w:rFonts w:eastAsia="Times New Roman" w:cs="Calibri"/>
                <w:sz w:val="17"/>
                <w:szCs w:val="17"/>
                <w:lang w:val="ro-RO"/>
              </w:rPr>
              <w:t xml:space="preserve">Digestatul obținut din </w:t>
            </w:r>
            <w:r>
              <w:rPr>
                <w:rFonts w:eastAsia="Times New Roman" w:cs="Calibri"/>
                <w:b w:val="0"/>
                <w:bCs w:val="0"/>
                <w:sz w:val="17"/>
                <w:szCs w:val="17"/>
                <w:lang w:val="ro-RO"/>
              </w:rPr>
              <w:t>fracția organică din</w:t>
            </w:r>
            <w:r>
              <w:rPr>
                <w:rFonts w:eastAsia="Times New Roman" w:cs="Calibri"/>
                <w:sz w:val="17"/>
                <w:szCs w:val="17"/>
                <w:lang w:val="ro-RO"/>
              </w:rPr>
              <w:t xml:space="preserve"> deșeurile reziduale rezultat după </w:t>
            </w:r>
            <w:r>
              <w:rPr>
                <w:rFonts w:eastAsia="Times New Roman" w:cs="Calibri"/>
                <w:sz w:val="17"/>
                <w:szCs w:val="17"/>
              </w:rPr>
              <w:t>tratare</w:t>
            </w:r>
            <w:r>
              <w:rPr>
                <w:rFonts w:eastAsia="Times New Roman" w:cs="Calibri"/>
                <w:sz w:val="17"/>
                <w:szCs w:val="17"/>
                <w:lang w:val="ro-RO"/>
              </w:rPr>
              <w:t xml:space="preserve"> și trimis la depozitare</w:t>
            </w:r>
          </w:p>
        </w:tc>
        <w:tc>
          <w:tcPr>
            <w:tcW w:w="233" w:type="pct"/>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t/</w:t>
            </w:r>
            <w:r>
              <w:rPr>
                <w:rFonts w:eastAsia="Times New Roman" w:cs="Calibri"/>
                <w:sz w:val="17"/>
                <w:szCs w:val="17"/>
              </w:rPr>
              <w:t>an</w:t>
            </w:r>
          </w:p>
        </w:tc>
        <w:tc>
          <w:tcPr>
            <w:tcW w:w="357"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8.837</w:t>
            </w:r>
          </w:p>
        </w:tc>
        <w:tc>
          <w:tcPr>
            <w:tcW w:w="357"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8.741</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8.646</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8.496</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8.162</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6.845</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6.769</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6.694</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6.620</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6.547</w:t>
            </w:r>
          </w:p>
        </w:tc>
        <w:tc>
          <w:tcPr>
            <w:tcW w:w="357"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6.474</w:t>
            </w:r>
          </w:p>
        </w:tc>
      </w:tr>
      <w:tr>
        <w:trPr>
          <w:trHeight w:val="300"/>
        </w:trPr>
        <w:tc>
          <w:tcPr>
            <w:cnfStyle w:val="001000000000" w:firstRow="0" w:lastRow="0" w:firstColumn="1" w:lastColumn="0" w:oddVBand="0" w:evenVBand="0" w:oddHBand="0" w:evenHBand="0" w:firstRowFirstColumn="0" w:firstRowLastColumn="0" w:lastRowFirstColumn="0" w:lastRowLastColumn="0"/>
            <w:tcW w:w="832" w:type="pct"/>
            <w:vAlign w:val="center"/>
            <w:hideMark/>
          </w:tcPr>
          <w:p>
            <w:pPr>
              <w:rPr>
                <w:rFonts w:eastAsia="Times New Roman" w:cs="Calibri"/>
                <w:b w:val="0"/>
                <w:bCs w:val="0"/>
                <w:sz w:val="17"/>
                <w:szCs w:val="17"/>
                <w:lang w:val="ro-RO"/>
              </w:rPr>
            </w:pPr>
            <w:r>
              <w:rPr>
                <w:rFonts w:eastAsia="Times New Roman" w:cs="Calibri"/>
                <w:sz w:val="17"/>
                <w:szCs w:val="17"/>
                <w:lang w:val="ro-RO"/>
              </w:rPr>
              <w:t>Reziduuri trimise la depozitare</w:t>
            </w:r>
          </w:p>
        </w:tc>
        <w:tc>
          <w:tcPr>
            <w:tcW w:w="233" w:type="pct"/>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t/</w:t>
            </w:r>
            <w:r>
              <w:rPr>
                <w:rFonts w:eastAsia="Times New Roman" w:cs="Calibri"/>
                <w:sz w:val="17"/>
                <w:szCs w:val="17"/>
              </w:rPr>
              <w:t>an</w:t>
            </w:r>
          </w:p>
        </w:tc>
        <w:tc>
          <w:tcPr>
            <w:tcW w:w="357"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5.627</w:t>
            </w:r>
          </w:p>
        </w:tc>
        <w:tc>
          <w:tcPr>
            <w:tcW w:w="357"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5.564</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5.502</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5.440</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5.485</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5.889</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5.822</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5.755</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5.689</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5.624</w:t>
            </w:r>
          </w:p>
        </w:tc>
        <w:tc>
          <w:tcPr>
            <w:tcW w:w="357"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5.560</w:t>
            </w:r>
          </w:p>
        </w:tc>
      </w:tr>
      <w:tr>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32" w:type="pct"/>
            <w:vAlign w:val="center"/>
            <w:hideMark/>
          </w:tcPr>
          <w:p>
            <w:pPr>
              <w:rPr>
                <w:rFonts w:eastAsia="Times New Roman" w:cs="Calibri"/>
                <w:b w:val="0"/>
                <w:bCs w:val="0"/>
                <w:sz w:val="17"/>
                <w:szCs w:val="17"/>
                <w:lang w:val="ro-RO"/>
              </w:rPr>
            </w:pPr>
            <w:r>
              <w:rPr>
                <w:rFonts w:eastAsia="Times New Roman" w:cs="Calibri"/>
                <w:sz w:val="17"/>
                <w:szCs w:val="17"/>
                <w:lang w:val="ro-RO"/>
              </w:rPr>
              <w:t>Pierderi</w:t>
            </w:r>
            <w:r>
              <w:rPr>
                <w:rFonts w:eastAsia="Times New Roman" w:cs="Calibri"/>
                <w:b w:val="0"/>
                <w:bCs w:val="0"/>
                <w:sz w:val="17"/>
                <w:szCs w:val="17"/>
                <w:lang w:val="ro-RO"/>
              </w:rPr>
              <w:t xml:space="preserve"> (fermentare, evaporare)</w:t>
            </w:r>
          </w:p>
        </w:tc>
        <w:tc>
          <w:tcPr>
            <w:tcW w:w="233" w:type="pct"/>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t/</w:t>
            </w:r>
            <w:r>
              <w:rPr>
                <w:rFonts w:eastAsia="Times New Roman" w:cs="Calibri"/>
                <w:sz w:val="17"/>
                <w:szCs w:val="17"/>
              </w:rPr>
              <w:t>an</w:t>
            </w:r>
          </w:p>
        </w:tc>
        <w:tc>
          <w:tcPr>
            <w:tcW w:w="357"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63.144</w:t>
            </w:r>
          </w:p>
        </w:tc>
        <w:tc>
          <w:tcPr>
            <w:tcW w:w="357"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62.444</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61.752</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60.932</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60.453</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60.230</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59.547</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58.871</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58.204</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57.544</w:t>
            </w:r>
          </w:p>
        </w:tc>
        <w:tc>
          <w:tcPr>
            <w:tcW w:w="357"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56.892</w:t>
            </w:r>
          </w:p>
        </w:tc>
      </w:tr>
      <w:tr>
        <w:trPr>
          <w:trHeight w:val="315"/>
        </w:trPr>
        <w:tc>
          <w:tcPr>
            <w:cnfStyle w:val="001000000000" w:firstRow="0" w:lastRow="0" w:firstColumn="1" w:lastColumn="0" w:oddVBand="0" w:evenVBand="0" w:oddHBand="0" w:evenHBand="0" w:firstRowFirstColumn="0" w:firstRowLastColumn="0" w:lastRowFirstColumn="0" w:lastRowLastColumn="0"/>
            <w:tcW w:w="5000" w:type="pct"/>
            <w:gridSpan w:val="13"/>
            <w:vAlign w:val="center"/>
            <w:hideMark/>
          </w:tcPr>
          <w:p>
            <w:pPr>
              <w:rPr>
                <w:rFonts w:eastAsia="Times New Roman" w:cs="Calibri"/>
                <w:sz w:val="17"/>
                <w:szCs w:val="17"/>
                <w:lang w:val="ro-RO"/>
              </w:rPr>
            </w:pPr>
            <w:r>
              <w:rPr>
                <w:rFonts w:eastAsia="Times New Roman" w:cs="Calibri"/>
                <w:sz w:val="17"/>
                <w:szCs w:val="17"/>
              </w:rPr>
              <w:t>PRODUCEREA RDF</w:t>
            </w:r>
          </w:p>
        </w:tc>
      </w:tr>
      <w:tr>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2" w:type="pct"/>
            <w:vAlign w:val="center"/>
            <w:hideMark/>
          </w:tcPr>
          <w:p>
            <w:pPr>
              <w:rPr>
                <w:rFonts w:eastAsia="Times New Roman" w:cs="Calibri"/>
                <w:sz w:val="17"/>
                <w:szCs w:val="17"/>
                <w:lang w:val="ro-RO"/>
              </w:rPr>
            </w:pPr>
            <w:r>
              <w:rPr>
                <w:rFonts w:eastAsia="Times New Roman" w:cs="Calibri"/>
                <w:sz w:val="17"/>
                <w:szCs w:val="17"/>
                <w:lang w:val="ro-RO"/>
              </w:rPr>
              <w:t>TOTAL INPUT, din care:</w:t>
            </w:r>
          </w:p>
        </w:tc>
        <w:tc>
          <w:tcPr>
            <w:tcW w:w="233" w:type="pct"/>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t/</w:t>
            </w:r>
            <w:r>
              <w:rPr>
                <w:rFonts w:eastAsia="Times New Roman" w:cs="Calibri"/>
                <w:b/>
                <w:bCs/>
                <w:sz w:val="17"/>
                <w:szCs w:val="17"/>
              </w:rPr>
              <w:t>an</w:t>
            </w:r>
          </w:p>
        </w:tc>
        <w:tc>
          <w:tcPr>
            <w:tcW w:w="357"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18.103</w:t>
            </w:r>
          </w:p>
        </w:tc>
        <w:tc>
          <w:tcPr>
            <w:tcW w:w="357"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17.903</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17.705</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17.499</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17.082</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16.028</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15.847</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15.668</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15.492</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15.317</w:t>
            </w:r>
          </w:p>
        </w:tc>
        <w:tc>
          <w:tcPr>
            <w:tcW w:w="357"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15.144</w:t>
            </w:r>
          </w:p>
        </w:tc>
      </w:tr>
      <w:tr>
        <w:trPr>
          <w:trHeight w:val="300"/>
        </w:trPr>
        <w:tc>
          <w:tcPr>
            <w:cnfStyle w:val="001000000000" w:firstRow="0" w:lastRow="0" w:firstColumn="1" w:lastColumn="0" w:oddVBand="0" w:evenVBand="0" w:oddHBand="0" w:evenHBand="0" w:firstRowFirstColumn="0" w:firstRowLastColumn="0" w:lastRowFirstColumn="0" w:lastRowLastColumn="0"/>
            <w:tcW w:w="832" w:type="pct"/>
            <w:vAlign w:val="center"/>
            <w:hideMark/>
          </w:tcPr>
          <w:p>
            <w:pPr>
              <w:rPr>
                <w:rFonts w:eastAsia="Times New Roman" w:cs="Calibri"/>
                <w:b w:val="0"/>
                <w:bCs w:val="0"/>
                <w:sz w:val="17"/>
                <w:szCs w:val="17"/>
                <w:lang w:val="ro-RO"/>
              </w:rPr>
            </w:pPr>
            <w:r>
              <w:rPr>
                <w:rFonts w:eastAsia="Times New Roman" w:cs="Calibri"/>
                <w:sz w:val="17"/>
                <w:szCs w:val="17"/>
                <w:lang w:val="ro-RO"/>
              </w:rPr>
              <w:t>Deșeuri combustibile din stațiile de sortare existente</w:t>
            </w:r>
          </w:p>
        </w:tc>
        <w:tc>
          <w:tcPr>
            <w:tcW w:w="233" w:type="pct"/>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t/</w:t>
            </w:r>
            <w:r>
              <w:rPr>
                <w:rFonts w:eastAsia="Times New Roman" w:cs="Calibri"/>
                <w:sz w:val="17"/>
                <w:szCs w:val="17"/>
              </w:rPr>
              <w:t>an</w:t>
            </w:r>
          </w:p>
        </w:tc>
        <w:tc>
          <w:tcPr>
            <w:tcW w:w="357"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2.956</w:t>
            </w:r>
          </w:p>
        </w:tc>
        <w:tc>
          <w:tcPr>
            <w:tcW w:w="357"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2.923</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2.891</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2.892</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2.892</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3.077</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3.041</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3.007</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2.972</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2.938</w:t>
            </w:r>
          </w:p>
        </w:tc>
        <w:tc>
          <w:tcPr>
            <w:tcW w:w="357"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2.904</w:t>
            </w:r>
          </w:p>
        </w:tc>
      </w:tr>
      <w:tr>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2" w:type="pct"/>
            <w:vAlign w:val="center"/>
            <w:hideMark/>
          </w:tcPr>
          <w:p>
            <w:pPr>
              <w:rPr>
                <w:rFonts w:eastAsia="Times New Roman" w:cs="Calibri"/>
                <w:b w:val="0"/>
                <w:bCs w:val="0"/>
                <w:sz w:val="17"/>
                <w:szCs w:val="17"/>
                <w:lang w:val="ro-RO"/>
              </w:rPr>
            </w:pPr>
            <w:r>
              <w:rPr>
                <w:rFonts w:eastAsia="Times New Roman" w:cs="Calibri"/>
                <w:sz w:val="17"/>
                <w:szCs w:val="17"/>
                <w:lang w:val="ro-RO"/>
              </w:rPr>
              <w:t>Deșeuri combustibile din sortarea reciclabilului</w:t>
            </w:r>
            <w:r>
              <w:rPr>
                <w:rFonts w:eastAsia="Times New Roman" w:cs="Calibri"/>
                <w:sz w:val="17"/>
                <w:szCs w:val="17"/>
                <w:lang w:val="es-ES"/>
              </w:rPr>
              <w:t xml:space="preserve"> la SS Valea Mărului</w:t>
            </w:r>
          </w:p>
        </w:tc>
        <w:tc>
          <w:tcPr>
            <w:tcW w:w="233" w:type="pct"/>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t/</w:t>
            </w:r>
            <w:r>
              <w:rPr>
                <w:rFonts w:eastAsia="Times New Roman" w:cs="Calibri"/>
                <w:sz w:val="17"/>
                <w:szCs w:val="17"/>
              </w:rPr>
              <w:t>an</w:t>
            </w:r>
          </w:p>
        </w:tc>
        <w:tc>
          <w:tcPr>
            <w:tcW w:w="357"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1.751</w:t>
            </w:r>
          </w:p>
        </w:tc>
        <w:tc>
          <w:tcPr>
            <w:tcW w:w="357"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1.731</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1.712</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1.711</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1.709</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1.807</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1.786</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1.766</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1.746</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1.726</w:t>
            </w:r>
          </w:p>
        </w:tc>
        <w:tc>
          <w:tcPr>
            <w:tcW w:w="357"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1.706</w:t>
            </w:r>
          </w:p>
        </w:tc>
      </w:tr>
      <w:tr>
        <w:trPr>
          <w:trHeight w:val="300"/>
        </w:trPr>
        <w:tc>
          <w:tcPr>
            <w:cnfStyle w:val="001000000000" w:firstRow="0" w:lastRow="0" w:firstColumn="1" w:lastColumn="0" w:oddVBand="0" w:evenVBand="0" w:oddHBand="0" w:evenHBand="0" w:firstRowFirstColumn="0" w:firstRowLastColumn="0" w:lastRowFirstColumn="0" w:lastRowLastColumn="0"/>
            <w:tcW w:w="832" w:type="pct"/>
            <w:vAlign w:val="center"/>
            <w:hideMark/>
          </w:tcPr>
          <w:p>
            <w:pPr>
              <w:rPr>
                <w:rFonts w:eastAsia="Times New Roman" w:cs="Calibri"/>
                <w:b w:val="0"/>
                <w:bCs w:val="0"/>
                <w:sz w:val="17"/>
                <w:szCs w:val="17"/>
                <w:lang w:val="ro-RO"/>
              </w:rPr>
            </w:pPr>
            <w:r>
              <w:rPr>
                <w:rFonts w:eastAsia="Times New Roman" w:cs="Calibri"/>
                <w:sz w:val="17"/>
                <w:szCs w:val="17"/>
                <w:lang w:val="ro-RO"/>
              </w:rPr>
              <w:t>Deșeuri combustibile din tratarea</w:t>
            </w:r>
            <w:r>
              <w:rPr>
                <w:rFonts w:eastAsia="Times New Roman" w:cs="Calibri"/>
                <w:sz w:val="17"/>
                <w:szCs w:val="17"/>
                <w:lang w:val="es-ES"/>
              </w:rPr>
              <w:t xml:space="preserve"> deșeurilor reziduale la TMB, deșeuri combustibile de la tratarea deșeurilor voluminoase și textile</w:t>
            </w:r>
            <w:r>
              <w:rPr>
                <w:rFonts w:eastAsia="Times New Roman" w:cs="Calibri"/>
                <w:sz w:val="17"/>
                <w:szCs w:val="17"/>
                <w:lang w:val="ro-RO"/>
              </w:rPr>
              <w:t xml:space="preserve"> altor deșeuri în </w:t>
            </w:r>
            <w:r>
              <w:rPr>
                <w:rFonts w:eastAsia="Times New Roman" w:cs="Calibri"/>
                <w:b w:val="0"/>
                <w:bCs w:val="0"/>
                <w:sz w:val="17"/>
                <w:szCs w:val="17"/>
                <w:lang w:val="ro-RO"/>
              </w:rPr>
              <w:t>alte instalații</w:t>
            </w:r>
          </w:p>
        </w:tc>
        <w:tc>
          <w:tcPr>
            <w:tcW w:w="233" w:type="pct"/>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t/</w:t>
            </w:r>
            <w:r>
              <w:rPr>
                <w:rFonts w:eastAsia="Times New Roman" w:cs="Calibri"/>
                <w:sz w:val="17"/>
                <w:szCs w:val="17"/>
              </w:rPr>
              <w:t>an</w:t>
            </w:r>
          </w:p>
        </w:tc>
        <w:tc>
          <w:tcPr>
            <w:tcW w:w="357"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13.395</w:t>
            </w:r>
          </w:p>
        </w:tc>
        <w:tc>
          <w:tcPr>
            <w:tcW w:w="357"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13.248</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13.103</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12.896</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12.480</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11.144</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11.019</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10.896</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10.774</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10.653</w:t>
            </w:r>
          </w:p>
        </w:tc>
        <w:tc>
          <w:tcPr>
            <w:tcW w:w="357"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10.534</w:t>
            </w:r>
          </w:p>
        </w:tc>
      </w:tr>
      <w:tr>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2" w:type="pct"/>
            <w:vAlign w:val="center"/>
            <w:hideMark/>
          </w:tcPr>
          <w:p>
            <w:pPr>
              <w:rPr>
                <w:rFonts w:eastAsia="Times New Roman" w:cs="Calibri"/>
                <w:sz w:val="17"/>
                <w:szCs w:val="17"/>
                <w:lang w:val="ro-RO"/>
              </w:rPr>
            </w:pPr>
            <w:r>
              <w:rPr>
                <w:rFonts w:eastAsia="Times New Roman" w:cs="Calibri"/>
                <w:sz w:val="17"/>
                <w:szCs w:val="17"/>
                <w:lang w:val="ro-RO"/>
              </w:rPr>
              <w:t>TOTAL OUTPUT, din care:</w:t>
            </w:r>
          </w:p>
        </w:tc>
        <w:tc>
          <w:tcPr>
            <w:tcW w:w="233" w:type="pct"/>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t/</w:t>
            </w:r>
            <w:r>
              <w:rPr>
                <w:rFonts w:eastAsia="Times New Roman" w:cs="Calibri"/>
                <w:b/>
                <w:bCs/>
                <w:sz w:val="17"/>
                <w:szCs w:val="17"/>
              </w:rPr>
              <w:t>an</w:t>
            </w:r>
          </w:p>
        </w:tc>
        <w:tc>
          <w:tcPr>
            <w:tcW w:w="357"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18.103</w:t>
            </w:r>
          </w:p>
        </w:tc>
        <w:tc>
          <w:tcPr>
            <w:tcW w:w="357"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17.903</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17.705</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17.499</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17.082</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16.028</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15.847</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15.668</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15.492</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15.317</w:t>
            </w:r>
          </w:p>
        </w:tc>
        <w:tc>
          <w:tcPr>
            <w:tcW w:w="357"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15.144</w:t>
            </w:r>
          </w:p>
        </w:tc>
      </w:tr>
      <w:tr>
        <w:trPr>
          <w:trHeight w:val="300"/>
        </w:trPr>
        <w:tc>
          <w:tcPr>
            <w:cnfStyle w:val="001000000000" w:firstRow="0" w:lastRow="0" w:firstColumn="1" w:lastColumn="0" w:oddVBand="0" w:evenVBand="0" w:oddHBand="0" w:evenHBand="0" w:firstRowFirstColumn="0" w:firstRowLastColumn="0" w:lastRowFirstColumn="0" w:lastRowLastColumn="0"/>
            <w:tcW w:w="832" w:type="pct"/>
            <w:vAlign w:val="center"/>
            <w:hideMark/>
          </w:tcPr>
          <w:p>
            <w:pPr>
              <w:rPr>
                <w:rFonts w:eastAsia="Times New Roman" w:cs="Calibri"/>
                <w:b w:val="0"/>
                <w:bCs w:val="0"/>
                <w:sz w:val="17"/>
                <w:szCs w:val="17"/>
                <w:lang w:val="ro-RO"/>
              </w:rPr>
            </w:pPr>
            <w:r>
              <w:rPr>
                <w:rFonts w:eastAsia="Times New Roman" w:cs="Calibri"/>
                <w:sz w:val="17"/>
                <w:szCs w:val="17"/>
                <w:lang w:val="ro-RO"/>
              </w:rPr>
              <w:lastRenderedPageBreak/>
              <w:t>RDF</w:t>
            </w:r>
          </w:p>
        </w:tc>
        <w:tc>
          <w:tcPr>
            <w:tcW w:w="233" w:type="pct"/>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t/</w:t>
            </w:r>
            <w:r>
              <w:rPr>
                <w:rFonts w:eastAsia="Times New Roman" w:cs="Calibri"/>
                <w:sz w:val="17"/>
                <w:szCs w:val="17"/>
              </w:rPr>
              <w:t>an</w:t>
            </w:r>
          </w:p>
        </w:tc>
        <w:tc>
          <w:tcPr>
            <w:tcW w:w="357"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14.482</w:t>
            </w:r>
          </w:p>
        </w:tc>
        <w:tc>
          <w:tcPr>
            <w:tcW w:w="357"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14.322</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14.164</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13.999</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13.666</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12.822</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12.678</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12.535</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12.393</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12.254</w:t>
            </w:r>
          </w:p>
        </w:tc>
        <w:tc>
          <w:tcPr>
            <w:tcW w:w="357"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12.116</w:t>
            </w:r>
          </w:p>
        </w:tc>
      </w:tr>
      <w:tr>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2" w:type="pct"/>
            <w:vAlign w:val="center"/>
            <w:hideMark/>
          </w:tcPr>
          <w:p>
            <w:pPr>
              <w:rPr>
                <w:rFonts w:eastAsia="Times New Roman" w:cs="Calibri"/>
                <w:b w:val="0"/>
                <w:bCs w:val="0"/>
                <w:sz w:val="17"/>
                <w:szCs w:val="17"/>
                <w:lang w:val="ro-RO"/>
              </w:rPr>
            </w:pPr>
            <w:r>
              <w:rPr>
                <w:rFonts w:eastAsia="Times New Roman" w:cs="Calibri"/>
                <w:sz w:val="17"/>
                <w:szCs w:val="17"/>
                <w:lang w:val="ro-RO"/>
              </w:rPr>
              <w:t>Reziduuri trimise la depozitare</w:t>
            </w:r>
          </w:p>
        </w:tc>
        <w:tc>
          <w:tcPr>
            <w:tcW w:w="233" w:type="pct"/>
            <w:noWrap/>
            <w:vAlign w:val="center"/>
            <w:hideMark/>
          </w:tcPr>
          <w:p>
            <w:pPr>
              <w:jc w:val="center"/>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t/</w:t>
            </w:r>
            <w:r>
              <w:rPr>
                <w:rFonts w:eastAsia="Times New Roman" w:cs="Calibri"/>
                <w:sz w:val="17"/>
                <w:szCs w:val="17"/>
              </w:rPr>
              <w:t>an</w:t>
            </w:r>
          </w:p>
        </w:tc>
        <w:tc>
          <w:tcPr>
            <w:tcW w:w="357"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3.621</w:t>
            </w:r>
          </w:p>
        </w:tc>
        <w:tc>
          <w:tcPr>
            <w:tcW w:w="357"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3.581</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3.541</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3.500</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3.416</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3.206</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3.169</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3.134</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3.098</w:t>
            </w:r>
          </w:p>
        </w:tc>
        <w:tc>
          <w:tcPr>
            <w:tcW w:w="358"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3.063</w:t>
            </w:r>
          </w:p>
        </w:tc>
        <w:tc>
          <w:tcPr>
            <w:tcW w:w="357" w:type="pct"/>
            <w:noWrap/>
            <w:vAlign w:val="center"/>
            <w:hideMark/>
          </w:tcPr>
          <w:p>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3.029</w:t>
            </w:r>
          </w:p>
        </w:tc>
      </w:tr>
      <w:tr>
        <w:trPr>
          <w:trHeight w:val="315"/>
        </w:trPr>
        <w:tc>
          <w:tcPr>
            <w:cnfStyle w:val="001000000000" w:firstRow="0" w:lastRow="0" w:firstColumn="1" w:lastColumn="0" w:oddVBand="0" w:evenVBand="0" w:oddHBand="0" w:evenHBand="0" w:firstRowFirstColumn="0" w:firstRowLastColumn="0" w:lastRowFirstColumn="0" w:lastRowLastColumn="0"/>
            <w:tcW w:w="832" w:type="pct"/>
            <w:vAlign w:val="center"/>
            <w:hideMark/>
          </w:tcPr>
          <w:p>
            <w:pPr>
              <w:rPr>
                <w:rFonts w:eastAsia="Times New Roman" w:cs="Calibri"/>
                <w:b w:val="0"/>
                <w:bCs w:val="0"/>
                <w:sz w:val="17"/>
                <w:szCs w:val="17"/>
                <w:lang w:val="ro-RO"/>
              </w:rPr>
            </w:pPr>
            <w:r>
              <w:rPr>
                <w:rFonts w:eastAsia="Times New Roman" w:cs="Calibri"/>
                <w:sz w:val="17"/>
                <w:szCs w:val="17"/>
                <w:lang w:val="ro-RO"/>
              </w:rPr>
              <w:t xml:space="preserve">Total </w:t>
            </w:r>
            <w:r>
              <w:rPr>
                <w:rFonts w:eastAsia="Times New Roman" w:cs="Calibri"/>
                <w:sz w:val="17"/>
                <w:szCs w:val="17"/>
                <w:lang w:val="es-ES"/>
              </w:rPr>
              <w:t>reziduuri</w:t>
            </w:r>
            <w:r>
              <w:rPr>
                <w:rFonts w:eastAsia="Times New Roman" w:cs="Calibri"/>
                <w:sz w:val="17"/>
                <w:szCs w:val="17"/>
                <w:lang w:val="ro-RO"/>
              </w:rPr>
              <w:t xml:space="preserve"> trimise la depozitare</w:t>
            </w:r>
          </w:p>
        </w:tc>
        <w:tc>
          <w:tcPr>
            <w:tcW w:w="233" w:type="pct"/>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eastAsia="Times New Roman" w:cs="Calibri"/>
                <w:b/>
                <w:bCs/>
                <w:sz w:val="17"/>
                <w:szCs w:val="17"/>
                <w:lang w:val="ro-RO"/>
              </w:rPr>
            </w:pPr>
            <w:r>
              <w:rPr>
                <w:rFonts w:eastAsia="Times New Roman" w:cs="Calibri"/>
                <w:b/>
                <w:bCs/>
                <w:sz w:val="17"/>
                <w:szCs w:val="17"/>
                <w:lang w:val="ro-RO"/>
              </w:rPr>
              <w:t>t/</w:t>
            </w:r>
            <w:r>
              <w:rPr>
                <w:rFonts w:eastAsia="Times New Roman" w:cs="Calibri"/>
                <w:b/>
                <w:bCs/>
                <w:sz w:val="17"/>
                <w:szCs w:val="17"/>
              </w:rPr>
              <w:t>an</w:t>
            </w:r>
          </w:p>
        </w:tc>
        <w:tc>
          <w:tcPr>
            <w:tcW w:w="357"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23.095</w:t>
            </w:r>
          </w:p>
        </w:tc>
        <w:tc>
          <w:tcPr>
            <w:tcW w:w="357"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22.841</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22.590</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22.253</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21.691</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19.820</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19.597</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19.378</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19.160</w:t>
            </w:r>
          </w:p>
        </w:tc>
        <w:tc>
          <w:tcPr>
            <w:tcW w:w="358"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18.946</w:t>
            </w:r>
          </w:p>
        </w:tc>
        <w:tc>
          <w:tcPr>
            <w:tcW w:w="357" w:type="pct"/>
            <w:noWrap/>
            <w:vAlign w:val="center"/>
            <w:hideMark/>
          </w:tcPr>
          <w:p>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7"/>
                <w:szCs w:val="17"/>
                <w:lang w:val="ro-RO"/>
              </w:rPr>
            </w:pPr>
            <w:r>
              <w:rPr>
                <w:rFonts w:eastAsia="Times New Roman" w:cs="Calibri"/>
                <w:sz w:val="17"/>
                <w:szCs w:val="17"/>
                <w:lang w:val="ro-RO"/>
              </w:rPr>
              <w:t>18.733</w:t>
            </w:r>
          </w:p>
        </w:tc>
      </w:tr>
      <w:tr>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832" w:type="pct"/>
            <w:vAlign w:val="center"/>
          </w:tcPr>
          <w:p>
            <w:pPr>
              <w:rPr>
                <w:rFonts w:eastAsia="Times New Roman" w:cs="Calibri"/>
                <w:sz w:val="17"/>
                <w:szCs w:val="17"/>
              </w:rPr>
            </w:pPr>
            <w:r>
              <w:rPr>
                <w:rFonts w:eastAsia="Times New Roman" w:cs="Calibri"/>
                <w:sz w:val="17"/>
                <w:szCs w:val="17"/>
              </w:rPr>
              <w:t>TOTAL INPUT TMB GALAȚI</w:t>
            </w:r>
          </w:p>
        </w:tc>
        <w:tc>
          <w:tcPr>
            <w:tcW w:w="233" w:type="pct"/>
            <w:noWrap/>
            <w:vAlign w:val="center"/>
          </w:tcPr>
          <w:p>
            <w:pPr>
              <w:jc w:val="center"/>
              <w:cnfStyle w:val="000000100000" w:firstRow="0" w:lastRow="0" w:firstColumn="0" w:lastColumn="0" w:oddVBand="0" w:evenVBand="0" w:oddHBand="1" w:evenHBand="0" w:firstRowFirstColumn="0" w:firstRowLastColumn="0" w:lastRowFirstColumn="0" w:lastRowLastColumn="0"/>
              <w:rPr>
                <w:rFonts w:eastAsia="Times New Roman" w:cs="Calibri"/>
                <w:b/>
                <w:bCs/>
                <w:sz w:val="17"/>
                <w:szCs w:val="17"/>
              </w:rPr>
            </w:pPr>
            <w:r>
              <w:rPr>
                <w:rFonts w:eastAsia="Times New Roman" w:cs="Calibri"/>
                <w:b/>
                <w:bCs/>
                <w:sz w:val="17"/>
                <w:szCs w:val="17"/>
              </w:rPr>
              <w:t>t/an</w:t>
            </w:r>
          </w:p>
        </w:tc>
        <w:tc>
          <w:tcPr>
            <w:tcW w:w="357" w:type="pct"/>
            <w:noWrap/>
            <w:vAlign w:val="center"/>
          </w:tcPr>
          <w:p>
            <w:pPr>
              <w:ind w:left="-108"/>
              <w:jc w:val="right"/>
              <w:cnfStyle w:val="000000100000" w:firstRow="0" w:lastRow="0" w:firstColumn="0" w:lastColumn="0" w:oddVBand="0" w:evenVBand="0" w:oddHBand="1" w:evenHBand="0" w:firstRowFirstColumn="0" w:firstRowLastColumn="0" w:lastRowFirstColumn="0" w:lastRowLastColumn="0"/>
              <w:rPr>
                <w:rFonts w:eastAsia="Times New Roman" w:cs="Calibri"/>
                <w:b/>
                <w:bCs/>
                <w:sz w:val="17"/>
                <w:szCs w:val="17"/>
              </w:rPr>
            </w:pPr>
            <w:r>
              <w:rPr>
                <w:rFonts w:cs="Arial"/>
                <w:b/>
                <w:bCs/>
                <w:sz w:val="17"/>
                <w:szCs w:val="17"/>
              </w:rPr>
              <w:t>114.454</w:t>
            </w:r>
          </w:p>
        </w:tc>
        <w:tc>
          <w:tcPr>
            <w:tcW w:w="357" w:type="pct"/>
            <w:noWrap/>
            <w:vAlign w:val="center"/>
          </w:tcPr>
          <w:p>
            <w:pPr>
              <w:ind w:left="-108"/>
              <w:jc w:val="right"/>
              <w:cnfStyle w:val="000000100000" w:firstRow="0" w:lastRow="0" w:firstColumn="0" w:lastColumn="0" w:oddVBand="0" w:evenVBand="0" w:oddHBand="1" w:evenHBand="0" w:firstRowFirstColumn="0" w:firstRowLastColumn="0" w:lastRowFirstColumn="0" w:lastRowLastColumn="0"/>
              <w:rPr>
                <w:rFonts w:eastAsia="Times New Roman" w:cs="Calibri"/>
                <w:b/>
                <w:bCs/>
                <w:sz w:val="17"/>
                <w:szCs w:val="17"/>
              </w:rPr>
            </w:pPr>
            <w:r>
              <w:rPr>
                <w:rFonts w:cs="Arial"/>
                <w:b/>
                <w:bCs/>
                <w:sz w:val="17"/>
                <w:szCs w:val="17"/>
              </w:rPr>
              <w:t>113.188</w:t>
            </w:r>
          </w:p>
        </w:tc>
        <w:tc>
          <w:tcPr>
            <w:tcW w:w="358" w:type="pct"/>
            <w:noWrap/>
            <w:vAlign w:val="center"/>
          </w:tcPr>
          <w:p>
            <w:pPr>
              <w:ind w:left="-108"/>
              <w:jc w:val="right"/>
              <w:cnfStyle w:val="000000100000" w:firstRow="0" w:lastRow="0" w:firstColumn="0" w:lastColumn="0" w:oddVBand="0" w:evenVBand="0" w:oddHBand="1" w:evenHBand="0" w:firstRowFirstColumn="0" w:firstRowLastColumn="0" w:lastRowFirstColumn="0" w:lastRowLastColumn="0"/>
              <w:rPr>
                <w:rFonts w:eastAsia="Times New Roman" w:cs="Calibri"/>
                <w:b/>
                <w:bCs/>
                <w:sz w:val="17"/>
                <w:szCs w:val="17"/>
              </w:rPr>
            </w:pPr>
            <w:r>
              <w:rPr>
                <w:rFonts w:cs="Arial"/>
                <w:b/>
                <w:bCs/>
                <w:sz w:val="17"/>
                <w:szCs w:val="17"/>
              </w:rPr>
              <w:t>111.936</w:t>
            </w:r>
          </w:p>
        </w:tc>
        <w:tc>
          <w:tcPr>
            <w:tcW w:w="358" w:type="pct"/>
            <w:noWrap/>
            <w:vAlign w:val="center"/>
          </w:tcPr>
          <w:p>
            <w:pPr>
              <w:ind w:left="-108"/>
              <w:jc w:val="right"/>
              <w:cnfStyle w:val="000000100000" w:firstRow="0" w:lastRow="0" w:firstColumn="0" w:lastColumn="0" w:oddVBand="0" w:evenVBand="0" w:oddHBand="1" w:evenHBand="0" w:firstRowFirstColumn="0" w:firstRowLastColumn="0" w:lastRowFirstColumn="0" w:lastRowLastColumn="0"/>
              <w:rPr>
                <w:rFonts w:eastAsia="Times New Roman" w:cs="Calibri"/>
                <w:b/>
                <w:bCs/>
                <w:sz w:val="17"/>
                <w:szCs w:val="17"/>
              </w:rPr>
            </w:pPr>
            <w:r>
              <w:rPr>
                <w:rFonts w:cs="Arial"/>
                <w:b/>
                <w:bCs/>
                <w:sz w:val="17"/>
                <w:szCs w:val="17"/>
              </w:rPr>
              <w:t>110.436</w:t>
            </w:r>
          </w:p>
        </w:tc>
        <w:tc>
          <w:tcPr>
            <w:tcW w:w="358" w:type="pct"/>
            <w:noWrap/>
            <w:vAlign w:val="center"/>
          </w:tcPr>
          <w:p>
            <w:pPr>
              <w:ind w:left="-108"/>
              <w:jc w:val="right"/>
              <w:cnfStyle w:val="000000100000" w:firstRow="0" w:lastRow="0" w:firstColumn="0" w:lastColumn="0" w:oddVBand="0" w:evenVBand="0" w:oddHBand="1" w:evenHBand="0" w:firstRowFirstColumn="0" w:firstRowLastColumn="0" w:lastRowFirstColumn="0" w:lastRowLastColumn="0"/>
              <w:rPr>
                <w:rFonts w:eastAsia="Times New Roman" w:cs="Calibri"/>
                <w:b/>
                <w:bCs/>
                <w:sz w:val="17"/>
                <w:szCs w:val="17"/>
              </w:rPr>
            </w:pPr>
            <w:r>
              <w:rPr>
                <w:rFonts w:cs="Arial"/>
                <w:b/>
                <w:bCs/>
                <w:sz w:val="17"/>
                <w:szCs w:val="17"/>
              </w:rPr>
              <w:t>108.955</w:t>
            </w:r>
          </w:p>
        </w:tc>
        <w:tc>
          <w:tcPr>
            <w:tcW w:w="358" w:type="pct"/>
            <w:noWrap/>
            <w:vAlign w:val="center"/>
          </w:tcPr>
          <w:p>
            <w:pPr>
              <w:ind w:left="-108"/>
              <w:jc w:val="right"/>
              <w:cnfStyle w:val="000000100000" w:firstRow="0" w:lastRow="0" w:firstColumn="0" w:lastColumn="0" w:oddVBand="0" w:evenVBand="0" w:oddHBand="1" w:evenHBand="0" w:firstRowFirstColumn="0" w:firstRowLastColumn="0" w:lastRowFirstColumn="0" w:lastRowLastColumn="0"/>
              <w:rPr>
                <w:rFonts w:eastAsia="Times New Roman" w:cs="Calibri"/>
                <w:b/>
                <w:bCs/>
                <w:sz w:val="17"/>
                <w:szCs w:val="17"/>
              </w:rPr>
            </w:pPr>
            <w:r>
              <w:rPr>
                <w:rFonts w:cs="Arial"/>
                <w:b/>
                <w:bCs/>
                <w:sz w:val="17"/>
                <w:szCs w:val="17"/>
              </w:rPr>
              <w:t>105.961</w:t>
            </w:r>
          </w:p>
        </w:tc>
        <w:tc>
          <w:tcPr>
            <w:tcW w:w="358" w:type="pct"/>
            <w:noWrap/>
            <w:vAlign w:val="center"/>
          </w:tcPr>
          <w:p>
            <w:pPr>
              <w:ind w:left="-108"/>
              <w:jc w:val="right"/>
              <w:cnfStyle w:val="000000100000" w:firstRow="0" w:lastRow="0" w:firstColumn="0" w:lastColumn="0" w:oddVBand="0" w:evenVBand="0" w:oddHBand="1" w:evenHBand="0" w:firstRowFirstColumn="0" w:firstRowLastColumn="0" w:lastRowFirstColumn="0" w:lastRowLastColumn="0"/>
              <w:rPr>
                <w:rFonts w:eastAsia="Times New Roman" w:cs="Calibri"/>
                <w:b/>
                <w:bCs/>
                <w:sz w:val="17"/>
                <w:szCs w:val="17"/>
              </w:rPr>
            </w:pPr>
            <w:r>
              <w:rPr>
                <w:rFonts w:cs="Arial"/>
                <w:b/>
                <w:bCs/>
                <w:sz w:val="17"/>
                <w:szCs w:val="17"/>
              </w:rPr>
              <w:t>104.763</w:t>
            </w:r>
          </w:p>
        </w:tc>
        <w:tc>
          <w:tcPr>
            <w:tcW w:w="358" w:type="pct"/>
            <w:noWrap/>
            <w:vAlign w:val="center"/>
          </w:tcPr>
          <w:p>
            <w:pPr>
              <w:ind w:left="-108"/>
              <w:jc w:val="right"/>
              <w:cnfStyle w:val="000000100000" w:firstRow="0" w:lastRow="0" w:firstColumn="0" w:lastColumn="0" w:oddVBand="0" w:evenVBand="0" w:oddHBand="1" w:evenHBand="0" w:firstRowFirstColumn="0" w:firstRowLastColumn="0" w:lastRowFirstColumn="0" w:lastRowLastColumn="0"/>
              <w:rPr>
                <w:rFonts w:eastAsia="Times New Roman" w:cs="Calibri"/>
                <w:b/>
                <w:bCs/>
                <w:sz w:val="17"/>
                <w:szCs w:val="17"/>
              </w:rPr>
            </w:pPr>
            <w:r>
              <w:rPr>
                <w:rFonts w:cs="Arial"/>
                <w:b/>
                <w:bCs/>
                <w:sz w:val="17"/>
                <w:szCs w:val="17"/>
              </w:rPr>
              <w:t>103.578</w:t>
            </w:r>
          </w:p>
        </w:tc>
        <w:tc>
          <w:tcPr>
            <w:tcW w:w="358" w:type="pct"/>
            <w:noWrap/>
            <w:vAlign w:val="center"/>
          </w:tcPr>
          <w:p>
            <w:pPr>
              <w:ind w:left="-108"/>
              <w:jc w:val="right"/>
              <w:cnfStyle w:val="000000100000" w:firstRow="0" w:lastRow="0" w:firstColumn="0" w:lastColumn="0" w:oddVBand="0" w:evenVBand="0" w:oddHBand="1" w:evenHBand="0" w:firstRowFirstColumn="0" w:firstRowLastColumn="0" w:lastRowFirstColumn="0" w:lastRowLastColumn="0"/>
              <w:rPr>
                <w:rFonts w:eastAsia="Times New Roman" w:cs="Calibri"/>
                <w:b/>
                <w:bCs/>
                <w:sz w:val="17"/>
                <w:szCs w:val="17"/>
              </w:rPr>
            </w:pPr>
            <w:r>
              <w:rPr>
                <w:rFonts w:cs="Arial"/>
                <w:b/>
                <w:bCs/>
                <w:sz w:val="17"/>
                <w:szCs w:val="17"/>
              </w:rPr>
              <w:t>102.407</w:t>
            </w:r>
          </w:p>
        </w:tc>
        <w:tc>
          <w:tcPr>
            <w:tcW w:w="358" w:type="pct"/>
            <w:noWrap/>
            <w:vAlign w:val="center"/>
          </w:tcPr>
          <w:p>
            <w:pPr>
              <w:ind w:left="-108"/>
              <w:jc w:val="right"/>
              <w:cnfStyle w:val="000000100000" w:firstRow="0" w:lastRow="0" w:firstColumn="0" w:lastColumn="0" w:oddVBand="0" w:evenVBand="0" w:oddHBand="1" w:evenHBand="0" w:firstRowFirstColumn="0" w:firstRowLastColumn="0" w:lastRowFirstColumn="0" w:lastRowLastColumn="0"/>
              <w:rPr>
                <w:rFonts w:eastAsia="Times New Roman" w:cs="Calibri"/>
                <w:b/>
                <w:bCs/>
                <w:sz w:val="17"/>
                <w:szCs w:val="17"/>
              </w:rPr>
            </w:pPr>
            <w:r>
              <w:rPr>
                <w:rFonts w:cs="Arial"/>
                <w:b/>
                <w:bCs/>
                <w:sz w:val="17"/>
                <w:szCs w:val="17"/>
              </w:rPr>
              <w:t>101.249</w:t>
            </w:r>
          </w:p>
        </w:tc>
        <w:tc>
          <w:tcPr>
            <w:tcW w:w="357" w:type="pct"/>
            <w:noWrap/>
            <w:vAlign w:val="center"/>
          </w:tcPr>
          <w:p>
            <w:pPr>
              <w:ind w:left="-108"/>
              <w:jc w:val="right"/>
              <w:cnfStyle w:val="000000100000" w:firstRow="0" w:lastRow="0" w:firstColumn="0" w:lastColumn="0" w:oddVBand="0" w:evenVBand="0" w:oddHBand="1" w:evenHBand="0" w:firstRowFirstColumn="0" w:firstRowLastColumn="0" w:lastRowFirstColumn="0" w:lastRowLastColumn="0"/>
              <w:rPr>
                <w:rFonts w:eastAsia="Times New Roman" w:cs="Calibri"/>
                <w:b/>
                <w:bCs/>
                <w:sz w:val="17"/>
                <w:szCs w:val="17"/>
              </w:rPr>
            </w:pPr>
            <w:r>
              <w:rPr>
                <w:rFonts w:cs="Arial"/>
                <w:b/>
                <w:bCs/>
                <w:sz w:val="17"/>
                <w:szCs w:val="17"/>
              </w:rPr>
              <w:t>100.105</w:t>
            </w:r>
          </w:p>
        </w:tc>
      </w:tr>
    </w:tbl>
    <w:p>
      <w:pPr>
        <w:rPr>
          <w:sz w:val="20"/>
          <w:szCs w:val="20"/>
          <w:lang w:val="ro-RO"/>
        </w:rPr>
        <w:sectPr>
          <w:pgSz w:w="16838" w:h="11906" w:orient="landscape"/>
          <w:pgMar w:top="1440" w:right="1134" w:bottom="851" w:left="992" w:header="709" w:footer="573" w:gutter="0"/>
          <w:cols w:space="708"/>
          <w:docGrid w:linePitch="360"/>
        </w:sectPr>
      </w:pPr>
    </w:p>
    <w:p>
      <w:pPr>
        <w:rPr>
          <w:sz w:val="20"/>
          <w:szCs w:val="20"/>
          <w:lang w:val="ro-RO"/>
        </w:rPr>
      </w:pPr>
      <w:r>
        <w:rPr>
          <w:sz w:val="20"/>
          <w:szCs w:val="20"/>
          <w:lang w:val="ro-RO"/>
        </w:rPr>
        <w:lastRenderedPageBreak/>
        <w:t>Estimările au fost realizate în cadrul Studiului de fundamentare (2026) nu au la baza determinari (cantităţi generate în prezent, procentul de deşeuri similare din cele menajere, soluţia tehnologică de tratare mecanică şi biologică a deşeurilor etc.).</w:t>
      </w:r>
      <w:r>
        <w:rPr>
          <w:lang w:val="ro-RO"/>
        </w:rPr>
        <w:t xml:space="preserve"> </w:t>
      </w:r>
      <w:r>
        <w:rPr>
          <w:sz w:val="20"/>
          <w:szCs w:val="20"/>
          <w:lang w:val="ro-RO"/>
        </w:rPr>
        <w:t>In fapt, datorită proceselor de digestie, nu poate fi realizat un bilant masic în adevaratul sens al cuvântului. Procesele de digestie sunt procese microbiologice în cadrul cărora microorganismele consumă materia organică, rezultatele fiind (in principal) apa + metan+ bioxid de carbon + materia reziduală (digestatul) care nu mai poate fi consumată de bacterii. Cantităţile de deşeuri pot varia cu până la 15%.</w:t>
      </w:r>
      <w:r>
        <w:rPr>
          <w:lang w:val="ro-RO"/>
        </w:rPr>
        <w:t xml:space="preserve"> O</w:t>
      </w:r>
      <w:r>
        <w:rPr>
          <w:sz w:val="20"/>
          <w:szCs w:val="20"/>
          <w:lang w:val="ro-RO"/>
        </w:rPr>
        <w:t>rice alt cost suplimentar care poate să apară va fi suportat de Operator.</w:t>
      </w:r>
      <w:r>
        <w:rPr>
          <w:lang w:val="ro-RO"/>
        </w:rPr>
        <w:t xml:space="preserve"> </w:t>
      </w:r>
      <w:r>
        <w:rPr>
          <w:sz w:val="20"/>
          <w:szCs w:val="20"/>
          <w:lang w:val="ro-RO"/>
        </w:rPr>
        <w:t>Antreprenorului i se solicită să se bazeze pe experiența proprie deținută și să proiecteze instalațiile astfel încât acestea să poată face față unor variații de +/- 15%.</w:t>
      </w:r>
    </w:p>
    <w:p>
      <w:pPr>
        <w:rPr>
          <w:rFonts w:cs="TrebuchetMS"/>
          <w:sz w:val="20"/>
          <w:szCs w:val="20"/>
          <w:lang w:val="ro-RO"/>
        </w:rPr>
      </w:pPr>
      <w:r>
        <w:rPr>
          <w:sz w:val="20"/>
          <w:szCs w:val="20"/>
          <w:lang w:val="ro-RO"/>
        </w:rPr>
        <w:t xml:space="preserve">Linia “Compost din digestat provenit din biodeșeurile colectate separat “ se referă la un produs rezultat care este dorit a avea funcții de fertilizant sau ameliorator de sol. </w:t>
      </w:r>
      <w:r>
        <w:rPr>
          <w:rFonts w:cs="Calibri"/>
          <w:sz w:val="20"/>
          <w:szCs w:val="20"/>
          <w:lang w:val="ro-RO"/>
        </w:rPr>
        <w:t>Produsul final obținut va fi compost de calitate A, în acest sens fiind respectate cerințele impuse de Regulamentul UE nr. 2019/1009 (Anexa II, CMC 3 și 5), respectiv cerințele Legii 181/2020.</w:t>
      </w:r>
      <w:r>
        <w:rPr>
          <w:sz w:val="20"/>
          <w:szCs w:val="20"/>
          <w:lang w:val="ro-RO"/>
        </w:rPr>
        <w:t xml:space="preserve">  Pentru a răspunde cerințelor legale, este important ca produsul sa nu fie depozitat in depozite de deșeuri ci sa poată fi reintrodus in circuitul natural. În acest sens, a se vedea și mențiunile Regulamentului UE 2019/1009 precum și OUG 121/2022 referitor la evaluarea conformității produsului. </w:t>
      </w:r>
      <w:r>
        <w:rPr>
          <w:rFonts w:cs="TrebuchetMS"/>
          <w:sz w:val="20"/>
          <w:szCs w:val="20"/>
          <w:lang w:val="ro-RO"/>
        </w:rPr>
        <w:t>Compostarea digestatului solid obținut din fermentarea biodeşeurilor colectate separat este obligatorie pentru stabilizarea biologică și chimică a produsului finit.</w:t>
      </w:r>
    </w:p>
    <w:p>
      <w:pPr>
        <w:rPr>
          <w:rFonts w:eastAsia="Times New Roman" w:cs="Calibri"/>
          <w:sz w:val="20"/>
          <w:szCs w:val="20"/>
          <w:lang w:val="ro-RO"/>
        </w:rPr>
      </w:pPr>
      <w:r>
        <w:rPr>
          <w:rFonts w:eastAsia="Times New Roman" w:cs="Calibri"/>
          <w:sz w:val="20"/>
          <w:szCs w:val="20"/>
          <w:lang w:val="ro-RO"/>
        </w:rPr>
        <w:t xml:space="preserve">Digestatul obținut din fracția organică din deșeurile reziduale rezultat după tratare este un produs care în prealabil a fost stabilizat biologic prin tratare aerobă (proces obligatoriu) și a cărei masă a fost redusă prin procedee mecanice (deshidratare, uscare) înainte de depozitare. </w:t>
      </w:r>
    </w:p>
    <w:p>
      <w:pPr>
        <w:rPr>
          <w:rFonts w:eastAsia="Times New Roman" w:cs="Calibri"/>
          <w:i/>
          <w:iCs/>
          <w:sz w:val="20"/>
          <w:szCs w:val="20"/>
          <w:u w:val="single"/>
          <w:lang w:val="ro-RO"/>
        </w:rPr>
      </w:pPr>
      <w:r>
        <w:rPr>
          <w:rFonts w:eastAsia="Times New Roman" w:cs="Calibri"/>
          <w:i/>
          <w:iCs/>
          <w:sz w:val="20"/>
          <w:szCs w:val="20"/>
          <w:u w:val="single"/>
          <w:lang w:val="ro-RO"/>
        </w:rPr>
        <w:t xml:space="preserve">Notă: pentru a îndeplini cerințele legale, Autoritatea Contractantă vizează o reducere cât mai mare a cantităților de deșeuri depozitate, ceea ce se reflectă în indicatorul de performanță aferent. Ofertanții vor lua în calcul acest aspect, vor respecta cerința obligatorie de tratare aerobă pentru stabilizarea bioogică a acestui tip de digestat și vor propune tehnologia adecvată pentru tratarea mecanică în vederea reducerii masei.CLO recuperat din digestatul provenit din fracția organică din deșeurile reziduale, rezultat în urma procesului de stabilizare/ deshidratare/uscare este o componentă a digestatului din deșeuri reziduale (a se vedea paragraful anterior). </w:t>
      </w:r>
      <w:r>
        <w:rPr>
          <w:rFonts w:cs="Times"/>
          <w:i/>
          <w:iCs/>
          <w:color w:val="000000"/>
          <w:sz w:val="20"/>
          <w:szCs w:val="20"/>
          <w:u w:val="single"/>
          <w:lang w:val="ro-RO"/>
        </w:rPr>
        <w:t xml:space="preserve">CLO va putea fi exceptat de la plata CEC și valorificat </w:t>
      </w:r>
      <w:r>
        <w:rPr>
          <w:i/>
          <w:iCs/>
          <w:sz w:val="20"/>
          <w:szCs w:val="20"/>
          <w:u w:val="single"/>
          <w:lang w:val="ro-RO"/>
        </w:rPr>
        <w:t>ca material pentru straturile de suport şi de acoperire a depozitelor de deșeuri, pentru reabilitarea minelor abandonate şi/sau a terenurilor contaminate</w:t>
      </w:r>
      <w:r>
        <w:rPr>
          <w:rFonts w:cs="Times"/>
          <w:i/>
          <w:iCs/>
          <w:color w:val="000000"/>
          <w:sz w:val="20"/>
          <w:szCs w:val="20"/>
          <w:u w:val="single"/>
          <w:lang w:val="ro-RO"/>
        </w:rPr>
        <w:t>, atât timp cât îndeplinește cerințele legale (OUG 92/2021, OUG 196/2006, ambele cu modificările ulterioare). În cazul în care nu îndeplineste condițiile legale de CLO, acesta va fi depozitat împreuna cu digestatul din deșeuri reziduale și nu va fi scutit de plata CEC.</w:t>
      </w:r>
    </w:p>
    <w:p>
      <w:pPr>
        <w:rPr>
          <w:sz w:val="20"/>
          <w:szCs w:val="20"/>
          <w:lang w:val="ro-RO"/>
        </w:rPr>
      </w:pPr>
      <w:r>
        <w:rPr>
          <w:sz w:val="20"/>
          <w:szCs w:val="20"/>
          <w:lang w:val="ro-RO"/>
        </w:rPr>
        <w:t xml:space="preserve">Pentru cantitățile de material care nu pot fi valorificate în agricultură, reziduurile nevalorificabile rezultate din tratarea mecanică a deșeurilor reziduale/pretratarea biodeșeurilor colectate separat cât și digestatul rezultat din digestia anaeroba a deșeurilor reziduale ce se încadrează în indicatorii de performanță, costul transferului la depozit este decontat de către Autoritățile Contractante la tariful ofertat de către Antreprenor ca </w:t>
      </w:r>
      <w:r>
        <w:rPr>
          <w:b/>
          <w:bCs/>
          <w:sz w:val="20"/>
          <w:szCs w:val="20"/>
          <w:lang w:val="ro-RO"/>
        </w:rPr>
        <w:t>Tarif D - Tariful de tratare mecano-biologică</w:t>
      </w:r>
      <w:r>
        <w:rPr>
          <w:sz w:val="20"/>
          <w:szCs w:val="20"/>
          <w:lang w:val="ro-RO"/>
        </w:rPr>
        <w:t>. Pentru cantitățile ce depășesc indicatorii de performanță, costurile transferului sunt suportate de către Antreprenor. Costul depozitării și contribuția la economia circulară se plătesc de către Autoritățile Contractante operatorului Depozitului. Sumele aferente cantităților depozitate ce depășesc indicatorii de performanță se scad din facturile Antreprenorului, sub forma penalităților pentru neîndeplinirea indicatorilor de performanță. Antreprenorul, prin oferta, tehnica si financiara, va propune soluții tehnice si modalități de operare care vor genera cantități minime de material necorespunzator.</w:t>
      </w:r>
    </w:p>
    <w:p>
      <w:pPr>
        <w:rPr>
          <w:sz w:val="20"/>
          <w:szCs w:val="20"/>
          <w:lang w:val="ro-RO"/>
        </w:rPr>
      </w:pPr>
      <w:r>
        <w:rPr>
          <w:sz w:val="20"/>
          <w:szCs w:val="20"/>
          <w:lang w:val="ro-RO"/>
        </w:rPr>
        <w:t xml:space="preserve">La momentul evaluării ofertelor Autoritatea contractantă nu evaluează calitatea compostului obținut ci capacitatea soluțiilor ofertate de Antreprenor de a atinge indicatorii de performanță solicitați. Referința privind calitatea materialului finit este reprezentată de Regulamentul UE nr 2019/1009. De asemenea, la momentul evaluării ofertelor, Autoritatea contractantă nu evaluează gradul de stabilizare a digestatului din deșeuri reziduale și nici a CLO ci capacitatea soluțiilor ofertate de Antreprenor de a atinge indicatorii de performanță solicitați. Contractul fiind de tip proiectare–execuție-operare, Antreprenorul, în baza experienței similare deținute, va stabili necesarul de echipamente de măsură si precizia acestora, modul de operare si costul </w:t>
      </w:r>
      <w:r>
        <w:rPr>
          <w:sz w:val="20"/>
          <w:szCs w:val="20"/>
          <w:lang w:val="ro-RO"/>
        </w:rPr>
        <w:lastRenderedPageBreak/>
        <w:t>aferent astfel încât calitatea produselor/proceselor să poată îndeplini indicatorii de performanță solicitați și să respecte cerințele Caietului de Sarcini.</w:t>
      </w:r>
    </w:p>
    <w:p>
      <w:pPr>
        <w:rPr>
          <w:sz w:val="20"/>
          <w:szCs w:val="20"/>
          <w:lang w:val="ro-RO"/>
        </w:rPr>
      </w:pPr>
      <w:r>
        <w:rPr>
          <w:sz w:val="20"/>
          <w:szCs w:val="20"/>
          <w:lang w:val="ro-RO"/>
        </w:rPr>
        <w:t>Atât reziduurile nevalorificabile rezultate din tratarea mecanică a deșeurilor reziduale/pretratarea biodeșeurilor colectate separat cât și digestatul rezultat din digestia anaeroba a deșeurilor reziduale vor fi depozitate.</w:t>
      </w:r>
    </w:p>
    <w:p>
      <w:pPr>
        <w:rPr>
          <w:sz w:val="20"/>
          <w:szCs w:val="20"/>
          <w:lang w:val="ro-RO"/>
        </w:rPr>
      </w:pPr>
      <w:r>
        <w:rPr>
          <w:sz w:val="20"/>
          <w:szCs w:val="20"/>
          <w:lang w:val="ro-RO"/>
        </w:rPr>
        <w:t>Pentru orientare, fluxurile de deșeuri aferente instalației TMB și stației de transfer Galați sunt prevăzute în Studiul de fundamentare, Figura 4 ”Fluxurile deșeurilor în județul Galați în perioada 2030-2048”</w:t>
      </w:r>
    </w:p>
    <w:p>
      <w:pPr>
        <w:rPr>
          <w:sz w:val="20"/>
          <w:szCs w:val="20"/>
          <w:lang w:val="ro-RO"/>
        </w:rPr>
      </w:pPr>
      <w:r>
        <w:rPr>
          <w:sz w:val="20"/>
          <w:szCs w:val="20"/>
          <w:lang w:val="ro-RO"/>
        </w:rPr>
        <w:t>Gradul de impurificare a tuturor deșeurilor, inclusiv a biodeșeurilor este inclus în estimările privind input-ul/output-ul din instalații de care ofertanții vor tine cont pentru pregătirea ofertelor. Pentru orientare, pentru definirea sistemului de management integrat al deșeurilor a fost luat în calcul un grad de impurificare a biodeșeurilor de 10%, a deșeurilor reciclabile de 20% si a celor textile de 5% (procente masice).</w:t>
      </w:r>
    </w:p>
    <w:p>
      <w:pPr>
        <w:rPr>
          <w:sz w:val="20"/>
          <w:szCs w:val="20"/>
          <w:lang w:val="ro-RO"/>
        </w:rPr>
      </w:pPr>
      <w:r>
        <w:rPr>
          <w:sz w:val="20"/>
          <w:szCs w:val="20"/>
          <w:lang w:val="ro-RO"/>
        </w:rPr>
        <w:t>Autoritatea Contractantă nu este în măsură să impună un grad de impurificare acceptat pentru biodeșeurile colectate separat și solicită ofertanților, ca pe baza experienței deținute, a propriei tehnologii și a informațiilor puse la dispoziție să proiecteze și să dimensioneze linia de pre-tratare a biodeşeurilor colectate separat astfel încât să poată fi atinși indicatorii de performanță menționați în documentație. Pe de altă parte, Autoritatea Contractantă a luat în considerare un astfel de risc și a făcut precizările necesare în Matricea de repartiție a riscurilor, pct.8.</w:t>
      </w:r>
    </w:p>
    <w:p>
      <w:pPr>
        <w:rPr>
          <w:sz w:val="20"/>
          <w:szCs w:val="20"/>
          <w:lang w:val="ro-RO"/>
        </w:rPr>
      </w:pPr>
      <w:r>
        <w:rPr>
          <w:sz w:val="20"/>
          <w:szCs w:val="20"/>
          <w:lang w:val="ro-RO"/>
        </w:rPr>
        <w:t>În județul Galați nu există un istoric cu privire la cantitățile de biodeșeuri colectate separat din același motiv nu poate fi estimată cantitatea de impurități care va fi colectată odată cu biodeșeurile. Procentul de impurități va scădea permanent de-a lungul perioadei de operare ca urmare a eforturilor operatorilor și a campaniilor de informare a populației. De asemenea și tehnologia pe care și-o propune ofertantul să o implementeze are un rol esențial în a extrage maximum de impurități motiv pentru care s-a propus atribuirea acestui contract în sistem Proiectare-Execuție-Operare.</w:t>
      </w:r>
    </w:p>
    <w:p>
      <w:pPr>
        <w:rPr>
          <w:sz w:val="20"/>
          <w:szCs w:val="20"/>
          <w:lang w:val="ro-RO"/>
        </w:rPr>
      </w:pPr>
      <w:r>
        <w:rPr>
          <w:sz w:val="20"/>
          <w:szCs w:val="20"/>
          <w:lang w:val="ro-RO"/>
        </w:rPr>
        <w:t>Compostul obținut din maturarea aerobă a digestatului nu poate fi folosit ca material de structura pentru compostarea unui nou lot de digestat, acesta neavând proprietățile fizice ale unui material de structură. La limită, reziduurile de cernere a compostului pot fi reintroduse în procesul de compostare a digestatului dacă îndeplinesc cerințele granulometrice ale procesului proiectat.</w:t>
      </w:r>
    </w:p>
    <w:p>
      <w:pPr>
        <w:rPr>
          <w:sz w:val="20"/>
          <w:szCs w:val="20"/>
          <w:lang w:val="ro-RO"/>
        </w:rPr>
      </w:pPr>
      <w:r>
        <w:rPr>
          <w:sz w:val="20"/>
          <w:szCs w:val="20"/>
          <w:lang w:val="ro-RO"/>
        </w:rPr>
        <w:t>Programul de operare este de 312 zile/ an, atât pentru TMB cât si pentru stația de transfer.</w:t>
      </w:r>
    </w:p>
    <w:p>
      <w:pPr>
        <w:rPr>
          <w:sz w:val="20"/>
          <w:szCs w:val="20"/>
          <w:lang w:val="ro-RO"/>
        </w:rPr>
      </w:pPr>
    </w:p>
    <w:p>
      <w:pPr>
        <w:rPr>
          <w:sz w:val="20"/>
          <w:szCs w:val="20"/>
          <w:lang w:val="ro-RO"/>
        </w:rPr>
      </w:pPr>
    </w:p>
    <w:p>
      <w:pPr>
        <w:rPr>
          <w:sz w:val="20"/>
          <w:szCs w:val="20"/>
          <w:lang w:val="ro-RO"/>
        </w:rPr>
      </w:pPr>
    </w:p>
    <w:p>
      <w:pPr>
        <w:rPr>
          <w:sz w:val="20"/>
          <w:szCs w:val="20"/>
          <w:lang w:val="ro-RO"/>
        </w:rPr>
      </w:pPr>
    </w:p>
    <w:p>
      <w:pPr>
        <w:rPr>
          <w:sz w:val="20"/>
          <w:szCs w:val="20"/>
          <w:lang w:val="ro-RO"/>
        </w:rPr>
      </w:pPr>
    </w:p>
    <w:p>
      <w:pPr>
        <w:rPr>
          <w:sz w:val="20"/>
          <w:szCs w:val="20"/>
          <w:lang w:val="ro-RO"/>
        </w:rPr>
      </w:pPr>
    </w:p>
    <w:p>
      <w:pPr>
        <w:rPr>
          <w:sz w:val="20"/>
          <w:szCs w:val="20"/>
          <w:lang w:val="ro-RO"/>
        </w:rPr>
      </w:pPr>
    </w:p>
    <w:p>
      <w:pPr>
        <w:rPr>
          <w:sz w:val="20"/>
          <w:szCs w:val="20"/>
          <w:lang w:val="ro-RO"/>
        </w:rPr>
      </w:pPr>
    </w:p>
    <w:p>
      <w:pPr>
        <w:rPr>
          <w:sz w:val="20"/>
          <w:szCs w:val="20"/>
          <w:lang w:val="ro-RO"/>
        </w:rPr>
      </w:pPr>
    </w:p>
    <w:p>
      <w:pPr>
        <w:rPr>
          <w:sz w:val="20"/>
          <w:szCs w:val="20"/>
          <w:lang w:val="ro-RO"/>
        </w:rPr>
      </w:pPr>
    </w:p>
    <w:p>
      <w:pPr>
        <w:rPr>
          <w:sz w:val="20"/>
          <w:szCs w:val="20"/>
          <w:lang w:val="ro-RO"/>
        </w:rPr>
      </w:pPr>
    </w:p>
    <w:p>
      <w:pPr>
        <w:rPr>
          <w:sz w:val="20"/>
          <w:szCs w:val="20"/>
          <w:lang w:val="ro-RO"/>
        </w:rPr>
      </w:pPr>
    </w:p>
    <w:p>
      <w:pPr>
        <w:rPr>
          <w:sz w:val="20"/>
          <w:szCs w:val="20"/>
          <w:lang w:val="ro-RO"/>
        </w:rPr>
      </w:pPr>
    </w:p>
    <w:p>
      <w:pPr>
        <w:rPr>
          <w:sz w:val="20"/>
          <w:szCs w:val="20"/>
          <w:lang w:val="ro-RO"/>
        </w:rPr>
      </w:pPr>
    </w:p>
    <w:p>
      <w:pPr>
        <w:rPr>
          <w:sz w:val="20"/>
          <w:szCs w:val="20"/>
          <w:lang w:val="ro-RO"/>
        </w:rPr>
      </w:pPr>
    </w:p>
    <w:p>
      <w:pPr>
        <w:rPr>
          <w:sz w:val="20"/>
          <w:szCs w:val="20"/>
          <w:lang w:val="ro-RO"/>
        </w:rPr>
      </w:pPr>
    </w:p>
    <w:p>
      <w:pPr>
        <w:rPr>
          <w:sz w:val="20"/>
          <w:szCs w:val="20"/>
          <w:lang w:val="ro-RO"/>
        </w:rPr>
      </w:pPr>
    </w:p>
    <w:p>
      <w:pPr>
        <w:pStyle w:val="Heading3"/>
        <w:rPr>
          <w:sz w:val="20"/>
          <w:szCs w:val="20"/>
          <w:lang w:val="ro-RO"/>
        </w:rPr>
      </w:pPr>
      <w:bookmarkStart w:id="24" w:name="_Toc227161499"/>
      <w:r>
        <w:rPr>
          <w:sz w:val="20"/>
          <w:szCs w:val="20"/>
          <w:lang w:val="ro-RO"/>
        </w:rPr>
        <w:t>1.3.4  Statia de transfer Galati</w:t>
      </w:r>
      <w:bookmarkEnd w:id="24"/>
      <w:r>
        <w:rPr>
          <w:sz w:val="20"/>
          <w:szCs w:val="20"/>
          <w:lang w:val="ro-RO"/>
        </w:rPr>
        <w:t xml:space="preserve"> </w:t>
      </w:r>
    </w:p>
    <w:p>
      <w:pPr>
        <w:pStyle w:val="Heading4"/>
        <w:rPr>
          <w:sz w:val="20"/>
          <w:szCs w:val="20"/>
          <w:lang w:val="ro-RO"/>
        </w:rPr>
      </w:pPr>
      <w:r>
        <w:rPr>
          <w:sz w:val="20"/>
          <w:szCs w:val="20"/>
          <w:lang w:val="ro-RO"/>
        </w:rPr>
        <w:t>1.3.4.1 Parametrii generali de proiectare</w:t>
      </w:r>
    </w:p>
    <w:p>
      <w:pPr>
        <w:rPr>
          <w:sz w:val="20"/>
          <w:szCs w:val="20"/>
          <w:lang w:val="ro-RO"/>
        </w:rPr>
      </w:pPr>
      <w:r>
        <w:rPr>
          <w:sz w:val="20"/>
          <w:szCs w:val="20"/>
          <w:lang w:val="ro-RO"/>
        </w:rPr>
        <w:t>Staţia de transfer Galaţi, cu o capacitate proiectată de 23.000 tone/an.</w:t>
      </w:r>
    </w:p>
    <w:p>
      <w:pPr>
        <w:rPr>
          <w:sz w:val="20"/>
          <w:szCs w:val="20"/>
          <w:lang w:val="ro-RO"/>
        </w:rPr>
      </w:pPr>
      <w:r>
        <w:rPr>
          <w:sz w:val="20"/>
          <w:szCs w:val="20"/>
          <w:lang w:val="ro-RO"/>
        </w:rPr>
        <w:t>Stația de transfer Galați este destinată transferului:</w:t>
      </w:r>
    </w:p>
    <w:p>
      <w:pPr>
        <w:pStyle w:val="ListParagraph"/>
        <w:numPr>
          <w:ilvl w:val="0"/>
          <w:numId w:val="78"/>
        </w:numPr>
        <w:spacing w:before="120" w:line="300" w:lineRule="auto"/>
        <w:contextualSpacing w:val="0"/>
        <w:rPr>
          <w:rFonts w:cs="Arial"/>
          <w:color w:val="000000" w:themeColor="text1"/>
          <w:sz w:val="20"/>
          <w:szCs w:val="20"/>
          <w:lang w:val="ro-RO"/>
        </w:rPr>
      </w:pPr>
      <w:r>
        <w:rPr>
          <w:rFonts w:cs="Arial"/>
          <w:color w:val="000000" w:themeColor="text1"/>
          <w:sz w:val="20"/>
          <w:szCs w:val="20"/>
          <w:lang w:val="ro-RO"/>
        </w:rPr>
        <w:t>Deșeurilor reciclabile colectate separat din zona 1 (cu excepția Mun. Galați) la stația de sortare Valea Mărului;</w:t>
      </w:r>
    </w:p>
    <w:p>
      <w:pPr>
        <w:pStyle w:val="ListParagraph"/>
        <w:numPr>
          <w:ilvl w:val="0"/>
          <w:numId w:val="78"/>
        </w:numPr>
        <w:spacing w:before="120" w:line="300" w:lineRule="auto"/>
        <w:contextualSpacing w:val="0"/>
        <w:rPr>
          <w:rFonts w:cs="Arial"/>
          <w:color w:val="000000" w:themeColor="text1"/>
          <w:sz w:val="20"/>
          <w:szCs w:val="20"/>
          <w:lang w:val="ro-RO"/>
        </w:rPr>
      </w:pPr>
      <w:r>
        <w:rPr>
          <w:rFonts w:cs="Arial"/>
          <w:color w:val="000000" w:themeColor="text1"/>
          <w:sz w:val="20"/>
          <w:szCs w:val="20"/>
          <w:lang w:val="ro-RO"/>
        </w:rPr>
        <w:t>Reziduurilor si digestatului din deșeuri reziduale de la instalația TMB Galați la depozitul conform de la Valea Mărului.</w:t>
      </w:r>
    </w:p>
    <w:p>
      <w:pPr>
        <w:pStyle w:val="ListParagraph"/>
        <w:numPr>
          <w:ilvl w:val="0"/>
          <w:numId w:val="78"/>
        </w:numPr>
        <w:spacing w:before="120" w:line="300" w:lineRule="auto"/>
        <w:contextualSpacing w:val="0"/>
        <w:rPr>
          <w:rFonts w:cs="Arial"/>
          <w:color w:val="000000" w:themeColor="text1"/>
          <w:sz w:val="20"/>
          <w:szCs w:val="20"/>
          <w:lang w:val="ro-RO"/>
        </w:rPr>
      </w:pPr>
      <w:r>
        <w:rPr>
          <w:rFonts w:cs="Arial"/>
          <w:color w:val="000000" w:themeColor="text1"/>
          <w:sz w:val="20"/>
          <w:szCs w:val="20"/>
          <w:lang w:val="ro-RO"/>
        </w:rPr>
        <w:t>Deșeurilor textile colectate separat din zona 1 (cu excepția Mun. Galați) la Hală fluxuri speciale Tecuci;</w:t>
      </w:r>
    </w:p>
    <w:p>
      <w:pPr>
        <w:pStyle w:val="ListParagraph"/>
        <w:numPr>
          <w:ilvl w:val="0"/>
          <w:numId w:val="78"/>
        </w:numPr>
        <w:spacing w:before="120" w:line="300" w:lineRule="auto"/>
        <w:contextualSpacing w:val="0"/>
        <w:rPr>
          <w:rFonts w:cs="Arial"/>
          <w:color w:val="000000" w:themeColor="text1"/>
          <w:sz w:val="20"/>
          <w:szCs w:val="20"/>
          <w:lang w:val="ro-RO"/>
        </w:rPr>
      </w:pPr>
      <w:r>
        <w:rPr>
          <w:rFonts w:cs="Arial"/>
          <w:color w:val="000000" w:themeColor="text1"/>
          <w:sz w:val="20"/>
          <w:szCs w:val="20"/>
          <w:lang w:val="ro-RO"/>
        </w:rPr>
        <w:t>Deșeurilor voluminoase colectate separat din zona 1 (cu excepția Mun. Galați) la Hală fluxuri speciale Tecuci;</w:t>
      </w:r>
    </w:p>
    <w:p>
      <w:pPr>
        <w:pStyle w:val="ListParagraph"/>
        <w:numPr>
          <w:ilvl w:val="0"/>
          <w:numId w:val="78"/>
        </w:numPr>
        <w:spacing w:before="120" w:line="300" w:lineRule="auto"/>
        <w:contextualSpacing w:val="0"/>
        <w:rPr>
          <w:rFonts w:cs="Arial"/>
          <w:color w:val="000000" w:themeColor="text1"/>
          <w:sz w:val="20"/>
          <w:szCs w:val="20"/>
          <w:lang w:val="ro-RO"/>
        </w:rPr>
      </w:pPr>
      <w:r>
        <w:rPr>
          <w:rFonts w:cs="Arial"/>
          <w:color w:val="000000" w:themeColor="text1"/>
          <w:sz w:val="20"/>
          <w:szCs w:val="20"/>
          <w:lang w:val="ro-RO"/>
        </w:rPr>
        <w:t>Deșeurilor menajere periculoase colectate separat din zona 1 (cu excepția Mun. Galați) – DOAR STOCARE TEMPORARĂ.</w:t>
      </w:r>
    </w:p>
    <w:p>
      <w:pPr>
        <w:rPr>
          <w:sz w:val="20"/>
          <w:szCs w:val="20"/>
          <w:lang w:val="ro-RO"/>
        </w:rPr>
      </w:pPr>
      <w:r>
        <w:rPr>
          <w:sz w:val="20"/>
          <w:szCs w:val="20"/>
          <w:lang w:val="ro-RO"/>
        </w:rPr>
        <w:t>Distanta rutiera intre Stația de Transfer Galați si Stația de Sortare Valea Mărului este de cca 70 km. Distanta rutiera intre Stația de Transfer Galați si Hala fluxuri speciale deșeuri Tecuci este de cca 80 km.</w:t>
      </w:r>
    </w:p>
    <w:p>
      <w:pPr>
        <w:rPr>
          <w:sz w:val="20"/>
          <w:szCs w:val="20"/>
          <w:lang w:val="ro-RO"/>
        </w:rPr>
      </w:pPr>
    </w:p>
    <w:p>
      <w:pPr>
        <w:spacing w:before="120"/>
        <w:rPr>
          <w:rFonts w:cs="Arial"/>
          <w:i/>
          <w:iCs/>
          <w:sz w:val="20"/>
          <w:szCs w:val="20"/>
          <w:u w:val="single"/>
          <w:lang w:val="pt-BR"/>
        </w:rPr>
      </w:pPr>
      <w:r>
        <w:rPr>
          <w:rFonts w:cs="Arial"/>
          <w:b/>
          <w:bCs/>
          <w:i/>
          <w:iCs/>
          <w:sz w:val="20"/>
          <w:szCs w:val="20"/>
          <w:u w:val="single"/>
          <w:lang w:val="ro-RO"/>
        </w:rPr>
        <w:t>Notă:</w:t>
      </w:r>
      <w:r>
        <w:rPr>
          <w:rFonts w:cs="Arial"/>
          <w:i/>
          <w:iCs/>
          <w:sz w:val="20"/>
          <w:szCs w:val="20"/>
          <w:u w:val="single"/>
          <w:lang w:val="ro-RO"/>
        </w:rPr>
        <w:t xml:space="preserve"> în stația de transfer Galați vor fi introduse și deșeuri menajere periculoase colectate din Zona 1, fără Municipiul Galați. Acestea vor fi </w:t>
      </w:r>
      <w:r>
        <w:rPr>
          <w:rFonts w:cs="Arial"/>
          <w:b/>
          <w:bCs/>
          <w:i/>
          <w:iCs/>
          <w:sz w:val="20"/>
          <w:szCs w:val="20"/>
          <w:u w:val="single"/>
          <w:lang w:val="ro-RO"/>
        </w:rPr>
        <w:t>doar stocate temporar</w:t>
      </w:r>
      <w:r>
        <w:rPr>
          <w:rFonts w:cs="Arial"/>
          <w:i/>
          <w:iCs/>
          <w:sz w:val="20"/>
          <w:szCs w:val="20"/>
          <w:u w:val="single"/>
          <w:lang w:val="ro-RO"/>
        </w:rPr>
        <w:t xml:space="preserve"> până la preluarea de către operatori specializați  de tratare/neutralizare. </w:t>
      </w:r>
      <w:r>
        <w:rPr>
          <w:rFonts w:cs="Arial"/>
          <w:i/>
          <w:iCs/>
          <w:sz w:val="20"/>
          <w:szCs w:val="20"/>
          <w:u w:val="single"/>
          <w:lang w:val="pt-BR"/>
        </w:rPr>
        <w:t>Este apreciată recepția a maxim 175 t de deșeuri periculoase/an.</w:t>
      </w:r>
    </w:p>
    <w:p>
      <w:pPr>
        <w:rPr>
          <w:i/>
          <w:iCs/>
          <w:sz w:val="20"/>
          <w:szCs w:val="20"/>
          <w:u w:val="single"/>
          <w:lang w:val="ro-RO"/>
        </w:rPr>
      </w:pPr>
      <w:r>
        <w:rPr>
          <w:rFonts w:cs="Arial"/>
          <w:i/>
          <w:iCs/>
          <w:sz w:val="20"/>
          <w:szCs w:val="20"/>
          <w:u w:val="single"/>
          <w:lang w:val="pt-BR"/>
        </w:rPr>
        <w:t>Pentru stocarea corespunzătoare înaintea eliminării, Antreprenorul va organiza o zonă delimitată distinct, acoperită, cu pardoseală impermeabilă propice pentru stocarea în siguranță a acestor tipuri de deșeuri, precum și recipiente adecvate de stocare. Deșeurile periculoase vor fi stocate pe compatibilități și vor fi asigurate toate măsurile de protecție a mediului, de securitate de muncii și de PSI</w:t>
      </w:r>
    </w:p>
    <w:p>
      <w:pPr>
        <w:rPr>
          <w:i/>
          <w:iCs/>
          <w:sz w:val="20"/>
          <w:szCs w:val="20"/>
          <w:u w:val="single"/>
          <w:lang w:val="ro-RO"/>
        </w:rPr>
      </w:pPr>
    </w:p>
    <w:p>
      <w:pPr>
        <w:rPr>
          <w:sz w:val="20"/>
          <w:szCs w:val="20"/>
          <w:lang w:val="ro-RO"/>
        </w:rPr>
      </w:pPr>
      <w:r>
        <w:rPr>
          <w:sz w:val="20"/>
          <w:szCs w:val="20"/>
          <w:lang w:val="ro-RO"/>
        </w:rPr>
        <w:t xml:space="preserve">Cantităţile de deşeuri transferate prin statia de transfer Galati sunt prezentate în tabelul următor. </w:t>
      </w:r>
    </w:p>
    <w:p>
      <w:pPr>
        <w:rPr>
          <w:sz w:val="20"/>
          <w:szCs w:val="20"/>
          <w:lang w:val="ro-RO"/>
        </w:rPr>
      </w:pPr>
    </w:p>
    <w:p>
      <w:pPr>
        <w:rPr>
          <w:sz w:val="20"/>
          <w:szCs w:val="20"/>
          <w:lang w:val="ro-RO"/>
        </w:rPr>
      </w:pPr>
    </w:p>
    <w:p>
      <w:pPr>
        <w:spacing w:after="160" w:line="259" w:lineRule="auto"/>
        <w:jc w:val="left"/>
        <w:rPr>
          <w:sz w:val="20"/>
          <w:szCs w:val="20"/>
          <w:lang w:val="ro-RO"/>
        </w:rPr>
      </w:pPr>
      <w:r>
        <w:rPr>
          <w:sz w:val="20"/>
          <w:szCs w:val="20"/>
          <w:lang w:val="ro-RO"/>
        </w:rPr>
        <w:br w:type="page"/>
      </w:r>
    </w:p>
    <w:p>
      <w:pPr>
        <w:rPr>
          <w:sz w:val="20"/>
          <w:szCs w:val="20"/>
          <w:lang w:val="ro-RO"/>
        </w:rPr>
        <w:sectPr>
          <w:pgSz w:w="11906" w:h="16838"/>
          <w:pgMar w:top="1134" w:right="851" w:bottom="851" w:left="1440" w:header="709" w:footer="432" w:gutter="0"/>
          <w:cols w:space="708"/>
          <w:docGrid w:linePitch="360"/>
        </w:sectPr>
      </w:pPr>
    </w:p>
    <w:p>
      <w:pPr>
        <w:rPr>
          <w:sz w:val="20"/>
          <w:szCs w:val="20"/>
          <w:lang w:val="ro-RO"/>
        </w:rPr>
      </w:pPr>
      <w:r>
        <w:rPr>
          <w:sz w:val="20"/>
          <w:szCs w:val="20"/>
          <w:lang w:val="ro-RO"/>
        </w:rPr>
        <w:lastRenderedPageBreak/>
        <w:t>Cantităţi estimate de deşeuri transferate prin staţia de transfer Galaţi</w:t>
      </w:r>
    </w:p>
    <w:tbl>
      <w:tblPr>
        <w:tblStyle w:val="PlainTable1"/>
        <w:tblW w:w="5000" w:type="pct"/>
        <w:tblLayout w:type="fixed"/>
        <w:tblLook w:val="04A0" w:firstRow="1" w:lastRow="0" w:firstColumn="1" w:lastColumn="0" w:noHBand="0" w:noVBand="1"/>
      </w:tblPr>
      <w:tblGrid>
        <w:gridCol w:w="2605"/>
        <w:gridCol w:w="720"/>
        <w:gridCol w:w="1046"/>
        <w:gridCol w:w="1047"/>
        <w:gridCol w:w="1047"/>
        <w:gridCol w:w="1047"/>
        <w:gridCol w:w="1047"/>
        <w:gridCol w:w="1046"/>
        <w:gridCol w:w="1047"/>
        <w:gridCol w:w="1047"/>
        <w:gridCol w:w="1047"/>
        <w:gridCol w:w="1047"/>
        <w:gridCol w:w="1047"/>
      </w:tblGrid>
      <w:tr>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605" w:type="dxa"/>
            <w:vAlign w:val="center"/>
            <w:hideMark/>
          </w:tcPr>
          <w:p>
            <w:pPr>
              <w:jc w:val="center"/>
              <w:rPr>
                <w:rFonts w:eastAsia="Times New Roman" w:cs="Times New Roman"/>
                <w:b w:val="0"/>
                <w:bCs w:val="0"/>
                <w:sz w:val="20"/>
                <w:szCs w:val="20"/>
                <w:lang w:eastAsia="ro-RO"/>
              </w:rPr>
            </w:pPr>
            <w:r>
              <w:rPr>
                <w:rFonts w:eastAsia="Times New Roman" w:cs="Times New Roman"/>
                <w:sz w:val="20"/>
                <w:szCs w:val="20"/>
                <w:lang w:eastAsia="ro-RO"/>
              </w:rPr>
              <w:t>STAȚIA DE TRANSFER GALAȚI</w:t>
            </w:r>
          </w:p>
        </w:tc>
        <w:tc>
          <w:tcPr>
            <w:tcW w:w="720" w:type="dxa"/>
            <w:vAlign w:val="center"/>
          </w:tcPr>
          <w:p>
            <w:pPr>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bCs w:val="0"/>
                <w:sz w:val="20"/>
                <w:szCs w:val="20"/>
              </w:rPr>
            </w:pPr>
            <w:r>
              <w:rPr>
                <w:rFonts w:eastAsia="Times New Roman" w:cs="Calibri"/>
                <w:b w:val="0"/>
                <w:bCs w:val="0"/>
                <w:sz w:val="20"/>
                <w:szCs w:val="20"/>
              </w:rPr>
              <w:t>U.M.</w:t>
            </w:r>
          </w:p>
        </w:tc>
        <w:tc>
          <w:tcPr>
            <w:tcW w:w="1046"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0"/>
                <w:szCs w:val="20"/>
                <w:lang w:eastAsia="ro-RO"/>
              </w:rPr>
            </w:pPr>
            <w:r>
              <w:rPr>
                <w:rFonts w:eastAsia="Times New Roman" w:cs="Calibri"/>
                <w:sz w:val="20"/>
                <w:szCs w:val="20"/>
              </w:rPr>
              <w:t>2030</w:t>
            </w:r>
          </w:p>
        </w:tc>
        <w:tc>
          <w:tcPr>
            <w:tcW w:w="1047"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0"/>
                <w:szCs w:val="20"/>
                <w:lang w:eastAsia="ro-RO"/>
              </w:rPr>
            </w:pPr>
            <w:r>
              <w:rPr>
                <w:rFonts w:eastAsia="Times New Roman" w:cs="Calibri"/>
                <w:sz w:val="20"/>
                <w:szCs w:val="20"/>
              </w:rPr>
              <w:t>2031</w:t>
            </w:r>
          </w:p>
        </w:tc>
        <w:tc>
          <w:tcPr>
            <w:tcW w:w="1047" w:type="dxa"/>
            <w:noWrap/>
            <w:vAlign w:val="center"/>
            <w:hideMark/>
          </w:tcPr>
          <w:p>
            <w:pPr>
              <w:ind w:left="-179" w:firstLine="179"/>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0"/>
                <w:szCs w:val="20"/>
                <w:lang w:eastAsia="ro-RO"/>
              </w:rPr>
            </w:pPr>
            <w:r>
              <w:rPr>
                <w:rFonts w:eastAsia="Times New Roman" w:cs="Calibri"/>
                <w:sz w:val="20"/>
                <w:szCs w:val="20"/>
              </w:rPr>
              <w:t>2032</w:t>
            </w:r>
          </w:p>
        </w:tc>
        <w:tc>
          <w:tcPr>
            <w:tcW w:w="1047"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0"/>
                <w:szCs w:val="20"/>
                <w:lang w:eastAsia="ro-RO"/>
              </w:rPr>
            </w:pPr>
            <w:r>
              <w:rPr>
                <w:rFonts w:eastAsia="Times New Roman" w:cs="Calibri"/>
                <w:sz w:val="20"/>
                <w:szCs w:val="20"/>
              </w:rPr>
              <w:t>2033</w:t>
            </w:r>
          </w:p>
        </w:tc>
        <w:tc>
          <w:tcPr>
            <w:tcW w:w="1047"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0"/>
                <w:szCs w:val="20"/>
                <w:lang w:eastAsia="ro-RO"/>
              </w:rPr>
            </w:pPr>
            <w:r>
              <w:rPr>
                <w:rFonts w:eastAsia="Times New Roman" w:cs="Calibri"/>
                <w:sz w:val="20"/>
                <w:szCs w:val="20"/>
              </w:rPr>
              <w:t>2034</w:t>
            </w:r>
          </w:p>
        </w:tc>
        <w:tc>
          <w:tcPr>
            <w:tcW w:w="1046"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0"/>
                <w:szCs w:val="20"/>
                <w:lang w:eastAsia="ro-RO"/>
              </w:rPr>
            </w:pPr>
            <w:r>
              <w:rPr>
                <w:rFonts w:eastAsia="Times New Roman" w:cs="Calibri"/>
                <w:sz w:val="20"/>
                <w:szCs w:val="20"/>
              </w:rPr>
              <w:t>2035</w:t>
            </w:r>
          </w:p>
        </w:tc>
        <w:tc>
          <w:tcPr>
            <w:tcW w:w="1047" w:type="dxa"/>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0"/>
                <w:szCs w:val="20"/>
                <w:lang w:eastAsia="ro-RO"/>
              </w:rPr>
            </w:pPr>
            <w:r>
              <w:rPr>
                <w:rFonts w:eastAsia="Times New Roman" w:cs="Calibri"/>
                <w:sz w:val="20"/>
                <w:szCs w:val="20"/>
              </w:rPr>
              <w:t>2036</w:t>
            </w:r>
          </w:p>
        </w:tc>
        <w:tc>
          <w:tcPr>
            <w:tcW w:w="1047" w:type="dxa"/>
            <w:vAlign w:val="center"/>
          </w:tcPr>
          <w:p>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0"/>
                <w:szCs w:val="20"/>
                <w:lang w:eastAsia="ro-RO"/>
              </w:rPr>
            </w:pPr>
            <w:r>
              <w:rPr>
                <w:rFonts w:eastAsia="Times New Roman" w:cs="Calibri"/>
                <w:sz w:val="20"/>
                <w:szCs w:val="20"/>
              </w:rPr>
              <w:t>2037</w:t>
            </w:r>
          </w:p>
        </w:tc>
        <w:tc>
          <w:tcPr>
            <w:tcW w:w="1047" w:type="dxa"/>
            <w:vAlign w:val="center"/>
          </w:tcPr>
          <w:p>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0"/>
                <w:szCs w:val="20"/>
                <w:lang w:eastAsia="ro-RO"/>
              </w:rPr>
            </w:pPr>
            <w:r>
              <w:rPr>
                <w:rFonts w:eastAsia="Times New Roman" w:cs="Calibri"/>
                <w:sz w:val="20"/>
                <w:szCs w:val="20"/>
              </w:rPr>
              <w:t>2038</w:t>
            </w:r>
          </w:p>
        </w:tc>
        <w:tc>
          <w:tcPr>
            <w:tcW w:w="1047" w:type="dxa"/>
            <w:vAlign w:val="center"/>
          </w:tcPr>
          <w:p>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0"/>
                <w:szCs w:val="20"/>
                <w:lang w:eastAsia="ro-RO"/>
              </w:rPr>
            </w:pPr>
            <w:r>
              <w:rPr>
                <w:rFonts w:eastAsia="Times New Roman" w:cs="Calibri"/>
                <w:sz w:val="20"/>
                <w:szCs w:val="20"/>
              </w:rPr>
              <w:t>2039</w:t>
            </w:r>
          </w:p>
        </w:tc>
        <w:tc>
          <w:tcPr>
            <w:tcW w:w="1047" w:type="dxa"/>
            <w:vAlign w:val="center"/>
          </w:tcPr>
          <w:p>
            <w:pPr>
              <w:jc w:val="center"/>
              <w:cnfStyle w:val="100000000000" w:firstRow="1" w:lastRow="0" w:firstColumn="0" w:lastColumn="0" w:oddVBand="0" w:evenVBand="0" w:oddHBand="0" w:evenHBand="0" w:firstRowFirstColumn="0" w:firstRowLastColumn="0" w:lastRowFirstColumn="0" w:lastRowLastColumn="0"/>
              <w:rPr>
                <w:rFonts w:eastAsia="Times New Roman" w:cs="Calibri"/>
                <w:sz w:val="20"/>
                <w:szCs w:val="20"/>
              </w:rPr>
            </w:pPr>
            <w:r>
              <w:rPr>
                <w:rFonts w:eastAsia="Times New Roman" w:cs="Calibri"/>
                <w:sz w:val="20"/>
                <w:szCs w:val="20"/>
              </w:rPr>
              <w:t>2040</w:t>
            </w:r>
          </w:p>
        </w:tc>
      </w:tr>
      <w:tr>
        <w:trPr>
          <w:cnfStyle w:val="000000100000" w:firstRow="0" w:lastRow="0" w:firstColumn="0" w:lastColumn="0" w:oddVBand="0" w:evenVBand="0" w:oddHBand="1"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2605" w:type="dxa"/>
            <w:vAlign w:val="center"/>
            <w:hideMark/>
          </w:tcPr>
          <w:p>
            <w:pPr>
              <w:rPr>
                <w:rFonts w:eastAsia="Times New Roman" w:cs="Arial"/>
                <w:sz w:val="18"/>
                <w:szCs w:val="18"/>
                <w:lang w:eastAsia="ro-RO"/>
              </w:rPr>
            </w:pPr>
            <w:r>
              <w:rPr>
                <w:rFonts w:eastAsia="Times New Roman" w:cs="Arial"/>
                <w:sz w:val="18"/>
                <w:szCs w:val="18"/>
                <w:lang w:eastAsia="ro-RO"/>
              </w:rPr>
              <w:t xml:space="preserve">Total deșeuri transferate, </w:t>
            </w:r>
            <w:r>
              <w:rPr>
                <w:rFonts w:eastAsia="Times New Roman" w:cs="Arial"/>
                <w:i/>
                <w:iCs/>
                <w:sz w:val="18"/>
                <w:szCs w:val="18"/>
                <w:lang w:eastAsia="ro-RO"/>
              </w:rPr>
              <w:t>din care:</w:t>
            </w:r>
          </w:p>
        </w:tc>
        <w:tc>
          <w:tcPr>
            <w:tcW w:w="720" w:type="dxa"/>
            <w:vAlign w:val="center"/>
          </w:tcPr>
          <w:p>
            <w:pPr>
              <w:cnfStyle w:val="000000100000" w:firstRow="0" w:lastRow="0" w:firstColumn="0" w:lastColumn="0" w:oddVBand="0" w:evenVBand="0" w:oddHBand="1" w:evenHBand="0" w:firstRowFirstColumn="0" w:firstRowLastColumn="0" w:lastRowFirstColumn="0" w:lastRowLastColumn="0"/>
              <w:rPr>
                <w:sz w:val="18"/>
                <w:szCs w:val="18"/>
              </w:rPr>
            </w:pPr>
            <w:r>
              <w:rPr>
                <w:rFonts w:eastAsia="Times New Roman" w:cs="Calibri"/>
                <w:sz w:val="18"/>
                <w:szCs w:val="18"/>
              </w:rPr>
              <w:t>t/an</w:t>
            </w:r>
          </w:p>
        </w:tc>
        <w:tc>
          <w:tcPr>
            <w:tcW w:w="1046" w:type="dxa"/>
            <w:noWrap/>
            <w:vAlign w:val="center"/>
          </w:tcPr>
          <w:p>
            <w:pPr>
              <w:jc w:val="center"/>
              <w:cnfStyle w:val="000000100000" w:firstRow="0" w:lastRow="0" w:firstColumn="0" w:lastColumn="0" w:oddVBand="0" w:evenVBand="0" w:oddHBand="1" w:evenHBand="0" w:firstRowFirstColumn="0" w:firstRowLastColumn="0" w:lastRowFirstColumn="0" w:lastRowLastColumn="0"/>
              <w:rPr>
                <w:rFonts w:cs="Arial"/>
                <w:b/>
                <w:bCs/>
                <w:sz w:val="18"/>
                <w:szCs w:val="18"/>
              </w:rPr>
            </w:pPr>
            <w:r>
              <w:rPr>
                <w:rFonts w:cs="Arial"/>
                <w:sz w:val="18"/>
                <w:szCs w:val="18"/>
              </w:rPr>
              <w:t>26.677</w:t>
            </w:r>
          </w:p>
        </w:tc>
        <w:tc>
          <w:tcPr>
            <w:tcW w:w="1047" w:type="dxa"/>
            <w:noWrap/>
            <w:vAlign w:val="center"/>
          </w:tcPr>
          <w:p>
            <w:pPr>
              <w:jc w:val="center"/>
              <w:cnfStyle w:val="000000100000" w:firstRow="0" w:lastRow="0" w:firstColumn="0" w:lastColumn="0" w:oddVBand="0" w:evenVBand="0" w:oddHBand="1" w:evenHBand="0" w:firstRowFirstColumn="0" w:firstRowLastColumn="0" w:lastRowFirstColumn="0" w:lastRowLastColumn="0"/>
              <w:rPr>
                <w:rFonts w:cs="Arial"/>
                <w:b/>
                <w:bCs/>
                <w:sz w:val="18"/>
                <w:szCs w:val="18"/>
              </w:rPr>
            </w:pPr>
            <w:r>
              <w:rPr>
                <w:rFonts w:cs="Arial"/>
                <w:sz w:val="18"/>
                <w:szCs w:val="18"/>
              </w:rPr>
              <w:t>26.383</w:t>
            </w:r>
          </w:p>
        </w:tc>
        <w:tc>
          <w:tcPr>
            <w:tcW w:w="1047" w:type="dxa"/>
            <w:noWrap/>
            <w:vAlign w:val="center"/>
          </w:tcPr>
          <w:p>
            <w:pPr>
              <w:jc w:val="center"/>
              <w:cnfStyle w:val="000000100000" w:firstRow="0" w:lastRow="0" w:firstColumn="0" w:lastColumn="0" w:oddVBand="0" w:evenVBand="0" w:oddHBand="1" w:evenHBand="0" w:firstRowFirstColumn="0" w:firstRowLastColumn="0" w:lastRowFirstColumn="0" w:lastRowLastColumn="0"/>
              <w:rPr>
                <w:rFonts w:cs="Arial"/>
                <w:b/>
                <w:bCs/>
                <w:sz w:val="18"/>
                <w:szCs w:val="18"/>
              </w:rPr>
            </w:pPr>
            <w:r>
              <w:rPr>
                <w:rFonts w:cs="Arial"/>
                <w:sz w:val="18"/>
                <w:szCs w:val="18"/>
              </w:rPr>
              <w:t>26.093</w:t>
            </w:r>
          </w:p>
        </w:tc>
        <w:tc>
          <w:tcPr>
            <w:tcW w:w="1047" w:type="dxa"/>
            <w:noWrap/>
            <w:vAlign w:val="center"/>
          </w:tcPr>
          <w:p>
            <w:pPr>
              <w:jc w:val="center"/>
              <w:cnfStyle w:val="000000100000" w:firstRow="0" w:lastRow="0" w:firstColumn="0" w:lastColumn="0" w:oddVBand="0" w:evenVBand="0" w:oddHBand="1" w:evenHBand="0" w:firstRowFirstColumn="0" w:firstRowLastColumn="0" w:lastRowFirstColumn="0" w:lastRowLastColumn="0"/>
              <w:rPr>
                <w:rFonts w:cs="Arial"/>
                <w:b/>
                <w:bCs/>
                <w:sz w:val="18"/>
                <w:szCs w:val="18"/>
              </w:rPr>
            </w:pPr>
            <w:r>
              <w:rPr>
                <w:rFonts w:cs="Arial"/>
                <w:sz w:val="18"/>
                <w:szCs w:val="18"/>
              </w:rPr>
              <w:t>25.757</w:t>
            </w:r>
          </w:p>
        </w:tc>
        <w:tc>
          <w:tcPr>
            <w:tcW w:w="1047" w:type="dxa"/>
            <w:noWrap/>
            <w:vAlign w:val="center"/>
          </w:tcPr>
          <w:p>
            <w:pPr>
              <w:jc w:val="center"/>
              <w:cnfStyle w:val="000000100000" w:firstRow="0" w:lastRow="0" w:firstColumn="0" w:lastColumn="0" w:oddVBand="0" w:evenVBand="0" w:oddHBand="1" w:evenHBand="0" w:firstRowFirstColumn="0" w:firstRowLastColumn="0" w:lastRowFirstColumn="0" w:lastRowLastColumn="0"/>
              <w:rPr>
                <w:rFonts w:cs="Arial"/>
                <w:b/>
                <w:bCs/>
                <w:sz w:val="18"/>
                <w:szCs w:val="18"/>
              </w:rPr>
            </w:pPr>
            <w:r>
              <w:rPr>
                <w:rFonts w:cs="Arial"/>
                <w:sz w:val="18"/>
                <w:szCs w:val="18"/>
              </w:rPr>
              <w:t>25.197</w:t>
            </w:r>
          </w:p>
        </w:tc>
        <w:tc>
          <w:tcPr>
            <w:tcW w:w="1046" w:type="dxa"/>
            <w:noWrap/>
            <w:vAlign w:val="center"/>
          </w:tcPr>
          <w:p>
            <w:pPr>
              <w:jc w:val="center"/>
              <w:cnfStyle w:val="000000100000" w:firstRow="0" w:lastRow="0" w:firstColumn="0" w:lastColumn="0" w:oddVBand="0" w:evenVBand="0" w:oddHBand="1" w:evenHBand="0" w:firstRowFirstColumn="0" w:firstRowLastColumn="0" w:lastRowFirstColumn="0" w:lastRowLastColumn="0"/>
              <w:rPr>
                <w:rFonts w:cs="Arial"/>
                <w:b/>
                <w:bCs/>
                <w:sz w:val="18"/>
                <w:szCs w:val="18"/>
              </w:rPr>
            </w:pPr>
            <w:r>
              <w:rPr>
                <w:rFonts w:cs="Arial"/>
                <w:sz w:val="18"/>
                <w:szCs w:val="18"/>
              </w:rPr>
              <w:t>23.553</w:t>
            </w:r>
          </w:p>
        </w:tc>
        <w:tc>
          <w:tcPr>
            <w:tcW w:w="1047" w:type="dxa"/>
            <w:noWrap/>
            <w:vAlign w:val="center"/>
          </w:tcPr>
          <w:p>
            <w:pPr>
              <w:jc w:val="center"/>
              <w:cnfStyle w:val="000000100000" w:firstRow="0" w:lastRow="0" w:firstColumn="0" w:lastColumn="0" w:oddVBand="0" w:evenVBand="0" w:oddHBand="1" w:evenHBand="0" w:firstRowFirstColumn="0" w:firstRowLastColumn="0" w:lastRowFirstColumn="0" w:lastRowLastColumn="0"/>
              <w:rPr>
                <w:rFonts w:cs="Arial"/>
                <w:b/>
                <w:bCs/>
                <w:sz w:val="18"/>
                <w:szCs w:val="18"/>
              </w:rPr>
            </w:pPr>
            <w:r>
              <w:rPr>
                <w:rFonts w:cs="Arial"/>
                <w:sz w:val="18"/>
                <w:szCs w:val="18"/>
              </w:rPr>
              <w:t>23.288</w:t>
            </w:r>
          </w:p>
        </w:tc>
        <w:tc>
          <w:tcPr>
            <w:tcW w:w="1047" w:type="dxa"/>
            <w:vAlign w:val="center"/>
          </w:tcPr>
          <w:p>
            <w:pPr>
              <w:jc w:val="center"/>
              <w:cnfStyle w:val="000000100000" w:firstRow="0" w:lastRow="0" w:firstColumn="0" w:lastColumn="0" w:oddVBand="0" w:evenVBand="0" w:oddHBand="1" w:evenHBand="0" w:firstRowFirstColumn="0" w:firstRowLastColumn="0" w:lastRowFirstColumn="0" w:lastRowLastColumn="0"/>
              <w:rPr>
                <w:rFonts w:cs="Arial"/>
                <w:b/>
                <w:bCs/>
                <w:sz w:val="18"/>
                <w:szCs w:val="18"/>
              </w:rPr>
            </w:pPr>
            <w:r>
              <w:rPr>
                <w:rFonts w:cs="Arial"/>
                <w:sz w:val="18"/>
                <w:szCs w:val="18"/>
              </w:rPr>
              <w:t>23.026</w:t>
            </w:r>
          </w:p>
        </w:tc>
        <w:tc>
          <w:tcPr>
            <w:tcW w:w="1047" w:type="dxa"/>
            <w:vAlign w:val="center"/>
          </w:tcPr>
          <w:p>
            <w:pPr>
              <w:jc w:val="center"/>
              <w:cnfStyle w:val="000000100000" w:firstRow="0" w:lastRow="0" w:firstColumn="0" w:lastColumn="0" w:oddVBand="0" w:evenVBand="0" w:oddHBand="1" w:evenHBand="0" w:firstRowFirstColumn="0" w:firstRowLastColumn="0" w:lastRowFirstColumn="0" w:lastRowLastColumn="0"/>
              <w:rPr>
                <w:rFonts w:cs="Arial"/>
                <w:b/>
                <w:bCs/>
                <w:sz w:val="18"/>
                <w:szCs w:val="18"/>
              </w:rPr>
            </w:pPr>
            <w:r>
              <w:rPr>
                <w:rFonts w:cs="Arial"/>
                <w:sz w:val="18"/>
                <w:szCs w:val="18"/>
              </w:rPr>
              <w:t>22.767</w:t>
            </w:r>
          </w:p>
        </w:tc>
        <w:tc>
          <w:tcPr>
            <w:tcW w:w="1047" w:type="dxa"/>
            <w:vAlign w:val="center"/>
          </w:tcPr>
          <w:p>
            <w:pPr>
              <w:jc w:val="center"/>
              <w:cnfStyle w:val="000000100000" w:firstRow="0" w:lastRow="0" w:firstColumn="0" w:lastColumn="0" w:oddVBand="0" w:evenVBand="0" w:oddHBand="1" w:evenHBand="0" w:firstRowFirstColumn="0" w:firstRowLastColumn="0" w:lastRowFirstColumn="0" w:lastRowLastColumn="0"/>
              <w:rPr>
                <w:rFonts w:cs="Arial"/>
                <w:b/>
                <w:bCs/>
                <w:sz w:val="18"/>
                <w:szCs w:val="18"/>
              </w:rPr>
            </w:pPr>
            <w:r>
              <w:rPr>
                <w:rFonts w:cs="Arial"/>
                <w:sz w:val="18"/>
                <w:szCs w:val="18"/>
              </w:rPr>
              <w:t>22.511</w:t>
            </w:r>
          </w:p>
        </w:tc>
        <w:tc>
          <w:tcPr>
            <w:tcW w:w="1047" w:type="dxa"/>
            <w:vAlign w:val="center"/>
          </w:tcPr>
          <w:p>
            <w:pPr>
              <w:jc w:val="center"/>
              <w:cnfStyle w:val="000000100000" w:firstRow="0" w:lastRow="0" w:firstColumn="0" w:lastColumn="0" w:oddVBand="0" w:evenVBand="0" w:oddHBand="1" w:evenHBand="0" w:firstRowFirstColumn="0" w:firstRowLastColumn="0" w:lastRowFirstColumn="0" w:lastRowLastColumn="0"/>
              <w:rPr>
                <w:b/>
                <w:bCs/>
                <w:sz w:val="18"/>
                <w:szCs w:val="18"/>
              </w:rPr>
            </w:pPr>
            <w:r>
              <w:rPr>
                <w:rFonts w:cs="Arial"/>
                <w:sz w:val="18"/>
                <w:szCs w:val="18"/>
              </w:rPr>
              <w:t>22.258</w:t>
            </w:r>
          </w:p>
        </w:tc>
      </w:tr>
      <w:tr>
        <w:trPr>
          <w:trHeight w:val="595"/>
        </w:trPr>
        <w:tc>
          <w:tcPr>
            <w:cnfStyle w:val="001000000000" w:firstRow="0" w:lastRow="0" w:firstColumn="1" w:lastColumn="0" w:oddVBand="0" w:evenVBand="0" w:oddHBand="0" w:evenHBand="0" w:firstRowFirstColumn="0" w:firstRowLastColumn="0" w:lastRowFirstColumn="0" w:lastRowLastColumn="0"/>
            <w:tcW w:w="2605" w:type="dxa"/>
            <w:vAlign w:val="center"/>
            <w:hideMark/>
          </w:tcPr>
          <w:p>
            <w:pPr>
              <w:rPr>
                <w:rFonts w:eastAsia="Times New Roman" w:cs="Arial"/>
                <w:b w:val="0"/>
                <w:bCs w:val="0"/>
                <w:sz w:val="18"/>
                <w:szCs w:val="18"/>
                <w:lang w:eastAsia="ro-RO"/>
              </w:rPr>
            </w:pPr>
            <w:r>
              <w:rPr>
                <w:rFonts w:eastAsia="Times New Roman" w:cs="Arial"/>
                <w:sz w:val="18"/>
                <w:szCs w:val="18"/>
                <w:lang w:eastAsia="ro-RO"/>
              </w:rPr>
              <w:t>Deșeuri reciclabile colectate separat către stația de sortare Valea Mărului</w:t>
            </w:r>
          </w:p>
        </w:tc>
        <w:tc>
          <w:tcPr>
            <w:tcW w:w="720" w:type="dxa"/>
            <w:vAlign w:val="center"/>
          </w:tcPr>
          <w:p>
            <w:pPr>
              <w:cnfStyle w:val="000000000000" w:firstRow="0" w:lastRow="0" w:firstColumn="0" w:lastColumn="0" w:oddVBand="0" w:evenVBand="0" w:oddHBand="0" w:evenHBand="0" w:firstRowFirstColumn="0" w:firstRowLastColumn="0" w:lastRowFirstColumn="0" w:lastRowLastColumn="0"/>
              <w:rPr>
                <w:sz w:val="18"/>
                <w:szCs w:val="18"/>
              </w:rPr>
            </w:pPr>
            <w:r>
              <w:rPr>
                <w:rFonts w:eastAsia="Times New Roman" w:cs="Calibri"/>
                <w:sz w:val="18"/>
                <w:szCs w:val="18"/>
              </w:rPr>
              <w:t>t/an</w:t>
            </w:r>
          </w:p>
        </w:tc>
        <w:tc>
          <w:tcPr>
            <w:tcW w:w="1046" w:type="dxa"/>
            <w:noWrap/>
            <w:vAlign w:val="center"/>
          </w:tcPr>
          <w:p>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3.582</w:t>
            </w:r>
          </w:p>
        </w:tc>
        <w:tc>
          <w:tcPr>
            <w:tcW w:w="1047" w:type="dxa"/>
            <w:noWrap/>
            <w:vAlign w:val="center"/>
          </w:tcPr>
          <w:p>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3.542</w:t>
            </w:r>
          </w:p>
        </w:tc>
        <w:tc>
          <w:tcPr>
            <w:tcW w:w="1047" w:type="dxa"/>
            <w:noWrap/>
            <w:vAlign w:val="center"/>
          </w:tcPr>
          <w:p>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3.502</w:t>
            </w:r>
          </w:p>
        </w:tc>
        <w:tc>
          <w:tcPr>
            <w:tcW w:w="1047" w:type="dxa"/>
            <w:noWrap/>
            <w:vAlign w:val="center"/>
          </w:tcPr>
          <w:p>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3.504</w:t>
            </w:r>
          </w:p>
        </w:tc>
        <w:tc>
          <w:tcPr>
            <w:tcW w:w="1047" w:type="dxa"/>
            <w:noWrap/>
            <w:vAlign w:val="center"/>
          </w:tcPr>
          <w:p>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3.506</w:t>
            </w:r>
          </w:p>
        </w:tc>
        <w:tc>
          <w:tcPr>
            <w:tcW w:w="1046" w:type="dxa"/>
            <w:noWrap/>
            <w:vAlign w:val="center"/>
          </w:tcPr>
          <w:p>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3.733</w:t>
            </w:r>
          </w:p>
        </w:tc>
        <w:tc>
          <w:tcPr>
            <w:tcW w:w="1047" w:type="dxa"/>
            <w:noWrap/>
            <w:vAlign w:val="center"/>
          </w:tcPr>
          <w:p>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3.691</w:t>
            </w:r>
          </w:p>
        </w:tc>
        <w:tc>
          <w:tcPr>
            <w:tcW w:w="1047" w:type="dxa"/>
            <w:vAlign w:val="center"/>
          </w:tcPr>
          <w:p>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3.648</w:t>
            </w:r>
          </w:p>
        </w:tc>
        <w:tc>
          <w:tcPr>
            <w:tcW w:w="1047" w:type="dxa"/>
            <w:vAlign w:val="center"/>
          </w:tcPr>
          <w:p>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3.606</w:t>
            </w:r>
          </w:p>
        </w:tc>
        <w:tc>
          <w:tcPr>
            <w:tcW w:w="1047" w:type="dxa"/>
            <w:vAlign w:val="center"/>
          </w:tcPr>
          <w:p>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3.565</w:t>
            </w:r>
          </w:p>
        </w:tc>
        <w:tc>
          <w:tcPr>
            <w:tcW w:w="1047" w:type="dxa"/>
            <w:vAlign w:val="center"/>
          </w:tcPr>
          <w:p>
            <w:pPr>
              <w:jc w:val="center"/>
              <w:cnfStyle w:val="000000000000" w:firstRow="0" w:lastRow="0" w:firstColumn="0" w:lastColumn="0" w:oddVBand="0" w:evenVBand="0" w:oddHBand="0" w:evenHBand="0" w:firstRowFirstColumn="0" w:firstRowLastColumn="0" w:lastRowFirstColumn="0" w:lastRowLastColumn="0"/>
              <w:rPr>
                <w:sz w:val="18"/>
                <w:szCs w:val="18"/>
              </w:rPr>
            </w:pPr>
            <w:r>
              <w:rPr>
                <w:rFonts w:cs="Arial"/>
                <w:sz w:val="18"/>
                <w:szCs w:val="18"/>
              </w:rPr>
              <w:t>3.524</w:t>
            </w:r>
          </w:p>
        </w:tc>
      </w:tr>
      <w:tr>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2605" w:type="dxa"/>
            <w:vAlign w:val="center"/>
          </w:tcPr>
          <w:p>
            <w:pPr>
              <w:rPr>
                <w:rFonts w:eastAsia="Times New Roman" w:cs="Arial"/>
                <w:b w:val="0"/>
                <w:bCs w:val="0"/>
                <w:sz w:val="18"/>
                <w:szCs w:val="18"/>
                <w:lang w:val="es-ES" w:eastAsia="ro-RO"/>
              </w:rPr>
            </w:pPr>
            <w:r>
              <w:rPr>
                <w:rFonts w:eastAsia="Times New Roman" w:cs="Arial"/>
                <w:sz w:val="18"/>
                <w:szCs w:val="18"/>
                <w:lang w:val="es-ES" w:eastAsia="ro-RO"/>
              </w:rPr>
              <w:t>Reziduuri și digestat rezidual de la TMB către depozit Valea Mărului</w:t>
            </w:r>
          </w:p>
        </w:tc>
        <w:tc>
          <w:tcPr>
            <w:tcW w:w="720" w:type="dxa"/>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Pr>
                <w:rFonts w:eastAsia="Times New Roman" w:cs="Calibri"/>
                <w:sz w:val="18"/>
                <w:szCs w:val="18"/>
              </w:rPr>
              <w:t>t/an</w:t>
            </w:r>
          </w:p>
        </w:tc>
        <w:tc>
          <w:tcPr>
            <w:tcW w:w="1046" w:type="dxa"/>
            <w:noWrap/>
            <w:vAlign w:val="center"/>
          </w:tcPr>
          <w:p>
            <w:pPr>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Pr>
                <w:sz w:val="18"/>
                <w:szCs w:val="18"/>
              </w:rPr>
              <w:t>23.095</w:t>
            </w:r>
          </w:p>
        </w:tc>
        <w:tc>
          <w:tcPr>
            <w:tcW w:w="1047" w:type="dxa"/>
            <w:noWrap/>
            <w:vAlign w:val="center"/>
          </w:tcPr>
          <w:p>
            <w:pPr>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Pr>
                <w:sz w:val="18"/>
                <w:szCs w:val="18"/>
              </w:rPr>
              <w:t>22.841</w:t>
            </w:r>
          </w:p>
        </w:tc>
        <w:tc>
          <w:tcPr>
            <w:tcW w:w="1047" w:type="dxa"/>
            <w:noWrap/>
            <w:vAlign w:val="center"/>
          </w:tcPr>
          <w:p>
            <w:pPr>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Pr>
                <w:sz w:val="18"/>
                <w:szCs w:val="18"/>
              </w:rPr>
              <w:t>22.590</w:t>
            </w:r>
          </w:p>
        </w:tc>
        <w:tc>
          <w:tcPr>
            <w:tcW w:w="1047" w:type="dxa"/>
            <w:noWrap/>
            <w:vAlign w:val="center"/>
          </w:tcPr>
          <w:p>
            <w:pPr>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Pr>
                <w:sz w:val="18"/>
                <w:szCs w:val="18"/>
              </w:rPr>
              <w:t>22.253</w:t>
            </w:r>
          </w:p>
        </w:tc>
        <w:tc>
          <w:tcPr>
            <w:tcW w:w="1047" w:type="dxa"/>
            <w:noWrap/>
            <w:vAlign w:val="center"/>
          </w:tcPr>
          <w:p>
            <w:pPr>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Pr>
                <w:sz w:val="18"/>
                <w:szCs w:val="18"/>
              </w:rPr>
              <w:t>21.691</w:t>
            </w:r>
          </w:p>
        </w:tc>
        <w:tc>
          <w:tcPr>
            <w:tcW w:w="1046" w:type="dxa"/>
            <w:noWrap/>
            <w:vAlign w:val="center"/>
          </w:tcPr>
          <w:p>
            <w:pPr>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Pr>
                <w:sz w:val="18"/>
                <w:szCs w:val="18"/>
              </w:rPr>
              <w:t>19.820</w:t>
            </w:r>
          </w:p>
        </w:tc>
        <w:tc>
          <w:tcPr>
            <w:tcW w:w="1047" w:type="dxa"/>
            <w:noWrap/>
            <w:vAlign w:val="center"/>
          </w:tcPr>
          <w:p>
            <w:pPr>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Pr>
                <w:sz w:val="18"/>
                <w:szCs w:val="18"/>
              </w:rPr>
              <w:t>19.597</w:t>
            </w:r>
          </w:p>
        </w:tc>
        <w:tc>
          <w:tcPr>
            <w:tcW w:w="1047" w:type="dxa"/>
            <w:vAlign w:val="center"/>
          </w:tcPr>
          <w:p>
            <w:pPr>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Pr>
                <w:sz w:val="18"/>
                <w:szCs w:val="18"/>
              </w:rPr>
              <w:t>19.378</w:t>
            </w:r>
          </w:p>
        </w:tc>
        <w:tc>
          <w:tcPr>
            <w:tcW w:w="1047" w:type="dxa"/>
            <w:vAlign w:val="center"/>
          </w:tcPr>
          <w:p>
            <w:pPr>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Pr>
                <w:sz w:val="18"/>
                <w:szCs w:val="18"/>
              </w:rPr>
              <w:t>19.160</w:t>
            </w:r>
          </w:p>
        </w:tc>
        <w:tc>
          <w:tcPr>
            <w:tcW w:w="1047" w:type="dxa"/>
            <w:vAlign w:val="center"/>
          </w:tcPr>
          <w:p>
            <w:pPr>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Pr>
                <w:sz w:val="18"/>
                <w:szCs w:val="18"/>
              </w:rPr>
              <w:t>18.946</w:t>
            </w:r>
          </w:p>
        </w:tc>
        <w:tc>
          <w:tcPr>
            <w:tcW w:w="1047" w:type="dxa"/>
            <w:vAlign w:val="center"/>
          </w:tcPr>
          <w:p>
            <w:pPr>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Pr>
                <w:sz w:val="18"/>
                <w:szCs w:val="18"/>
              </w:rPr>
              <w:t>23.095</w:t>
            </w:r>
          </w:p>
        </w:tc>
      </w:tr>
      <w:tr>
        <w:trPr>
          <w:trHeight w:val="491"/>
        </w:trPr>
        <w:tc>
          <w:tcPr>
            <w:cnfStyle w:val="001000000000" w:firstRow="0" w:lastRow="0" w:firstColumn="1" w:lastColumn="0" w:oddVBand="0" w:evenVBand="0" w:oddHBand="0" w:evenHBand="0" w:firstRowFirstColumn="0" w:firstRowLastColumn="0" w:lastRowFirstColumn="0" w:lastRowLastColumn="0"/>
            <w:tcW w:w="2605" w:type="dxa"/>
            <w:vAlign w:val="center"/>
          </w:tcPr>
          <w:p>
            <w:pPr>
              <w:rPr>
                <w:rFonts w:eastAsia="Times New Roman" w:cs="Arial"/>
                <w:sz w:val="18"/>
                <w:szCs w:val="18"/>
                <w:lang w:val="es-ES" w:eastAsia="ro-RO"/>
              </w:rPr>
            </w:pPr>
            <w:r>
              <w:rPr>
                <w:rFonts w:eastAsia="Times New Roman" w:cs="Arial"/>
                <w:sz w:val="18"/>
                <w:szCs w:val="18"/>
                <w:lang w:val="es-ES" w:eastAsia="ro-RO"/>
              </w:rPr>
              <w:t>Deșeuri textile către Hală fluxuri speciale Tecuci</w:t>
            </w:r>
          </w:p>
        </w:tc>
        <w:tc>
          <w:tcPr>
            <w:tcW w:w="720" w:type="dxa"/>
            <w:vAlign w:val="center"/>
          </w:tcPr>
          <w:p>
            <w:pP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Pr>
                <w:rFonts w:eastAsia="Times New Roman" w:cs="Calibri"/>
                <w:sz w:val="18"/>
                <w:szCs w:val="18"/>
              </w:rPr>
              <w:t>t/an</w:t>
            </w:r>
          </w:p>
        </w:tc>
        <w:tc>
          <w:tcPr>
            <w:tcW w:w="1046" w:type="dxa"/>
            <w:noWrap/>
            <w:vAlign w:val="center"/>
          </w:tcPr>
          <w:p>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246</w:t>
            </w:r>
          </w:p>
        </w:tc>
        <w:tc>
          <w:tcPr>
            <w:tcW w:w="1047" w:type="dxa"/>
            <w:noWrap/>
            <w:vAlign w:val="center"/>
          </w:tcPr>
          <w:p>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243</w:t>
            </w:r>
          </w:p>
        </w:tc>
        <w:tc>
          <w:tcPr>
            <w:tcW w:w="1047" w:type="dxa"/>
            <w:noWrap/>
            <w:vAlign w:val="center"/>
          </w:tcPr>
          <w:p>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240</w:t>
            </w:r>
          </w:p>
        </w:tc>
        <w:tc>
          <w:tcPr>
            <w:tcW w:w="1047" w:type="dxa"/>
            <w:noWrap/>
            <w:vAlign w:val="center"/>
          </w:tcPr>
          <w:p>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238</w:t>
            </w:r>
          </w:p>
        </w:tc>
        <w:tc>
          <w:tcPr>
            <w:tcW w:w="1047" w:type="dxa"/>
            <w:noWrap/>
            <w:vAlign w:val="center"/>
          </w:tcPr>
          <w:p>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235</w:t>
            </w:r>
          </w:p>
        </w:tc>
        <w:tc>
          <w:tcPr>
            <w:tcW w:w="1046" w:type="dxa"/>
            <w:noWrap/>
            <w:vAlign w:val="center"/>
          </w:tcPr>
          <w:p>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232</w:t>
            </w:r>
          </w:p>
        </w:tc>
        <w:tc>
          <w:tcPr>
            <w:tcW w:w="1047" w:type="dxa"/>
            <w:noWrap/>
            <w:vAlign w:val="center"/>
          </w:tcPr>
          <w:p>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230</w:t>
            </w:r>
          </w:p>
        </w:tc>
        <w:tc>
          <w:tcPr>
            <w:tcW w:w="1047" w:type="dxa"/>
            <w:vAlign w:val="center"/>
          </w:tcPr>
          <w:p>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227</w:t>
            </w:r>
          </w:p>
        </w:tc>
        <w:tc>
          <w:tcPr>
            <w:tcW w:w="1047" w:type="dxa"/>
            <w:vAlign w:val="center"/>
          </w:tcPr>
          <w:p>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224</w:t>
            </w:r>
          </w:p>
        </w:tc>
        <w:tc>
          <w:tcPr>
            <w:tcW w:w="1047" w:type="dxa"/>
            <w:vAlign w:val="center"/>
          </w:tcPr>
          <w:p>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222</w:t>
            </w:r>
          </w:p>
        </w:tc>
        <w:tc>
          <w:tcPr>
            <w:tcW w:w="1047" w:type="dxa"/>
            <w:vAlign w:val="center"/>
          </w:tcPr>
          <w:p>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219</w:t>
            </w:r>
          </w:p>
        </w:tc>
      </w:tr>
      <w:tr>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2605" w:type="dxa"/>
            <w:vAlign w:val="center"/>
          </w:tcPr>
          <w:p>
            <w:pPr>
              <w:rPr>
                <w:rFonts w:eastAsia="Times New Roman" w:cs="Arial"/>
                <w:sz w:val="18"/>
                <w:szCs w:val="18"/>
                <w:lang w:val="es-ES" w:eastAsia="ro-RO"/>
              </w:rPr>
            </w:pPr>
            <w:r>
              <w:rPr>
                <w:rFonts w:eastAsia="Times New Roman" w:cs="Arial"/>
                <w:sz w:val="18"/>
                <w:szCs w:val="18"/>
                <w:lang w:eastAsia="ro-RO"/>
              </w:rPr>
              <w:t>Deșeuri voluminoase către Hală fluxuri speciale Tecuci</w:t>
            </w:r>
          </w:p>
        </w:tc>
        <w:tc>
          <w:tcPr>
            <w:tcW w:w="720" w:type="dxa"/>
            <w:vAlign w:val="center"/>
          </w:tcPr>
          <w:p>
            <w:pP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Pr>
                <w:rFonts w:eastAsia="Times New Roman" w:cs="Calibri"/>
                <w:sz w:val="18"/>
                <w:szCs w:val="18"/>
              </w:rPr>
              <w:t>t/an</w:t>
            </w:r>
          </w:p>
        </w:tc>
        <w:tc>
          <w:tcPr>
            <w:tcW w:w="1046" w:type="dxa"/>
            <w:noWrap/>
            <w:vAlign w:val="center"/>
          </w:tcPr>
          <w:p>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486</w:t>
            </w:r>
          </w:p>
        </w:tc>
        <w:tc>
          <w:tcPr>
            <w:tcW w:w="1047" w:type="dxa"/>
            <w:noWrap/>
            <w:vAlign w:val="center"/>
          </w:tcPr>
          <w:p>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480</w:t>
            </w:r>
          </w:p>
        </w:tc>
        <w:tc>
          <w:tcPr>
            <w:tcW w:w="1047" w:type="dxa"/>
            <w:noWrap/>
            <w:vAlign w:val="center"/>
          </w:tcPr>
          <w:p>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475</w:t>
            </w:r>
          </w:p>
        </w:tc>
        <w:tc>
          <w:tcPr>
            <w:tcW w:w="1047" w:type="dxa"/>
            <w:noWrap/>
            <w:vAlign w:val="center"/>
          </w:tcPr>
          <w:p>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469</w:t>
            </w:r>
          </w:p>
        </w:tc>
        <w:tc>
          <w:tcPr>
            <w:tcW w:w="1047" w:type="dxa"/>
            <w:noWrap/>
            <w:vAlign w:val="center"/>
          </w:tcPr>
          <w:p>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464</w:t>
            </w:r>
          </w:p>
        </w:tc>
        <w:tc>
          <w:tcPr>
            <w:tcW w:w="1046" w:type="dxa"/>
            <w:noWrap/>
            <w:vAlign w:val="center"/>
          </w:tcPr>
          <w:p>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495</w:t>
            </w:r>
          </w:p>
        </w:tc>
        <w:tc>
          <w:tcPr>
            <w:tcW w:w="1047" w:type="dxa"/>
            <w:noWrap/>
            <w:vAlign w:val="center"/>
          </w:tcPr>
          <w:p>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490</w:t>
            </w:r>
          </w:p>
        </w:tc>
        <w:tc>
          <w:tcPr>
            <w:tcW w:w="1047" w:type="dxa"/>
            <w:vAlign w:val="center"/>
          </w:tcPr>
          <w:p>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484</w:t>
            </w:r>
          </w:p>
        </w:tc>
        <w:tc>
          <w:tcPr>
            <w:tcW w:w="1047" w:type="dxa"/>
            <w:vAlign w:val="center"/>
          </w:tcPr>
          <w:p>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478</w:t>
            </w:r>
          </w:p>
        </w:tc>
        <w:tc>
          <w:tcPr>
            <w:tcW w:w="1047" w:type="dxa"/>
            <w:vAlign w:val="center"/>
          </w:tcPr>
          <w:p>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473</w:t>
            </w:r>
          </w:p>
        </w:tc>
        <w:tc>
          <w:tcPr>
            <w:tcW w:w="1047" w:type="dxa"/>
            <w:vAlign w:val="center"/>
          </w:tcPr>
          <w:p>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468</w:t>
            </w:r>
          </w:p>
        </w:tc>
      </w:tr>
      <w:tr>
        <w:trPr>
          <w:trHeight w:val="491"/>
        </w:trPr>
        <w:tc>
          <w:tcPr>
            <w:cnfStyle w:val="001000000000" w:firstRow="0" w:lastRow="0" w:firstColumn="1" w:lastColumn="0" w:oddVBand="0" w:evenVBand="0" w:oddHBand="0" w:evenHBand="0" w:firstRowFirstColumn="0" w:firstRowLastColumn="0" w:lastRowFirstColumn="0" w:lastRowLastColumn="0"/>
            <w:tcW w:w="2605" w:type="dxa"/>
            <w:vAlign w:val="center"/>
          </w:tcPr>
          <w:p>
            <w:pPr>
              <w:rPr>
                <w:rFonts w:eastAsia="Times New Roman" w:cs="Arial"/>
                <w:sz w:val="18"/>
                <w:szCs w:val="18"/>
                <w:lang w:val="es-ES" w:eastAsia="ro-RO"/>
              </w:rPr>
            </w:pPr>
            <w:r>
              <w:rPr>
                <w:rFonts w:eastAsia="Times New Roman" w:cs="Arial"/>
                <w:sz w:val="18"/>
                <w:szCs w:val="18"/>
                <w:lang w:eastAsia="ro-RO"/>
              </w:rPr>
              <w:t>Deșeuri menajere periculoase – stocare temporară</w:t>
            </w:r>
          </w:p>
        </w:tc>
        <w:tc>
          <w:tcPr>
            <w:tcW w:w="720" w:type="dxa"/>
            <w:vAlign w:val="center"/>
          </w:tcPr>
          <w:p>
            <w:pP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Pr>
                <w:rFonts w:eastAsia="Times New Roman" w:cs="Calibri"/>
                <w:sz w:val="18"/>
                <w:szCs w:val="18"/>
              </w:rPr>
              <w:t>t/an</w:t>
            </w:r>
          </w:p>
        </w:tc>
        <w:tc>
          <w:tcPr>
            <w:tcW w:w="1046" w:type="dxa"/>
            <w:noWrap/>
            <w:vAlign w:val="center"/>
          </w:tcPr>
          <w:p>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176</w:t>
            </w:r>
          </w:p>
        </w:tc>
        <w:tc>
          <w:tcPr>
            <w:tcW w:w="1047" w:type="dxa"/>
            <w:noWrap/>
            <w:vAlign w:val="center"/>
          </w:tcPr>
          <w:p>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174</w:t>
            </w:r>
          </w:p>
        </w:tc>
        <w:tc>
          <w:tcPr>
            <w:tcW w:w="1047" w:type="dxa"/>
            <w:noWrap/>
            <w:vAlign w:val="center"/>
          </w:tcPr>
          <w:p>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172</w:t>
            </w:r>
          </w:p>
        </w:tc>
        <w:tc>
          <w:tcPr>
            <w:tcW w:w="1047" w:type="dxa"/>
            <w:noWrap/>
            <w:vAlign w:val="center"/>
          </w:tcPr>
          <w:p>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170</w:t>
            </w:r>
          </w:p>
        </w:tc>
        <w:tc>
          <w:tcPr>
            <w:tcW w:w="1047" w:type="dxa"/>
            <w:noWrap/>
            <w:vAlign w:val="center"/>
          </w:tcPr>
          <w:p>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168</w:t>
            </w:r>
          </w:p>
        </w:tc>
        <w:tc>
          <w:tcPr>
            <w:tcW w:w="1046" w:type="dxa"/>
            <w:noWrap/>
            <w:vAlign w:val="center"/>
          </w:tcPr>
          <w:p>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166</w:t>
            </w:r>
          </w:p>
        </w:tc>
        <w:tc>
          <w:tcPr>
            <w:tcW w:w="1047" w:type="dxa"/>
            <w:noWrap/>
            <w:vAlign w:val="center"/>
          </w:tcPr>
          <w:p>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164</w:t>
            </w:r>
          </w:p>
        </w:tc>
        <w:tc>
          <w:tcPr>
            <w:tcW w:w="1047" w:type="dxa"/>
            <w:vAlign w:val="center"/>
          </w:tcPr>
          <w:p>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162</w:t>
            </w:r>
          </w:p>
        </w:tc>
        <w:tc>
          <w:tcPr>
            <w:tcW w:w="1047" w:type="dxa"/>
            <w:vAlign w:val="center"/>
          </w:tcPr>
          <w:p>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160</w:t>
            </w:r>
          </w:p>
        </w:tc>
        <w:tc>
          <w:tcPr>
            <w:tcW w:w="1047" w:type="dxa"/>
            <w:vAlign w:val="center"/>
          </w:tcPr>
          <w:p>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158</w:t>
            </w:r>
          </w:p>
        </w:tc>
        <w:tc>
          <w:tcPr>
            <w:tcW w:w="1047" w:type="dxa"/>
            <w:vAlign w:val="center"/>
          </w:tcPr>
          <w:p>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156</w:t>
            </w:r>
          </w:p>
        </w:tc>
      </w:tr>
    </w:tbl>
    <w:p>
      <w:pPr>
        <w:rPr>
          <w:sz w:val="20"/>
          <w:szCs w:val="20"/>
          <w:lang w:val="ro-RO"/>
        </w:rPr>
        <w:sectPr>
          <w:pgSz w:w="16838" w:h="11906" w:orient="landscape"/>
          <w:pgMar w:top="1440" w:right="1138" w:bottom="850" w:left="850" w:header="706" w:footer="432" w:gutter="0"/>
          <w:cols w:space="708"/>
          <w:docGrid w:linePitch="360"/>
        </w:sectPr>
      </w:pPr>
    </w:p>
    <w:p>
      <w:pPr>
        <w:rPr>
          <w:sz w:val="20"/>
          <w:szCs w:val="20"/>
          <w:lang w:val="ro-RO"/>
        </w:rPr>
      </w:pPr>
      <w:r>
        <w:rPr>
          <w:sz w:val="20"/>
          <w:szCs w:val="20"/>
          <w:lang w:val="ro-RO"/>
        </w:rPr>
        <w:lastRenderedPageBreak/>
        <w:t>Datorită capacităţii proiectate şi a intrărilor de deşeuri, staţia de transfer va funcționa în 1,5 schimburi.</w:t>
      </w:r>
    </w:p>
    <w:p>
      <w:pPr>
        <w:rPr>
          <w:sz w:val="20"/>
          <w:szCs w:val="20"/>
          <w:lang w:val="ro-RO"/>
        </w:rPr>
      </w:pPr>
      <w:r>
        <w:rPr>
          <w:sz w:val="20"/>
          <w:szCs w:val="20"/>
          <w:lang w:val="ro-RO"/>
        </w:rPr>
        <w:t>Estimările au fost realizate în cadrul Studiului de fundamentare (2026) şi se bazează pe ipoteze care nu sunt verificate prin măsurători (cantităţi generate în prezent, procentul de deşeuri similare din cele menajere etc.). În consecinţă cantităţile de deşeuri pot varia cu până la 15%.</w:t>
      </w:r>
    </w:p>
    <w:p>
      <w:pPr>
        <w:rPr>
          <w:sz w:val="20"/>
          <w:szCs w:val="20"/>
          <w:lang w:val="ro-RO"/>
        </w:rPr>
      </w:pPr>
    </w:p>
    <w:p>
      <w:pPr>
        <w:pStyle w:val="Heading3"/>
        <w:rPr>
          <w:sz w:val="20"/>
          <w:szCs w:val="20"/>
          <w:lang w:val="ro-RO"/>
        </w:rPr>
      </w:pPr>
      <w:bookmarkStart w:id="25" w:name="_Toc227161500"/>
      <w:r>
        <w:rPr>
          <w:sz w:val="20"/>
          <w:szCs w:val="20"/>
          <w:lang w:val="ro-RO"/>
        </w:rPr>
        <w:t>1.3.5  Instalaţii si echipamente specifice</w:t>
      </w:r>
      <w:bookmarkEnd w:id="25"/>
    </w:p>
    <w:p>
      <w:pPr>
        <w:pStyle w:val="Heading4"/>
        <w:rPr>
          <w:sz w:val="20"/>
          <w:szCs w:val="20"/>
          <w:lang w:val="ro-RO"/>
        </w:rPr>
      </w:pPr>
      <w:r>
        <w:rPr>
          <w:sz w:val="20"/>
          <w:szCs w:val="20"/>
          <w:lang w:val="ro-RO"/>
        </w:rPr>
        <w:t>1.3.5.1 Echipamente comune</w:t>
      </w:r>
    </w:p>
    <w:p>
      <w:pPr>
        <w:rPr>
          <w:sz w:val="20"/>
          <w:szCs w:val="20"/>
          <w:lang w:val="ro-RO"/>
        </w:rPr>
      </w:pPr>
      <w:r>
        <w:rPr>
          <w:sz w:val="20"/>
          <w:szCs w:val="20"/>
          <w:lang w:val="ro-RO"/>
        </w:rPr>
        <w:t>Echipamente utilizate in comun de fluxurile tehnologice ale celor doua statii sunt:</w:t>
      </w:r>
    </w:p>
    <w:p>
      <w:pPr>
        <w:pStyle w:val="ListParagraph"/>
        <w:numPr>
          <w:ilvl w:val="0"/>
          <w:numId w:val="10"/>
        </w:numPr>
        <w:rPr>
          <w:sz w:val="20"/>
          <w:szCs w:val="20"/>
          <w:lang w:val="ro-RO"/>
        </w:rPr>
      </w:pPr>
      <w:r>
        <w:rPr>
          <w:sz w:val="20"/>
          <w:szCs w:val="20"/>
          <w:lang w:val="ro-RO"/>
        </w:rPr>
        <w:t>C</w:t>
      </w:r>
      <w:r>
        <w:rPr>
          <w:rFonts w:cs="Verdana"/>
          <w:sz w:val="20"/>
          <w:szCs w:val="20"/>
          <w:lang w:val="ro-RO"/>
        </w:rPr>
        <w:t>â</w:t>
      </w:r>
      <w:r>
        <w:rPr>
          <w:sz w:val="20"/>
          <w:szCs w:val="20"/>
          <w:lang w:val="ro-RO"/>
        </w:rPr>
        <w:t>ntar electronic cu sistem de gestiune integrat pentru recep</w:t>
      </w:r>
      <w:r>
        <w:rPr>
          <w:rFonts w:cs="Verdana"/>
          <w:sz w:val="20"/>
          <w:szCs w:val="20"/>
          <w:lang w:val="ro-RO"/>
        </w:rPr>
        <w:t>ţ</w:t>
      </w:r>
      <w:r>
        <w:rPr>
          <w:sz w:val="20"/>
          <w:szCs w:val="20"/>
          <w:lang w:val="ro-RO"/>
        </w:rPr>
        <w:t>ia de</w:t>
      </w:r>
      <w:r>
        <w:rPr>
          <w:rFonts w:cs="Verdana"/>
          <w:sz w:val="20"/>
          <w:szCs w:val="20"/>
          <w:lang w:val="ro-RO"/>
        </w:rPr>
        <w:t>ş</w:t>
      </w:r>
      <w:r>
        <w:rPr>
          <w:sz w:val="20"/>
          <w:szCs w:val="20"/>
          <w:lang w:val="ro-RO"/>
        </w:rPr>
        <w:t>eurilor;</w:t>
      </w:r>
    </w:p>
    <w:p>
      <w:pPr>
        <w:pStyle w:val="ListParagraph"/>
        <w:numPr>
          <w:ilvl w:val="0"/>
          <w:numId w:val="10"/>
        </w:numPr>
        <w:rPr>
          <w:sz w:val="20"/>
          <w:szCs w:val="20"/>
          <w:lang w:val="ro-RO"/>
        </w:rPr>
      </w:pPr>
      <w:r>
        <w:rPr>
          <w:sz w:val="20"/>
          <w:szCs w:val="20"/>
          <w:lang w:val="ro-RO"/>
        </w:rPr>
        <w:t>Statie de spalare automata.;</w:t>
      </w:r>
    </w:p>
    <w:p>
      <w:pPr>
        <w:pStyle w:val="ListParagraph"/>
        <w:numPr>
          <w:ilvl w:val="0"/>
          <w:numId w:val="10"/>
        </w:numPr>
        <w:rPr>
          <w:sz w:val="20"/>
          <w:szCs w:val="20"/>
          <w:lang w:val="ro-RO"/>
        </w:rPr>
      </w:pPr>
      <w:r>
        <w:rPr>
          <w:sz w:val="20"/>
          <w:szCs w:val="20"/>
          <w:lang w:val="ro-RO"/>
        </w:rPr>
        <w:t>Sistem de monitorizare a activit</w:t>
      </w:r>
      <w:r>
        <w:rPr>
          <w:rFonts w:cs="Verdana"/>
          <w:sz w:val="20"/>
          <w:szCs w:val="20"/>
          <w:lang w:val="ro-RO"/>
        </w:rPr>
        <w:t>ă</w:t>
      </w:r>
      <w:r>
        <w:rPr>
          <w:sz w:val="20"/>
          <w:szCs w:val="20"/>
          <w:lang w:val="ro-RO"/>
        </w:rPr>
        <w:t>ţii SCADA;</w:t>
      </w:r>
    </w:p>
    <w:p>
      <w:pPr>
        <w:pStyle w:val="ListParagraph"/>
        <w:numPr>
          <w:ilvl w:val="0"/>
          <w:numId w:val="10"/>
        </w:numPr>
        <w:rPr>
          <w:sz w:val="20"/>
          <w:szCs w:val="20"/>
          <w:lang w:val="ro-RO"/>
        </w:rPr>
      </w:pPr>
      <w:r>
        <w:rPr>
          <w:sz w:val="20"/>
          <w:szCs w:val="20"/>
          <w:lang w:val="ro-RO"/>
        </w:rPr>
        <w:t>Grup electrogen;</w:t>
      </w:r>
    </w:p>
    <w:p>
      <w:pPr>
        <w:pStyle w:val="ListParagraph"/>
        <w:numPr>
          <w:ilvl w:val="0"/>
          <w:numId w:val="10"/>
        </w:numPr>
        <w:rPr>
          <w:sz w:val="20"/>
          <w:szCs w:val="20"/>
          <w:lang w:val="ro-RO"/>
        </w:rPr>
      </w:pPr>
      <w:r>
        <w:rPr>
          <w:sz w:val="20"/>
          <w:szCs w:val="20"/>
          <w:lang w:val="ro-RO"/>
        </w:rPr>
        <w:t>Autovehicul pick-up;</w:t>
      </w:r>
    </w:p>
    <w:p>
      <w:pPr>
        <w:pStyle w:val="ListParagraph"/>
        <w:numPr>
          <w:ilvl w:val="0"/>
          <w:numId w:val="10"/>
        </w:numPr>
        <w:rPr>
          <w:sz w:val="20"/>
          <w:szCs w:val="20"/>
          <w:lang w:val="ro-RO"/>
        </w:rPr>
      </w:pPr>
      <w:r>
        <w:rPr>
          <w:sz w:val="20"/>
          <w:szCs w:val="20"/>
          <w:lang w:val="ro-RO"/>
        </w:rPr>
        <w:t>Camion cu sistem de ridicare a containerelor si remorca.</w:t>
      </w:r>
    </w:p>
    <w:p>
      <w:pPr>
        <w:rPr>
          <w:sz w:val="20"/>
          <w:szCs w:val="20"/>
          <w:lang w:val="ro-RO"/>
        </w:rPr>
      </w:pPr>
      <w:r>
        <w:rPr>
          <w:sz w:val="20"/>
          <w:szCs w:val="20"/>
          <w:lang w:val="ro-RO"/>
        </w:rPr>
        <w:t>Toate produsele ofertate vor fi însoţite la livrare de certificatul CE (Conformitate Europeană) şi vor fi marcate cu marcajul de conformitate CE care să ateste faptul că produsele livrate îndeplinesc cerinţele standardelor şi directivelor europene, în conformitate cu prevederile OG nr. 20/2010 cu modificările şi completările ulterioare. Nu se accepta echipamente uzate.</w:t>
      </w:r>
    </w:p>
    <w:p>
      <w:pPr>
        <w:pStyle w:val="Heading4"/>
        <w:rPr>
          <w:sz w:val="20"/>
          <w:szCs w:val="20"/>
          <w:lang w:val="ro-RO"/>
        </w:rPr>
      </w:pPr>
      <w:r>
        <w:rPr>
          <w:sz w:val="20"/>
          <w:szCs w:val="20"/>
          <w:lang w:val="ro-RO"/>
        </w:rPr>
        <w:t>1.3.5.2 Echipamente specifice statie de tratare mecano-biologica</w:t>
      </w:r>
    </w:p>
    <w:p>
      <w:pPr>
        <w:rPr>
          <w:sz w:val="20"/>
          <w:szCs w:val="20"/>
          <w:lang w:val="ro-RO"/>
        </w:rPr>
      </w:pPr>
      <w:r>
        <w:rPr>
          <w:sz w:val="20"/>
          <w:szCs w:val="20"/>
          <w:lang w:val="ro-RO"/>
        </w:rPr>
        <w:t>Echipamente principale utilizate in cadru liniei de tratare mecanică:</w:t>
      </w:r>
    </w:p>
    <w:p>
      <w:pPr>
        <w:pStyle w:val="ListParagraph"/>
        <w:numPr>
          <w:ilvl w:val="0"/>
          <w:numId w:val="12"/>
        </w:numPr>
        <w:rPr>
          <w:sz w:val="20"/>
          <w:szCs w:val="20"/>
          <w:lang w:val="ro-RO"/>
        </w:rPr>
      </w:pPr>
      <w:r>
        <w:rPr>
          <w:sz w:val="20"/>
          <w:szCs w:val="20"/>
          <w:lang w:val="ro-RO"/>
        </w:rPr>
        <w:t>Încărcătoare frontale pe pneuri.</w:t>
      </w:r>
    </w:p>
    <w:p>
      <w:pPr>
        <w:pStyle w:val="ListParagraph"/>
        <w:numPr>
          <w:ilvl w:val="0"/>
          <w:numId w:val="12"/>
        </w:numPr>
        <w:rPr>
          <w:sz w:val="20"/>
          <w:szCs w:val="20"/>
          <w:lang w:val="ro-RO"/>
        </w:rPr>
      </w:pPr>
      <w:r>
        <w:rPr>
          <w:sz w:val="20"/>
          <w:szCs w:val="20"/>
          <w:lang w:val="ro-RO"/>
        </w:rPr>
        <w:t>Buncăre cu podea mobilă alimentare biodeșeuri.</w:t>
      </w:r>
    </w:p>
    <w:p>
      <w:pPr>
        <w:pStyle w:val="ListParagraph"/>
        <w:numPr>
          <w:ilvl w:val="0"/>
          <w:numId w:val="12"/>
        </w:numPr>
        <w:rPr>
          <w:sz w:val="20"/>
          <w:szCs w:val="20"/>
          <w:lang w:val="ro-RO"/>
        </w:rPr>
      </w:pPr>
      <w:r>
        <w:rPr>
          <w:sz w:val="20"/>
          <w:szCs w:val="20"/>
          <w:lang w:val="ro-RO"/>
        </w:rPr>
        <w:t>Desfăcător de saci.</w:t>
      </w:r>
    </w:p>
    <w:p>
      <w:pPr>
        <w:pStyle w:val="ListParagraph"/>
        <w:numPr>
          <w:ilvl w:val="0"/>
          <w:numId w:val="12"/>
        </w:numPr>
        <w:rPr>
          <w:sz w:val="20"/>
          <w:szCs w:val="20"/>
          <w:lang w:val="ro-RO"/>
        </w:rPr>
      </w:pPr>
      <w:r>
        <w:rPr>
          <w:sz w:val="20"/>
          <w:szCs w:val="20"/>
          <w:lang w:val="ro-RO"/>
        </w:rPr>
        <w:t>Linie sortare semiautomata.</w:t>
      </w:r>
    </w:p>
    <w:p>
      <w:pPr>
        <w:pStyle w:val="ListParagraph"/>
        <w:numPr>
          <w:ilvl w:val="0"/>
          <w:numId w:val="12"/>
        </w:numPr>
        <w:rPr>
          <w:sz w:val="20"/>
          <w:szCs w:val="20"/>
          <w:lang w:val="ro-RO"/>
        </w:rPr>
      </w:pPr>
      <w:r>
        <w:rPr>
          <w:sz w:val="20"/>
          <w:szCs w:val="20"/>
          <w:lang w:val="ro-RO"/>
        </w:rPr>
        <w:t>Benzi transportoare cu racleți destinat încărcării, sortării și descărcării deșeurilor sortate, precum și a refuzului.</w:t>
      </w:r>
    </w:p>
    <w:p>
      <w:pPr>
        <w:pStyle w:val="ListParagraph"/>
        <w:numPr>
          <w:ilvl w:val="0"/>
          <w:numId w:val="12"/>
        </w:numPr>
        <w:rPr>
          <w:sz w:val="20"/>
          <w:szCs w:val="20"/>
          <w:lang w:val="ro-RO"/>
        </w:rPr>
      </w:pPr>
      <w:r>
        <w:rPr>
          <w:sz w:val="20"/>
          <w:szCs w:val="20"/>
          <w:lang w:val="ro-RO"/>
        </w:rPr>
        <w:t>Ciururi rotative pentru separarea fracțiilor.</w:t>
      </w:r>
    </w:p>
    <w:p>
      <w:pPr>
        <w:pStyle w:val="ListParagraph"/>
        <w:numPr>
          <w:ilvl w:val="0"/>
          <w:numId w:val="12"/>
        </w:numPr>
        <w:rPr>
          <w:sz w:val="20"/>
          <w:szCs w:val="20"/>
          <w:lang w:val="ro-RO"/>
        </w:rPr>
      </w:pPr>
      <w:r>
        <w:rPr>
          <w:sz w:val="20"/>
          <w:szCs w:val="20"/>
          <w:lang w:val="ro-RO"/>
        </w:rPr>
        <w:t>Separatoare optice (pentru separarea materialelor de plastic în funcție de culoare) și cu infraroșu (pentru sortarea în funcție de tipul de material: PET și HDPE/PP).</w:t>
      </w:r>
    </w:p>
    <w:p>
      <w:pPr>
        <w:pStyle w:val="ListParagraph"/>
        <w:numPr>
          <w:ilvl w:val="0"/>
          <w:numId w:val="12"/>
        </w:numPr>
        <w:rPr>
          <w:sz w:val="20"/>
          <w:szCs w:val="20"/>
          <w:lang w:val="ro-RO"/>
        </w:rPr>
      </w:pPr>
      <w:r>
        <w:rPr>
          <w:sz w:val="20"/>
          <w:szCs w:val="20"/>
          <w:lang w:val="ro-RO"/>
        </w:rPr>
        <w:t>Separator magnetic pentru extragerea materialelor feroase.</w:t>
      </w:r>
    </w:p>
    <w:p>
      <w:pPr>
        <w:pStyle w:val="ListParagraph"/>
        <w:numPr>
          <w:ilvl w:val="0"/>
          <w:numId w:val="12"/>
        </w:numPr>
        <w:rPr>
          <w:sz w:val="20"/>
          <w:szCs w:val="20"/>
          <w:lang w:val="ro-RO"/>
        </w:rPr>
      </w:pPr>
      <w:r>
        <w:rPr>
          <w:sz w:val="20"/>
          <w:szCs w:val="20"/>
          <w:lang w:val="ro-RO"/>
        </w:rPr>
        <w:t>Separatoare de neferoase;</w:t>
      </w:r>
    </w:p>
    <w:p>
      <w:pPr>
        <w:pStyle w:val="ListParagraph"/>
        <w:numPr>
          <w:ilvl w:val="0"/>
          <w:numId w:val="12"/>
        </w:numPr>
        <w:rPr>
          <w:sz w:val="20"/>
          <w:szCs w:val="20"/>
          <w:lang w:val="ro-RO"/>
        </w:rPr>
      </w:pPr>
      <w:r>
        <w:rPr>
          <w:sz w:val="20"/>
          <w:szCs w:val="20"/>
          <w:lang w:val="ro-RO"/>
        </w:rPr>
        <w:t>Separatoare balistice cu diametrul de 35 mm.asigurarea</w:t>
      </w:r>
    </w:p>
    <w:p>
      <w:pPr>
        <w:pStyle w:val="ListParagraph"/>
        <w:numPr>
          <w:ilvl w:val="0"/>
          <w:numId w:val="12"/>
        </w:numPr>
        <w:rPr>
          <w:sz w:val="20"/>
          <w:szCs w:val="20"/>
          <w:lang w:val="ro-RO"/>
        </w:rPr>
      </w:pPr>
      <w:r>
        <w:rPr>
          <w:sz w:val="20"/>
          <w:szCs w:val="20"/>
          <w:lang w:val="ro-RO"/>
        </w:rPr>
        <w:t>Prese balotat (PET, hartie, RDF, etc).</w:t>
      </w:r>
    </w:p>
    <w:p>
      <w:pPr>
        <w:pStyle w:val="ListParagraph"/>
        <w:numPr>
          <w:ilvl w:val="0"/>
          <w:numId w:val="12"/>
        </w:numPr>
        <w:rPr>
          <w:sz w:val="20"/>
          <w:szCs w:val="20"/>
          <w:lang w:val="ro-RO"/>
        </w:rPr>
      </w:pPr>
      <w:r>
        <w:rPr>
          <w:sz w:val="20"/>
          <w:szCs w:val="20"/>
          <w:lang w:val="ro-RO"/>
        </w:rPr>
        <w:t>Instalație de tocare cu diametrul de 100mm.</w:t>
      </w:r>
    </w:p>
    <w:p>
      <w:pPr>
        <w:pStyle w:val="ListParagraph"/>
        <w:numPr>
          <w:ilvl w:val="0"/>
          <w:numId w:val="12"/>
        </w:numPr>
        <w:rPr>
          <w:sz w:val="20"/>
          <w:szCs w:val="20"/>
          <w:lang w:val="ro-RO"/>
        </w:rPr>
      </w:pPr>
      <w:r>
        <w:rPr>
          <w:sz w:val="20"/>
          <w:szCs w:val="20"/>
          <w:lang w:val="ro-RO"/>
        </w:rPr>
        <w:t>Unitate de uscare.</w:t>
      </w:r>
    </w:p>
    <w:p>
      <w:pPr>
        <w:pStyle w:val="ListParagraph"/>
        <w:numPr>
          <w:ilvl w:val="0"/>
          <w:numId w:val="12"/>
        </w:numPr>
        <w:rPr>
          <w:sz w:val="20"/>
          <w:szCs w:val="20"/>
          <w:lang w:val="ro-RO"/>
        </w:rPr>
      </w:pPr>
      <w:r>
        <w:rPr>
          <w:sz w:val="20"/>
          <w:szCs w:val="20"/>
          <w:lang w:val="ro-RO"/>
        </w:rPr>
        <w:t>Tocatoare.</w:t>
      </w:r>
    </w:p>
    <w:p>
      <w:pPr>
        <w:pStyle w:val="ListParagraph"/>
        <w:numPr>
          <w:ilvl w:val="0"/>
          <w:numId w:val="12"/>
        </w:numPr>
        <w:rPr>
          <w:sz w:val="20"/>
          <w:szCs w:val="20"/>
          <w:lang w:val="ro-RO"/>
        </w:rPr>
      </w:pPr>
      <w:r>
        <w:rPr>
          <w:sz w:val="20"/>
          <w:szCs w:val="20"/>
          <w:lang w:val="ro-RO"/>
        </w:rPr>
        <w:t>Instalație de mărunțire secundară a materialului pre-tocat în vederea obținerii de RDF, cuvă tampon, depozitare RDF și instalație autorizată pentru valorificare RDF.</w:t>
      </w:r>
    </w:p>
    <w:p>
      <w:pPr>
        <w:pStyle w:val="ListParagraph"/>
        <w:numPr>
          <w:ilvl w:val="0"/>
          <w:numId w:val="12"/>
        </w:numPr>
        <w:rPr>
          <w:sz w:val="20"/>
          <w:szCs w:val="20"/>
          <w:lang w:val="ro-RO"/>
        </w:rPr>
      </w:pPr>
      <w:r>
        <w:rPr>
          <w:sz w:val="20"/>
          <w:szCs w:val="20"/>
          <w:lang w:val="ro-RO"/>
        </w:rPr>
        <w:t>Instalație de mărunțire secundară a materialului pre-tocat în vederea obținerii de RDF.</w:t>
      </w:r>
    </w:p>
    <w:p>
      <w:pPr>
        <w:pStyle w:val="ListParagraph"/>
        <w:numPr>
          <w:ilvl w:val="0"/>
          <w:numId w:val="12"/>
        </w:numPr>
        <w:rPr>
          <w:sz w:val="20"/>
          <w:szCs w:val="20"/>
          <w:lang w:val="ro-RO"/>
        </w:rPr>
      </w:pPr>
      <w:r>
        <w:rPr>
          <w:sz w:val="20"/>
          <w:szCs w:val="20"/>
          <w:lang w:val="ro-RO"/>
        </w:rPr>
        <w:t>Cuvă tampon, depozitare RDF.</w:t>
      </w:r>
    </w:p>
    <w:p>
      <w:pPr>
        <w:pStyle w:val="ListParagraph"/>
        <w:numPr>
          <w:ilvl w:val="0"/>
          <w:numId w:val="12"/>
        </w:numPr>
        <w:rPr>
          <w:sz w:val="20"/>
          <w:szCs w:val="20"/>
          <w:lang w:val="ro-RO"/>
        </w:rPr>
      </w:pPr>
      <w:r>
        <w:rPr>
          <w:sz w:val="20"/>
          <w:szCs w:val="20"/>
          <w:lang w:val="ro-RO"/>
        </w:rPr>
        <w:t>Stivuitoare(electrice sau diesel).</w:t>
      </w:r>
    </w:p>
    <w:p>
      <w:pPr>
        <w:pStyle w:val="ListParagraph"/>
        <w:numPr>
          <w:ilvl w:val="0"/>
          <w:numId w:val="12"/>
        </w:numPr>
        <w:rPr>
          <w:sz w:val="20"/>
          <w:szCs w:val="20"/>
          <w:lang w:val="ro-RO"/>
        </w:rPr>
      </w:pPr>
      <w:r>
        <w:rPr>
          <w:sz w:val="20"/>
          <w:szCs w:val="20"/>
          <w:lang w:val="ro-RO"/>
        </w:rPr>
        <w:t>Utilaje si echipamente specifice.</w:t>
      </w:r>
    </w:p>
    <w:p>
      <w:pPr>
        <w:rPr>
          <w:sz w:val="20"/>
          <w:szCs w:val="20"/>
          <w:lang w:val="ro-RO"/>
        </w:rPr>
      </w:pPr>
      <w:r>
        <w:rPr>
          <w:sz w:val="20"/>
          <w:szCs w:val="20"/>
          <w:lang w:val="ro-RO"/>
        </w:rPr>
        <w:t>Echipamente principale utilizate in cadru liniei de tratare biologice:</w:t>
      </w:r>
    </w:p>
    <w:p>
      <w:pPr>
        <w:pStyle w:val="ListParagraph"/>
        <w:numPr>
          <w:ilvl w:val="0"/>
          <w:numId w:val="11"/>
        </w:numPr>
        <w:rPr>
          <w:sz w:val="20"/>
          <w:szCs w:val="20"/>
          <w:lang w:val="ro-RO"/>
        </w:rPr>
      </w:pPr>
      <w:r>
        <w:rPr>
          <w:sz w:val="20"/>
          <w:szCs w:val="20"/>
          <w:lang w:val="ro-RO"/>
        </w:rPr>
        <w:t>2 buncăre alimentare biodeșeuri (1 pentru deșeurile organice din deșeurile în amestec, 1 pentru biodeșeurile colectate separat).</w:t>
      </w:r>
    </w:p>
    <w:p>
      <w:pPr>
        <w:pStyle w:val="ListParagraph"/>
        <w:numPr>
          <w:ilvl w:val="0"/>
          <w:numId w:val="11"/>
        </w:numPr>
        <w:rPr>
          <w:sz w:val="20"/>
          <w:szCs w:val="20"/>
          <w:lang w:val="ro-RO"/>
        </w:rPr>
      </w:pPr>
      <w:r>
        <w:rPr>
          <w:sz w:val="20"/>
          <w:szCs w:val="20"/>
          <w:lang w:val="ro-RO"/>
        </w:rPr>
        <w:t>1 rezervor de apă.</w:t>
      </w:r>
    </w:p>
    <w:p>
      <w:pPr>
        <w:pStyle w:val="ListParagraph"/>
        <w:numPr>
          <w:ilvl w:val="0"/>
          <w:numId w:val="11"/>
        </w:numPr>
        <w:rPr>
          <w:sz w:val="20"/>
          <w:szCs w:val="20"/>
          <w:lang w:val="ro-RO"/>
        </w:rPr>
      </w:pPr>
      <w:r>
        <w:rPr>
          <w:sz w:val="20"/>
          <w:szCs w:val="20"/>
          <w:lang w:val="ro-RO"/>
        </w:rPr>
        <w:t>2 instalații mărunțire deșeuri (1 pentru deșeurile organice din deșeurile în amestec, 1 pentru biodeșeurile colectate separat).</w:t>
      </w:r>
    </w:p>
    <w:p>
      <w:pPr>
        <w:pStyle w:val="ListParagraph"/>
        <w:numPr>
          <w:ilvl w:val="0"/>
          <w:numId w:val="11"/>
        </w:numPr>
        <w:rPr>
          <w:sz w:val="20"/>
          <w:szCs w:val="20"/>
          <w:lang w:val="ro-RO"/>
        </w:rPr>
      </w:pPr>
      <w:r>
        <w:rPr>
          <w:sz w:val="20"/>
          <w:szCs w:val="20"/>
          <w:lang w:val="ro-RO"/>
        </w:rPr>
        <w:lastRenderedPageBreak/>
        <w:t>2 rezervoare/tancuri de sedimentare dotate cu sisteme de igienizare (1 pentru deșeurile organice din deșeurile în amestec, 1 pentru biodeșeurile colectate separat).</w:t>
      </w:r>
    </w:p>
    <w:p>
      <w:pPr>
        <w:pStyle w:val="ListParagraph"/>
        <w:numPr>
          <w:ilvl w:val="0"/>
          <w:numId w:val="11"/>
        </w:numPr>
        <w:rPr>
          <w:sz w:val="20"/>
          <w:szCs w:val="20"/>
          <w:lang w:val="ro-RO"/>
        </w:rPr>
      </w:pPr>
      <w:r>
        <w:rPr>
          <w:sz w:val="20"/>
          <w:szCs w:val="20"/>
          <w:lang w:val="ro-RO"/>
        </w:rPr>
        <w:t>2 rezervoare/tancuri tampon (1 pentru deșeurile organice din deșeurile în amestec, 1 pentru biodeșeurile colectate separat).</w:t>
      </w:r>
    </w:p>
    <w:p>
      <w:pPr>
        <w:pStyle w:val="ListParagraph"/>
        <w:numPr>
          <w:ilvl w:val="0"/>
          <w:numId w:val="11"/>
        </w:numPr>
        <w:rPr>
          <w:sz w:val="20"/>
          <w:szCs w:val="20"/>
          <w:lang w:val="ro-RO"/>
        </w:rPr>
      </w:pPr>
      <w:r>
        <w:rPr>
          <w:sz w:val="20"/>
          <w:szCs w:val="20"/>
          <w:lang w:val="ro-RO"/>
        </w:rPr>
        <w:t xml:space="preserve">3 digestoare/tancuri digestat. </w:t>
      </w:r>
    </w:p>
    <w:p>
      <w:pPr>
        <w:pStyle w:val="ListParagraph"/>
        <w:numPr>
          <w:ilvl w:val="0"/>
          <w:numId w:val="11"/>
        </w:numPr>
        <w:rPr>
          <w:sz w:val="20"/>
          <w:szCs w:val="20"/>
          <w:lang w:val="ro-RO"/>
        </w:rPr>
      </w:pPr>
      <w:r>
        <w:rPr>
          <w:sz w:val="20"/>
          <w:szCs w:val="20"/>
          <w:lang w:val="ro-RO"/>
        </w:rPr>
        <w:t>linie biogaz, prevăzută cu balon pentru stocarea gazului.</w:t>
      </w:r>
    </w:p>
    <w:p>
      <w:pPr>
        <w:pStyle w:val="ListParagraph"/>
        <w:numPr>
          <w:ilvl w:val="0"/>
          <w:numId w:val="11"/>
        </w:numPr>
        <w:rPr>
          <w:sz w:val="20"/>
          <w:szCs w:val="20"/>
          <w:lang w:val="ro-RO"/>
        </w:rPr>
      </w:pPr>
      <w:r>
        <w:rPr>
          <w:sz w:val="20"/>
          <w:szCs w:val="20"/>
          <w:lang w:val="ro-RO"/>
        </w:rPr>
        <w:t xml:space="preserve">instalație tratare gaz </w:t>
      </w:r>
    </w:p>
    <w:p>
      <w:pPr>
        <w:pStyle w:val="ListParagraph"/>
        <w:numPr>
          <w:ilvl w:val="0"/>
          <w:numId w:val="11"/>
        </w:numPr>
        <w:rPr>
          <w:sz w:val="20"/>
          <w:szCs w:val="20"/>
          <w:lang w:val="ro-RO"/>
        </w:rPr>
      </w:pPr>
      <w:r>
        <w:rPr>
          <w:sz w:val="20"/>
          <w:szCs w:val="20"/>
          <w:lang w:val="ro-RO"/>
        </w:rPr>
        <w:t>3 instalații pentru deshidratarea digestatului, (prin centrifugare).</w:t>
      </w:r>
    </w:p>
    <w:p>
      <w:pPr>
        <w:pStyle w:val="ListParagraph"/>
        <w:numPr>
          <w:ilvl w:val="0"/>
          <w:numId w:val="11"/>
        </w:numPr>
        <w:rPr>
          <w:sz w:val="20"/>
          <w:szCs w:val="20"/>
          <w:lang w:val="ro-RO"/>
        </w:rPr>
      </w:pPr>
      <w:r>
        <w:rPr>
          <w:sz w:val="20"/>
          <w:szCs w:val="20"/>
          <w:lang w:val="ro-RO"/>
        </w:rPr>
        <w:t>2 instalații uscare pentru tratare termică</w:t>
      </w:r>
    </w:p>
    <w:p>
      <w:pPr>
        <w:pStyle w:val="ListParagraph"/>
        <w:numPr>
          <w:ilvl w:val="0"/>
          <w:numId w:val="11"/>
        </w:numPr>
        <w:rPr>
          <w:sz w:val="20"/>
          <w:szCs w:val="20"/>
          <w:lang w:val="ro-RO"/>
        </w:rPr>
      </w:pPr>
      <w:r>
        <w:rPr>
          <w:sz w:val="20"/>
          <w:szCs w:val="20"/>
          <w:lang w:val="ro-RO"/>
        </w:rPr>
        <w:t>Benzi transportoare.</w:t>
      </w:r>
    </w:p>
    <w:p>
      <w:pPr>
        <w:pStyle w:val="ListParagraph"/>
        <w:numPr>
          <w:ilvl w:val="0"/>
          <w:numId w:val="11"/>
        </w:numPr>
        <w:rPr>
          <w:sz w:val="20"/>
          <w:szCs w:val="20"/>
          <w:lang w:val="ro-RO"/>
        </w:rPr>
      </w:pPr>
      <w:r>
        <w:rPr>
          <w:sz w:val="20"/>
          <w:szCs w:val="20"/>
          <w:lang w:val="ro-RO"/>
        </w:rPr>
        <w:t>Tancuri stocare.</w:t>
      </w:r>
    </w:p>
    <w:p>
      <w:pPr>
        <w:pStyle w:val="ListParagraph"/>
        <w:numPr>
          <w:ilvl w:val="0"/>
          <w:numId w:val="11"/>
        </w:numPr>
        <w:rPr>
          <w:sz w:val="20"/>
          <w:szCs w:val="20"/>
          <w:lang w:val="ro-RO"/>
        </w:rPr>
      </w:pPr>
      <w:r>
        <w:rPr>
          <w:sz w:val="20"/>
          <w:szCs w:val="20"/>
          <w:lang w:val="ro-RO"/>
        </w:rPr>
        <w:t>Instalatie de captare biogaz.</w:t>
      </w:r>
    </w:p>
    <w:p>
      <w:pPr>
        <w:pStyle w:val="ListParagraph"/>
        <w:numPr>
          <w:ilvl w:val="0"/>
          <w:numId w:val="11"/>
        </w:numPr>
        <w:rPr>
          <w:sz w:val="20"/>
          <w:szCs w:val="20"/>
          <w:lang w:val="ro-RO"/>
        </w:rPr>
      </w:pPr>
      <w:r>
        <w:rPr>
          <w:sz w:val="20"/>
          <w:szCs w:val="20"/>
          <w:lang w:val="ro-RO"/>
        </w:rPr>
        <w:t>Instala</w:t>
      </w:r>
      <w:r>
        <w:rPr>
          <w:rFonts w:cs="Verdana"/>
          <w:sz w:val="20"/>
          <w:szCs w:val="20"/>
          <w:lang w:val="ro-RO"/>
        </w:rPr>
        <w:t>ţ</w:t>
      </w:r>
      <w:r>
        <w:rPr>
          <w:sz w:val="20"/>
          <w:szCs w:val="20"/>
          <w:lang w:val="ro-RO"/>
        </w:rPr>
        <w:t>ie filtrare/tratare biogaz.</w:t>
      </w:r>
    </w:p>
    <w:p>
      <w:pPr>
        <w:pStyle w:val="ListParagraph"/>
        <w:numPr>
          <w:ilvl w:val="0"/>
          <w:numId w:val="11"/>
        </w:numPr>
        <w:rPr>
          <w:sz w:val="20"/>
          <w:szCs w:val="20"/>
          <w:lang w:val="ro-RO"/>
        </w:rPr>
      </w:pPr>
      <w:r>
        <w:rPr>
          <w:sz w:val="20"/>
          <w:szCs w:val="20"/>
          <w:lang w:val="ro-RO"/>
        </w:rPr>
        <w:t>Instalatie inmagazinare gaz.</w:t>
      </w:r>
    </w:p>
    <w:p>
      <w:pPr>
        <w:pStyle w:val="ListParagraph"/>
        <w:numPr>
          <w:ilvl w:val="0"/>
          <w:numId w:val="11"/>
        </w:numPr>
        <w:rPr>
          <w:sz w:val="20"/>
          <w:szCs w:val="20"/>
          <w:lang w:val="ro-RO"/>
        </w:rPr>
      </w:pPr>
      <w:r>
        <w:rPr>
          <w:sz w:val="20"/>
          <w:szCs w:val="20"/>
          <w:lang w:val="ro-RO"/>
        </w:rPr>
        <w:t>Instalatie cogenerare energie electrica si termica.</w:t>
      </w:r>
    </w:p>
    <w:p>
      <w:pPr>
        <w:pStyle w:val="ListParagraph"/>
        <w:numPr>
          <w:ilvl w:val="0"/>
          <w:numId w:val="11"/>
        </w:numPr>
        <w:rPr>
          <w:sz w:val="20"/>
          <w:szCs w:val="20"/>
          <w:lang w:val="ro-RO"/>
        </w:rPr>
      </w:pPr>
      <w:r>
        <w:rPr>
          <w:sz w:val="20"/>
          <w:szCs w:val="20"/>
          <w:lang w:val="ro-RO"/>
        </w:rPr>
        <w:t>Instalatii de centrifugare.</w:t>
      </w:r>
    </w:p>
    <w:p>
      <w:pPr>
        <w:pStyle w:val="ListParagraph"/>
        <w:numPr>
          <w:ilvl w:val="0"/>
          <w:numId w:val="11"/>
        </w:numPr>
        <w:rPr>
          <w:sz w:val="20"/>
          <w:szCs w:val="20"/>
          <w:lang w:val="ro-RO"/>
        </w:rPr>
      </w:pPr>
      <w:r>
        <w:rPr>
          <w:sz w:val="20"/>
          <w:szCs w:val="20"/>
          <w:lang w:val="ro-RO"/>
        </w:rPr>
        <w:t>Masina de intors brazde.</w:t>
      </w:r>
    </w:p>
    <w:p>
      <w:pPr>
        <w:pStyle w:val="ListParagraph"/>
        <w:numPr>
          <w:ilvl w:val="0"/>
          <w:numId w:val="11"/>
        </w:numPr>
        <w:rPr>
          <w:sz w:val="20"/>
          <w:szCs w:val="20"/>
          <w:lang w:val="ro-RO"/>
        </w:rPr>
      </w:pPr>
      <w:r>
        <w:rPr>
          <w:sz w:val="20"/>
          <w:szCs w:val="20"/>
          <w:lang w:val="ro-RO"/>
        </w:rPr>
        <w:t>Ciur mobil compost.</w:t>
      </w:r>
    </w:p>
    <w:p>
      <w:pPr>
        <w:pStyle w:val="ListParagraph"/>
        <w:numPr>
          <w:ilvl w:val="0"/>
          <w:numId w:val="11"/>
        </w:numPr>
        <w:rPr>
          <w:sz w:val="20"/>
          <w:szCs w:val="20"/>
          <w:lang w:val="ro-RO"/>
        </w:rPr>
      </w:pPr>
      <w:r>
        <w:rPr>
          <w:sz w:val="20"/>
          <w:szCs w:val="20"/>
          <w:lang w:val="ro-RO"/>
        </w:rPr>
        <w:t>Incarcator frontal pe pneuri.</w:t>
      </w:r>
    </w:p>
    <w:p>
      <w:pPr>
        <w:pStyle w:val="ListParagraph"/>
        <w:numPr>
          <w:ilvl w:val="0"/>
          <w:numId w:val="11"/>
        </w:numPr>
        <w:rPr>
          <w:sz w:val="20"/>
          <w:szCs w:val="20"/>
          <w:lang w:val="ro-RO"/>
        </w:rPr>
      </w:pPr>
      <w:r>
        <w:rPr>
          <w:sz w:val="20"/>
          <w:szCs w:val="20"/>
          <w:lang w:val="ro-RO"/>
        </w:rPr>
        <w:t>Camion cu bena, min 12 mc.</w:t>
      </w:r>
    </w:p>
    <w:p>
      <w:pPr>
        <w:pStyle w:val="ListParagraph"/>
        <w:numPr>
          <w:ilvl w:val="0"/>
          <w:numId w:val="11"/>
        </w:numPr>
        <w:rPr>
          <w:sz w:val="20"/>
          <w:szCs w:val="20"/>
          <w:lang w:val="ro-RO"/>
        </w:rPr>
      </w:pPr>
      <w:r>
        <w:rPr>
          <w:sz w:val="20"/>
          <w:szCs w:val="20"/>
          <w:lang w:val="ro-RO"/>
        </w:rPr>
        <w:t>Containere minim 30mc, 1,1 mc, etc.</w:t>
      </w:r>
    </w:p>
    <w:p>
      <w:pPr>
        <w:pStyle w:val="ListParagraph"/>
        <w:numPr>
          <w:ilvl w:val="0"/>
          <w:numId w:val="11"/>
        </w:numPr>
        <w:rPr>
          <w:sz w:val="20"/>
          <w:szCs w:val="20"/>
          <w:lang w:val="ro-RO"/>
        </w:rPr>
      </w:pPr>
      <w:r>
        <w:rPr>
          <w:sz w:val="20"/>
          <w:szCs w:val="20"/>
          <w:lang w:val="ro-RO"/>
        </w:rPr>
        <w:t>Utilaje si echipamente specifice.</w:t>
      </w:r>
    </w:p>
    <w:p>
      <w:pPr>
        <w:rPr>
          <w:sz w:val="20"/>
          <w:szCs w:val="20"/>
          <w:lang w:val="ro-RO"/>
        </w:rPr>
      </w:pPr>
      <w:r>
        <w:rPr>
          <w:sz w:val="20"/>
          <w:szCs w:val="20"/>
          <w:lang w:val="ro-RO"/>
        </w:rPr>
        <w:t>Toate produsele ofertate vor fi însoţite la livrare de certificatul CE (Conformitate Europeană) şi vor fi marcate cu marcajul de conformitate CE care să ateste faptul că produsele livrate îndeplinesc cerinţele standardelor şi directivelor europene, în conformitate cu prevederile OG nr. 20/2010 cu modificările şi completările ulterioare. Nu se accepta echipamente uzate.</w:t>
      </w:r>
    </w:p>
    <w:p>
      <w:pPr>
        <w:rPr>
          <w:sz w:val="20"/>
          <w:szCs w:val="20"/>
          <w:lang w:val="ro-RO"/>
        </w:rPr>
      </w:pPr>
      <w:r>
        <w:rPr>
          <w:sz w:val="20"/>
          <w:szCs w:val="20"/>
          <w:lang w:val="ro-RO"/>
        </w:rPr>
        <w:t xml:space="preserve">Antreprenorul va propune tehnologia optimă necesară astfel încât să fie îndepliniți indicatorii de performantă. De menționat este faptul că numărul și capacitatea digestoarelor vor fi stabilite de proiectant în funcție de cantitățile de fracție organică din deșeurile reziduale și de cantitățile de biodeșeuri colectate separat, ținând cont că este </w:t>
      </w:r>
      <w:r>
        <w:rPr>
          <w:bCs/>
          <w:sz w:val="20"/>
          <w:szCs w:val="20"/>
          <w:lang w:val="ro-RO"/>
        </w:rPr>
        <w:t>interzis</w:t>
      </w:r>
      <w:r>
        <w:rPr>
          <w:sz w:val="20"/>
          <w:szCs w:val="20"/>
          <w:lang w:val="ro-RO"/>
        </w:rPr>
        <w:t xml:space="preserve"> </w:t>
      </w:r>
      <w:r>
        <w:rPr>
          <w:bCs/>
          <w:sz w:val="20"/>
          <w:szCs w:val="20"/>
          <w:lang w:val="ro-RO"/>
        </w:rPr>
        <w:t>ca fluxurile de tratare a celor 2 tipuri de deșeuri să se intersecteze</w:t>
      </w:r>
      <w:r>
        <w:rPr>
          <w:sz w:val="20"/>
          <w:szCs w:val="20"/>
          <w:lang w:val="ro-RO"/>
        </w:rPr>
        <w:t xml:space="preserve"> (prin prisma faptului că produsul finit va avea caracteristici si destinații diferite – digestat stabilizat din fracția organică din deșeuri reziduale către depozit, digestat compostat din biodeșeuri colectate separat către valorificare materială), referința pentru calitatea acestuia fiind Regulamentul UE 2019/1009. </w:t>
      </w:r>
    </w:p>
    <w:p>
      <w:pPr>
        <w:rPr>
          <w:sz w:val="20"/>
          <w:szCs w:val="20"/>
          <w:lang w:val="ro-RO"/>
        </w:rPr>
      </w:pPr>
      <w:r>
        <w:rPr>
          <w:sz w:val="20"/>
          <w:szCs w:val="20"/>
          <w:lang w:val="ro-RO"/>
        </w:rPr>
        <w:t xml:space="preserve">Se va ține cont, de asemenea, de cantitățile intrate în instalații (din prezentul Caiet de sarcini), cu mențiunea că biodeșeurile colectate separat vor crește cantitativ în timp, odată cu scăderea fracției organice din deșeuri reziduale. </w:t>
      </w:r>
    </w:p>
    <w:p>
      <w:pPr>
        <w:rPr>
          <w:sz w:val="20"/>
          <w:szCs w:val="20"/>
          <w:lang w:val="ro-RO"/>
        </w:rPr>
      </w:pPr>
      <w:r>
        <w:rPr>
          <w:sz w:val="20"/>
          <w:szCs w:val="20"/>
          <w:lang w:val="ro-RO"/>
        </w:rPr>
        <w:t xml:space="preserve">Totodată, se </w:t>
      </w:r>
      <w:r>
        <w:rPr>
          <w:b/>
          <w:i/>
          <w:iCs/>
          <w:sz w:val="20"/>
          <w:szCs w:val="20"/>
          <w:u w:val="single"/>
          <w:lang w:val="ro-RO"/>
        </w:rPr>
        <w:t>recomandă un minim de 3 digestoare</w:t>
      </w:r>
      <w:r>
        <w:rPr>
          <w:sz w:val="20"/>
          <w:szCs w:val="20"/>
          <w:lang w:val="ro-RO"/>
        </w:rPr>
        <w:t>, astfel încât acestea sa poată realiza tratarea pe fluxuri distincte (</w:t>
      </w:r>
      <w:r>
        <w:rPr>
          <w:i/>
          <w:iCs/>
          <w:sz w:val="20"/>
          <w:szCs w:val="20"/>
          <w:lang w:val="ro-RO"/>
        </w:rPr>
        <w:t>adică,</w:t>
      </w:r>
      <w:r>
        <w:rPr>
          <w:sz w:val="20"/>
          <w:szCs w:val="20"/>
          <w:lang w:val="ro-RO"/>
        </w:rPr>
        <w:t xml:space="preserve"> linii de proces separate) a unor cantități fluctuante de biodeșeuri </w:t>
      </w:r>
      <w:r>
        <w:rPr>
          <w:i/>
          <w:iCs/>
          <w:sz w:val="20"/>
          <w:szCs w:val="20"/>
          <w:lang w:val="ro-RO"/>
        </w:rPr>
        <w:t>vs</w:t>
      </w:r>
      <w:r>
        <w:rPr>
          <w:sz w:val="20"/>
          <w:szCs w:val="20"/>
          <w:lang w:val="ro-RO"/>
        </w:rPr>
        <w:t xml:space="preserve"> deșeuri reziduale), dar și pentru a asigura continuitatea proceselor tehnologice (pe fluxuri distincte) în situația apariției unor avarii soldate cu blocarea unui digestor.</w:t>
      </w:r>
    </w:p>
    <w:p>
      <w:pPr>
        <w:tabs>
          <w:tab w:val="left" w:pos="1189"/>
        </w:tabs>
        <w:rPr>
          <w:sz w:val="20"/>
          <w:szCs w:val="20"/>
          <w:lang w:val="ro-RO"/>
        </w:rPr>
      </w:pPr>
      <w:r>
        <w:rPr>
          <w:sz w:val="20"/>
          <w:szCs w:val="20"/>
          <w:lang w:val="ro-RO"/>
        </w:rPr>
        <w:t>Categoriile de deșeuri acceptate la tratare mecano-biologică cu digestie anaerobă Galați:</w:t>
      </w:r>
    </w:p>
    <w:p>
      <w:pPr>
        <w:pStyle w:val="ListParagraph"/>
        <w:numPr>
          <w:ilvl w:val="1"/>
          <w:numId w:val="13"/>
        </w:numPr>
        <w:tabs>
          <w:tab w:val="left" w:pos="851"/>
        </w:tabs>
        <w:ind w:left="1560" w:hanging="426"/>
        <w:rPr>
          <w:sz w:val="20"/>
          <w:szCs w:val="20"/>
          <w:lang w:val="ro-RO"/>
        </w:rPr>
      </w:pPr>
      <w:r>
        <w:rPr>
          <w:sz w:val="20"/>
          <w:szCs w:val="20"/>
          <w:lang w:val="ro-RO"/>
        </w:rPr>
        <w:t>Deșeuri menajere, similare și din piețe colectate în amestec din întreg județul.</w:t>
      </w:r>
    </w:p>
    <w:p>
      <w:pPr>
        <w:pStyle w:val="ListParagraph"/>
        <w:numPr>
          <w:ilvl w:val="1"/>
          <w:numId w:val="13"/>
        </w:numPr>
        <w:tabs>
          <w:tab w:val="left" w:pos="851"/>
        </w:tabs>
        <w:ind w:left="1560" w:hanging="426"/>
        <w:rPr>
          <w:sz w:val="20"/>
          <w:szCs w:val="20"/>
          <w:lang w:val="ro-RO"/>
        </w:rPr>
      </w:pPr>
      <w:r>
        <w:rPr>
          <w:sz w:val="20"/>
          <w:szCs w:val="20"/>
          <w:lang w:val="ro-RO"/>
        </w:rPr>
        <w:t>Deșeuri din parcuri și grădini-fracția anorganică, colectate din întreg județul.</w:t>
      </w:r>
    </w:p>
    <w:p>
      <w:pPr>
        <w:pStyle w:val="ListParagraph"/>
        <w:numPr>
          <w:ilvl w:val="1"/>
          <w:numId w:val="13"/>
        </w:numPr>
        <w:tabs>
          <w:tab w:val="left" w:pos="851"/>
        </w:tabs>
        <w:ind w:left="1560" w:hanging="426"/>
        <w:rPr>
          <w:sz w:val="20"/>
          <w:szCs w:val="20"/>
          <w:lang w:val="ro-RO"/>
        </w:rPr>
      </w:pPr>
      <w:r>
        <w:rPr>
          <w:sz w:val="20"/>
          <w:szCs w:val="20"/>
          <w:lang w:val="ro-RO"/>
        </w:rPr>
        <w:t>Deșeuri din coșurile stradale și deșeurile abandonate din întreg județul.</w:t>
      </w:r>
    </w:p>
    <w:p>
      <w:pPr>
        <w:pStyle w:val="ListParagraph"/>
        <w:numPr>
          <w:ilvl w:val="1"/>
          <w:numId w:val="13"/>
        </w:numPr>
        <w:tabs>
          <w:tab w:val="left" w:pos="851"/>
        </w:tabs>
        <w:ind w:left="1560" w:hanging="426"/>
        <w:rPr>
          <w:sz w:val="20"/>
          <w:szCs w:val="20"/>
          <w:lang w:val="ro-RO"/>
        </w:rPr>
      </w:pPr>
      <w:r>
        <w:rPr>
          <w:sz w:val="20"/>
          <w:szCs w:val="20"/>
          <w:lang w:val="ro-RO"/>
        </w:rPr>
        <w:t>Reziduurile rezultate de la stațiile de sortare și compostare.</w:t>
      </w:r>
    </w:p>
    <w:p>
      <w:pPr>
        <w:pStyle w:val="ListParagraph"/>
        <w:numPr>
          <w:ilvl w:val="1"/>
          <w:numId w:val="13"/>
        </w:numPr>
        <w:tabs>
          <w:tab w:val="left" w:pos="851"/>
        </w:tabs>
        <w:ind w:left="1560" w:hanging="426"/>
        <w:rPr>
          <w:sz w:val="20"/>
          <w:szCs w:val="20"/>
          <w:lang w:val="ro-RO"/>
        </w:rPr>
      </w:pPr>
      <w:r>
        <w:rPr>
          <w:sz w:val="20"/>
          <w:szCs w:val="20"/>
          <w:lang w:val="ro-RO"/>
        </w:rPr>
        <w:t>Biodeșeurile menajere, similare și din piețe colectate separat din mediul urban  din întreg județul și din o parte din UAT-urile din mediul rural (10 UAT rurale).</w:t>
      </w:r>
    </w:p>
    <w:p>
      <w:pPr>
        <w:pStyle w:val="Heading4"/>
        <w:rPr>
          <w:sz w:val="20"/>
          <w:szCs w:val="20"/>
          <w:lang w:val="ro-RO"/>
        </w:rPr>
      </w:pPr>
      <w:r>
        <w:rPr>
          <w:sz w:val="20"/>
          <w:szCs w:val="20"/>
          <w:lang w:val="ro-RO"/>
        </w:rPr>
        <w:t>1.3.5.3</w:t>
      </w:r>
      <w:r>
        <w:rPr>
          <w:sz w:val="20"/>
          <w:szCs w:val="20"/>
          <w:lang w:val="ro-RO"/>
        </w:rPr>
        <w:tab/>
        <w:t>Echipamente specifice statiei de transfer</w:t>
      </w:r>
    </w:p>
    <w:p>
      <w:pPr>
        <w:tabs>
          <w:tab w:val="left" w:pos="1189"/>
        </w:tabs>
        <w:rPr>
          <w:sz w:val="20"/>
          <w:szCs w:val="20"/>
          <w:lang w:val="ro-RO"/>
        </w:rPr>
      </w:pPr>
      <w:r>
        <w:rPr>
          <w:sz w:val="20"/>
          <w:szCs w:val="20"/>
          <w:lang w:val="ro-RO"/>
        </w:rPr>
        <w:t>Echipamentele specifice din dotarea staţiei de transfer vor fi următoarele:</w:t>
      </w:r>
    </w:p>
    <w:p>
      <w:pPr>
        <w:pStyle w:val="ListParagraph"/>
        <w:numPr>
          <w:ilvl w:val="0"/>
          <w:numId w:val="14"/>
        </w:numPr>
        <w:tabs>
          <w:tab w:val="left" w:pos="1189"/>
        </w:tabs>
        <w:rPr>
          <w:sz w:val="20"/>
          <w:szCs w:val="20"/>
          <w:lang w:val="ro-RO"/>
        </w:rPr>
      </w:pPr>
      <w:r>
        <w:rPr>
          <w:sz w:val="20"/>
          <w:szCs w:val="20"/>
          <w:lang w:val="ro-RO"/>
        </w:rPr>
        <w:t>Containere cu capacitatea min 30 mc - 11 buc.</w:t>
      </w:r>
    </w:p>
    <w:p>
      <w:pPr>
        <w:pStyle w:val="ListParagraph"/>
        <w:numPr>
          <w:ilvl w:val="0"/>
          <w:numId w:val="14"/>
        </w:numPr>
        <w:tabs>
          <w:tab w:val="left" w:pos="1189"/>
        </w:tabs>
        <w:rPr>
          <w:sz w:val="20"/>
          <w:szCs w:val="20"/>
          <w:lang w:val="ro-RO"/>
        </w:rPr>
      </w:pPr>
      <w:r>
        <w:rPr>
          <w:sz w:val="20"/>
          <w:szCs w:val="20"/>
          <w:lang w:val="ro-RO"/>
        </w:rPr>
        <w:t>Camion de transport cu mecanism de ridicare cu carlig - minim 4 buc.</w:t>
      </w:r>
    </w:p>
    <w:p>
      <w:pPr>
        <w:pStyle w:val="ListParagraph"/>
        <w:numPr>
          <w:ilvl w:val="0"/>
          <w:numId w:val="14"/>
        </w:numPr>
        <w:tabs>
          <w:tab w:val="left" w:pos="1189"/>
        </w:tabs>
        <w:rPr>
          <w:sz w:val="20"/>
          <w:szCs w:val="20"/>
          <w:lang w:val="ro-RO"/>
        </w:rPr>
      </w:pPr>
      <w:r>
        <w:rPr>
          <w:sz w:val="20"/>
          <w:szCs w:val="20"/>
          <w:lang w:val="ro-RO"/>
        </w:rPr>
        <w:lastRenderedPageBreak/>
        <w:t>Ansamblu de compactare - 2 compactoare orizontale care vor presa de</w:t>
      </w:r>
      <w:r>
        <w:rPr>
          <w:rFonts w:cs="Verdana"/>
          <w:sz w:val="20"/>
          <w:szCs w:val="20"/>
          <w:lang w:val="ro-RO"/>
        </w:rPr>
        <w:t>ş</w:t>
      </w:r>
      <w:r>
        <w:rPr>
          <w:sz w:val="20"/>
          <w:szCs w:val="20"/>
          <w:lang w:val="ro-RO"/>
        </w:rPr>
        <w:t xml:space="preserve">eurile </w:t>
      </w:r>
      <w:r>
        <w:rPr>
          <w:rFonts w:cs="Verdana"/>
          <w:sz w:val="20"/>
          <w:szCs w:val="20"/>
          <w:lang w:val="ro-RO"/>
        </w:rPr>
        <w:t>î</w:t>
      </w:r>
      <w:r>
        <w:rPr>
          <w:sz w:val="20"/>
          <w:szCs w:val="20"/>
          <w:lang w:val="ro-RO"/>
        </w:rPr>
        <w:t>n containerul de 30 mc.</w:t>
      </w:r>
    </w:p>
    <w:p>
      <w:pPr>
        <w:tabs>
          <w:tab w:val="left" w:pos="1189"/>
        </w:tabs>
        <w:rPr>
          <w:sz w:val="20"/>
          <w:szCs w:val="20"/>
          <w:lang w:val="ro-RO"/>
        </w:rPr>
      </w:pPr>
      <w:r>
        <w:rPr>
          <w:sz w:val="20"/>
          <w:szCs w:val="20"/>
          <w:lang w:val="ro-RO"/>
        </w:rPr>
        <w:t>Stația de transfer va fi prevăzută cu:</w:t>
      </w:r>
    </w:p>
    <w:p>
      <w:pPr>
        <w:pStyle w:val="ListParagraph"/>
        <w:numPr>
          <w:ilvl w:val="0"/>
          <w:numId w:val="14"/>
        </w:numPr>
        <w:tabs>
          <w:tab w:val="left" w:pos="1189"/>
        </w:tabs>
        <w:rPr>
          <w:sz w:val="20"/>
          <w:szCs w:val="20"/>
          <w:lang w:val="ro-RO"/>
        </w:rPr>
      </w:pPr>
      <w:r>
        <w:rPr>
          <w:sz w:val="20"/>
          <w:szCs w:val="20"/>
          <w:lang w:val="ro-RO"/>
        </w:rPr>
        <w:t>rampă pentru alimentarea stației de transfer cu pantă de 5-7%;</w:t>
      </w:r>
    </w:p>
    <w:p>
      <w:pPr>
        <w:pStyle w:val="ListParagraph"/>
        <w:numPr>
          <w:ilvl w:val="0"/>
          <w:numId w:val="14"/>
        </w:numPr>
        <w:tabs>
          <w:tab w:val="left" w:pos="1189"/>
        </w:tabs>
        <w:rPr>
          <w:sz w:val="20"/>
          <w:szCs w:val="20"/>
          <w:lang w:val="ro-RO"/>
        </w:rPr>
      </w:pPr>
      <w:r>
        <w:rPr>
          <w:sz w:val="20"/>
          <w:szCs w:val="20"/>
          <w:lang w:val="ro-RO"/>
        </w:rPr>
        <w:t>platformă de recepție deșeuri prevăzută cu zonă pentru descărcarea deșeurilor reciclabile;</w:t>
      </w:r>
    </w:p>
    <w:p>
      <w:pPr>
        <w:pStyle w:val="ListParagraph"/>
        <w:numPr>
          <w:ilvl w:val="0"/>
          <w:numId w:val="14"/>
        </w:numPr>
        <w:tabs>
          <w:tab w:val="left" w:pos="1189"/>
        </w:tabs>
        <w:rPr>
          <w:sz w:val="20"/>
          <w:szCs w:val="20"/>
          <w:lang w:val="ro-RO"/>
        </w:rPr>
      </w:pPr>
      <w:r>
        <w:rPr>
          <w:sz w:val="20"/>
          <w:szCs w:val="20"/>
          <w:lang w:val="ro-RO"/>
        </w:rPr>
        <w:t>zonă de descărcare a deșeurilor acoperită;</w:t>
      </w:r>
    </w:p>
    <w:p>
      <w:pPr>
        <w:pStyle w:val="ListParagraph"/>
        <w:numPr>
          <w:ilvl w:val="0"/>
          <w:numId w:val="14"/>
        </w:numPr>
        <w:tabs>
          <w:tab w:val="left" w:pos="1189"/>
        </w:tabs>
        <w:rPr>
          <w:sz w:val="20"/>
          <w:szCs w:val="20"/>
          <w:lang w:val="ro-RO"/>
        </w:rPr>
      </w:pPr>
      <w:r>
        <w:rPr>
          <w:sz w:val="20"/>
          <w:szCs w:val="20"/>
          <w:lang w:val="ro-RO"/>
        </w:rPr>
        <w:t>2 stații de compactare orizontale care vor presa deșeurile în containere de 30 mc;</w:t>
      </w:r>
    </w:p>
    <w:p>
      <w:pPr>
        <w:pStyle w:val="ListParagraph"/>
        <w:numPr>
          <w:ilvl w:val="0"/>
          <w:numId w:val="14"/>
        </w:numPr>
        <w:tabs>
          <w:tab w:val="left" w:pos="1189"/>
        </w:tabs>
        <w:rPr>
          <w:sz w:val="20"/>
          <w:szCs w:val="20"/>
          <w:lang w:val="ro-RO"/>
        </w:rPr>
      </w:pPr>
      <w:r>
        <w:rPr>
          <w:sz w:val="20"/>
          <w:szCs w:val="20"/>
          <w:lang w:val="ro-RO"/>
        </w:rPr>
        <w:t>fiecare linie va fi alcătuită din: pâlnie care va deservi camionul de descărcare, compactor orizontal și dispozitiv automat de schimbare a șinei pentru 3 containere;</w:t>
      </w:r>
    </w:p>
    <w:p>
      <w:pPr>
        <w:pStyle w:val="ListParagraph"/>
        <w:numPr>
          <w:ilvl w:val="0"/>
          <w:numId w:val="14"/>
        </w:numPr>
        <w:tabs>
          <w:tab w:val="left" w:pos="1189"/>
        </w:tabs>
        <w:rPr>
          <w:sz w:val="20"/>
          <w:szCs w:val="20"/>
          <w:lang w:val="ro-RO"/>
        </w:rPr>
      </w:pPr>
      <w:r>
        <w:rPr>
          <w:sz w:val="20"/>
          <w:szCs w:val="20"/>
          <w:lang w:val="ro-RO"/>
        </w:rPr>
        <w:t>zonă de stocare a containerelor;</w:t>
      </w:r>
    </w:p>
    <w:p>
      <w:pPr>
        <w:pStyle w:val="ListParagraph"/>
        <w:numPr>
          <w:ilvl w:val="0"/>
          <w:numId w:val="14"/>
        </w:numPr>
        <w:tabs>
          <w:tab w:val="left" w:pos="1189"/>
        </w:tabs>
        <w:rPr>
          <w:sz w:val="20"/>
          <w:szCs w:val="20"/>
          <w:lang w:val="ro-RO"/>
        </w:rPr>
      </w:pPr>
      <w:r>
        <w:rPr>
          <w:sz w:val="20"/>
          <w:szCs w:val="20"/>
          <w:lang w:val="ro-RO"/>
        </w:rPr>
        <w:t>cântar și cabină de recepție (care va deservi întregul amplasament inclusiv stația TMB).</w:t>
      </w:r>
    </w:p>
    <w:p>
      <w:pPr>
        <w:pStyle w:val="ListParagraph"/>
        <w:numPr>
          <w:ilvl w:val="0"/>
          <w:numId w:val="14"/>
        </w:numPr>
        <w:tabs>
          <w:tab w:val="left" w:pos="1189"/>
        </w:tabs>
        <w:rPr>
          <w:sz w:val="20"/>
          <w:szCs w:val="20"/>
          <w:lang w:val="ro-RO"/>
        </w:rPr>
      </w:pPr>
      <w:r>
        <w:rPr>
          <w:sz w:val="20"/>
          <w:szCs w:val="20"/>
          <w:lang w:val="ro-RO"/>
        </w:rPr>
        <w:t>echipament hidraulic pentru asigurarea unui raport de compactare 1:5, sisteme de oprire de urgență, pâlnie de preluare a deșeurilor amplasate la buza platformei de descărcare, containere  pentru preluarea deșeurilor.</w:t>
      </w:r>
    </w:p>
    <w:p>
      <w:pPr>
        <w:pStyle w:val="Heading4"/>
        <w:rPr>
          <w:sz w:val="20"/>
          <w:szCs w:val="20"/>
          <w:lang w:val="ro-RO"/>
        </w:rPr>
      </w:pPr>
      <w:r>
        <w:rPr>
          <w:sz w:val="20"/>
          <w:szCs w:val="20"/>
          <w:lang w:val="ro-RO"/>
        </w:rPr>
        <w:t>1.3.5.4</w:t>
      </w:r>
      <w:r>
        <w:rPr>
          <w:sz w:val="20"/>
          <w:szCs w:val="20"/>
          <w:lang w:val="ro-RO"/>
        </w:rPr>
        <w:tab/>
        <w:t>Echipamente specifice Antreprenor</w:t>
      </w:r>
    </w:p>
    <w:p>
      <w:pPr>
        <w:tabs>
          <w:tab w:val="left" w:pos="1189"/>
        </w:tabs>
        <w:rPr>
          <w:sz w:val="20"/>
          <w:szCs w:val="20"/>
          <w:lang w:val="ro-RO"/>
        </w:rPr>
      </w:pPr>
      <w:r>
        <w:rPr>
          <w:sz w:val="20"/>
          <w:szCs w:val="20"/>
          <w:lang w:val="ro-RO"/>
        </w:rPr>
        <w:t>Echipamentele specifice Antreprenorului sunt echipamente a caror finantare intra in sarcina exclusiva a Antreprenorului, respectiv echipamente pe care Antreprenorul le va achiziționa, livra, monta/instala și pune în funcțiune în cadrul contractului, care fac obiectul acestei licitatii dar nu fac obiectul finanțării prin proiectul SMID etapa II. Ele trebuie achiziționate de către Antreprenor și integrate în fluxul tehnologic propus:</w:t>
      </w:r>
    </w:p>
    <w:p>
      <w:pPr>
        <w:pStyle w:val="ListParagraph"/>
        <w:numPr>
          <w:ilvl w:val="0"/>
          <w:numId w:val="15"/>
        </w:numPr>
        <w:tabs>
          <w:tab w:val="left" w:pos="1189"/>
        </w:tabs>
        <w:rPr>
          <w:sz w:val="20"/>
          <w:szCs w:val="20"/>
          <w:lang w:val="ro-RO"/>
        </w:rPr>
      </w:pPr>
      <w:r>
        <w:rPr>
          <w:sz w:val="20"/>
          <w:szCs w:val="20"/>
          <w:lang w:val="ro-RO"/>
        </w:rPr>
        <w:t>Concasor de capacitate mica pentru materiale sanitare, materiale din constructii de dimensiuni mici etc.</w:t>
      </w:r>
    </w:p>
    <w:p>
      <w:pPr>
        <w:pStyle w:val="ListParagraph"/>
        <w:numPr>
          <w:ilvl w:val="0"/>
          <w:numId w:val="15"/>
        </w:numPr>
        <w:tabs>
          <w:tab w:val="left" w:pos="1189"/>
        </w:tabs>
        <w:rPr>
          <w:sz w:val="20"/>
          <w:szCs w:val="20"/>
          <w:lang w:val="ro-RO"/>
        </w:rPr>
      </w:pPr>
      <w:r>
        <w:rPr>
          <w:sz w:val="20"/>
          <w:szCs w:val="20"/>
          <w:lang w:val="ro-RO"/>
        </w:rPr>
        <w:t>Echipamente specifice liniei de pretratare de</w:t>
      </w:r>
      <w:r>
        <w:rPr>
          <w:rFonts w:cs="Verdana"/>
          <w:sz w:val="20"/>
          <w:szCs w:val="20"/>
          <w:lang w:val="ro-RO"/>
        </w:rPr>
        <w:t>ş</w:t>
      </w:r>
      <w:r>
        <w:rPr>
          <w:sz w:val="20"/>
          <w:szCs w:val="20"/>
          <w:lang w:val="ro-RO"/>
        </w:rPr>
        <w:t>euri colectate separat, astfel încât să se asigure îndepărtarea optimă a corpurilor indezirabile si asigurarea unei purități suficiente pentru procesul de digestie anaerobă.</w:t>
      </w:r>
    </w:p>
    <w:p>
      <w:pPr>
        <w:pStyle w:val="ListParagraph"/>
        <w:numPr>
          <w:ilvl w:val="0"/>
          <w:numId w:val="15"/>
        </w:numPr>
        <w:tabs>
          <w:tab w:val="left" w:pos="1189"/>
        </w:tabs>
        <w:rPr>
          <w:sz w:val="20"/>
          <w:szCs w:val="20"/>
          <w:lang w:val="ro-RO"/>
        </w:rPr>
      </w:pPr>
      <w:r>
        <w:rPr>
          <w:sz w:val="20"/>
          <w:szCs w:val="20"/>
          <w:lang w:val="ro-RO"/>
        </w:rPr>
        <w:t>Ciur mobil pentru compost.</w:t>
      </w:r>
    </w:p>
    <w:p>
      <w:pPr>
        <w:pStyle w:val="ListParagraph"/>
        <w:numPr>
          <w:ilvl w:val="0"/>
          <w:numId w:val="15"/>
        </w:numPr>
        <w:tabs>
          <w:tab w:val="left" w:pos="1189"/>
        </w:tabs>
        <w:rPr>
          <w:sz w:val="20"/>
          <w:szCs w:val="20"/>
          <w:lang w:val="ro-RO"/>
        </w:rPr>
      </w:pPr>
      <w:r>
        <w:rPr>
          <w:sz w:val="20"/>
          <w:szCs w:val="20"/>
          <w:lang w:val="ro-RO"/>
        </w:rPr>
        <w:t>Instalatie cogenerare energie termica si electrica.</w:t>
      </w:r>
    </w:p>
    <w:p>
      <w:pPr>
        <w:pStyle w:val="ListParagraph"/>
        <w:numPr>
          <w:ilvl w:val="0"/>
          <w:numId w:val="15"/>
        </w:numPr>
        <w:tabs>
          <w:tab w:val="left" w:pos="1189"/>
        </w:tabs>
        <w:rPr>
          <w:sz w:val="20"/>
          <w:szCs w:val="20"/>
          <w:lang w:val="ro-RO"/>
        </w:rPr>
      </w:pPr>
      <w:r>
        <w:rPr>
          <w:sz w:val="20"/>
          <w:szCs w:val="20"/>
          <w:lang w:val="ro-RO"/>
        </w:rPr>
        <w:t>instalație pentru compostarea digestatului din biodeșeuri colectate separat și stabilizarea aerobă digestatului, din rezidual, compartimentată în două zone distincte, fără posibilitate de amestecare a celor 2 produse*;</w:t>
      </w:r>
    </w:p>
    <w:p>
      <w:pPr>
        <w:pStyle w:val="ListParagraph"/>
        <w:numPr>
          <w:ilvl w:val="0"/>
          <w:numId w:val="15"/>
        </w:numPr>
        <w:tabs>
          <w:tab w:val="left" w:pos="1189"/>
        </w:tabs>
        <w:rPr>
          <w:sz w:val="20"/>
          <w:szCs w:val="20"/>
          <w:lang w:val="ro-RO"/>
        </w:rPr>
      </w:pPr>
      <w:r>
        <w:rPr>
          <w:sz w:val="20"/>
          <w:szCs w:val="20"/>
          <w:lang w:val="ro-RO"/>
        </w:rPr>
        <w:t>Mașină de întors brazde.</w:t>
      </w:r>
    </w:p>
    <w:p>
      <w:pPr>
        <w:pStyle w:val="ListParagraph"/>
        <w:numPr>
          <w:ilvl w:val="0"/>
          <w:numId w:val="15"/>
        </w:numPr>
        <w:tabs>
          <w:tab w:val="left" w:pos="1189"/>
        </w:tabs>
        <w:rPr>
          <w:sz w:val="20"/>
          <w:szCs w:val="20"/>
          <w:lang w:val="ro-RO"/>
        </w:rPr>
      </w:pPr>
      <w:r>
        <w:rPr>
          <w:sz w:val="20"/>
          <w:szCs w:val="20"/>
          <w:lang w:val="ro-RO"/>
        </w:rPr>
        <w:t>Instalație pregătire RDF.</w:t>
      </w:r>
    </w:p>
    <w:p>
      <w:pPr>
        <w:pStyle w:val="ListParagraph"/>
        <w:tabs>
          <w:tab w:val="left" w:pos="1189"/>
        </w:tabs>
        <w:rPr>
          <w:sz w:val="20"/>
          <w:szCs w:val="20"/>
          <w:lang w:val="ro-RO"/>
        </w:rPr>
      </w:pPr>
    </w:p>
    <w:p>
      <w:pPr>
        <w:rPr>
          <w:sz w:val="20"/>
          <w:szCs w:val="20"/>
          <w:lang w:val="ro-RO"/>
        </w:rPr>
      </w:pPr>
      <w:r>
        <w:rPr>
          <w:sz w:val="20"/>
          <w:szCs w:val="20"/>
          <w:lang w:val="ro-RO"/>
        </w:rPr>
        <w:t>* Notă: în intreaga documentație de atribuire, orice referire la instalație de compostare, stație de compostare, platformă de compostare, zonă de compostare va fi asociată cu zona și instalațiile specifice cu rolul de a trata aerob:</w:t>
      </w:r>
    </w:p>
    <w:p>
      <w:pPr>
        <w:pStyle w:val="ListParagraph"/>
        <w:numPr>
          <w:ilvl w:val="0"/>
          <w:numId w:val="11"/>
        </w:numPr>
        <w:rPr>
          <w:sz w:val="20"/>
          <w:szCs w:val="20"/>
          <w:lang w:val="ro-RO"/>
        </w:rPr>
      </w:pPr>
      <w:r>
        <w:rPr>
          <w:sz w:val="20"/>
          <w:szCs w:val="20"/>
          <w:lang w:val="ro-RO"/>
        </w:rPr>
        <w:t>digestatul din biodeșeuri colectate separat, pentru compostare.</w:t>
      </w:r>
    </w:p>
    <w:p>
      <w:pPr>
        <w:pStyle w:val="ListParagraph"/>
        <w:numPr>
          <w:ilvl w:val="0"/>
          <w:numId w:val="11"/>
        </w:numPr>
        <w:rPr>
          <w:sz w:val="20"/>
          <w:szCs w:val="20"/>
          <w:lang w:val="ro-RO"/>
        </w:rPr>
      </w:pPr>
      <w:r>
        <w:rPr>
          <w:sz w:val="20"/>
          <w:szCs w:val="20"/>
          <w:lang w:val="ro-RO"/>
        </w:rPr>
        <w:t>digestatul din deșeuri reziduale, pentru stabilizare.</w:t>
      </w:r>
    </w:p>
    <w:p>
      <w:pPr>
        <w:pStyle w:val="ListParagraph"/>
        <w:tabs>
          <w:tab w:val="left" w:pos="1189"/>
        </w:tabs>
        <w:rPr>
          <w:sz w:val="20"/>
          <w:szCs w:val="20"/>
          <w:lang w:val="ro-RO"/>
        </w:rPr>
      </w:pPr>
    </w:p>
    <w:p>
      <w:pPr>
        <w:tabs>
          <w:tab w:val="left" w:pos="1189"/>
        </w:tabs>
        <w:rPr>
          <w:sz w:val="20"/>
          <w:szCs w:val="20"/>
          <w:lang w:val="ro-RO"/>
        </w:rPr>
      </w:pPr>
      <w:r>
        <w:rPr>
          <w:sz w:val="20"/>
          <w:szCs w:val="20"/>
          <w:lang w:val="ro-RO"/>
        </w:rPr>
        <w:t>Toate produsele ofertate vor fi însoţite la livrare de certificatul CE (Conformitate Europeană) şi vor fi marcate cu marcajul de conformitate CE care să ateste faptul că produsele livrate îndeplinesc cerinţele standardelor şi directivelor europene, în conformitate cu prevederile OG nr. 20/2010 cu modificările şi completările ulterioare. Nu se accepta echipamente uzate.</w:t>
      </w:r>
    </w:p>
    <w:p>
      <w:pPr>
        <w:tabs>
          <w:tab w:val="left" w:pos="1189"/>
        </w:tabs>
        <w:rPr>
          <w:sz w:val="20"/>
          <w:szCs w:val="20"/>
          <w:lang w:val="ro-RO"/>
        </w:rPr>
      </w:pPr>
      <w:r>
        <w:rPr>
          <w:sz w:val="20"/>
          <w:szCs w:val="20"/>
          <w:lang w:val="ro-RO"/>
        </w:rPr>
        <w:t>Antreprenorul va aprecia cantitatea de deșeuri ce necesită prelucrare mecanică prin concasare pe baza cantităților de deșeuri estimate (a se vedea Studiul de fundamentare) și a compoziției estimate a input-ului în TMB (a se vedea Studiul de fundamentare și baza de calcul pentru indicatorul I.1.1).</w:t>
      </w:r>
    </w:p>
    <w:p>
      <w:pPr>
        <w:tabs>
          <w:tab w:val="left" w:pos="1189"/>
        </w:tabs>
        <w:rPr>
          <w:sz w:val="20"/>
          <w:szCs w:val="20"/>
          <w:lang w:val="ro-RO"/>
        </w:rPr>
      </w:pPr>
      <w:r>
        <w:rPr>
          <w:sz w:val="20"/>
          <w:szCs w:val="20"/>
          <w:lang w:val="ro-RO"/>
        </w:rPr>
        <w:t>Nu se acceptă solutia inchirierii echipamentelor mobile (camioane, incarcatoare frontale, s.a.), in perioada de operare, deoarece aceste echipamente sunt prevăzute în proiectul cu finanțare europeană, intră în patrimoniul beneficiarului finanțării, respectiv CJ Galați, ele devenind bunuri de retur.</w:t>
      </w:r>
      <w:r>
        <w:rPr>
          <w:lang w:val="ro-RO"/>
        </w:rPr>
        <w:t xml:space="preserve"> </w:t>
      </w:r>
      <w:r>
        <w:rPr>
          <w:sz w:val="20"/>
          <w:szCs w:val="20"/>
          <w:lang w:val="ro-RO"/>
        </w:rPr>
        <w:t xml:space="preserve">Statutul investițiilor în sarcina operatorului este de bunuri de retur, în conformitate cu </w:t>
      </w:r>
      <w:r>
        <w:rPr>
          <w:sz w:val="20"/>
          <w:szCs w:val="20"/>
          <w:lang w:val="ro-RO"/>
        </w:rPr>
        <w:lastRenderedPageBreak/>
        <w:t>art. 228 alin (3) din Legea 101/2006 a serviciului de salubrizare a localităților, republicată, aceste bunurile rezultate urmând a intra în patrimoniul public al Județului Galați.</w:t>
      </w:r>
    </w:p>
    <w:p>
      <w:pPr>
        <w:tabs>
          <w:tab w:val="left" w:pos="1189"/>
        </w:tabs>
        <w:rPr>
          <w:b/>
          <w:sz w:val="20"/>
          <w:szCs w:val="20"/>
          <w:lang w:val="ro-RO"/>
        </w:rPr>
      </w:pPr>
      <w:r>
        <w:rPr>
          <w:b/>
          <w:sz w:val="20"/>
          <w:szCs w:val="20"/>
          <w:lang w:val="ro-RO"/>
        </w:rPr>
        <w:t>NOTA: Echipamentele mentionate reprezinta utilajele minime de la care Ofertantii/Antreprenorul vor realiza fluxurile de echipamente. Antreprenorul va ține cont de fluxurile tehnologice proprii și de utilajele implicate în specificul fiecărei clădiri/hale. Fluxurile tehnologice vor fi adaptate la specificul si cantitatile deseurilor intrate-iesite, in concordanta cu procesul tehnologic de tratare al acestora.</w:t>
      </w:r>
    </w:p>
    <w:p>
      <w:pPr>
        <w:rPr>
          <w:sz w:val="20"/>
          <w:szCs w:val="20"/>
          <w:lang w:val="ro-RO"/>
        </w:rPr>
      </w:pPr>
      <w:r>
        <w:rPr>
          <w:sz w:val="20"/>
          <w:szCs w:val="20"/>
          <w:lang w:val="ro-RO"/>
        </w:rPr>
        <w:t>Conform Caietului de sarcini și Studiului de Fundamentare anexat acestuia, în documentația de atribuire sunt descrise elementele generale de proiectare (Studiu de Fundamentare, cap 3.3). Întrucât contractul va fi unul de tip Proiectare – Execuție – Operare, Antreprenorul va propune tehnologia optimă de tratare (mecanică și biologică prin digestie anaerobă, urmată de compostarea digestatului din biodeșeuri colectate separat și stabilizarea aerobă a digestatului din deșeuri reziduale), astfel încât să fie îndepliniți indicatorii de performanță solicitați.</w:t>
      </w:r>
    </w:p>
    <w:p>
      <w:pPr>
        <w:rPr>
          <w:sz w:val="20"/>
          <w:szCs w:val="20"/>
          <w:lang w:val="ro-RO"/>
        </w:rPr>
      </w:pPr>
    </w:p>
    <w:p>
      <w:pPr>
        <w:pStyle w:val="Heading1"/>
        <w:rPr>
          <w:sz w:val="20"/>
          <w:szCs w:val="20"/>
          <w:lang w:val="ro-RO"/>
        </w:rPr>
      </w:pPr>
      <w:bookmarkStart w:id="26" w:name="_Toc227161501"/>
      <w:r>
        <w:rPr>
          <w:sz w:val="20"/>
          <w:szCs w:val="20"/>
          <w:lang w:val="ro-RO"/>
        </w:rPr>
        <w:t>SECŢIUNEA 2. CERINŢELE BENEFICIARULUI PRIVIND EXECUŢIA STAȚIEI DE TRATARE MECANO - BIOLOGICĂ ŞI A STAŢIEI DE TRANSFER GALAŢI</w:t>
      </w:r>
      <w:bookmarkEnd w:id="26"/>
    </w:p>
    <w:p>
      <w:pPr>
        <w:pStyle w:val="Heading2"/>
        <w:rPr>
          <w:sz w:val="20"/>
          <w:szCs w:val="20"/>
          <w:lang w:val="ro-RO"/>
        </w:rPr>
      </w:pPr>
      <w:bookmarkStart w:id="27" w:name="_Toc227161502"/>
      <w:r>
        <w:rPr>
          <w:sz w:val="20"/>
          <w:szCs w:val="20"/>
          <w:lang w:val="ro-RO"/>
        </w:rPr>
        <w:t>2.1</w:t>
      </w:r>
      <w:r>
        <w:rPr>
          <w:sz w:val="20"/>
          <w:szCs w:val="20"/>
          <w:lang w:val="ro-RO"/>
        </w:rPr>
        <w:tab/>
        <w:t>DOMENIU DE APLICARE</w:t>
      </w:r>
      <w:bookmarkEnd w:id="27"/>
    </w:p>
    <w:p>
      <w:pPr>
        <w:rPr>
          <w:sz w:val="20"/>
          <w:szCs w:val="20"/>
          <w:lang w:val="ro-RO"/>
        </w:rPr>
      </w:pPr>
      <w:r>
        <w:rPr>
          <w:sz w:val="20"/>
          <w:szCs w:val="20"/>
          <w:lang w:val="ro-RO"/>
        </w:rPr>
        <w:t>Domeniul de aplicare al Contractului îl reprezintă totalitatea constructiilor si echipamentelor fixe si mobile necesare functionalizarii statiei de transfer si statiei de tratare mecano-biologica cu recuperare de energie Galati.</w:t>
      </w:r>
    </w:p>
    <w:p>
      <w:pPr>
        <w:rPr>
          <w:sz w:val="20"/>
          <w:szCs w:val="20"/>
          <w:lang w:val="ro-RO"/>
        </w:rPr>
      </w:pPr>
      <w:r>
        <w:rPr>
          <w:sz w:val="20"/>
          <w:szCs w:val="20"/>
          <w:lang w:val="ro-RO"/>
        </w:rPr>
        <w:t>Investitia proiectată va respecta cerinţele beneficiarului specificate în acest caiet de sarcini, amenajarea teritorială şi condiţiile de construire conform legislatiei in domeniul construcţiilor, cerinţele procedurale ale Uniunii Europene prevăzute (Programul Operaţional Infrastructura Mare 2014-2020 si Programul Operaţional Dezvoltare Durabila 2021-2027), standardele naţionale stabilite în legile naţionale relevante (LNR) şi legislaţia de protecţie a mediului.</w:t>
      </w:r>
    </w:p>
    <w:p>
      <w:pPr>
        <w:pStyle w:val="Heading2"/>
        <w:rPr>
          <w:sz w:val="20"/>
          <w:szCs w:val="20"/>
          <w:lang w:val="ro-RO"/>
        </w:rPr>
      </w:pPr>
      <w:bookmarkStart w:id="28" w:name="_Toc227161503"/>
      <w:r>
        <w:rPr>
          <w:sz w:val="20"/>
          <w:szCs w:val="20"/>
          <w:lang w:val="ro-RO"/>
        </w:rPr>
        <w:t>2.2</w:t>
      </w:r>
      <w:r>
        <w:rPr>
          <w:sz w:val="20"/>
          <w:szCs w:val="20"/>
          <w:lang w:val="ro-RO"/>
        </w:rPr>
        <w:tab/>
        <w:t>CERINTE PRIVIND LUCRARILE DE CONSTRUCTIE</w:t>
      </w:r>
      <w:bookmarkEnd w:id="28"/>
    </w:p>
    <w:p>
      <w:pPr>
        <w:pStyle w:val="Heading3"/>
        <w:rPr>
          <w:sz w:val="20"/>
          <w:szCs w:val="20"/>
          <w:lang w:val="ro-RO"/>
        </w:rPr>
      </w:pPr>
      <w:bookmarkStart w:id="29" w:name="_Toc227161504"/>
      <w:r>
        <w:rPr>
          <w:sz w:val="20"/>
          <w:szCs w:val="20"/>
          <w:lang w:val="ro-RO"/>
        </w:rPr>
        <w:t>2.2.1 Cerinte pentru lucrari de terasamente</w:t>
      </w:r>
      <w:bookmarkEnd w:id="29"/>
    </w:p>
    <w:p>
      <w:pPr>
        <w:pStyle w:val="Heading4"/>
        <w:rPr>
          <w:sz w:val="20"/>
          <w:szCs w:val="20"/>
          <w:lang w:val="ro-RO"/>
        </w:rPr>
      </w:pPr>
      <w:r>
        <w:rPr>
          <w:sz w:val="20"/>
          <w:szCs w:val="20"/>
          <w:lang w:val="ro-RO"/>
        </w:rPr>
        <w:t>2.2.1.1 Condiţii prealabile</w:t>
      </w:r>
    </w:p>
    <w:p>
      <w:pPr>
        <w:pStyle w:val="ListParagraph"/>
        <w:numPr>
          <w:ilvl w:val="0"/>
          <w:numId w:val="13"/>
        </w:numPr>
        <w:rPr>
          <w:sz w:val="20"/>
          <w:szCs w:val="20"/>
          <w:lang w:val="ro-RO"/>
        </w:rPr>
      </w:pPr>
      <w:r>
        <w:rPr>
          <w:sz w:val="20"/>
          <w:szCs w:val="20"/>
          <w:lang w:val="ro-RO"/>
        </w:rPr>
        <w:t>Existenta autorizaţiei de construire.</w:t>
      </w:r>
    </w:p>
    <w:p>
      <w:pPr>
        <w:pStyle w:val="ListParagraph"/>
        <w:numPr>
          <w:ilvl w:val="0"/>
          <w:numId w:val="13"/>
        </w:numPr>
        <w:rPr>
          <w:sz w:val="20"/>
          <w:szCs w:val="20"/>
          <w:lang w:val="ro-RO"/>
        </w:rPr>
      </w:pPr>
      <w:r>
        <w:rPr>
          <w:sz w:val="20"/>
          <w:szCs w:val="20"/>
          <w:lang w:val="ro-RO"/>
        </w:rPr>
        <w:t>Existenta procesului verbal de predare a amplasamentului si a reperelor de nivel</w:t>
      </w:r>
    </w:p>
    <w:p>
      <w:pPr>
        <w:pStyle w:val="ListParagraph"/>
        <w:numPr>
          <w:ilvl w:val="0"/>
          <w:numId w:val="13"/>
        </w:numPr>
        <w:rPr>
          <w:sz w:val="20"/>
          <w:szCs w:val="20"/>
          <w:lang w:val="ro-RO"/>
        </w:rPr>
      </w:pPr>
      <w:r>
        <w:rPr>
          <w:sz w:val="20"/>
          <w:szCs w:val="20"/>
          <w:lang w:val="ro-RO"/>
        </w:rPr>
        <w:t>Existenta rețelelor de utilităţi în zona adiacentă amplasamentului.</w:t>
      </w:r>
    </w:p>
    <w:p>
      <w:pPr>
        <w:pStyle w:val="ListParagraph"/>
        <w:numPr>
          <w:ilvl w:val="0"/>
          <w:numId w:val="13"/>
        </w:numPr>
        <w:rPr>
          <w:sz w:val="20"/>
          <w:szCs w:val="20"/>
          <w:lang w:val="ro-RO"/>
        </w:rPr>
      </w:pPr>
      <w:r>
        <w:rPr>
          <w:sz w:val="20"/>
          <w:szCs w:val="20"/>
          <w:lang w:val="ro-RO"/>
        </w:rPr>
        <w:t>Organizarea de şantier (drumuri de acces).</w:t>
      </w:r>
    </w:p>
    <w:p>
      <w:pPr>
        <w:pStyle w:val="ListParagraph"/>
        <w:numPr>
          <w:ilvl w:val="0"/>
          <w:numId w:val="13"/>
        </w:numPr>
        <w:rPr>
          <w:sz w:val="20"/>
          <w:szCs w:val="20"/>
          <w:lang w:val="ro-RO"/>
        </w:rPr>
      </w:pPr>
      <w:r>
        <w:rPr>
          <w:sz w:val="20"/>
          <w:szCs w:val="20"/>
          <w:lang w:val="ro-RO"/>
        </w:rPr>
        <w:t>Existenta utilajelor pentru efectuarea lucrărilor de terasamente si săpături (buldozer, excavator, cilindru compactor).</w:t>
      </w:r>
    </w:p>
    <w:p>
      <w:pPr>
        <w:pStyle w:val="ListParagraph"/>
        <w:numPr>
          <w:ilvl w:val="0"/>
          <w:numId w:val="13"/>
        </w:numPr>
        <w:rPr>
          <w:sz w:val="20"/>
          <w:szCs w:val="20"/>
          <w:lang w:val="ro-RO"/>
        </w:rPr>
      </w:pPr>
      <w:r>
        <w:rPr>
          <w:sz w:val="20"/>
          <w:szCs w:val="20"/>
          <w:lang w:val="ro-RO"/>
        </w:rPr>
        <w:t>Existenta pompelor pentru evacuarea eventualelor infiltratii de apa.</w:t>
      </w:r>
    </w:p>
    <w:p>
      <w:pPr>
        <w:pStyle w:val="ListParagraph"/>
        <w:numPr>
          <w:ilvl w:val="0"/>
          <w:numId w:val="13"/>
        </w:numPr>
        <w:rPr>
          <w:sz w:val="20"/>
          <w:szCs w:val="20"/>
          <w:lang w:val="ro-RO"/>
        </w:rPr>
      </w:pPr>
      <w:r>
        <w:rPr>
          <w:sz w:val="20"/>
          <w:szCs w:val="20"/>
          <w:lang w:val="ro-RO"/>
        </w:rPr>
        <w:t>Existenta mijloacelor de transport pentru evacuarea pamântului excedentar rezultat din sapaturi.</w:t>
      </w:r>
    </w:p>
    <w:p>
      <w:pPr>
        <w:pStyle w:val="ListParagraph"/>
        <w:numPr>
          <w:ilvl w:val="0"/>
          <w:numId w:val="13"/>
        </w:numPr>
        <w:rPr>
          <w:sz w:val="20"/>
          <w:szCs w:val="20"/>
          <w:lang w:val="ro-RO"/>
        </w:rPr>
      </w:pPr>
      <w:r>
        <w:rPr>
          <w:sz w:val="20"/>
          <w:szCs w:val="20"/>
          <w:lang w:val="ro-RO"/>
        </w:rPr>
        <w:t>Echiparea muncitorilor cu echipamente și unelte specifice.</w:t>
      </w:r>
    </w:p>
    <w:p>
      <w:pPr>
        <w:pStyle w:val="ListParagraph"/>
        <w:numPr>
          <w:ilvl w:val="0"/>
          <w:numId w:val="13"/>
        </w:numPr>
        <w:rPr>
          <w:sz w:val="20"/>
          <w:szCs w:val="20"/>
          <w:lang w:val="ro-RO"/>
        </w:rPr>
      </w:pPr>
      <w:r>
        <w:rPr>
          <w:sz w:val="20"/>
          <w:szCs w:val="20"/>
          <w:lang w:val="ro-RO"/>
        </w:rPr>
        <w:t>Instruirea personalului privind normele de protectia muncii si PSI.</w:t>
      </w:r>
    </w:p>
    <w:p>
      <w:pPr>
        <w:pStyle w:val="ListParagraph"/>
        <w:numPr>
          <w:ilvl w:val="0"/>
          <w:numId w:val="13"/>
        </w:numPr>
        <w:rPr>
          <w:sz w:val="20"/>
          <w:szCs w:val="20"/>
          <w:lang w:val="ro-RO"/>
        </w:rPr>
      </w:pPr>
      <w:r>
        <w:rPr>
          <w:sz w:val="20"/>
          <w:szCs w:val="20"/>
          <w:lang w:val="ro-RO"/>
        </w:rPr>
        <w:t>Asigurarea echiparii muncitorilor cu echipament individual de protecţie.</w:t>
      </w:r>
    </w:p>
    <w:p>
      <w:pPr>
        <w:pStyle w:val="Heading4"/>
        <w:rPr>
          <w:sz w:val="20"/>
          <w:szCs w:val="20"/>
          <w:lang w:val="ro-RO"/>
        </w:rPr>
      </w:pPr>
      <w:r>
        <w:rPr>
          <w:sz w:val="20"/>
          <w:szCs w:val="20"/>
          <w:lang w:val="ro-RO"/>
        </w:rPr>
        <w:t>2.2.1.2 Lucrări pregătitoare pentru executarea terasamentelor</w:t>
      </w:r>
    </w:p>
    <w:p>
      <w:pPr>
        <w:pStyle w:val="ListParagraph"/>
        <w:numPr>
          <w:ilvl w:val="0"/>
          <w:numId w:val="16"/>
        </w:numPr>
        <w:ind w:left="284"/>
        <w:rPr>
          <w:b/>
          <w:sz w:val="20"/>
          <w:szCs w:val="20"/>
          <w:lang w:val="ro-RO"/>
        </w:rPr>
      </w:pPr>
      <w:r>
        <w:rPr>
          <w:b/>
          <w:sz w:val="20"/>
          <w:szCs w:val="20"/>
          <w:lang w:val="ro-RO"/>
        </w:rPr>
        <w:t>Amenajarea terenului si a platformei de lucru:</w:t>
      </w:r>
    </w:p>
    <w:p>
      <w:pPr>
        <w:pStyle w:val="ListParagraph"/>
        <w:numPr>
          <w:ilvl w:val="0"/>
          <w:numId w:val="13"/>
        </w:numPr>
        <w:rPr>
          <w:sz w:val="20"/>
          <w:szCs w:val="20"/>
          <w:lang w:val="ro-RO"/>
        </w:rPr>
      </w:pPr>
      <w:r>
        <w:rPr>
          <w:sz w:val="20"/>
          <w:szCs w:val="20"/>
          <w:lang w:val="ro-RO"/>
        </w:rPr>
        <w:t>curatarea terenului de frunze, crengi, iarba si alte materiale;</w:t>
      </w:r>
    </w:p>
    <w:p>
      <w:pPr>
        <w:pStyle w:val="ListParagraph"/>
        <w:numPr>
          <w:ilvl w:val="0"/>
          <w:numId w:val="13"/>
        </w:numPr>
        <w:rPr>
          <w:sz w:val="20"/>
          <w:szCs w:val="20"/>
          <w:lang w:val="ro-RO"/>
        </w:rPr>
      </w:pPr>
      <w:r>
        <w:rPr>
          <w:sz w:val="20"/>
          <w:szCs w:val="20"/>
          <w:lang w:val="ro-RO"/>
        </w:rPr>
        <w:t>saparea si depozitarea pamantului vegetal;</w:t>
      </w:r>
    </w:p>
    <w:p>
      <w:pPr>
        <w:pStyle w:val="ListParagraph"/>
        <w:numPr>
          <w:ilvl w:val="0"/>
          <w:numId w:val="13"/>
        </w:numPr>
        <w:rPr>
          <w:sz w:val="20"/>
          <w:szCs w:val="20"/>
          <w:lang w:val="ro-RO"/>
        </w:rPr>
      </w:pPr>
      <w:r>
        <w:rPr>
          <w:sz w:val="20"/>
          <w:szCs w:val="20"/>
          <w:lang w:val="ro-RO"/>
        </w:rPr>
        <w:t>indepartarea apelor de suprafata;</w:t>
      </w:r>
    </w:p>
    <w:p>
      <w:pPr>
        <w:pStyle w:val="ListParagraph"/>
        <w:numPr>
          <w:ilvl w:val="0"/>
          <w:numId w:val="13"/>
        </w:numPr>
        <w:rPr>
          <w:sz w:val="20"/>
          <w:szCs w:val="20"/>
          <w:lang w:val="ro-RO"/>
        </w:rPr>
      </w:pPr>
      <w:r>
        <w:rPr>
          <w:sz w:val="20"/>
          <w:szCs w:val="20"/>
          <w:lang w:val="ro-RO"/>
        </w:rPr>
        <w:t>umpluturi si nivelari pentru amenajerea terenului si a platformei de lucru.</w:t>
      </w:r>
    </w:p>
    <w:p>
      <w:pPr>
        <w:pStyle w:val="ListParagraph"/>
        <w:numPr>
          <w:ilvl w:val="0"/>
          <w:numId w:val="16"/>
        </w:numPr>
        <w:ind w:left="284"/>
        <w:rPr>
          <w:b/>
          <w:sz w:val="20"/>
          <w:szCs w:val="20"/>
          <w:lang w:val="ro-RO"/>
        </w:rPr>
      </w:pPr>
      <w:r>
        <w:rPr>
          <w:b/>
          <w:sz w:val="20"/>
          <w:szCs w:val="20"/>
          <w:lang w:val="ro-RO"/>
        </w:rPr>
        <w:t>Trasarea pe teren a lucrărilor:</w:t>
      </w:r>
    </w:p>
    <w:p>
      <w:pPr>
        <w:pStyle w:val="ListParagraph"/>
        <w:numPr>
          <w:ilvl w:val="0"/>
          <w:numId w:val="13"/>
        </w:numPr>
        <w:rPr>
          <w:sz w:val="20"/>
          <w:szCs w:val="20"/>
          <w:lang w:val="ro-RO"/>
        </w:rPr>
      </w:pPr>
      <w:r>
        <w:rPr>
          <w:sz w:val="20"/>
          <w:szCs w:val="20"/>
          <w:lang w:val="ro-RO"/>
        </w:rPr>
        <w:t>trasarea si materializarea pe teren a axelor construcţiei, conform planului de trasare;</w:t>
      </w:r>
    </w:p>
    <w:p>
      <w:pPr>
        <w:pStyle w:val="ListParagraph"/>
        <w:numPr>
          <w:ilvl w:val="0"/>
          <w:numId w:val="13"/>
        </w:numPr>
        <w:rPr>
          <w:sz w:val="20"/>
          <w:szCs w:val="20"/>
          <w:lang w:val="ro-RO"/>
        </w:rPr>
      </w:pPr>
      <w:r>
        <w:rPr>
          <w:sz w:val="20"/>
          <w:szCs w:val="20"/>
          <w:lang w:val="ro-RO"/>
        </w:rPr>
        <w:lastRenderedPageBreak/>
        <w:t>trasarea pe teren a lucrărilor de săpături. La baza operaţiei se afla: studiul geotehnic, planul de amplasament (borne, axe, cote de nivel), procesul verbal de preluare a amplasamentului, planul general de fundatii cu indicarea tipurilor de fundaţii, poziţionarea lor si distanta dintre ele;</w:t>
      </w:r>
    </w:p>
    <w:p>
      <w:pPr>
        <w:pStyle w:val="ListParagraph"/>
        <w:numPr>
          <w:ilvl w:val="0"/>
          <w:numId w:val="13"/>
        </w:numPr>
        <w:rPr>
          <w:sz w:val="20"/>
          <w:szCs w:val="20"/>
          <w:lang w:val="ro-RO"/>
        </w:rPr>
      </w:pPr>
      <w:r>
        <w:rPr>
          <w:sz w:val="20"/>
          <w:szCs w:val="20"/>
          <w:lang w:val="ro-RO"/>
        </w:rPr>
        <w:t>la trasare se va tine cont de trasarea axelor fundatiilor propriu-zise si trasarea sapaturilor.</w:t>
      </w:r>
    </w:p>
    <w:p>
      <w:pPr>
        <w:pStyle w:val="ListParagraph"/>
        <w:numPr>
          <w:ilvl w:val="0"/>
          <w:numId w:val="13"/>
        </w:numPr>
        <w:rPr>
          <w:sz w:val="20"/>
          <w:szCs w:val="20"/>
          <w:lang w:val="ro-RO"/>
        </w:rPr>
      </w:pPr>
      <w:r>
        <w:rPr>
          <w:sz w:val="20"/>
          <w:szCs w:val="20"/>
          <w:lang w:val="ro-RO"/>
        </w:rPr>
        <w:t>pentru trasare se va utiliza aparatul topografic, furtunul de nivel, ruleta, metrul.</w:t>
      </w:r>
    </w:p>
    <w:p>
      <w:pPr>
        <w:pStyle w:val="ListParagraph"/>
        <w:numPr>
          <w:ilvl w:val="0"/>
          <w:numId w:val="13"/>
        </w:numPr>
        <w:rPr>
          <w:sz w:val="20"/>
          <w:szCs w:val="20"/>
          <w:lang w:val="ro-RO"/>
        </w:rPr>
      </w:pPr>
      <w:r>
        <w:rPr>
          <w:sz w:val="20"/>
          <w:szCs w:val="20"/>
          <w:lang w:val="ro-RO"/>
        </w:rPr>
        <w:t>trasarea se face conform prevederilor proiectului în raport cu punctele de referinţa care se vor materializa prin borne - repere ce trebuie sa reziste pe toata durata execuţiei construcţiei, servind la transmiterea cotelor, a coordonatelor din plan si pe verticala. Bornele vor fi amplasate la o distanta de 2/3 din înălţimea clădirii, pentru a nu fi afectate în timpul execuţiei;</w:t>
      </w:r>
    </w:p>
    <w:p>
      <w:pPr>
        <w:pStyle w:val="ListParagraph"/>
        <w:numPr>
          <w:ilvl w:val="0"/>
          <w:numId w:val="13"/>
        </w:numPr>
        <w:rPr>
          <w:sz w:val="20"/>
          <w:szCs w:val="20"/>
          <w:lang w:val="ro-RO"/>
        </w:rPr>
      </w:pPr>
      <w:r>
        <w:rPr>
          <w:sz w:val="20"/>
          <w:szCs w:val="20"/>
          <w:lang w:val="ro-RO"/>
        </w:rPr>
        <w:t>în plan se amplasează balize la 2/3 H pentru a nu stânjeni circulatia. Balizele se vor executa din lemn sau metal, marcarea axelor se face prin cuie, prin vopsire, cu notarea numarului axei. Între reperele marcate se întinde sârma si se materializeaza axele fundatiei sau conturul sapaturilor gropilor de fundatie. Transmiterea pe verticala a axelor sau a punctelor rezultate la intersectia sârmelor se face cu ajutorul firului cu plumb. Trasarea sapaturii se va face direct pe pamânt, cu var.</w:t>
      </w:r>
    </w:p>
    <w:p>
      <w:pPr>
        <w:pStyle w:val="ListParagraph"/>
        <w:numPr>
          <w:ilvl w:val="0"/>
          <w:numId w:val="13"/>
        </w:numPr>
        <w:rPr>
          <w:sz w:val="20"/>
          <w:szCs w:val="20"/>
          <w:lang w:val="ro-RO"/>
        </w:rPr>
      </w:pPr>
      <w:r>
        <w:rPr>
          <w:sz w:val="20"/>
          <w:szCs w:val="20"/>
          <w:lang w:val="ro-RO"/>
        </w:rPr>
        <w:t>la terminarea lucrarilor de trasare se va întocmi un proces verbal de trasare, semnat si de topometrist.</w:t>
      </w:r>
    </w:p>
    <w:p>
      <w:pPr>
        <w:rPr>
          <w:sz w:val="20"/>
          <w:szCs w:val="20"/>
          <w:lang w:val="ro-RO"/>
        </w:rPr>
      </w:pPr>
      <w:r>
        <w:rPr>
          <w:sz w:val="20"/>
          <w:szCs w:val="20"/>
          <w:lang w:val="ro-RO"/>
        </w:rPr>
        <w:t>La executarea săpăturilor se vor avea în vedere urmatoarele:</w:t>
      </w:r>
    </w:p>
    <w:p>
      <w:pPr>
        <w:pStyle w:val="ListParagraph"/>
        <w:numPr>
          <w:ilvl w:val="0"/>
          <w:numId w:val="13"/>
        </w:numPr>
        <w:rPr>
          <w:sz w:val="20"/>
          <w:szCs w:val="20"/>
          <w:lang w:val="ro-RO"/>
        </w:rPr>
      </w:pPr>
      <w:r>
        <w:rPr>
          <w:sz w:val="20"/>
          <w:szCs w:val="20"/>
          <w:lang w:val="ro-RO"/>
        </w:rPr>
        <w:t>sa se mentina echilibrul natural al terenului în jurul gropii, pentru a nu periclita stabilitatea constructiilor învecinate.</w:t>
      </w:r>
    </w:p>
    <w:p>
      <w:pPr>
        <w:pStyle w:val="ListParagraph"/>
        <w:numPr>
          <w:ilvl w:val="0"/>
          <w:numId w:val="13"/>
        </w:numPr>
        <w:rPr>
          <w:sz w:val="20"/>
          <w:szCs w:val="20"/>
          <w:lang w:val="ro-RO"/>
        </w:rPr>
      </w:pPr>
      <w:r>
        <w:rPr>
          <w:sz w:val="20"/>
          <w:szCs w:val="20"/>
          <w:lang w:val="ro-RO"/>
        </w:rPr>
        <w:t>sa se asigure securitatea muncii în timpul executiei lucrarilor - se vor realiza drenurile conform proiectului de executie.</w:t>
      </w:r>
    </w:p>
    <w:p>
      <w:pPr>
        <w:pStyle w:val="ListParagraph"/>
        <w:numPr>
          <w:ilvl w:val="0"/>
          <w:numId w:val="13"/>
        </w:numPr>
        <w:rPr>
          <w:sz w:val="20"/>
          <w:szCs w:val="20"/>
          <w:lang w:val="ro-RO"/>
        </w:rPr>
      </w:pPr>
      <w:r>
        <w:rPr>
          <w:sz w:val="20"/>
          <w:szCs w:val="20"/>
          <w:lang w:val="ro-RO"/>
        </w:rPr>
        <w:t>se va asigura executarea fundatiilor, începând cu cele situate la o adâncime mai mare.</w:t>
      </w:r>
    </w:p>
    <w:p>
      <w:pPr>
        <w:pStyle w:val="ListParagraph"/>
        <w:numPr>
          <w:ilvl w:val="0"/>
          <w:numId w:val="13"/>
        </w:numPr>
        <w:rPr>
          <w:sz w:val="20"/>
          <w:szCs w:val="20"/>
          <w:lang w:val="ro-RO"/>
        </w:rPr>
      </w:pPr>
      <w:r>
        <w:rPr>
          <w:sz w:val="20"/>
          <w:szCs w:val="20"/>
          <w:lang w:val="ro-RO"/>
        </w:rPr>
        <w:t>se vor asigura pante pentru scurgerea apei pe fundul sapaturii.</w:t>
      </w:r>
    </w:p>
    <w:p>
      <w:pPr>
        <w:pStyle w:val="ListParagraph"/>
        <w:numPr>
          <w:ilvl w:val="0"/>
          <w:numId w:val="13"/>
        </w:numPr>
        <w:rPr>
          <w:sz w:val="20"/>
          <w:szCs w:val="20"/>
          <w:lang w:val="ro-RO"/>
        </w:rPr>
      </w:pPr>
      <w:r>
        <w:rPr>
          <w:sz w:val="20"/>
          <w:szCs w:val="20"/>
          <w:lang w:val="ro-RO"/>
        </w:rPr>
        <w:t>daca în timpul sapaturii se gasesc retele subterane, trebuie luate masuri de protecţie a lor si anuntare a celor ce le exploateaza pentru obtinerea aprobarii si a asistentei tehnice prin reprezentantul autorizat, pentru continuarea lucrarilor.</w:t>
      </w:r>
    </w:p>
    <w:p>
      <w:pPr>
        <w:pStyle w:val="ListParagraph"/>
        <w:numPr>
          <w:ilvl w:val="0"/>
          <w:numId w:val="16"/>
        </w:numPr>
        <w:tabs>
          <w:tab w:val="left" w:pos="1340"/>
        </w:tabs>
        <w:ind w:left="284"/>
        <w:rPr>
          <w:b/>
          <w:sz w:val="20"/>
          <w:szCs w:val="20"/>
          <w:lang w:val="ro-RO"/>
        </w:rPr>
      </w:pPr>
      <w:r>
        <w:rPr>
          <w:b/>
          <w:sz w:val="20"/>
          <w:szCs w:val="20"/>
          <w:lang w:val="ro-RO"/>
        </w:rPr>
        <w:t>Executarea săpăturilor deasupra nivelului apelor subterane</w:t>
      </w:r>
    </w:p>
    <w:p>
      <w:pPr>
        <w:tabs>
          <w:tab w:val="left" w:pos="1340"/>
        </w:tabs>
        <w:rPr>
          <w:sz w:val="20"/>
          <w:szCs w:val="20"/>
          <w:lang w:val="ro-RO"/>
        </w:rPr>
      </w:pPr>
      <w:r>
        <w:rPr>
          <w:sz w:val="20"/>
          <w:szCs w:val="20"/>
          <w:lang w:val="ro-RO"/>
        </w:rPr>
        <w:t>Săpătura cu pereţi verticali nesprijinite se poate face în pământuri coezive atunci când:</w:t>
      </w:r>
    </w:p>
    <w:p>
      <w:pPr>
        <w:pStyle w:val="ListParagraph"/>
        <w:numPr>
          <w:ilvl w:val="0"/>
          <w:numId w:val="13"/>
        </w:numPr>
        <w:tabs>
          <w:tab w:val="left" w:pos="1340"/>
        </w:tabs>
        <w:rPr>
          <w:sz w:val="20"/>
          <w:szCs w:val="20"/>
          <w:lang w:val="ro-RO"/>
        </w:rPr>
      </w:pPr>
      <w:r>
        <w:rPr>
          <w:sz w:val="20"/>
          <w:szCs w:val="20"/>
          <w:lang w:val="ro-RO"/>
        </w:rPr>
        <w:t>pământul este uscat si de consistenta tare sau plastic-vâscoasa si sunt asigurate condiţii ca aceste caracteristici sa nu se modifice, înlăturându-se rapid apele de suprafaţa sau provenite accidental;</w:t>
      </w:r>
    </w:p>
    <w:p>
      <w:pPr>
        <w:pStyle w:val="ListParagraph"/>
        <w:numPr>
          <w:ilvl w:val="0"/>
          <w:numId w:val="13"/>
        </w:numPr>
        <w:tabs>
          <w:tab w:val="left" w:pos="1340"/>
        </w:tabs>
        <w:rPr>
          <w:sz w:val="20"/>
          <w:szCs w:val="20"/>
          <w:lang w:val="ro-RO"/>
        </w:rPr>
      </w:pPr>
      <w:r>
        <w:rPr>
          <w:sz w:val="20"/>
          <w:szCs w:val="20"/>
          <w:lang w:val="ro-RO"/>
        </w:rPr>
        <w:t>sapatura sa ramâna deschisa un timp cât mai scurt si sa fie tinuta sub o permanenta observatie;</w:t>
      </w:r>
    </w:p>
    <w:p>
      <w:pPr>
        <w:pStyle w:val="ListParagraph"/>
        <w:numPr>
          <w:ilvl w:val="0"/>
          <w:numId w:val="13"/>
        </w:numPr>
        <w:tabs>
          <w:tab w:val="left" w:pos="1340"/>
        </w:tabs>
        <w:rPr>
          <w:sz w:val="20"/>
          <w:szCs w:val="20"/>
          <w:lang w:val="ro-RO"/>
        </w:rPr>
      </w:pPr>
      <w:r>
        <w:rPr>
          <w:sz w:val="20"/>
          <w:szCs w:val="20"/>
          <w:lang w:val="ro-RO"/>
        </w:rPr>
        <w:t>adâncimea sapaturii sa nu fie mai mare de 0,75 m in cazul pamânturilor prafoase sau de coeziune redusa; 1.25 m in cazul argilelor nisipoase si prafoase care se sapa cu cazmaua si 2.0 m în cazul argilelor si pamânturilor tari care se sapa cu târnacopul;</w:t>
      </w:r>
    </w:p>
    <w:p>
      <w:pPr>
        <w:pStyle w:val="ListParagraph"/>
        <w:numPr>
          <w:ilvl w:val="0"/>
          <w:numId w:val="13"/>
        </w:numPr>
        <w:tabs>
          <w:tab w:val="left" w:pos="1340"/>
        </w:tabs>
        <w:rPr>
          <w:sz w:val="20"/>
          <w:szCs w:val="20"/>
          <w:lang w:val="ro-RO"/>
        </w:rPr>
      </w:pPr>
      <w:r>
        <w:rPr>
          <w:sz w:val="20"/>
          <w:szCs w:val="20"/>
          <w:lang w:val="ro-RO"/>
        </w:rPr>
        <w:t>terenul în jurul săpăturii sa nu fie încarcat si sa nu sufere vibratii;</w:t>
      </w:r>
    </w:p>
    <w:p>
      <w:pPr>
        <w:pStyle w:val="ListParagraph"/>
        <w:numPr>
          <w:ilvl w:val="0"/>
          <w:numId w:val="13"/>
        </w:numPr>
        <w:tabs>
          <w:tab w:val="left" w:pos="1340"/>
        </w:tabs>
        <w:rPr>
          <w:sz w:val="20"/>
          <w:szCs w:val="20"/>
          <w:lang w:val="ro-RO"/>
        </w:rPr>
      </w:pPr>
      <w:r>
        <w:rPr>
          <w:sz w:val="20"/>
          <w:szCs w:val="20"/>
          <w:lang w:val="ro-RO"/>
        </w:rPr>
        <w:t>pământul rezultat din săpătura sa nu fie depozitat la o distanta mai mica de 1 m de la marginea săpăturii.</w:t>
      </w:r>
    </w:p>
    <w:p>
      <w:pPr>
        <w:tabs>
          <w:tab w:val="left" w:pos="1340"/>
        </w:tabs>
        <w:rPr>
          <w:sz w:val="20"/>
          <w:szCs w:val="20"/>
          <w:lang w:val="ro-RO"/>
        </w:rPr>
      </w:pPr>
      <w:r>
        <w:rPr>
          <w:sz w:val="20"/>
          <w:szCs w:val="20"/>
          <w:lang w:val="ro-RO"/>
        </w:rPr>
        <w:t>Daca groapa rămâne mai mult timp deschisa sau daca apar fisuri, se vor executa sprijiniri sau se va efectua taluzarea.</w:t>
      </w:r>
    </w:p>
    <w:p>
      <w:pPr>
        <w:tabs>
          <w:tab w:val="left" w:pos="1340"/>
        </w:tabs>
        <w:rPr>
          <w:sz w:val="20"/>
          <w:szCs w:val="20"/>
          <w:lang w:val="ro-RO"/>
        </w:rPr>
      </w:pPr>
      <w:r>
        <w:rPr>
          <w:sz w:val="20"/>
          <w:szCs w:val="20"/>
          <w:lang w:val="ro-RO"/>
        </w:rPr>
        <w:t>Săpături cu pereţi în taluz nesprijiniţi se executa dacă:</w:t>
      </w:r>
    </w:p>
    <w:p>
      <w:pPr>
        <w:pStyle w:val="ListParagraph"/>
        <w:numPr>
          <w:ilvl w:val="0"/>
          <w:numId w:val="13"/>
        </w:numPr>
        <w:tabs>
          <w:tab w:val="left" w:pos="1340"/>
        </w:tabs>
        <w:rPr>
          <w:sz w:val="20"/>
          <w:szCs w:val="20"/>
          <w:lang w:val="ro-RO"/>
        </w:rPr>
      </w:pPr>
      <w:r>
        <w:rPr>
          <w:sz w:val="20"/>
          <w:szCs w:val="20"/>
          <w:lang w:val="ro-RO"/>
        </w:rPr>
        <w:t>pământul are umiditate naturala redusa 12 -18 ( si nu exista riscul creşterii acesteia în timp);</w:t>
      </w:r>
    </w:p>
    <w:p>
      <w:pPr>
        <w:pStyle w:val="ListParagraph"/>
        <w:numPr>
          <w:ilvl w:val="0"/>
          <w:numId w:val="13"/>
        </w:numPr>
        <w:tabs>
          <w:tab w:val="left" w:pos="1340"/>
        </w:tabs>
        <w:rPr>
          <w:sz w:val="20"/>
          <w:szCs w:val="20"/>
          <w:lang w:val="ro-RO"/>
        </w:rPr>
      </w:pPr>
      <w:r>
        <w:rPr>
          <w:sz w:val="20"/>
          <w:szCs w:val="20"/>
          <w:lang w:val="ro-RO"/>
        </w:rPr>
        <w:t>săpătura nu sta deschisă mult timp;</w:t>
      </w:r>
    </w:p>
    <w:p>
      <w:pPr>
        <w:pStyle w:val="ListParagraph"/>
        <w:numPr>
          <w:ilvl w:val="0"/>
          <w:numId w:val="13"/>
        </w:numPr>
        <w:tabs>
          <w:tab w:val="left" w:pos="1340"/>
        </w:tabs>
        <w:rPr>
          <w:sz w:val="20"/>
          <w:szCs w:val="20"/>
          <w:lang w:val="ro-RO"/>
        </w:rPr>
      </w:pPr>
      <w:r>
        <w:rPr>
          <w:sz w:val="20"/>
          <w:szCs w:val="20"/>
          <w:lang w:val="ro-RO"/>
        </w:rPr>
        <w:t>malul nu este încărcat cu depozite de pământuri rezultate din săpături sau cu materiale. Luând in considerare uneltele cu care se executa săpătura, înclinarea taluzului nu poate depăşi:</w:t>
      </w:r>
    </w:p>
    <w:p>
      <w:pPr>
        <w:tabs>
          <w:tab w:val="left" w:pos="1340"/>
        </w:tabs>
        <w:rPr>
          <w:sz w:val="20"/>
          <w:szCs w:val="20"/>
          <w:lang w:val="ro-RO"/>
        </w:rPr>
      </w:pPr>
      <w:r>
        <w:rPr>
          <w:sz w:val="20"/>
          <w:szCs w:val="20"/>
          <w:lang w:val="ro-RO"/>
        </w:rPr>
        <w:t>= &gt; 45° la pământul care se sapa cu lopata</w:t>
      </w:r>
    </w:p>
    <w:p>
      <w:pPr>
        <w:tabs>
          <w:tab w:val="left" w:pos="1340"/>
        </w:tabs>
        <w:rPr>
          <w:sz w:val="20"/>
          <w:szCs w:val="20"/>
          <w:lang w:val="ro-RO"/>
        </w:rPr>
      </w:pPr>
      <w:r>
        <w:rPr>
          <w:sz w:val="20"/>
          <w:szCs w:val="20"/>
          <w:lang w:val="ro-RO"/>
        </w:rPr>
        <w:t>= &gt; 60° la pământul care se sapa cu cazmaua sau cu târnacopul.</w:t>
      </w:r>
    </w:p>
    <w:p>
      <w:pPr>
        <w:tabs>
          <w:tab w:val="left" w:pos="1340"/>
        </w:tabs>
        <w:rPr>
          <w:sz w:val="20"/>
          <w:szCs w:val="20"/>
          <w:lang w:val="ro-RO"/>
        </w:rPr>
      </w:pPr>
      <w:r>
        <w:rPr>
          <w:sz w:val="20"/>
          <w:szCs w:val="20"/>
          <w:lang w:val="ro-RO"/>
        </w:rPr>
        <w:lastRenderedPageBreak/>
        <w:t>Daca săpăturile executate cu sculele indicate mai sus depăşesc adâncimea de 2 m, taluzul trebuie executat în trepte.</w:t>
      </w:r>
    </w:p>
    <w:p>
      <w:pPr>
        <w:tabs>
          <w:tab w:val="left" w:pos="1340"/>
        </w:tabs>
        <w:rPr>
          <w:sz w:val="20"/>
          <w:szCs w:val="20"/>
          <w:lang w:val="ro-RO"/>
        </w:rPr>
      </w:pPr>
      <w:r>
        <w:rPr>
          <w:sz w:val="20"/>
          <w:szCs w:val="20"/>
          <w:lang w:val="ro-RO"/>
        </w:rPr>
        <w:t>Săpături cu pereţi sprijiniţi se executa atunci când, datorita naturii terenului, a adâncimii săpăturii, nu se poate executa nici unul din tipurile de sapaturi menţionate anterior.</w:t>
      </w:r>
    </w:p>
    <w:p>
      <w:pPr>
        <w:rPr>
          <w:sz w:val="20"/>
          <w:szCs w:val="20"/>
          <w:lang w:val="ro-RO"/>
        </w:rPr>
      </w:pPr>
      <w:r>
        <w:rPr>
          <w:sz w:val="20"/>
          <w:szCs w:val="20"/>
          <w:lang w:val="ro-RO"/>
        </w:rPr>
        <w:t>Sprijinirea pereţilor se poate face in spatii înguste sau spatii largi, cu elemente orizontale si elemente verticale.</w:t>
      </w:r>
    </w:p>
    <w:p>
      <w:pPr>
        <w:rPr>
          <w:sz w:val="20"/>
          <w:szCs w:val="20"/>
          <w:lang w:val="ro-RO"/>
        </w:rPr>
      </w:pPr>
      <w:r>
        <w:rPr>
          <w:sz w:val="20"/>
          <w:szCs w:val="20"/>
          <w:lang w:val="ro-RO"/>
        </w:rPr>
        <w:t>Sprijinirile orizontale se pot folosi daca terenul argilos este suficient de consistent, nu prezintă fisuri si nu este sub presiune hidrodinamica.</w:t>
      </w:r>
    </w:p>
    <w:p>
      <w:pPr>
        <w:rPr>
          <w:sz w:val="20"/>
          <w:szCs w:val="20"/>
          <w:lang w:val="ro-RO"/>
        </w:rPr>
      </w:pPr>
      <w:r>
        <w:rPr>
          <w:sz w:val="20"/>
          <w:szCs w:val="20"/>
          <w:lang w:val="ro-RO"/>
        </w:rPr>
        <w:t>In cazul executării mecanizate a săpăturilor, este necesara rectificarea manuala a malurilor. Sprijinirea pereţilor cu elemente orizontale se utilizează in cazul pământurilor argiloase sau plastic-vârtoase până la maxim 5 m, în următoarele condiţii:</w:t>
      </w:r>
    </w:p>
    <w:p>
      <w:pPr>
        <w:pStyle w:val="ListParagraph"/>
        <w:numPr>
          <w:ilvl w:val="0"/>
          <w:numId w:val="13"/>
        </w:numPr>
        <w:rPr>
          <w:sz w:val="20"/>
          <w:szCs w:val="20"/>
          <w:lang w:val="ro-RO"/>
        </w:rPr>
      </w:pPr>
      <w:r>
        <w:rPr>
          <w:sz w:val="20"/>
          <w:szCs w:val="20"/>
          <w:lang w:val="ro-RO"/>
        </w:rPr>
        <w:t>pamânturi argiloase compacte sau plastic-vârtoase pâna la maxim 3 m;</w:t>
      </w:r>
    </w:p>
    <w:p>
      <w:pPr>
        <w:pStyle w:val="ListParagraph"/>
        <w:numPr>
          <w:ilvl w:val="0"/>
          <w:numId w:val="13"/>
        </w:numPr>
        <w:rPr>
          <w:sz w:val="20"/>
          <w:szCs w:val="20"/>
          <w:lang w:val="ro-RO"/>
        </w:rPr>
      </w:pPr>
      <w:r>
        <w:rPr>
          <w:sz w:val="20"/>
          <w:szCs w:val="20"/>
          <w:lang w:val="ro-RO"/>
        </w:rPr>
        <w:t>pamânturi argiloase cu mici infiltratii de apa între 3 si 5 m;</w:t>
      </w:r>
    </w:p>
    <w:p>
      <w:pPr>
        <w:pStyle w:val="ListParagraph"/>
        <w:numPr>
          <w:ilvl w:val="0"/>
          <w:numId w:val="13"/>
        </w:numPr>
        <w:rPr>
          <w:sz w:val="20"/>
          <w:szCs w:val="20"/>
          <w:lang w:val="ro-RO"/>
        </w:rPr>
      </w:pPr>
      <w:r>
        <w:rPr>
          <w:sz w:val="20"/>
          <w:szCs w:val="20"/>
          <w:lang w:val="ro-RO"/>
        </w:rPr>
        <w:t xml:space="preserve">pamânturi coezive sau cu infiltratii de apa pentru adâncimea sapaturii peste 3 m. </w:t>
      </w:r>
    </w:p>
    <w:p>
      <w:pPr>
        <w:rPr>
          <w:sz w:val="20"/>
          <w:szCs w:val="20"/>
          <w:lang w:val="ro-RO"/>
        </w:rPr>
      </w:pPr>
      <w:r>
        <w:rPr>
          <w:sz w:val="20"/>
          <w:szCs w:val="20"/>
          <w:lang w:val="ro-RO"/>
        </w:rPr>
        <w:t>La executarea sapaturilor sprijinite cu elemente verticale trebuie luate urmatoarele masuri:</w:t>
      </w:r>
    </w:p>
    <w:p>
      <w:pPr>
        <w:pStyle w:val="ListParagraph"/>
        <w:numPr>
          <w:ilvl w:val="0"/>
          <w:numId w:val="13"/>
        </w:numPr>
        <w:rPr>
          <w:sz w:val="20"/>
          <w:szCs w:val="20"/>
          <w:lang w:val="ro-RO"/>
        </w:rPr>
      </w:pPr>
      <w:r>
        <w:rPr>
          <w:sz w:val="20"/>
          <w:szCs w:val="20"/>
          <w:lang w:val="ro-RO"/>
        </w:rPr>
        <w:t>în terenuri coezive, baterea elementelor verticale trebuie sa urmeze de aproape sapatura de fundatie, cu atat mai mult cu cat terenul are o coeziune mai redusă;</w:t>
      </w:r>
    </w:p>
    <w:p>
      <w:pPr>
        <w:pStyle w:val="ListParagraph"/>
        <w:numPr>
          <w:ilvl w:val="0"/>
          <w:numId w:val="13"/>
        </w:numPr>
        <w:rPr>
          <w:sz w:val="20"/>
          <w:szCs w:val="20"/>
          <w:lang w:val="ro-RO"/>
        </w:rPr>
      </w:pPr>
      <w:r>
        <w:rPr>
          <w:sz w:val="20"/>
          <w:szCs w:val="20"/>
          <w:lang w:val="ro-RO"/>
        </w:rPr>
        <w:t>în terenurile fara coeziune elementele se bat treptat fara pamant, inainte de executarea sapaturii;</w:t>
      </w:r>
    </w:p>
    <w:p>
      <w:pPr>
        <w:pStyle w:val="ListParagraph"/>
        <w:numPr>
          <w:ilvl w:val="0"/>
          <w:numId w:val="13"/>
        </w:numPr>
        <w:rPr>
          <w:sz w:val="20"/>
          <w:szCs w:val="20"/>
          <w:lang w:val="ro-RO"/>
        </w:rPr>
      </w:pPr>
      <w:r>
        <w:rPr>
          <w:sz w:val="20"/>
          <w:szCs w:val="20"/>
          <w:lang w:val="ro-RO"/>
        </w:rPr>
        <w:t>cadrele de susţinere trebuie sa fie bine ajustate după profilul gropii si împănate, pentru a se asigura sprijinirea peretilor fara a permite deplasarea pământului.</w:t>
      </w:r>
    </w:p>
    <w:p>
      <w:pPr>
        <w:rPr>
          <w:sz w:val="20"/>
          <w:szCs w:val="20"/>
          <w:lang w:val="ro-RO"/>
        </w:rPr>
      </w:pPr>
      <w:r>
        <w:rPr>
          <w:sz w:val="20"/>
          <w:szCs w:val="20"/>
          <w:lang w:val="ro-RO"/>
        </w:rPr>
        <w:t>Se poate adopta si solutia de executie a sapaturilor sprijinite la partea inferioara a saparurii, atunci când conditiile locale impun acest lucru (latimea zonei ce poate fi afectata de executia sapaturii sau când este necesar din punct de vedere economic).</w:t>
      </w:r>
    </w:p>
    <w:p>
      <w:pPr>
        <w:pStyle w:val="ListParagraph"/>
        <w:numPr>
          <w:ilvl w:val="0"/>
          <w:numId w:val="16"/>
        </w:numPr>
        <w:ind w:left="284"/>
        <w:rPr>
          <w:b/>
          <w:sz w:val="20"/>
          <w:szCs w:val="20"/>
          <w:lang w:val="ro-RO"/>
        </w:rPr>
      </w:pPr>
      <w:r>
        <w:rPr>
          <w:b/>
          <w:sz w:val="20"/>
          <w:szCs w:val="20"/>
          <w:lang w:val="ro-RO"/>
        </w:rPr>
        <w:t>Executarea săpaturilor sub nivelul apelor subterane sau în terenuri cu infiltratii puternice de apa</w:t>
      </w:r>
    </w:p>
    <w:p>
      <w:pPr>
        <w:rPr>
          <w:sz w:val="20"/>
          <w:szCs w:val="20"/>
          <w:lang w:val="ro-RO"/>
        </w:rPr>
      </w:pPr>
      <w:r>
        <w:rPr>
          <w:sz w:val="20"/>
          <w:szCs w:val="20"/>
          <w:lang w:val="ro-RO"/>
        </w:rPr>
        <w:t>Pentru a se realiza sapatura, se fac epuismente directe sau epuismente indirecte. Epuismente directe = pomparea directa a apei din groapa de fundatie când diferenta de nivel între nivelul apei subterane si fundul gropii este mic (nu este un strat permeabil sub presiune, care sa pericliteze sapatura). Epuismente indirecte = se realizeaza santuri de drenaj de adâncime maxima 0.5 - 1 m pe trasee care sa nu deranjeze executia sapaturii fundatiei si se dirijeaza spre puturi colectoare de unde se evacueaza apa. Este recomandabil sa se utilizeze pompe cu debite mici.</w:t>
      </w:r>
    </w:p>
    <w:p>
      <w:pPr>
        <w:rPr>
          <w:sz w:val="20"/>
          <w:szCs w:val="20"/>
          <w:lang w:val="ro-RO"/>
        </w:rPr>
      </w:pPr>
      <w:r>
        <w:rPr>
          <w:sz w:val="20"/>
          <w:szCs w:val="20"/>
          <w:lang w:val="ro-RO"/>
        </w:rPr>
        <w:t>La executarea sapaturilor cu epuismente, trebuie realizate urmatoarele faze:</w:t>
      </w:r>
    </w:p>
    <w:p>
      <w:pPr>
        <w:pStyle w:val="ListParagraph"/>
        <w:numPr>
          <w:ilvl w:val="0"/>
          <w:numId w:val="13"/>
        </w:numPr>
        <w:rPr>
          <w:sz w:val="20"/>
          <w:szCs w:val="20"/>
          <w:lang w:val="ro-RO"/>
        </w:rPr>
      </w:pPr>
      <w:r>
        <w:rPr>
          <w:sz w:val="20"/>
          <w:szCs w:val="20"/>
          <w:lang w:val="ro-RO"/>
        </w:rPr>
        <w:t>colectarea apelor intr-un spatiu restrans (puturi de colectare), in vederea evacuarii lor, care se realizeaza prin santuri deschise, captusite cu dale de piatra sau prin executarea de drenuri;</w:t>
      </w:r>
    </w:p>
    <w:p>
      <w:pPr>
        <w:pStyle w:val="ListParagraph"/>
        <w:numPr>
          <w:ilvl w:val="0"/>
          <w:numId w:val="13"/>
        </w:numPr>
        <w:rPr>
          <w:sz w:val="20"/>
          <w:szCs w:val="20"/>
          <w:lang w:val="ro-RO"/>
        </w:rPr>
      </w:pPr>
      <w:r>
        <w:rPr>
          <w:sz w:val="20"/>
          <w:szCs w:val="20"/>
          <w:lang w:val="ro-RO"/>
        </w:rPr>
        <w:t>evacuarea apelor din groapa de fundatie, cu asigurarea unei functionari continue a instalatiei de pompare.</w:t>
      </w:r>
    </w:p>
    <w:p>
      <w:pPr>
        <w:rPr>
          <w:sz w:val="20"/>
          <w:szCs w:val="20"/>
          <w:lang w:val="ro-RO"/>
        </w:rPr>
      </w:pPr>
      <w:r>
        <w:rPr>
          <w:sz w:val="20"/>
          <w:szCs w:val="20"/>
          <w:lang w:val="ro-RO"/>
        </w:rPr>
        <w:t>Apa pompata din sapatura de fundatie trebuie evacuata cat mai departe, pentru a nu se infiltra din nou in groapa de fundatie.</w:t>
      </w:r>
    </w:p>
    <w:p>
      <w:pPr>
        <w:rPr>
          <w:sz w:val="20"/>
          <w:szCs w:val="20"/>
          <w:lang w:val="ro-RO"/>
        </w:rPr>
      </w:pPr>
      <w:r>
        <w:rPr>
          <w:sz w:val="20"/>
          <w:szCs w:val="20"/>
          <w:lang w:val="ro-RO"/>
        </w:rPr>
        <w:t>Fundul sapaturii de fundatie trebuie sa fie prelucrat ingrijit, in vederea executarii talpii fundatiei. Finisarea sapaturii (saparea ultimului strat) trebuie facuta imediat inainte de inceperea executiei corpului fundatiei.</w:t>
      </w:r>
    </w:p>
    <w:p>
      <w:pPr>
        <w:rPr>
          <w:sz w:val="20"/>
          <w:szCs w:val="20"/>
          <w:lang w:val="ro-RO"/>
        </w:rPr>
      </w:pPr>
      <w:r>
        <w:rPr>
          <w:sz w:val="20"/>
          <w:szCs w:val="20"/>
          <w:lang w:val="ro-RO"/>
        </w:rPr>
        <w:t>Pentru a se asigura o buna executie a fundatiilor, fundul gropii trebuie pregatit in modul urmator:</w:t>
      </w:r>
    </w:p>
    <w:p>
      <w:pPr>
        <w:pStyle w:val="ListParagraph"/>
        <w:numPr>
          <w:ilvl w:val="0"/>
          <w:numId w:val="13"/>
        </w:numPr>
        <w:rPr>
          <w:sz w:val="20"/>
          <w:szCs w:val="20"/>
          <w:lang w:val="ro-RO"/>
        </w:rPr>
      </w:pPr>
      <w:r>
        <w:rPr>
          <w:sz w:val="20"/>
          <w:szCs w:val="20"/>
          <w:lang w:val="ro-RO"/>
        </w:rPr>
        <w:t>daca pe fundul gropii apar sub cota de fundare crapaturi in teren, hotararea asupra masurilor necesare se va lua impreuna cu proiectantul, in functie de cauzele care au produs crapaturile si dimensiunile acestora,</w:t>
      </w:r>
    </w:p>
    <w:p>
      <w:pPr>
        <w:pStyle w:val="ListParagraph"/>
        <w:numPr>
          <w:ilvl w:val="0"/>
          <w:numId w:val="13"/>
        </w:numPr>
        <w:rPr>
          <w:sz w:val="20"/>
          <w:szCs w:val="20"/>
          <w:lang w:val="ro-RO"/>
        </w:rPr>
      </w:pPr>
      <w:r>
        <w:rPr>
          <w:sz w:val="20"/>
          <w:szCs w:val="20"/>
          <w:lang w:val="ro-RO"/>
        </w:rPr>
        <w:t xml:space="preserve">in cazul unei umeziri superficiale datorita precipitatiilor atmosferice neprevazute, fundul gropii de fundatie trebuie lasat sa se zvante inainte de inceperea lucrărilor la </w:t>
      </w:r>
      <w:r>
        <w:rPr>
          <w:sz w:val="20"/>
          <w:szCs w:val="20"/>
          <w:lang w:val="ro-RO"/>
        </w:rPr>
        <w:lastRenderedPageBreak/>
        <w:t>fundatia propriu-zisa, iar daca umezirea este puternica, se va indeparta stratul de noroi,</w:t>
      </w:r>
    </w:p>
    <w:p>
      <w:pPr>
        <w:pStyle w:val="ListParagraph"/>
        <w:numPr>
          <w:ilvl w:val="0"/>
          <w:numId w:val="13"/>
        </w:numPr>
        <w:rPr>
          <w:sz w:val="20"/>
          <w:szCs w:val="20"/>
          <w:lang w:val="ro-RO"/>
        </w:rPr>
      </w:pPr>
      <w:r>
        <w:rPr>
          <w:sz w:val="20"/>
          <w:szCs w:val="20"/>
          <w:lang w:val="ro-RO"/>
        </w:rPr>
        <w:t>in cazul pamanturilor sensibile la umezire, este indicat sa se ia in considerare acoperirea sapaturilor cu folie de polietilena.</w:t>
      </w:r>
    </w:p>
    <w:p>
      <w:pPr>
        <w:pStyle w:val="ListParagraph"/>
        <w:numPr>
          <w:ilvl w:val="0"/>
          <w:numId w:val="16"/>
        </w:numPr>
        <w:ind w:left="284"/>
        <w:rPr>
          <w:b/>
          <w:sz w:val="20"/>
          <w:szCs w:val="20"/>
          <w:lang w:val="ro-RO"/>
        </w:rPr>
      </w:pPr>
      <w:r>
        <w:rPr>
          <w:b/>
          <w:sz w:val="20"/>
          <w:szCs w:val="20"/>
          <w:lang w:val="ro-RO"/>
        </w:rPr>
        <w:t>Executarea lucrărilor de terasamente pe timp friguros</w:t>
      </w:r>
    </w:p>
    <w:p>
      <w:pPr>
        <w:rPr>
          <w:sz w:val="20"/>
          <w:szCs w:val="20"/>
          <w:lang w:val="ro-RO"/>
        </w:rPr>
      </w:pPr>
      <w:r>
        <w:rPr>
          <w:sz w:val="20"/>
          <w:szCs w:val="20"/>
          <w:lang w:val="ro-RO"/>
        </w:rPr>
        <w:t>La executarea lucrărilor de terasamente pe timp friguros, este obligatorie respectarea masurilor generale si a celor specifice lucrărilor de pământ, prevăzute in C16/ 84 - Normativul pentru realizarea pe timp friguros a lucrărilor de construcţii si a instalaţiilor aferente.</w:t>
      </w:r>
    </w:p>
    <w:p>
      <w:pPr>
        <w:pStyle w:val="ListParagraph"/>
        <w:numPr>
          <w:ilvl w:val="0"/>
          <w:numId w:val="16"/>
        </w:numPr>
        <w:ind w:left="284"/>
        <w:rPr>
          <w:b/>
          <w:sz w:val="20"/>
          <w:szCs w:val="20"/>
          <w:lang w:val="ro-RO"/>
        </w:rPr>
      </w:pPr>
      <w:r>
        <w:rPr>
          <w:b/>
          <w:sz w:val="20"/>
          <w:szCs w:val="20"/>
          <w:lang w:val="ro-RO"/>
        </w:rPr>
        <w:t>Recepţionarea lucrărilor de terasamente</w:t>
      </w:r>
    </w:p>
    <w:p>
      <w:pPr>
        <w:rPr>
          <w:sz w:val="20"/>
          <w:szCs w:val="20"/>
          <w:lang w:val="ro-RO"/>
        </w:rPr>
      </w:pPr>
      <w:r>
        <w:rPr>
          <w:sz w:val="20"/>
          <w:szCs w:val="20"/>
          <w:lang w:val="ro-RO"/>
        </w:rPr>
        <w:t>Ca operatiuni specifice la receptionarea lucrarilor de terasamente, se vor controla procesele verbale de lucrari ascunse precum si documentatia de santier privind:</w:t>
      </w:r>
    </w:p>
    <w:p>
      <w:pPr>
        <w:pStyle w:val="ListParagraph"/>
        <w:numPr>
          <w:ilvl w:val="0"/>
          <w:numId w:val="13"/>
        </w:numPr>
        <w:rPr>
          <w:sz w:val="20"/>
          <w:szCs w:val="20"/>
          <w:lang w:val="ro-RO"/>
        </w:rPr>
      </w:pPr>
      <w:r>
        <w:rPr>
          <w:sz w:val="20"/>
          <w:szCs w:val="20"/>
          <w:lang w:val="ro-RO"/>
        </w:rPr>
        <w:t>Amplasamentele exacte ale puturilor de colectare a apelor rezultate din drenarea terenului, controlandu-se cu atentie ca aceste lucrari sa nu fi fost executate sub talpa fundatiilor constructiei, a unor masini sau instalatii grele etc.</w:t>
      </w:r>
    </w:p>
    <w:p>
      <w:pPr>
        <w:pStyle w:val="ListParagraph"/>
        <w:numPr>
          <w:ilvl w:val="0"/>
          <w:numId w:val="13"/>
        </w:numPr>
        <w:rPr>
          <w:sz w:val="20"/>
          <w:szCs w:val="20"/>
          <w:lang w:val="ro-RO"/>
        </w:rPr>
      </w:pPr>
      <w:r>
        <w:rPr>
          <w:sz w:val="20"/>
          <w:szCs w:val="20"/>
          <w:lang w:val="ro-RO"/>
        </w:rPr>
        <w:t>Pentru cazul sapaturilor executate in pamantul situat sub nivelul apelor subterane sau cu infiltratii puternice de apa, se va preciza cota la care s-a reusit a se coborî nivelul apelor subterane prin construirea drenurilor acoperite, care urmeaza a se mentine si dupa terminarea lucrarilor de fundatii</w:t>
      </w:r>
    </w:p>
    <w:p>
      <w:pPr>
        <w:pStyle w:val="ListParagraph"/>
        <w:numPr>
          <w:ilvl w:val="0"/>
          <w:numId w:val="13"/>
        </w:numPr>
        <w:rPr>
          <w:sz w:val="20"/>
          <w:szCs w:val="20"/>
          <w:lang w:val="ro-RO"/>
        </w:rPr>
      </w:pPr>
      <w:r>
        <w:rPr>
          <w:sz w:val="20"/>
          <w:szCs w:val="20"/>
          <w:lang w:val="ro-RO"/>
        </w:rPr>
        <w:t>Daca s-a executat receptia drenurilor inchise inainte ca acestea să fie acoperite</w:t>
      </w:r>
    </w:p>
    <w:p>
      <w:pPr>
        <w:pStyle w:val="ListParagraph"/>
        <w:numPr>
          <w:ilvl w:val="0"/>
          <w:numId w:val="13"/>
        </w:numPr>
        <w:rPr>
          <w:sz w:val="20"/>
          <w:szCs w:val="20"/>
          <w:lang w:val="ro-RO"/>
        </w:rPr>
      </w:pPr>
      <w:r>
        <w:rPr>
          <w:sz w:val="20"/>
          <w:szCs w:val="20"/>
          <w:lang w:val="ro-RO"/>
        </w:rPr>
        <w:t>Masurile luate pentru a asigura respectarea cotei de sapare sau, atunci cand este cazul, pentru ridicarea sau coborârea acesteia, pentru pregătirea fundului săpăturii, precum si modul in care s-au remediat greşelile făcute la executarea acestor lucrări</w:t>
      </w:r>
    </w:p>
    <w:p>
      <w:pPr>
        <w:pStyle w:val="ListParagraph"/>
        <w:numPr>
          <w:ilvl w:val="0"/>
          <w:numId w:val="13"/>
        </w:numPr>
        <w:rPr>
          <w:sz w:val="20"/>
          <w:szCs w:val="20"/>
          <w:lang w:val="ro-RO"/>
        </w:rPr>
      </w:pPr>
      <w:r>
        <w:rPr>
          <w:sz w:val="20"/>
          <w:szCs w:val="20"/>
          <w:lang w:val="ro-RO"/>
        </w:rPr>
        <w:t>Masurile speciale de siguranţa luate in legătura cu executarea de săpături lângă fundaţiile unor construcţii existente.</w:t>
      </w:r>
    </w:p>
    <w:p>
      <w:pPr>
        <w:rPr>
          <w:sz w:val="20"/>
          <w:szCs w:val="20"/>
          <w:lang w:val="ro-RO"/>
        </w:rPr>
      </w:pPr>
      <w:r>
        <w:rPr>
          <w:sz w:val="20"/>
          <w:szCs w:val="20"/>
          <w:lang w:val="ro-RO"/>
        </w:rPr>
        <w:t>Recepţionarea drenurilor, a puţurilor colectoare si a căminelor de vizitare ce rămân sa funcţioneze pentru îndepărtarea apelor si după terminarea lucrărilor, se va face pe baza proceselor verbale de lucrări ascunse, iar atunci când acestea nu sunt concludente, corespondenta cu proiectul se va verifica prin sondaje, urmărindu-se totodată si modul cum funcţionează aceste lucrări.</w:t>
      </w:r>
    </w:p>
    <w:p>
      <w:pPr>
        <w:rPr>
          <w:sz w:val="20"/>
          <w:szCs w:val="20"/>
          <w:u w:val="single"/>
          <w:lang w:val="ro-RO"/>
        </w:rPr>
      </w:pPr>
      <w:r>
        <w:rPr>
          <w:sz w:val="20"/>
          <w:szCs w:val="20"/>
          <w:u w:val="single"/>
          <w:lang w:val="ro-RO"/>
        </w:rPr>
        <w:t>Personal</w:t>
      </w:r>
    </w:p>
    <w:p>
      <w:pPr>
        <w:rPr>
          <w:sz w:val="20"/>
          <w:szCs w:val="20"/>
          <w:lang w:val="ro-RO"/>
        </w:rPr>
      </w:pPr>
      <w:r>
        <w:rPr>
          <w:sz w:val="20"/>
          <w:szCs w:val="20"/>
          <w:lang w:val="ro-RO"/>
        </w:rPr>
        <w:t>Numărul personalului necesar se va stabili funcţie de volumul de lucrări, de termenele de execuţie fixate, de comun acord între beneficiar si executant.</w:t>
      </w:r>
    </w:p>
    <w:p>
      <w:pPr>
        <w:rPr>
          <w:sz w:val="20"/>
          <w:szCs w:val="20"/>
          <w:lang w:val="ro-RO"/>
        </w:rPr>
      </w:pPr>
      <w:r>
        <w:rPr>
          <w:sz w:val="20"/>
          <w:szCs w:val="20"/>
          <w:lang w:val="ro-RO"/>
        </w:rPr>
        <w:t>Antreprenorul va asigura personalul cheie conform propunerii din Ofertă şi îl va menţine pe toată durata proiectării şi execuţiei lucrărilor. Reprezentantul Antreprenorului şi personalul cheie al acestuia, vor fi menţinuţi pe toată durata implementării proiectului, cu excepţia în care Beneficiarul cere înlocuirea din motive întemeiate sau atunci când este necesară înlocuirea din alte motive independente de antreprenor (ex. Demisie din cadrul societăţii sau asocierii, incapacitate fizică, boală, desfacerea disciplinară a contractului de muncă, etc.) în cazul în care Antreprenorul nu îndeplineşte această abligaţie, Beneficiarul este îndreptăţit să perceapă penalităţi pentru fiecare persoană înlocuită.</w:t>
      </w:r>
    </w:p>
    <w:p>
      <w:pPr>
        <w:pStyle w:val="Heading3"/>
        <w:rPr>
          <w:sz w:val="20"/>
          <w:szCs w:val="20"/>
          <w:lang w:val="ro-RO"/>
        </w:rPr>
      </w:pPr>
      <w:bookmarkStart w:id="30" w:name="_Toc227161505"/>
      <w:r>
        <w:rPr>
          <w:sz w:val="20"/>
          <w:szCs w:val="20"/>
          <w:lang w:val="ro-RO"/>
        </w:rPr>
        <w:t>2.2.2 Cerinte privind lucrarile din beton</w:t>
      </w:r>
      <w:bookmarkEnd w:id="30"/>
      <w:r>
        <w:rPr>
          <w:sz w:val="20"/>
          <w:szCs w:val="20"/>
          <w:lang w:val="ro-RO"/>
        </w:rPr>
        <w:t xml:space="preserve"> </w:t>
      </w:r>
    </w:p>
    <w:p>
      <w:pPr>
        <w:pStyle w:val="Heading4"/>
        <w:rPr>
          <w:sz w:val="20"/>
          <w:szCs w:val="20"/>
          <w:lang w:val="ro-RO"/>
        </w:rPr>
      </w:pPr>
      <w:r>
        <w:rPr>
          <w:sz w:val="20"/>
          <w:szCs w:val="20"/>
          <w:lang w:val="ro-RO"/>
        </w:rPr>
        <w:t>2.2.2.1 Conditii prealabile</w:t>
      </w:r>
    </w:p>
    <w:p>
      <w:pPr>
        <w:tabs>
          <w:tab w:val="left" w:pos="1021"/>
        </w:tabs>
        <w:rPr>
          <w:sz w:val="20"/>
          <w:szCs w:val="20"/>
          <w:lang w:val="ro-RO"/>
        </w:rPr>
      </w:pPr>
      <w:r>
        <w:rPr>
          <w:sz w:val="20"/>
          <w:szCs w:val="20"/>
          <w:lang w:val="ro-RO"/>
        </w:rPr>
        <w:t>Pentru inceperea lucrarilor de betoane se va verifica existenta urmatoarelor:</w:t>
      </w:r>
    </w:p>
    <w:p>
      <w:pPr>
        <w:pStyle w:val="ListParagraph"/>
        <w:numPr>
          <w:ilvl w:val="0"/>
          <w:numId w:val="13"/>
        </w:numPr>
        <w:tabs>
          <w:tab w:val="left" w:pos="1021"/>
        </w:tabs>
        <w:rPr>
          <w:sz w:val="20"/>
          <w:szCs w:val="20"/>
          <w:lang w:val="ro-RO"/>
        </w:rPr>
      </w:pPr>
      <w:r>
        <w:rPr>
          <w:sz w:val="20"/>
          <w:szCs w:val="20"/>
          <w:lang w:val="ro-RO"/>
        </w:rPr>
        <w:t>Existenta documentaţiei de execuţie cu toate detaliile necesare, respectiv clasa betonului, tipul cimentului, permeabilitatea, granula maxima, lucrabilitatea, trasarea.</w:t>
      </w:r>
    </w:p>
    <w:p>
      <w:pPr>
        <w:pStyle w:val="ListParagraph"/>
        <w:numPr>
          <w:ilvl w:val="0"/>
          <w:numId w:val="13"/>
        </w:numPr>
        <w:tabs>
          <w:tab w:val="left" w:pos="1021"/>
        </w:tabs>
        <w:rPr>
          <w:sz w:val="20"/>
          <w:szCs w:val="20"/>
          <w:lang w:val="ro-RO"/>
        </w:rPr>
      </w:pPr>
      <w:r>
        <w:rPr>
          <w:sz w:val="20"/>
          <w:szCs w:val="20"/>
          <w:lang w:val="ro-RO"/>
        </w:rPr>
        <w:t>Existenta proceselor de verbale de receptie calitativa (a naturii terenului de fundare si cotei de fundare, a cofrajelor, a armaturii, a pieselor înglobate, a golurilor pentru instalatii).</w:t>
      </w:r>
    </w:p>
    <w:p>
      <w:pPr>
        <w:pStyle w:val="ListParagraph"/>
        <w:numPr>
          <w:ilvl w:val="0"/>
          <w:numId w:val="13"/>
        </w:numPr>
        <w:tabs>
          <w:tab w:val="left" w:pos="1021"/>
        </w:tabs>
        <w:rPr>
          <w:sz w:val="20"/>
          <w:szCs w:val="20"/>
          <w:lang w:val="ro-RO"/>
        </w:rPr>
      </w:pPr>
      <w:r>
        <w:rPr>
          <w:sz w:val="20"/>
          <w:szCs w:val="20"/>
          <w:lang w:val="ro-RO"/>
        </w:rPr>
        <w:t>Existenta utilitatilor:</w:t>
      </w:r>
    </w:p>
    <w:p>
      <w:pPr>
        <w:pStyle w:val="ListParagraph"/>
        <w:numPr>
          <w:ilvl w:val="1"/>
          <w:numId w:val="17"/>
        </w:numPr>
        <w:tabs>
          <w:tab w:val="left" w:pos="1021"/>
        </w:tabs>
        <w:rPr>
          <w:sz w:val="20"/>
          <w:szCs w:val="20"/>
          <w:lang w:val="ro-RO"/>
        </w:rPr>
      </w:pPr>
      <w:r>
        <w:rPr>
          <w:sz w:val="20"/>
          <w:szCs w:val="20"/>
          <w:lang w:val="ro-RO"/>
        </w:rPr>
        <w:t>Instalatie de forta si iluminat</w:t>
      </w:r>
    </w:p>
    <w:p>
      <w:pPr>
        <w:pStyle w:val="ListParagraph"/>
        <w:numPr>
          <w:ilvl w:val="1"/>
          <w:numId w:val="17"/>
        </w:numPr>
        <w:tabs>
          <w:tab w:val="left" w:pos="1021"/>
        </w:tabs>
        <w:rPr>
          <w:sz w:val="20"/>
          <w:szCs w:val="20"/>
          <w:lang w:val="ro-RO"/>
        </w:rPr>
      </w:pPr>
      <w:r>
        <w:rPr>
          <w:sz w:val="20"/>
          <w:szCs w:val="20"/>
          <w:lang w:val="ro-RO"/>
        </w:rPr>
        <w:t>Instalatie de apa</w:t>
      </w:r>
    </w:p>
    <w:p>
      <w:pPr>
        <w:pStyle w:val="ListParagraph"/>
        <w:numPr>
          <w:ilvl w:val="1"/>
          <w:numId w:val="17"/>
        </w:numPr>
        <w:tabs>
          <w:tab w:val="left" w:pos="1021"/>
        </w:tabs>
        <w:rPr>
          <w:sz w:val="20"/>
          <w:szCs w:val="20"/>
          <w:lang w:val="ro-RO"/>
        </w:rPr>
      </w:pPr>
      <w:r>
        <w:rPr>
          <w:sz w:val="20"/>
          <w:szCs w:val="20"/>
          <w:lang w:val="ro-RO"/>
        </w:rPr>
        <w:t>Instalatie de aer comprimat</w:t>
      </w:r>
    </w:p>
    <w:p>
      <w:pPr>
        <w:pStyle w:val="ListParagraph"/>
        <w:numPr>
          <w:ilvl w:val="1"/>
          <w:numId w:val="17"/>
        </w:numPr>
        <w:tabs>
          <w:tab w:val="left" w:pos="1021"/>
        </w:tabs>
        <w:rPr>
          <w:sz w:val="20"/>
          <w:szCs w:val="20"/>
          <w:lang w:val="ro-RO"/>
        </w:rPr>
      </w:pPr>
      <w:r>
        <w:rPr>
          <w:sz w:val="20"/>
          <w:szCs w:val="20"/>
          <w:lang w:val="ro-RO"/>
        </w:rPr>
        <w:lastRenderedPageBreak/>
        <w:t>Conditii de încalzire si protectie termica sau de mentinere a umiditatii betonului timp de 7 zile dupa turnare</w:t>
      </w:r>
    </w:p>
    <w:p>
      <w:pPr>
        <w:pStyle w:val="ListParagraph"/>
        <w:numPr>
          <w:ilvl w:val="1"/>
          <w:numId w:val="17"/>
        </w:numPr>
        <w:tabs>
          <w:tab w:val="left" w:pos="1021"/>
        </w:tabs>
        <w:rPr>
          <w:sz w:val="20"/>
          <w:szCs w:val="20"/>
          <w:lang w:val="ro-RO"/>
        </w:rPr>
      </w:pPr>
      <w:r>
        <w:rPr>
          <w:sz w:val="20"/>
          <w:szCs w:val="20"/>
          <w:lang w:val="ro-RO"/>
        </w:rPr>
        <w:t>Cai de acces la locul de turnare a betonului</w:t>
      </w:r>
    </w:p>
    <w:p>
      <w:pPr>
        <w:pStyle w:val="ListParagraph"/>
        <w:numPr>
          <w:ilvl w:val="1"/>
          <w:numId w:val="17"/>
        </w:numPr>
        <w:tabs>
          <w:tab w:val="left" w:pos="1021"/>
        </w:tabs>
        <w:rPr>
          <w:sz w:val="20"/>
          <w:szCs w:val="20"/>
          <w:lang w:val="ro-RO"/>
        </w:rPr>
      </w:pPr>
      <w:r>
        <w:rPr>
          <w:sz w:val="20"/>
          <w:szCs w:val="20"/>
          <w:lang w:val="ro-RO"/>
        </w:rPr>
        <w:t>Macarale, autopompe, în buna stare de functionare</w:t>
      </w:r>
    </w:p>
    <w:p>
      <w:pPr>
        <w:pStyle w:val="ListParagraph"/>
        <w:numPr>
          <w:ilvl w:val="1"/>
          <w:numId w:val="17"/>
        </w:numPr>
        <w:tabs>
          <w:tab w:val="left" w:pos="1021"/>
        </w:tabs>
        <w:rPr>
          <w:sz w:val="20"/>
          <w:szCs w:val="20"/>
          <w:lang w:val="ro-RO"/>
        </w:rPr>
      </w:pPr>
      <w:r>
        <w:rPr>
          <w:sz w:val="20"/>
          <w:szCs w:val="20"/>
          <w:lang w:val="ro-RO"/>
        </w:rPr>
        <w:t>Vibratoare de tip corespunzator si în numar suficient</w:t>
      </w:r>
    </w:p>
    <w:p>
      <w:pPr>
        <w:pStyle w:val="ListParagraph"/>
        <w:numPr>
          <w:ilvl w:val="1"/>
          <w:numId w:val="17"/>
        </w:numPr>
        <w:tabs>
          <w:tab w:val="left" w:pos="1021"/>
        </w:tabs>
        <w:rPr>
          <w:sz w:val="20"/>
          <w:szCs w:val="20"/>
          <w:lang w:val="ro-RO"/>
        </w:rPr>
      </w:pPr>
      <w:r>
        <w:rPr>
          <w:sz w:val="20"/>
          <w:szCs w:val="20"/>
          <w:lang w:val="ro-RO"/>
        </w:rPr>
        <w:t>Podina pentru circulatia personalului muncitor</w:t>
      </w:r>
    </w:p>
    <w:p>
      <w:pPr>
        <w:pStyle w:val="ListParagraph"/>
        <w:numPr>
          <w:ilvl w:val="1"/>
          <w:numId w:val="17"/>
        </w:numPr>
        <w:tabs>
          <w:tab w:val="left" w:pos="1021"/>
        </w:tabs>
        <w:rPr>
          <w:sz w:val="20"/>
          <w:szCs w:val="20"/>
          <w:lang w:val="ro-RO"/>
        </w:rPr>
      </w:pPr>
      <w:r>
        <w:rPr>
          <w:sz w:val="20"/>
          <w:szCs w:val="20"/>
          <w:lang w:val="ro-RO"/>
        </w:rPr>
        <w:t>Scule si echipamente</w:t>
      </w:r>
    </w:p>
    <w:p>
      <w:pPr>
        <w:pStyle w:val="ListParagraph"/>
        <w:numPr>
          <w:ilvl w:val="1"/>
          <w:numId w:val="17"/>
        </w:numPr>
        <w:tabs>
          <w:tab w:val="left" w:pos="1021"/>
        </w:tabs>
        <w:rPr>
          <w:sz w:val="20"/>
          <w:szCs w:val="20"/>
          <w:lang w:val="ro-RO"/>
        </w:rPr>
      </w:pPr>
      <w:r>
        <w:rPr>
          <w:sz w:val="20"/>
          <w:szCs w:val="20"/>
          <w:lang w:val="ro-RO"/>
        </w:rPr>
        <w:t>Lansarea comenzilor de beton, cu specificatia tuturor caracteristicilor</w:t>
      </w:r>
    </w:p>
    <w:p>
      <w:pPr>
        <w:pStyle w:val="ListParagraph"/>
        <w:numPr>
          <w:ilvl w:val="1"/>
          <w:numId w:val="17"/>
        </w:numPr>
        <w:tabs>
          <w:tab w:val="left" w:pos="1021"/>
        </w:tabs>
        <w:rPr>
          <w:sz w:val="20"/>
          <w:szCs w:val="20"/>
          <w:lang w:val="ro-RO"/>
        </w:rPr>
      </w:pPr>
      <w:r>
        <w:rPr>
          <w:sz w:val="20"/>
          <w:szCs w:val="20"/>
          <w:lang w:val="ro-RO"/>
        </w:rPr>
        <w:t>Bonuri de livrare beton</w:t>
      </w:r>
    </w:p>
    <w:p>
      <w:pPr>
        <w:pStyle w:val="ListParagraph"/>
        <w:numPr>
          <w:ilvl w:val="1"/>
          <w:numId w:val="17"/>
        </w:numPr>
        <w:tabs>
          <w:tab w:val="left" w:pos="1021"/>
        </w:tabs>
        <w:rPr>
          <w:sz w:val="20"/>
          <w:szCs w:val="20"/>
          <w:lang w:val="ro-RO"/>
        </w:rPr>
      </w:pPr>
      <w:r>
        <w:rPr>
          <w:sz w:val="20"/>
          <w:szCs w:val="20"/>
          <w:lang w:val="ro-RO"/>
        </w:rPr>
        <w:t>Condica de betoane</w:t>
      </w:r>
    </w:p>
    <w:p>
      <w:pPr>
        <w:pStyle w:val="ListParagraph"/>
        <w:numPr>
          <w:ilvl w:val="0"/>
          <w:numId w:val="13"/>
        </w:numPr>
        <w:tabs>
          <w:tab w:val="left" w:pos="1021"/>
        </w:tabs>
        <w:rPr>
          <w:sz w:val="20"/>
          <w:szCs w:val="20"/>
          <w:lang w:val="ro-RO"/>
        </w:rPr>
      </w:pPr>
      <w:r>
        <w:rPr>
          <w:sz w:val="20"/>
          <w:szCs w:val="20"/>
          <w:lang w:val="ro-RO"/>
        </w:rPr>
        <w:t>Echipament - se utilizeaza tomberoane si roabe.</w:t>
      </w:r>
    </w:p>
    <w:p>
      <w:pPr>
        <w:pStyle w:val="ListParagraph"/>
        <w:numPr>
          <w:ilvl w:val="0"/>
          <w:numId w:val="13"/>
        </w:numPr>
        <w:tabs>
          <w:tab w:val="left" w:pos="1021"/>
        </w:tabs>
        <w:rPr>
          <w:sz w:val="20"/>
          <w:szCs w:val="20"/>
          <w:lang w:val="ro-RO"/>
        </w:rPr>
      </w:pPr>
      <w:r>
        <w:rPr>
          <w:sz w:val="20"/>
          <w:szCs w:val="20"/>
          <w:lang w:val="ro-RO"/>
        </w:rPr>
        <w:t>Instruirea personalului privind tehnologia de turnare, pozitionarea rosturilor, modul de vibrare, protectia betonului, precum si a normelor de protectia muncii si PSI.</w:t>
      </w:r>
    </w:p>
    <w:p>
      <w:pPr>
        <w:pStyle w:val="ListParagraph"/>
        <w:numPr>
          <w:ilvl w:val="0"/>
          <w:numId w:val="13"/>
        </w:numPr>
        <w:tabs>
          <w:tab w:val="left" w:pos="1021"/>
        </w:tabs>
        <w:rPr>
          <w:sz w:val="20"/>
          <w:szCs w:val="20"/>
          <w:lang w:val="ro-RO"/>
        </w:rPr>
      </w:pPr>
      <w:r>
        <w:rPr>
          <w:sz w:val="20"/>
          <w:szCs w:val="20"/>
          <w:lang w:val="ro-RO"/>
        </w:rPr>
        <w:t>Dotarea cu echipamente de protectie (salopeta, casca, cizme, centuri de siguranta).</w:t>
      </w:r>
    </w:p>
    <w:p>
      <w:pPr>
        <w:pStyle w:val="ListParagraph"/>
        <w:numPr>
          <w:ilvl w:val="0"/>
          <w:numId w:val="13"/>
        </w:numPr>
        <w:tabs>
          <w:tab w:val="left" w:pos="1021"/>
        </w:tabs>
        <w:rPr>
          <w:sz w:val="20"/>
          <w:szCs w:val="20"/>
          <w:lang w:val="ro-RO"/>
        </w:rPr>
      </w:pPr>
      <w:r>
        <w:rPr>
          <w:sz w:val="20"/>
          <w:szCs w:val="20"/>
          <w:lang w:val="ro-RO"/>
        </w:rPr>
        <w:t>Se stabilesc masurile în caz de situatii accidentale.</w:t>
      </w:r>
    </w:p>
    <w:p>
      <w:pPr>
        <w:pStyle w:val="ListParagraph"/>
        <w:numPr>
          <w:ilvl w:val="0"/>
          <w:numId w:val="18"/>
        </w:numPr>
        <w:tabs>
          <w:tab w:val="left" w:pos="1021"/>
        </w:tabs>
        <w:ind w:left="1418"/>
        <w:rPr>
          <w:sz w:val="20"/>
          <w:szCs w:val="20"/>
          <w:lang w:val="ro-RO"/>
        </w:rPr>
      </w:pPr>
      <w:r>
        <w:rPr>
          <w:sz w:val="20"/>
          <w:szCs w:val="20"/>
          <w:lang w:val="ro-RO"/>
        </w:rPr>
        <w:t>mijloace de transport al betonului</w:t>
      </w:r>
    </w:p>
    <w:p>
      <w:pPr>
        <w:pStyle w:val="ListParagraph"/>
        <w:numPr>
          <w:ilvl w:val="0"/>
          <w:numId w:val="18"/>
        </w:numPr>
        <w:tabs>
          <w:tab w:val="left" w:pos="1021"/>
        </w:tabs>
        <w:ind w:left="1418"/>
        <w:rPr>
          <w:sz w:val="20"/>
          <w:szCs w:val="20"/>
          <w:lang w:val="ro-RO"/>
        </w:rPr>
      </w:pPr>
      <w:r>
        <w:rPr>
          <w:sz w:val="20"/>
          <w:szCs w:val="20"/>
          <w:lang w:val="ro-RO"/>
        </w:rPr>
        <w:t>sursa de energie de rezerva</w:t>
      </w:r>
    </w:p>
    <w:p>
      <w:pPr>
        <w:pStyle w:val="ListParagraph"/>
        <w:numPr>
          <w:ilvl w:val="0"/>
          <w:numId w:val="18"/>
        </w:numPr>
        <w:tabs>
          <w:tab w:val="left" w:pos="1021"/>
        </w:tabs>
        <w:ind w:left="1418"/>
        <w:rPr>
          <w:sz w:val="20"/>
          <w:szCs w:val="20"/>
          <w:lang w:val="ro-RO"/>
        </w:rPr>
      </w:pPr>
      <w:r>
        <w:rPr>
          <w:sz w:val="20"/>
          <w:szCs w:val="20"/>
          <w:lang w:val="ro-RO"/>
        </w:rPr>
        <w:t>materiale de protectie a betonului în caz de întrerupere a betonarii</w:t>
      </w:r>
    </w:p>
    <w:p>
      <w:pPr>
        <w:pStyle w:val="ListParagraph"/>
        <w:numPr>
          <w:ilvl w:val="0"/>
          <w:numId w:val="18"/>
        </w:numPr>
        <w:tabs>
          <w:tab w:val="left" w:pos="1021"/>
        </w:tabs>
        <w:ind w:left="1418"/>
        <w:rPr>
          <w:sz w:val="20"/>
          <w:szCs w:val="20"/>
          <w:lang w:val="ro-RO"/>
        </w:rPr>
      </w:pPr>
      <w:r>
        <w:rPr>
          <w:sz w:val="20"/>
          <w:szCs w:val="20"/>
          <w:lang w:val="ro-RO"/>
        </w:rPr>
        <w:t>loc de redirijare a betonului</w:t>
      </w:r>
    </w:p>
    <w:p>
      <w:pPr>
        <w:pStyle w:val="ListParagraph"/>
        <w:numPr>
          <w:ilvl w:val="0"/>
          <w:numId w:val="18"/>
        </w:numPr>
        <w:tabs>
          <w:tab w:val="left" w:pos="1021"/>
        </w:tabs>
        <w:ind w:left="1418"/>
        <w:rPr>
          <w:sz w:val="20"/>
          <w:szCs w:val="20"/>
          <w:lang w:val="ro-RO"/>
        </w:rPr>
      </w:pPr>
      <w:r>
        <w:rPr>
          <w:sz w:val="20"/>
          <w:szCs w:val="20"/>
          <w:lang w:val="ro-RO"/>
        </w:rPr>
        <w:t>vibratoare de rezerva.</w:t>
      </w:r>
    </w:p>
    <w:p>
      <w:pPr>
        <w:pStyle w:val="ListParagraph"/>
        <w:numPr>
          <w:ilvl w:val="0"/>
          <w:numId w:val="13"/>
        </w:numPr>
        <w:tabs>
          <w:tab w:val="left" w:pos="1021"/>
        </w:tabs>
        <w:rPr>
          <w:sz w:val="20"/>
          <w:szCs w:val="20"/>
          <w:lang w:val="ro-RO"/>
        </w:rPr>
      </w:pPr>
      <w:r>
        <w:rPr>
          <w:sz w:val="20"/>
          <w:szCs w:val="20"/>
          <w:lang w:val="ro-RO"/>
        </w:rPr>
        <w:t>Se stabileste numarul probelor ce se vor recolta conform frecventei prevazute de NE 012/2-2010. Se solicita, prin comanda, recoltarea numarului de probe si se asigura conditii de pastrare a acestora. Incercarea probelor recoltate se va solicita prin comanda, de la un laborator atestat in acest sens. In cazul în care nu exista laborator la santier, se va solicita efectuarea tuturor încercarilor pe betonul proaspat, de catre un laborator atestat.</w:t>
      </w:r>
    </w:p>
    <w:p>
      <w:pPr>
        <w:pStyle w:val="Heading4"/>
        <w:rPr>
          <w:sz w:val="20"/>
          <w:szCs w:val="20"/>
          <w:lang w:val="ro-RO"/>
        </w:rPr>
      </w:pPr>
      <w:r>
        <w:rPr>
          <w:sz w:val="20"/>
          <w:szCs w:val="20"/>
          <w:lang w:val="ro-RO"/>
        </w:rPr>
        <w:t>2.2.2.2 Descrierea tehnologiei</w:t>
      </w:r>
    </w:p>
    <w:p>
      <w:pPr>
        <w:pStyle w:val="ListParagraph"/>
        <w:numPr>
          <w:ilvl w:val="0"/>
          <w:numId w:val="16"/>
        </w:numPr>
        <w:ind w:left="284"/>
        <w:rPr>
          <w:b/>
          <w:sz w:val="20"/>
          <w:szCs w:val="20"/>
          <w:lang w:val="ro-RO"/>
        </w:rPr>
      </w:pPr>
      <w:r>
        <w:rPr>
          <w:b/>
          <w:sz w:val="20"/>
          <w:szCs w:val="20"/>
          <w:lang w:val="ro-RO"/>
        </w:rPr>
        <w:t>Pregătirea terenului de fundare si a suprafeţei de beton turnat anterior</w:t>
      </w:r>
    </w:p>
    <w:p>
      <w:pPr>
        <w:pStyle w:val="ListParagraph"/>
        <w:numPr>
          <w:ilvl w:val="0"/>
          <w:numId w:val="13"/>
        </w:numPr>
        <w:rPr>
          <w:sz w:val="20"/>
          <w:szCs w:val="20"/>
          <w:lang w:val="ro-RO"/>
        </w:rPr>
      </w:pPr>
      <w:r>
        <w:rPr>
          <w:sz w:val="20"/>
          <w:szCs w:val="20"/>
          <w:lang w:val="ro-RO"/>
        </w:rPr>
        <w:t>verificarea cotei de fundare (cu staţie totala topo) si a naturii terenului de fundare;</w:t>
      </w:r>
    </w:p>
    <w:p>
      <w:pPr>
        <w:pStyle w:val="ListParagraph"/>
        <w:numPr>
          <w:ilvl w:val="0"/>
          <w:numId w:val="13"/>
        </w:numPr>
        <w:rPr>
          <w:sz w:val="20"/>
          <w:szCs w:val="20"/>
          <w:lang w:val="ro-RO"/>
        </w:rPr>
      </w:pPr>
      <w:r>
        <w:rPr>
          <w:sz w:val="20"/>
          <w:szCs w:val="20"/>
          <w:lang w:val="ro-RO"/>
        </w:rPr>
        <w:t>înainte de începerea turnării betonului se executa drenurile, îndepărtarea ultimului strat de pământ de 30 cm, curăţarea manuala a fundului gropii si verificarea cotei finale de fundare;</w:t>
      </w:r>
    </w:p>
    <w:p>
      <w:pPr>
        <w:pStyle w:val="ListParagraph"/>
        <w:numPr>
          <w:ilvl w:val="0"/>
          <w:numId w:val="13"/>
        </w:numPr>
        <w:rPr>
          <w:sz w:val="20"/>
          <w:szCs w:val="20"/>
          <w:lang w:val="ro-RO"/>
        </w:rPr>
      </w:pPr>
      <w:r>
        <w:rPr>
          <w:sz w:val="20"/>
          <w:szCs w:val="20"/>
          <w:lang w:val="ro-RO"/>
        </w:rPr>
        <w:t>recepţia si PVRC de către responsabilul tehnic cu execuţia atestat, reprezentantul investitorului si a proiectantului conform graficului de control stabilit de proiectant;</w:t>
      </w:r>
    </w:p>
    <w:p>
      <w:pPr>
        <w:pStyle w:val="ListParagraph"/>
        <w:numPr>
          <w:ilvl w:val="0"/>
          <w:numId w:val="13"/>
        </w:numPr>
        <w:rPr>
          <w:sz w:val="20"/>
          <w:szCs w:val="20"/>
          <w:lang w:val="ro-RO"/>
        </w:rPr>
      </w:pPr>
      <w:r>
        <w:rPr>
          <w:sz w:val="20"/>
          <w:szCs w:val="20"/>
          <w:lang w:val="ro-RO"/>
        </w:rPr>
        <w:t>pregătirea suprafeţelor de beton, turnate anterior si a cofrajelor;</w:t>
      </w:r>
    </w:p>
    <w:p>
      <w:pPr>
        <w:pStyle w:val="ListParagraph"/>
        <w:numPr>
          <w:ilvl w:val="0"/>
          <w:numId w:val="13"/>
        </w:numPr>
        <w:rPr>
          <w:sz w:val="20"/>
          <w:szCs w:val="20"/>
          <w:lang w:val="ro-RO"/>
        </w:rPr>
      </w:pPr>
      <w:r>
        <w:rPr>
          <w:sz w:val="20"/>
          <w:szCs w:val="20"/>
          <w:lang w:val="ro-RO"/>
        </w:rPr>
        <w:t>curăţirea prin maturare, spălare sau suflare cu aer comprimat;</w:t>
      </w:r>
    </w:p>
    <w:p>
      <w:pPr>
        <w:pStyle w:val="ListParagraph"/>
        <w:numPr>
          <w:ilvl w:val="0"/>
          <w:numId w:val="13"/>
        </w:numPr>
        <w:rPr>
          <w:sz w:val="20"/>
          <w:szCs w:val="20"/>
          <w:lang w:val="ro-RO"/>
        </w:rPr>
      </w:pPr>
      <w:r>
        <w:rPr>
          <w:sz w:val="20"/>
          <w:szCs w:val="20"/>
          <w:lang w:val="ro-RO"/>
        </w:rPr>
        <w:t>curăţirea cofrajului, armaturii, pieselor înglobate si repoziţionarea acestora conform proiectului;</w:t>
      </w:r>
    </w:p>
    <w:p>
      <w:pPr>
        <w:pStyle w:val="ListParagraph"/>
        <w:numPr>
          <w:ilvl w:val="0"/>
          <w:numId w:val="13"/>
        </w:numPr>
        <w:rPr>
          <w:sz w:val="20"/>
          <w:szCs w:val="20"/>
          <w:lang w:val="ro-RO"/>
        </w:rPr>
      </w:pPr>
      <w:r>
        <w:rPr>
          <w:sz w:val="20"/>
          <w:szCs w:val="20"/>
          <w:lang w:val="ro-RO"/>
        </w:rPr>
        <w:t>betonul, zidăria in zona de contact se vor uda cu apa si se va asigura înlăturarea apei din denivelări;</w:t>
      </w:r>
    </w:p>
    <w:p>
      <w:pPr>
        <w:pStyle w:val="ListParagraph"/>
        <w:numPr>
          <w:ilvl w:val="0"/>
          <w:numId w:val="13"/>
        </w:numPr>
        <w:rPr>
          <w:sz w:val="20"/>
          <w:szCs w:val="20"/>
          <w:lang w:val="ro-RO"/>
        </w:rPr>
      </w:pPr>
      <w:r>
        <w:rPr>
          <w:sz w:val="20"/>
          <w:szCs w:val="20"/>
          <w:lang w:val="ro-RO"/>
        </w:rPr>
        <w:t>verificarea cotei finale de betonare.</w:t>
      </w:r>
    </w:p>
    <w:p>
      <w:pPr>
        <w:pStyle w:val="ListParagraph"/>
        <w:numPr>
          <w:ilvl w:val="0"/>
          <w:numId w:val="16"/>
        </w:numPr>
        <w:rPr>
          <w:b/>
          <w:sz w:val="20"/>
          <w:szCs w:val="20"/>
          <w:lang w:val="ro-RO"/>
        </w:rPr>
      </w:pPr>
      <w:r>
        <w:rPr>
          <w:b/>
          <w:sz w:val="20"/>
          <w:szCs w:val="20"/>
          <w:lang w:val="ro-RO"/>
        </w:rPr>
        <w:t>Prepararea, manipularea, transportul si pregătirea turnării betonului</w:t>
      </w:r>
    </w:p>
    <w:p>
      <w:pPr>
        <w:pStyle w:val="ListParagraph"/>
        <w:numPr>
          <w:ilvl w:val="0"/>
          <w:numId w:val="13"/>
        </w:numPr>
        <w:rPr>
          <w:sz w:val="20"/>
          <w:szCs w:val="20"/>
          <w:lang w:val="ro-RO"/>
        </w:rPr>
      </w:pPr>
      <w:r>
        <w:rPr>
          <w:sz w:val="20"/>
          <w:szCs w:val="20"/>
          <w:lang w:val="ro-RO"/>
        </w:rPr>
        <w:t>betonul se prepara conform reţetelor elaborate de un laborator autorizat sau se procura de la statii de betoane centralizate, in baza comenzilor care vor conţine toate caracteristicile impuse de NE 012/2-2010. Pentru preparare si transport se vor respecta condiţiile impuse de NE 012/2-2010. Betonul (T3, T4, T5) se va transporta cu autoagitatoare, iar betoanele (T2) de drumuri, cu autobasculanta.</w:t>
      </w:r>
    </w:p>
    <w:p>
      <w:pPr>
        <w:pStyle w:val="ListParagraph"/>
        <w:numPr>
          <w:ilvl w:val="0"/>
          <w:numId w:val="13"/>
        </w:numPr>
        <w:rPr>
          <w:sz w:val="20"/>
          <w:szCs w:val="20"/>
          <w:lang w:val="ro-RO"/>
        </w:rPr>
      </w:pPr>
      <w:r>
        <w:rPr>
          <w:sz w:val="20"/>
          <w:szCs w:val="20"/>
          <w:lang w:val="ro-RO"/>
        </w:rPr>
        <w:t>nu se accepta pierderea laptelui de ciment prin transport.</w:t>
      </w:r>
    </w:p>
    <w:p>
      <w:pPr>
        <w:pStyle w:val="ListParagraph"/>
        <w:numPr>
          <w:ilvl w:val="0"/>
          <w:numId w:val="13"/>
        </w:numPr>
        <w:rPr>
          <w:sz w:val="20"/>
          <w:szCs w:val="20"/>
          <w:lang w:val="ro-RO"/>
        </w:rPr>
      </w:pPr>
      <w:r>
        <w:rPr>
          <w:sz w:val="20"/>
          <w:szCs w:val="20"/>
          <w:lang w:val="ro-RO"/>
        </w:rPr>
        <w:t>in timpul transportului se vor respecta condiţiile impuse de NE 012/2-2010.</w:t>
      </w:r>
    </w:p>
    <w:tbl>
      <w:tblPr>
        <w:tblW w:w="9497" w:type="dxa"/>
        <w:jc w:val="center"/>
        <w:tblLayout w:type="fixed"/>
        <w:tblCellMar>
          <w:left w:w="40" w:type="dxa"/>
          <w:right w:w="40" w:type="dxa"/>
        </w:tblCellMar>
        <w:tblLook w:val="0000" w:firstRow="0" w:lastRow="0" w:firstColumn="0" w:lastColumn="0" w:noHBand="0" w:noVBand="0"/>
      </w:tblPr>
      <w:tblGrid>
        <w:gridCol w:w="2936"/>
        <w:gridCol w:w="3402"/>
        <w:gridCol w:w="3159"/>
      </w:tblGrid>
      <w:tr>
        <w:trPr>
          <w:jc w:val="center"/>
        </w:trPr>
        <w:tc>
          <w:tcPr>
            <w:tcW w:w="2936" w:type="dxa"/>
            <w:tcBorders>
              <w:top w:val="single" w:sz="6" w:space="0" w:color="auto"/>
              <w:left w:val="single" w:sz="6" w:space="0" w:color="auto"/>
              <w:bottom w:val="nil"/>
              <w:right w:val="single" w:sz="6" w:space="0" w:color="auto"/>
            </w:tcBorders>
          </w:tcPr>
          <w:p>
            <w:pPr>
              <w:autoSpaceDE w:val="0"/>
              <w:autoSpaceDN w:val="0"/>
              <w:adjustRightInd w:val="0"/>
              <w:spacing w:after="0" w:line="360" w:lineRule="auto"/>
              <w:jc w:val="left"/>
              <w:rPr>
                <w:rFonts w:eastAsiaTheme="minorEastAsia" w:cs="Verdana"/>
                <w:b/>
                <w:bCs/>
                <w:sz w:val="20"/>
                <w:szCs w:val="20"/>
                <w:lang w:val="ro-RO" w:eastAsia="ro-RO"/>
              </w:rPr>
            </w:pPr>
          </w:p>
        </w:tc>
        <w:tc>
          <w:tcPr>
            <w:tcW w:w="6561" w:type="dxa"/>
            <w:gridSpan w:val="2"/>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b/>
                <w:bCs/>
                <w:sz w:val="20"/>
                <w:szCs w:val="20"/>
                <w:lang w:val="ro-RO" w:eastAsia="ro-RO"/>
              </w:rPr>
            </w:pPr>
            <w:r>
              <w:rPr>
                <w:rFonts w:eastAsiaTheme="minorEastAsia" w:cs="Verdana"/>
                <w:b/>
                <w:bCs/>
                <w:sz w:val="20"/>
                <w:szCs w:val="20"/>
                <w:lang w:val="ro-RO" w:eastAsia="ro-RO"/>
              </w:rPr>
              <w:t>Durata maxima de transport</w:t>
            </w:r>
          </w:p>
        </w:tc>
      </w:tr>
      <w:tr>
        <w:trPr>
          <w:jc w:val="center"/>
        </w:trPr>
        <w:tc>
          <w:tcPr>
            <w:tcW w:w="2936" w:type="dxa"/>
            <w:tcBorders>
              <w:top w:val="nil"/>
              <w:left w:val="single" w:sz="6" w:space="0" w:color="auto"/>
              <w:bottom w:val="single" w:sz="6" w:space="0" w:color="auto"/>
              <w:right w:val="single" w:sz="6" w:space="0" w:color="auto"/>
            </w:tcBorders>
          </w:tcPr>
          <w:p>
            <w:pPr>
              <w:autoSpaceDE w:val="0"/>
              <w:autoSpaceDN w:val="0"/>
              <w:adjustRightInd w:val="0"/>
              <w:spacing w:after="0" w:line="360" w:lineRule="auto"/>
              <w:jc w:val="center"/>
              <w:rPr>
                <w:rFonts w:eastAsiaTheme="minorEastAsia" w:cs="Verdana"/>
                <w:b/>
                <w:bCs/>
                <w:sz w:val="20"/>
                <w:szCs w:val="20"/>
                <w:lang w:val="ro-RO" w:eastAsia="ro-RO"/>
              </w:rPr>
            </w:pPr>
            <w:r>
              <w:rPr>
                <w:rFonts w:eastAsiaTheme="minorEastAsia" w:cs="Verdana"/>
                <w:b/>
                <w:bCs/>
                <w:sz w:val="20"/>
                <w:szCs w:val="20"/>
                <w:lang w:val="ro-RO" w:eastAsia="ro-RO"/>
              </w:rPr>
              <w:t>Temperatura</w:t>
            </w:r>
          </w:p>
        </w:tc>
        <w:tc>
          <w:tcPr>
            <w:tcW w:w="3402"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b/>
                <w:bCs/>
                <w:sz w:val="20"/>
                <w:szCs w:val="20"/>
                <w:lang w:val="ro-RO" w:eastAsia="ro-RO"/>
              </w:rPr>
            </w:pPr>
            <w:r>
              <w:rPr>
                <w:rFonts w:eastAsiaTheme="minorEastAsia" w:cs="Verdana"/>
                <w:b/>
                <w:bCs/>
                <w:sz w:val="20"/>
                <w:szCs w:val="20"/>
                <w:lang w:val="ro-RO" w:eastAsia="ro-RO"/>
              </w:rPr>
              <w:t>Ciment   de   marca II/A-S32.5R</w:t>
            </w:r>
          </w:p>
        </w:tc>
        <w:tc>
          <w:tcPr>
            <w:tcW w:w="3159"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b/>
                <w:bCs/>
                <w:sz w:val="20"/>
                <w:szCs w:val="20"/>
                <w:lang w:val="ro-RO" w:eastAsia="ro-RO"/>
              </w:rPr>
            </w:pPr>
            <w:r>
              <w:rPr>
                <w:rFonts w:eastAsiaTheme="minorEastAsia" w:cs="Verdana"/>
                <w:b/>
                <w:bCs/>
                <w:sz w:val="20"/>
                <w:szCs w:val="20"/>
                <w:lang w:val="ro-RO" w:eastAsia="ro-RO"/>
              </w:rPr>
              <w:t>Ciment de marca 142.5</w:t>
            </w:r>
          </w:p>
        </w:tc>
      </w:tr>
      <w:tr>
        <w:trPr>
          <w:jc w:val="center"/>
        </w:trPr>
        <w:tc>
          <w:tcPr>
            <w:tcW w:w="2936"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sz w:val="20"/>
                <w:szCs w:val="20"/>
                <w:lang w:val="ro-RO" w:eastAsia="ro-RO"/>
              </w:rPr>
            </w:pPr>
            <w:r>
              <w:rPr>
                <w:rFonts w:eastAsiaTheme="minorEastAsia" w:cs="Verdana"/>
                <w:sz w:val="20"/>
                <w:szCs w:val="20"/>
                <w:lang w:val="ro-RO" w:eastAsia="ro-RO"/>
              </w:rPr>
              <w:t>•    10° &lt; t &lt;30°</w:t>
            </w:r>
          </w:p>
        </w:tc>
        <w:tc>
          <w:tcPr>
            <w:tcW w:w="3402"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sz w:val="20"/>
                <w:szCs w:val="20"/>
                <w:lang w:val="ro-RO" w:eastAsia="ro-RO"/>
              </w:rPr>
            </w:pPr>
            <w:r>
              <w:rPr>
                <w:rFonts w:eastAsiaTheme="minorEastAsia" w:cs="Verdana"/>
                <w:sz w:val="20"/>
                <w:szCs w:val="20"/>
                <w:lang w:val="ro-RO" w:eastAsia="ro-RO"/>
              </w:rPr>
              <w:t>50 min</w:t>
            </w:r>
          </w:p>
        </w:tc>
        <w:tc>
          <w:tcPr>
            <w:tcW w:w="3159"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sz w:val="20"/>
                <w:szCs w:val="20"/>
                <w:lang w:val="ro-RO" w:eastAsia="ro-RO"/>
              </w:rPr>
            </w:pPr>
            <w:r>
              <w:rPr>
                <w:rFonts w:eastAsiaTheme="minorEastAsia" w:cs="Verdana"/>
                <w:sz w:val="20"/>
                <w:szCs w:val="20"/>
                <w:lang w:val="ro-RO" w:eastAsia="ro-RO"/>
              </w:rPr>
              <w:t>35 min</w:t>
            </w:r>
          </w:p>
        </w:tc>
      </w:tr>
      <w:tr>
        <w:trPr>
          <w:jc w:val="center"/>
        </w:trPr>
        <w:tc>
          <w:tcPr>
            <w:tcW w:w="2936"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sz w:val="20"/>
                <w:szCs w:val="20"/>
                <w:lang w:val="ro-RO" w:eastAsia="ro-RO"/>
              </w:rPr>
            </w:pPr>
            <w:r>
              <w:rPr>
                <w:rFonts w:eastAsiaTheme="minorEastAsia" w:cs="Verdana"/>
                <w:sz w:val="20"/>
                <w:szCs w:val="20"/>
                <w:lang w:val="ro-RO" w:eastAsia="ro-RO"/>
              </w:rPr>
              <w:t>•              t &lt;10°</w:t>
            </w:r>
          </w:p>
        </w:tc>
        <w:tc>
          <w:tcPr>
            <w:tcW w:w="3402"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sz w:val="20"/>
                <w:szCs w:val="20"/>
                <w:lang w:val="ro-RO" w:eastAsia="ro-RO"/>
              </w:rPr>
            </w:pPr>
            <w:r>
              <w:rPr>
                <w:rFonts w:eastAsiaTheme="minorEastAsia" w:cs="Verdana"/>
                <w:sz w:val="20"/>
                <w:szCs w:val="20"/>
                <w:lang w:val="ro-RO" w:eastAsia="ro-RO"/>
              </w:rPr>
              <w:t>70 min</w:t>
            </w:r>
          </w:p>
        </w:tc>
        <w:tc>
          <w:tcPr>
            <w:tcW w:w="3159"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sz w:val="20"/>
                <w:szCs w:val="20"/>
                <w:lang w:val="ro-RO" w:eastAsia="ro-RO"/>
              </w:rPr>
            </w:pPr>
            <w:r>
              <w:rPr>
                <w:rFonts w:eastAsiaTheme="minorEastAsia" w:cs="Verdana"/>
                <w:sz w:val="20"/>
                <w:szCs w:val="20"/>
                <w:lang w:val="ro-RO" w:eastAsia="ro-RO"/>
              </w:rPr>
              <w:t>50 min</w:t>
            </w:r>
          </w:p>
        </w:tc>
      </w:tr>
    </w:tbl>
    <w:p>
      <w:pPr>
        <w:ind w:firstLine="720"/>
        <w:rPr>
          <w:sz w:val="20"/>
          <w:szCs w:val="20"/>
          <w:lang w:val="ro-RO"/>
        </w:rPr>
      </w:pPr>
    </w:p>
    <w:p>
      <w:pPr>
        <w:ind w:firstLine="720"/>
        <w:rPr>
          <w:sz w:val="20"/>
          <w:szCs w:val="20"/>
          <w:lang w:val="ro-RO"/>
        </w:rPr>
      </w:pPr>
      <w:r>
        <w:rPr>
          <w:sz w:val="20"/>
          <w:szCs w:val="20"/>
          <w:lang w:val="ro-RO"/>
        </w:rPr>
        <w:t>•   executarea lucrărilor de betonare poate sa înceapă numai daca sunt îndeplinite următoarele condiţii:</w:t>
      </w:r>
    </w:p>
    <w:p>
      <w:pPr>
        <w:pStyle w:val="ListParagraph"/>
        <w:numPr>
          <w:ilvl w:val="0"/>
          <w:numId w:val="19"/>
        </w:numPr>
        <w:rPr>
          <w:sz w:val="20"/>
          <w:szCs w:val="20"/>
          <w:lang w:val="ro-RO"/>
        </w:rPr>
      </w:pPr>
      <w:r>
        <w:rPr>
          <w:sz w:val="20"/>
          <w:szCs w:val="20"/>
          <w:lang w:val="ro-RO"/>
        </w:rPr>
        <w:t>au fost receptionate calitativ lucrarile de sapaturi, cofraje si armaturi;</w:t>
      </w:r>
    </w:p>
    <w:p>
      <w:pPr>
        <w:pStyle w:val="ListParagraph"/>
        <w:numPr>
          <w:ilvl w:val="0"/>
          <w:numId w:val="19"/>
        </w:numPr>
        <w:rPr>
          <w:sz w:val="20"/>
          <w:szCs w:val="20"/>
          <w:lang w:val="ro-RO"/>
        </w:rPr>
      </w:pPr>
      <w:r>
        <w:rPr>
          <w:sz w:val="20"/>
          <w:szCs w:val="20"/>
          <w:lang w:val="ro-RO"/>
        </w:rPr>
        <w:t>suprafetele de beton turnate anterior si intarite care vor veni in contact cu betonul proaspat vor fi curatate de pojghita, de lapte de ciment (sau de impuritati);</w:t>
      </w:r>
    </w:p>
    <w:p>
      <w:pPr>
        <w:pStyle w:val="ListParagraph"/>
        <w:numPr>
          <w:ilvl w:val="0"/>
          <w:numId w:val="19"/>
        </w:numPr>
        <w:rPr>
          <w:sz w:val="20"/>
          <w:szCs w:val="20"/>
          <w:lang w:val="ro-RO"/>
        </w:rPr>
      </w:pPr>
      <w:r>
        <w:rPr>
          <w:sz w:val="20"/>
          <w:szCs w:val="20"/>
          <w:lang w:val="ro-RO"/>
        </w:rPr>
        <w:t>sunt asigurate posibilitati de spalare a utilajelor de transport si punere in opera a betonului;</w:t>
      </w:r>
    </w:p>
    <w:p>
      <w:pPr>
        <w:pStyle w:val="ListParagraph"/>
        <w:numPr>
          <w:ilvl w:val="0"/>
          <w:numId w:val="19"/>
        </w:numPr>
        <w:rPr>
          <w:sz w:val="20"/>
          <w:szCs w:val="20"/>
          <w:lang w:val="ro-RO"/>
        </w:rPr>
      </w:pPr>
      <w:r>
        <w:rPr>
          <w:sz w:val="20"/>
          <w:szCs w:val="20"/>
          <w:lang w:val="ro-RO"/>
        </w:rPr>
        <w:t>nu se intrevede posibilitatea interventiei unor conditii climatice nefavorabile;</w:t>
      </w:r>
    </w:p>
    <w:p>
      <w:pPr>
        <w:pStyle w:val="ListParagraph"/>
        <w:numPr>
          <w:ilvl w:val="0"/>
          <w:numId w:val="19"/>
        </w:numPr>
        <w:rPr>
          <w:sz w:val="20"/>
          <w:szCs w:val="20"/>
          <w:lang w:val="ro-RO"/>
        </w:rPr>
      </w:pPr>
      <w:r>
        <w:rPr>
          <w:sz w:val="20"/>
          <w:szCs w:val="20"/>
          <w:lang w:val="ro-RO"/>
        </w:rPr>
        <w:t>sunt asigurate conditiile necesare pentru recoltarea probelor la locul de punere in opera si efectuarea determinarilor prevazute pentru betonul proaspat, la descarcarea din mijlocul de transport;</w:t>
      </w:r>
    </w:p>
    <w:p>
      <w:pPr>
        <w:pStyle w:val="ListParagraph"/>
        <w:numPr>
          <w:ilvl w:val="0"/>
          <w:numId w:val="19"/>
        </w:numPr>
        <w:rPr>
          <w:sz w:val="20"/>
          <w:szCs w:val="20"/>
          <w:lang w:val="ro-RO"/>
        </w:rPr>
      </w:pPr>
      <w:r>
        <w:rPr>
          <w:sz w:val="20"/>
          <w:szCs w:val="20"/>
          <w:lang w:val="ro-RO"/>
        </w:rPr>
        <w:t>este stabilit locul de dirijare a eventualelor transporturi de beton care nu indeplinesc conditiile tehnice stabilite si sunt refuzate;</w:t>
      </w:r>
    </w:p>
    <w:p>
      <w:pPr>
        <w:pStyle w:val="ListParagraph"/>
        <w:numPr>
          <w:ilvl w:val="0"/>
          <w:numId w:val="13"/>
        </w:numPr>
        <w:rPr>
          <w:sz w:val="20"/>
          <w:szCs w:val="20"/>
          <w:lang w:val="ro-RO"/>
        </w:rPr>
      </w:pPr>
      <w:r>
        <w:rPr>
          <w:sz w:val="20"/>
          <w:szCs w:val="20"/>
          <w:lang w:val="ro-RO"/>
        </w:rPr>
        <w:t>la primirea betonului, seful punctului de lucru verifica bonul de transport in care sunt inscrise toate caracteristicile prevazute in comanda si ora de livrare. Se va verifica lucrabilitatea conform NE 012/2-2010, recoltându-se si probele de beton pentru verificarea clasei.</w:t>
      </w:r>
    </w:p>
    <w:p>
      <w:pPr>
        <w:pStyle w:val="ListParagraph"/>
        <w:numPr>
          <w:ilvl w:val="0"/>
          <w:numId w:val="13"/>
        </w:numPr>
        <w:rPr>
          <w:sz w:val="20"/>
          <w:szCs w:val="20"/>
          <w:lang w:val="ro-RO"/>
        </w:rPr>
      </w:pPr>
      <w:r>
        <w:rPr>
          <w:sz w:val="20"/>
          <w:szCs w:val="20"/>
          <w:lang w:val="ro-RO"/>
        </w:rPr>
        <w:t>descarcarea betonului se face direct în bena, in buncarele pompelor de beton sau în jgheabul de turnare directa.</w:t>
      </w:r>
    </w:p>
    <w:p>
      <w:pPr>
        <w:pStyle w:val="ListParagraph"/>
        <w:numPr>
          <w:ilvl w:val="0"/>
          <w:numId w:val="13"/>
        </w:numPr>
        <w:rPr>
          <w:sz w:val="20"/>
          <w:szCs w:val="20"/>
          <w:lang w:val="ro-RO"/>
        </w:rPr>
      </w:pPr>
      <w:r>
        <w:rPr>
          <w:sz w:val="20"/>
          <w:szCs w:val="20"/>
          <w:lang w:val="ro-RO"/>
        </w:rPr>
        <w:t>betonarea va fi condusa nemijlocit de conducatorul tehnic al punctului de lucru. Acesta va fi permanent la locul de turnare si va supraveghea respectarea stricta a prezentei proceduri.</w:t>
      </w:r>
    </w:p>
    <w:p>
      <w:pPr>
        <w:pStyle w:val="ListParagraph"/>
        <w:numPr>
          <w:ilvl w:val="0"/>
          <w:numId w:val="13"/>
        </w:numPr>
        <w:rPr>
          <w:sz w:val="20"/>
          <w:szCs w:val="20"/>
          <w:lang w:val="ro-RO"/>
        </w:rPr>
      </w:pPr>
      <w:r>
        <w:rPr>
          <w:sz w:val="20"/>
          <w:szCs w:val="20"/>
          <w:lang w:val="ro-RO"/>
        </w:rPr>
        <w:t>turnarea betonului se poate face cu pompa, macara + bena, jgheab sau printr-o metoda combinata. Inaltimea de cadere libera a betonului nu trebuie sa fie mai mare de 3m, in cazul elementelor cu latime de maxim 1m, si 1,5m in celelalte cazuri, inclusiv elemente de suprafata (placi, fundatii etc). Betonarea elementelor cofrate pe inaltimi mai mari de 3m se va face prin ferestre laterale sau prin intermediul unui furtun sau tub (alcatuit din tronsoane de forma tronconica), avand capatul inferior situat la max. 1,5m de zona care se betoneaza.</w:t>
      </w:r>
    </w:p>
    <w:p>
      <w:pPr>
        <w:pStyle w:val="ListParagraph"/>
        <w:numPr>
          <w:ilvl w:val="0"/>
          <w:numId w:val="13"/>
        </w:numPr>
        <w:rPr>
          <w:sz w:val="20"/>
          <w:szCs w:val="20"/>
          <w:lang w:val="ro-RO"/>
        </w:rPr>
      </w:pPr>
      <w:r>
        <w:rPr>
          <w:sz w:val="20"/>
          <w:szCs w:val="20"/>
          <w:lang w:val="ro-RO"/>
        </w:rPr>
        <w:t>cofrajele de lemn, betonul vechi sau zidariile care vor veni in contact cu betonul proaspăt vor fi udate cu apa cu 2-3 ore înainte si imediat înainte de turnarea betonului, dar apa rămasă în denivelări va fi înlăturata.</w:t>
      </w:r>
    </w:p>
    <w:p>
      <w:pPr>
        <w:pStyle w:val="ListParagraph"/>
        <w:numPr>
          <w:ilvl w:val="0"/>
          <w:numId w:val="13"/>
        </w:numPr>
        <w:rPr>
          <w:sz w:val="20"/>
          <w:szCs w:val="20"/>
          <w:lang w:val="ro-RO"/>
        </w:rPr>
      </w:pPr>
      <w:r>
        <w:rPr>
          <w:sz w:val="20"/>
          <w:szCs w:val="20"/>
          <w:lang w:val="ro-RO"/>
        </w:rPr>
        <w:t>turnarea betonului se face în straturi orizontale uniforme, cu grosimea maxima de 50 cm.</w:t>
      </w:r>
    </w:p>
    <w:p>
      <w:pPr>
        <w:pStyle w:val="ListParagraph"/>
        <w:numPr>
          <w:ilvl w:val="0"/>
          <w:numId w:val="13"/>
        </w:numPr>
        <w:rPr>
          <w:sz w:val="20"/>
          <w:szCs w:val="20"/>
          <w:lang w:val="ro-RO"/>
        </w:rPr>
      </w:pPr>
      <w:r>
        <w:rPr>
          <w:sz w:val="20"/>
          <w:szCs w:val="20"/>
          <w:lang w:val="ro-RO"/>
        </w:rPr>
        <w:t>durata maxima admisa a întreruperilor de betonare, pentru care nu este necesara luarea unor masuri speciale la reluarea turnării, nu trebuie sa depăşească timpul de începere a prizei betonului; in lipsa unor determinări de laborator, aceasta se va considera de 2h de la prepararea betonului, in cazul cimenturilor cu adaosuri, respectiv 1.5 h in cazul cimenturilor fara adaos;</w:t>
      </w:r>
    </w:p>
    <w:p>
      <w:pPr>
        <w:pStyle w:val="ListParagraph"/>
        <w:numPr>
          <w:ilvl w:val="0"/>
          <w:numId w:val="13"/>
        </w:numPr>
        <w:rPr>
          <w:sz w:val="20"/>
          <w:szCs w:val="20"/>
          <w:lang w:val="ro-RO"/>
        </w:rPr>
      </w:pPr>
      <w:r>
        <w:rPr>
          <w:sz w:val="20"/>
          <w:szCs w:val="20"/>
          <w:lang w:val="ro-RO"/>
        </w:rPr>
        <w:t>in cazul în care s-a produs o întrerupere de betonare mai îndelungată, reluarea turnării este permisa numai dupa pregatirea suprafetelor rosturilor de lucru;</w:t>
      </w:r>
    </w:p>
    <w:p>
      <w:pPr>
        <w:pStyle w:val="ListParagraph"/>
        <w:numPr>
          <w:ilvl w:val="0"/>
          <w:numId w:val="13"/>
        </w:numPr>
        <w:rPr>
          <w:sz w:val="20"/>
          <w:szCs w:val="20"/>
          <w:lang w:val="ro-RO"/>
        </w:rPr>
      </w:pPr>
      <w:r>
        <w:rPr>
          <w:sz w:val="20"/>
          <w:szCs w:val="20"/>
          <w:lang w:val="ro-RO"/>
        </w:rPr>
        <w:t>rosturile orizontale si verticale se vor localiza si realiza conform proiectului tehnic de executie sau a dispozitiilor de santier emise de proiectant.</w:t>
      </w:r>
    </w:p>
    <w:p>
      <w:pPr>
        <w:pStyle w:val="ListParagraph"/>
        <w:numPr>
          <w:ilvl w:val="0"/>
          <w:numId w:val="13"/>
        </w:numPr>
        <w:rPr>
          <w:sz w:val="20"/>
          <w:szCs w:val="20"/>
          <w:lang w:val="ro-RO"/>
        </w:rPr>
      </w:pPr>
      <w:r>
        <w:rPr>
          <w:sz w:val="20"/>
          <w:szCs w:val="20"/>
          <w:lang w:val="ro-RO"/>
        </w:rPr>
        <w:t>la turnarea betonului se va evita dirijarea jetului direct pe barele de armatura sau pe piesele inglobate, pentru a evita deplasarea acestora.</w:t>
      </w:r>
    </w:p>
    <w:p>
      <w:pPr>
        <w:pStyle w:val="ListParagraph"/>
        <w:numPr>
          <w:ilvl w:val="0"/>
          <w:numId w:val="13"/>
        </w:numPr>
        <w:rPr>
          <w:sz w:val="20"/>
          <w:szCs w:val="20"/>
          <w:lang w:val="ro-RO"/>
        </w:rPr>
      </w:pPr>
      <w:r>
        <w:rPr>
          <w:sz w:val="20"/>
          <w:szCs w:val="20"/>
          <w:lang w:val="ro-RO"/>
        </w:rPr>
        <w:t>se va evita caderea corpurilor straine în beton.</w:t>
      </w:r>
    </w:p>
    <w:p>
      <w:pPr>
        <w:pStyle w:val="ListParagraph"/>
        <w:numPr>
          <w:ilvl w:val="0"/>
          <w:numId w:val="13"/>
        </w:numPr>
        <w:rPr>
          <w:sz w:val="20"/>
          <w:szCs w:val="20"/>
          <w:lang w:val="ro-RO"/>
        </w:rPr>
      </w:pPr>
      <w:r>
        <w:rPr>
          <w:sz w:val="20"/>
          <w:szCs w:val="20"/>
          <w:lang w:val="ro-RO"/>
        </w:rPr>
        <w:t>la montarea platformelor de lucru se va avea în vedere mentinerea armaturilor la pozitia lor.</w:t>
      </w:r>
    </w:p>
    <w:p>
      <w:pPr>
        <w:pStyle w:val="ListParagraph"/>
        <w:numPr>
          <w:ilvl w:val="0"/>
          <w:numId w:val="13"/>
        </w:numPr>
        <w:rPr>
          <w:sz w:val="20"/>
          <w:szCs w:val="20"/>
          <w:lang w:val="ro-RO"/>
        </w:rPr>
      </w:pPr>
      <w:r>
        <w:rPr>
          <w:sz w:val="20"/>
          <w:szCs w:val="20"/>
          <w:lang w:val="ro-RO"/>
        </w:rPr>
        <w:t>nu este permisa ciocanirea sau scuturarea armaturii in timpul betonarii si nici asezarea pe armaturi a vibratorului.</w:t>
      </w:r>
    </w:p>
    <w:p>
      <w:pPr>
        <w:pStyle w:val="ListParagraph"/>
        <w:numPr>
          <w:ilvl w:val="0"/>
          <w:numId w:val="13"/>
        </w:numPr>
        <w:rPr>
          <w:sz w:val="20"/>
          <w:szCs w:val="20"/>
          <w:lang w:val="ro-RO"/>
        </w:rPr>
      </w:pPr>
      <w:r>
        <w:rPr>
          <w:sz w:val="20"/>
          <w:szCs w:val="20"/>
          <w:lang w:val="ro-RO"/>
        </w:rPr>
        <w:t>in zonele cu armaturi dese se va urmari cu toata atentia umplerea completa a sectiunii, prin indesarea laterala a betonului cu sipci sau vergele de otel, concomitent cu vibrarea lui; in cazul in care aceste masuri nu sunt eficiente, se vor crea posibilitati de acces lateral al betonului, prin spatii care sa permita patrunderea vibratorului.</w:t>
      </w:r>
    </w:p>
    <w:p>
      <w:pPr>
        <w:pStyle w:val="ListParagraph"/>
        <w:numPr>
          <w:ilvl w:val="0"/>
          <w:numId w:val="13"/>
        </w:numPr>
        <w:rPr>
          <w:sz w:val="20"/>
          <w:szCs w:val="20"/>
          <w:lang w:val="ro-RO"/>
        </w:rPr>
      </w:pPr>
      <w:r>
        <w:rPr>
          <w:sz w:val="20"/>
          <w:szCs w:val="20"/>
          <w:lang w:val="ro-RO"/>
        </w:rPr>
        <w:lastRenderedPageBreak/>
        <w:t>circulaţia muncitorilor si a utilajului de transport in timpul betonarii se va face pe podine astfel rezemate incat sa nu modifice poziţia armaturii; este interzisa circulaţia directa pe armaturi sau pe zonele cu beton proaspat.</w:t>
      </w:r>
    </w:p>
    <w:p>
      <w:pPr>
        <w:pStyle w:val="ListParagraph"/>
        <w:numPr>
          <w:ilvl w:val="0"/>
          <w:numId w:val="13"/>
        </w:numPr>
        <w:rPr>
          <w:sz w:val="20"/>
          <w:szCs w:val="20"/>
          <w:lang w:val="ro-RO"/>
        </w:rPr>
      </w:pPr>
      <w:r>
        <w:rPr>
          <w:sz w:val="20"/>
          <w:szCs w:val="20"/>
          <w:lang w:val="ro-RO"/>
        </w:rPr>
        <w:t>durata maxima admisa a intreruperilor de betonare, pentru care nu este necesara luarea unor masuri speciale la reluarea turnarii, nu trebuie sa depaseasca timpul de incepere a prizei betonului.</w:t>
      </w:r>
    </w:p>
    <w:p>
      <w:pPr>
        <w:pStyle w:val="ListParagraph"/>
        <w:numPr>
          <w:ilvl w:val="0"/>
          <w:numId w:val="13"/>
        </w:numPr>
        <w:rPr>
          <w:sz w:val="20"/>
          <w:szCs w:val="20"/>
          <w:lang w:val="ro-RO"/>
        </w:rPr>
      </w:pPr>
      <w:r>
        <w:rPr>
          <w:sz w:val="20"/>
          <w:szCs w:val="20"/>
          <w:lang w:val="ro-RO"/>
        </w:rPr>
        <w:t>la betonarea elementelor verticale (stalpi, pereti, diafragme) cu inaltime de maxim 3m se admite cofrarea tuturor fetelor pe intreaga inaltime si betonarea pe la partea superioara a elementului; in cazul elementelor cu inaltimea mai mare de 3m se va proceda astfel:-cofrarea unei fete de maxim 1m inaltime si completarea cofrajului pe masura betonarii, sau compactarea se va face prin ferestrele laterale ori din interiorul elementului.</w:t>
      </w:r>
    </w:p>
    <w:p>
      <w:pPr>
        <w:pStyle w:val="ListParagraph"/>
        <w:numPr>
          <w:ilvl w:val="0"/>
          <w:numId w:val="13"/>
        </w:numPr>
        <w:rPr>
          <w:sz w:val="20"/>
          <w:szCs w:val="20"/>
          <w:lang w:val="ro-RO"/>
        </w:rPr>
      </w:pPr>
      <w:r>
        <w:rPr>
          <w:sz w:val="20"/>
          <w:szCs w:val="20"/>
          <w:lang w:val="ro-RO"/>
        </w:rPr>
        <w:t>la stalpi se vor prevedea rosturile numai la baza.</w:t>
      </w:r>
    </w:p>
    <w:p>
      <w:pPr>
        <w:pStyle w:val="ListParagraph"/>
        <w:numPr>
          <w:ilvl w:val="0"/>
          <w:numId w:val="13"/>
        </w:numPr>
        <w:rPr>
          <w:sz w:val="20"/>
          <w:szCs w:val="20"/>
          <w:lang w:val="ro-RO"/>
        </w:rPr>
      </w:pPr>
      <w:r>
        <w:rPr>
          <w:sz w:val="20"/>
          <w:szCs w:val="20"/>
          <w:lang w:val="ro-RO"/>
        </w:rPr>
        <w:t>turnarea grinzilor si a placilor va incepe dupa 1-2 ore de la terminarea turnarii stalpilor sau a peretilor pe care reazama grinzile, iar placile care vin in legatura se vor turna de regula in acelasi timp; se admite crearea unui rost de lucru la 1/5-1/3 din deschiderea placii si turnarea ulterioara a acesteia in cazul in care grinzile se betoneaza separat, rostul de lucru se lasa la 30-50 mm sub nivelul inferior al placii sau vutei placii; la placi, rostul de lucru va fi situat la 1/5</w:t>
      </w:r>
      <w:r>
        <w:rPr>
          <w:sz w:val="20"/>
          <w:szCs w:val="20"/>
          <w:lang w:val="ro-RO"/>
        </w:rPr>
        <w:tab/>
        <w:t xml:space="preserve"> 1/3 din deschiderea plăcii;</w:t>
      </w:r>
    </w:p>
    <w:p>
      <w:pPr>
        <w:pStyle w:val="ListParagraph"/>
        <w:numPr>
          <w:ilvl w:val="0"/>
          <w:numId w:val="13"/>
        </w:numPr>
        <w:rPr>
          <w:sz w:val="20"/>
          <w:szCs w:val="20"/>
          <w:lang w:val="ro-RO"/>
        </w:rPr>
      </w:pPr>
      <w:r>
        <w:rPr>
          <w:sz w:val="20"/>
          <w:szCs w:val="20"/>
          <w:lang w:val="ro-RO"/>
        </w:rPr>
        <w:t>la plansee cu nervuri, cand betonarea se face in direcţia nervurilor, rostul se face in zona cuprinsa intre 1/5</w:t>
      </w:r>
      <w:r>
        <w:rPr>
          <w:sz w:val="20"/>
          <w:szCs w:val="20"/>
          <w:lang w:val="ro-RO"/>
        </w:rPr>
        <w:tab/>
        <w:t>1/3 din deschiderea nervurilor; la turnarea plăcii se vor folosi repari dispuşi la distante de max. 2m, pentru a se asigura respectarea grosimilor prevăzute prin proiect.</w:t>
      </w:r>
    </w:p>
    <w:p>
      <w:pPr>
        <w:pStyle w:val="ListParagraph"/>
        <w:numPr>
          <w:ilvl w:val="0"/>
          <w:numId w:val="13"/>
        </w:numPr>
        <w:rPr>
          <w:sz w:val="20"/>
          <w:szCs w:val="20"/>
          <w:lang w:val="ro-RO"/>
        </w:rPr>
      </w:pPr>
      <w:r>
        <w:rPr>
          <w:sz w:val="20"/>
          <w:szCs w:val="20"/>
          <w:lang w:val="ro-RO"/>
        </w:rPr>
        <w:t>betonarea cadrelor se face de la noduri, pentru a se asigura umplerea completa a acestora.</w:t>
      </w:r>
    </w:p>
    <w:p>
      <w:pPr>
        <w:pStyle w:val="ListParagraph"/>
        <w:numPr>
          <w:ilvl w:val="0"/>
          <w:numId w:val="16"/>
        </w:numPr>
        <w:ind w:left="284"/>
        <w:rPr>
          <w:b/>
          <w:sz w:val="20"/>
          <w:szCs w:val="20"/>
          <w:lang w:val="ro-RO"/>
        </w:rPr>
      </w:pPr>
      <w:r>
        <w:rPr>
          <w:b/>
          <w:sz w:val="20"/>
          <w:szCs w:val="20"/>
          <w:lang w:val="ro-RO"/>
        </w:rPr>
        <w:t>Compactarea betonului</w:t>
      </w:r>
    </w:p>
    <w:p>
      <w:pPr>
        <w:pStyle w:val="ListParagraph"/>
        <w:numPr>
          <w:ilvl w:val="0"/>
          <w:numId w:val="13"/>
        </w:numPr>
        <w:rPr>
          <w:sz w:val="20"/>
          <w:szCs w:val="20"/>
          <w:lang w:val="ro-RO"/>
        </w:rPr>
      </w:pPr>
      <w:r>
        <w:rPr>
          <w:sz w:val="20"/>
          <w:szCs w:val="20"/>
          <w:lang w:val="ro-RO"/>
        </w:rPr>
        <w:t>straturile de beton vor fi vibrate cu vibratoare de interior (pervibrator)</w:t>
      </w:r>
    </w:p>
    <w:p>
      <w:pPr>
        <w:pStyle w:val="ListParagraph"/>
        <w:numPr>
          <w:ilvl w:val="0"/>
          <w:numId w:val="13"/>
        </w:numPr>
        <w:rPr>
          <w:sz w:val="20"/>
          <w:szCs w:val="20"/>
          <w:lang w:val="ro-RO"/>
        </w:rPr>
      </w:pPr>
      <w:r>
        <w:rPr>
          <w:sz w:val="20"/>
          <w:szCs w:val="20"/>
          <w:lang w:val="ro-RO"/>
        </w:rPr>
        <w:t>vibratoarele vor fi în număr suficient, asigurându-se si vibratoare de rezerva. Manevrarea vibratoarelor se va face numai de către muncitori instruiţi în acest sens.</w:t>
      </w:r>
    </w:p>
    <w:p>
      <w:pPr>
        <w:pStyle w:val="ListParagraph"/>
        <w:numPr>
          <w:ilvl w:val="0"/>
          <w:numId w:val="13"/>
        </w:numPr>
        <w:rPr>
          <w:sz w:val="20"/>
          <w:szCs w:val="20"/>
          <w:lang w:val="ro-RO"/>
        </w:rPr>
      </w:pPr>
      <w:r>
        <w:rPr>
          <w:sz w:val="20"/>
          <w:szCs w:val="20"/>
          <w:lang w:val="ro-RO"/>
        </w:rPr>
        <w:t>stratul de beton vibrat anterior va fi acoperit cu următorul, înainte de a începe priza cimentului, astfel ca stratul sa fie posibil de vibrat împreuna cu stratul nou turnat.</w:t>
      </w:r>
    </w:p>
    <w:p>
      <w:pPr>
        <w:pStyle w:val="ListParagraph"/>
        <w:numPr>
          <w:ilvl w:val="0"/>
          <w:numId w:val="13"/>
        </w:numPr>
        <w:rPr>
          <w:sz w:val="20"/>
          <w:szCs w:val="20"/>
          <w:lang w:val="ro-RO"/>
        </w:rPr>
      </w:pPr>
      <w:r>
        <w:rPr>
          <w:sz w:val="20"/>
          <w:szCs w:val="20"/>
          <w:lang w:val="ro-RO"/>
        </w:rPr>
        <w:t>vibratorul se introduce în beton sub acţiunea greutăţii proprii. Durata vibrării intr-un punct va fi de 5 - 30" funcţie de lucrabilitatea betonului. Punctele de vibrare vor fi astfel alese ca zonele de influenta sa se suprapună în plan. Se va evita contactul buteliei vibratorului cu cofrajul, barele de armaturi, piesele înglobate si instalaţiile înglobate.</w:t>
      </w:r>
    </w:p>
    <w:p>
      <w:pPr>
        <w:pStyle w:val="ListParagraph"/>
        <w:numPr>
          <w:ilvl w:val="0"/>
          <w:numId w:val="13"/>
        </w:numPr>
        <w:rPr>
          <w:sz w:val="20"/>
          <w:szCs w:val="20"/>
          <w:lang w:val="ro-RO"/>
        </w:rPr>
      </w:pPr>
      <w:r>
        <w:rPr>
          <w:sz w:val="20"/>
          <w:szCs w:val="20"/>
          <w:lang w:val="ro-RO"/>
        </w:rPr>
        <w:t>semnele după care se recunoaşte ca vibrarea s-a terminat, sunt următoarele:</w:t>
      </w:r>
    </w:p>
    <w:p>
      <w:pPr>
        <w:pStyle w:val="ListParagraph"/>
        <w:numPr>
          <w:ilvl w:val="0"/>
          <w:numId w:val="20"/>
        </w:numPr>
        <w:rPr>
          <w:sz w:val="20"/>
          <w:szCs w:val="20"/>
          <w:lang w:val="ro-RO"/>
        </w:rPr>
      </w:pPr>
      <w:r>
        <w:rPr>
          <w:sz w:val="20"/>
          <w:szCs w:val="20"/>
          <w:lang w:val="ro-RO"/>
        </w:rPr>
        <w:t>betonul nu se mai tasează,</w:t>
      </w:r>
    </w:p>
    <w:p>
      <w:pPr>
        <w:pStyle w:val="ListParagraph"/>
        <w:numPr>
          <w:ilvl w:val="0"/>
          <w:numId w:val="20"/>
        </w:numPr>
        <w:rPr>
          <w:sz w:val="20"/>
          <w:szCs w:val="20"/>
          <w:lang w:val="ro-RO"/>
        </w:rPr>
      </w:pPr>
      <w:r>
        <w:rPr>
          <w:sz w:val="20"/>
          <w:szCs w:val="20"/>
          <w:lang w:val="ro-RO"/>
        </w:rPr>
        <w:t>suprafaţa betonului devine orizontala si uşor lucioasa,</w:t>
      </w:r>
    </w:p>
    <w:p>
      <w:pPr>
        <w:pStyle w:val="ListParagraph"/>
        <w:numPr>
          <w:ilvl w:val="0"/>
          <w:numId w:val="20"/>
        </w:numPr>
        <w:rPr>
          <w:sz w:val="20"/>
          <w:szCs w:val="20"/>
          <w:lang w:val="ro-RO"/>
        </w:rPr>
      </w:pPr>
      <w:r>
        <w:rPr>
          <w:sz w:val="20"/>
          <w:szCs w:val="20"/>
          <w:lang w:val="ro-RO"/>
        </w:rPr>
        <w:t>încetează apariţia bulelor de aer la suprafaţa betonului.</w:t>
      </w:r>
    </w:p>
    <w:p>
      <w:pPr>
        <w:pStyle w:val="ListParagraph"/>
        <w:numPr>
          <w:ilvl w:val="0"/>
          <w:numId w:val="21"/>
        </w:numPr>
        <w:ind w:left="993"/>
        <w:rPr>
          <w:sz w:val="20"/>
          <w:szCs w:val="20"/>
          <w:lang w:val="ro-RO"/>
        </w:rPr>
      </w:pPr>
      <w:r>
        <w:rPr>
          <w:sz w:val="20"/>
          <w:szCs w:val="20"/>
          <w:lang w:val="ro-RO"/>
        </w:rPr>
        <w:t>distanta intre doua puncte succesive de introducere a vibratorului de interior este de maximum 1 m, reducându-se in funcţie de caracteristicile secţiunii si desimea armaturii.</w:t>
      </w:r>
    </w:p>
    <w:p>
      <w:pPr>
        <w:pStyle w:val="ListParagraph"/>
        <w:numPr>
          <w:ilvl w:val="0"/>
          <w:numId w:val="16"/>
        </w:numPr>
        <w:tabs>
          <w:tab w:val="left" w:pos="1088"/>
        </w:tabs>
        <w:ind w:left="284"/>
        <w:rPr>
          <w:b/>
          <w:sz w:val="20"/>
          <w:szCs w:val="20"/>
          <w:lang w:val="ro-RO"/>
        </w:rPr>
      </w:pPr>
      <w:r>
        <w:rPr>
          <w:b/>
          <w:sz w:val="20"/>
          <w:szCs w:val="20"/>
          <w:lang w:val="ro-RO"/>
        </w:rPr>
        <w:t>Întărirea si protecţia betonului</w:t>
      </w:r>
    </w:p>
    <w:p>
      <w:pPr>
        <w:pStyle w:val="ListParagraph"/>
        <w:numPr>
          <w:ilvl w:val="0"/>
          <w:numId w:val="21"/>
        </w:numPr>
        <w:tabs>
          <w:tab w:val="left" w:pos="1088"/>
        </w:tabs>
        <w:rPr>
          <w:sz w:val="20"/>
          <w:szCs w:val="20"/>
          <w:lang w:val="ro-RO"/>
        </w:rPr>
      </w:pPr>
      <w:r>
        <w:rPr>
          <w:sz w:val="20"/>
          <w:szCs w:val="20"/>
          <w:lang w:val="ro-RO"/>
        </w:rPr>
        <w:t>menţinerea umidităţii betonului timp de 7 zile, stropirea periodica a betonului, acoperirea cu folie pe timp de ploaie, protejarea cu prelate, rogojini sau strat de nisip.</w:t>
      </w:r>
    </w:p>
    <w:p>
      <w:pPr>
        <w:pStyle w:val="ListParagraph"/>
        <w:numPr>
          <w:ilvl w:val="0"/>
          <w:numId w:val="21"/>
        </w:numPr>
        <w:tabs>
          <w:tab w:val="left" w:pos="1088"/>
        </w:tabs>
        <w:rPr>
          <w:sz w:val="20"/>
          <w:szCs w:val="20"/>
          <w:lang w:val="ro-RO"/>
        </w:rPr>
      </w:pPr>
      <w:r>
        <w:rPr>
          <w:sz w:val="20"/>
          <w:szCs w:val="20"/>
          <w:lang w:val="ro-RO"/>
        </w:rPr>
        <w:t>stropirea cu apa va începe după 2-12 ore de la turnare, in funcţie de tipul de ciment utilizat si temperatura mediului, dar imediat după ce betonul este suficient de întărit pentru ca prin acesta operaţie sa nu fie antrenata pasta de ciment.</w:t>
      </w:r>
    </w:p>
    <w:p>
      <w:pPr>
        <w:pStyle w:val="ListParagraph"/>
        <w:numPr>
          <w:ilvl w:val="0"/>
          <w:numId w:val="21"/>
        </w:numPr>
        <w:tabs>
          <w:tab w:val="left" w:pos="1088"/>
        </w:tabs>
        <w:rPr>
          <w:sz w:val="20"/>
          <w:szCs w:val="20"/>
          <w:lang w:val="ro-RO"/>
        </w:rPr>
      </w:pPr>
      <w:r>
        <w:rPr>
          <w:sz w:val="20"/>
          <w:szCs w:val="20"/>
          <w:lang w:val="ro-RO"/>
        </w:rPr>
        <w:t>stropirea se va repeta la intervale de 2-6 ore, in aşa fel încât suprafaţa sa se menţină permanent umeda. Se va folosi apa care îndeplineşte condiţiile de calitate similare cu condiţiile de la apa de amestecare.</w:t>
      </w:r>
    </w:p>
    <w:p>
      <w:pPr>
        <w:pStyle w:val="ListParagraph"/>
        <w:numPr>
          <w:ilvl w:val="0"/>
          <w:numId w:val="21"/>
        </w:numPr>
        <w:tabs>
          <w:tab w:val="left" w:pos="1088"/>
        </w:tabs>
        <w:rPr>
          <w:sz w:val="20"/>
          <w:szCs w:val="20"/>
          <w:lang w:val="ro-RO"/>
        </w:rPr>
      </w:pPr>
      <w:r>
        <w:rPr>
          <w:sz w:val="20"/>
          <w:szCs w:val="20"/>
          <w:lang w:val="ro-RO"/>
        </w:rPr>
        <w:t>in cazul in care temperatura mediului este mai mica de + 5 C, nu se va proceda la stropire cu apa, ci se vor aplica materiale sau pelicule de protecţie.</w:t>
      </w:r>
    </w:p>
    <w:p>
      <w:pPr>
        <w:pStyle w:val="ListParagraph"/>
        <w:numPr>
          <w:ilvl w:val="0"/>
          <w:numId w:val="16"/>
        </w:numPr>
        <w:tabs>
          <w:tab w:val="left" w:pos="1088"/>
        </w:tabs>
        <w:ind w:left="284"/>
        <w:rPr>
          <w:b/>
          <w:sz w:val="20"/>
          <w:szCs w:val="20"/>
          <w:lang w:val="ro-RO"/>
        </w:rPr>
      </w:pPr>
      <w:r>
        <w:rPr>
          <w:b/>
          <w:sz w:val="20"/>
          <w:szCs w:val="20"/>
          <w:lang w:val="ro-RO"/>
        </w:rPr>
        <w:t>Prepararea betonului pe timp rece</w:t>
      </w:r>
    </w:p>
    <w:p>
      <w:pPr>
        <w:pStyle w:val="ListParagraph"/>
        <w:numPr>
          <w:ilvl w:val="0"/>
          <w:numId w:val="21"/>
        </w:numPr>
        <w:tabs>
          <w:tab w:val="left" w:pos="1088"/>
        </w:tabs>
        <w:rPr>
          <w:sz w:val="20"/>
          <w:szCs w:val="20"/>
          <w:lang w:val="ro-RO"/>
        </w:rPr>
      </w:pPr>
      <w:r>
        <w:rPr>
          <w:sz w:val="20"/>
          <w:szCs w:val="20"/>
          <w:lang w:val="ro-RO"/>
        </w:rPr>
        <w:t>pentru perioada de timp friguros se vor respecta prevederile normativului C 16/ 84.</w:t>
      </w:r>
    </w:p>
    <w:p>
      <w:pPr>
        <w:pStyle w:val="ListParagraph"/>
        <w:numPr>
          <w:ilvl w:val="0"/>
          <w:numId w:val="21"/>
        </w:numPr>
        <w:tabs>
          <w:tab w:val="left" w:pos="1088"/>
        </w:tabs>
        <w:rPr>
          <w:sz w:val="20"/>
          <w:szCs w:val="20"/>
          <w:lang w:val="ro-RO"/>
        </w:rPr>
      </w:pPr>
      <w:r>
        <w:rPr>
          <w:sz w:val="20"/>
          <w:szCs w:val="20"/>
          <w:lang w:val="ro-RO"/>
        </w:rPr>
        <w:t>masuri specifice ce trebuie luate in considerare pe timpul rece:</w:t>
      </w:r>
    </w:p>
    <w:p>
      <w:pPr>
        <w:pStyle w:val="ListParagraph"/>
        <w:numPr>
          <w:ilvl w:val="0"/>
          <w:numId w:val="22"/>
        </w:numPr>
        <w:tabs>
          <w:tab w:val="left" w:pos="1088"/>
        </w:tabs>
        <w:ind w:left="1134"/>
        <w:rPr>
          <w:sz w:val="20"/>
          <w:szCs w:val="20"/>
          <w:lang w:val="ro-RO"/>
        </w:rPr>
      </w:pPr>
      <w:r>
        <w:rPr>
          <w:sz w:val="20"/>
          <w:szCs w:val="20"/>
          <w:lang w:val="ro-RO"/>
        </w:rPr>
        <w:lastRenderedPageBreak/>
        <w:t>clima si regimul de temperatura existent in timpul preparării transportului si turnării betonului</w:t>
      </w:r>
    </w:p>
    <w:p>
      <w:pPr>
        <w:pStyle w:val="ListParagraph"/>
        <w:numPr>
          <w:ilvl w:val="0"/>
          <w:numId w:val="22"/>
        </w:numPr>
        <w:tabs>
          <w:tab w:val="left" w:pos="1088"/>
        </w:tabs>
        <w:ind w:left="1134"/>
        <w:rPr>
          <w:sz w:val="20"/>
          <w:szCs w:val="20"/>
          <w:lang w:val="ro-RO"/>
        </w:rPr>
      </w:pPr>
      <w:r>
        <w:rPr>
          <w:sz w:val="20"/>
          <w:szCs w:val="20"/>
          <w:lang w:val="ro-RO"/>
        </w:rPr>
        <w:t>masa si dimensiunile elementelor care sunt betonate</w:t>
      </w:r>
    </w:p>
    <w:p>
      <w:pPr>
        <w:pStyle w:val="ListParagraph"/>
        <w:numPr>
          <w:ilvl w:val="0"/>
          <w:numId w:val="21"/>
        </w:numPr>
        <w:tabs>
          <w:tab w:val="left" w:pos="1088"/>
        </w:tabs>
        <w:rPr>
          <w:sz w:val="20"/>
          <w:szCs w:val="20"/>
          <w:lang w:val="ro-RO"/>
        </w:rPr>
      </w:pPr>
      <w:r>
        <w:rPr>
          <w:sz w:val="20"/>
          <w:szCs w:val="20"/>
          <w:lang w:val="ro-RO"/>
        </w:rPr>
        <w:t>nivelul lucrărilor expuse ca suprafaţa si durata la rece in timpul perioadei de întărire a betonului</w:t>
      </w:r>
    </w:p>
    <w:p>
      <w:pPr>
        <w:pStyle w:val="ListParagraph"/>
        <w:numPr>
          <w:ilvl w:val="0"/>
          <w:numId w:val="21"/>
        </w:numPr>
        <w:tabs>
          <w:tab w:val="left" w:pos="1088"/>
        </w:tabs>
        <w:rPr>
          <w:sz w:val="20"/>
          <w:szCs w:val="20"/>
          <w:lang w:val="ro-RO"/>
        </w:rPr>
      </w:pPr>
      <w:r>
        <w:rPr>
          <w:sz w:val="20"/>
          <w:szCs w:val="20"/>
          <w:lang w:val="ro-RO"/>
        </w:rPr>
        <w:t>intensitatea aerului rece in acea perioada.</w:t>
      </w:r>
    </w:p>
    <w:p>
      <w:pPr>
        <w:pStyle w:val="ListParagraph"/>
        <w:numPr>
          <w:ilvl w:val="0"/>
          <w:numId w:val="21"/>
        </w:numPr>
        <w:tabs>
          <w:tab w:val="left" w:pos="1088"/>
        </w:tabs>
        <w:rPr>
          <w:sz w:val="20"/>
          <w:szCs w:val="20"/>
          <w:lang w:val="ro-RO"/>
        </w:rPr>
      </w:pPr>
      <w:r>
        <w:rPr>
          <w:sz w:val="20"/>
          <w:szCs w:val="20"/>
          <w:lang w:val="ro-RO"/>
        </w:rPr>
        <w:t>cofrajele trebuie curăţate bine de gheata si zăpada, se recomanda după turnare o curăţire cu jet de apa fierbinte sau abur</w:t>
      </w:r>
    </w:p>
    <w:p>
      <w:pPr>
        <w:pStyle w:val="ListParagraph"/>
        <w:numPr>
          <w:ilvl w:val="0"/>
          <w:numId w:val="21"/>
        </w:numPr>
        <w:tabs>
          <w:tab w:val="left" w:pos="1088"/>
        </w:tabs>
        <w:rPr>
          <w:sz w:val="20"/>
          <w:szCs w:val="20"/>
          <w:lang w:val="ro-RO"/>
        </w:rPr>
      </w:pPr>
      <w:r>
        <w:rPr>
          <w:sz w:val="20"/>
          <w:szCs w:val="20"/>
          <w:lang w:val="ro-RO"/>
        </w:rPr>
        <w:t>armaturile vor fi stocate in locuri acoperite; daca nu exista astfel de locuri, armaturile vor fi protejate pentru a evita zăpada căzuta sau gheata formata pe suprafaţa barelor</w:t>
      </w:r>
    </w:p>
    <w:p>
      <w:pPr>
        <w:pStyle w:val="ListParagraph"/>
        <w:numPr>
          <w:ilvl w:val="0"/>
          <w:numId w:val="21"/>
        </w:numPr>
        <w:tabs>
          <w:tab w:val="left" w:pos="1088"/>
        </w:tabs>
        <w:rPr>
          <w:sz w:val="20"/>
          <w:szCs w:val="20"/>
          <w:lang w:val="ro-RO"/>
        </w:rPr>
      </w:pPr>
      <w:r>
        <w:rPr>
          <w:sz w:val="20"/>
          <w:szCs w:val="20"/>
          <w:lang w:val="ro-RO"/>
        </w:rPr>
        <w:t xml:space="preserve">barele acoperite cu gheata vor fi curăţate prin lovire cu un ciocan de lemn. </w:t>
      </w:r>
    </w:p>
    <w:p>
      <w:pPr>
        <w:pStyle w:val="ListParagraph"/>
        <w:numPr>
          <w:ilvl w:val="0"/>
          <w:numId w:val="16"/>
        </w:numPr>
        <w:tabs>
          <w:tab w:val="left" w:pos="1088"/>
        </w:tabs>
        <w:ind w:left="284"/>
        <w:rPr>
          <w:b/>
          <w:sz w:val="20"/>
          <w:szCs w:val="20"/>
          <w:lang w:val="ro-RO"/>
        </w:rPr>
      </w:pPr>
      <w:r>
        <w:rPr>
          <w:b/>
          <w:sz w:val="20"/>
          <w:szCs w:val="20"/>
          <w:lang w:val="ro-RO"/>
        </w:rPr>
        <w:t>Decofrarea</w:t>
      </w:r>
    </w:p>
    <w:p>
      <w:pPr>
        <w:pStyle w:val="ListParagraph"/>
        <w:numPr>
          <w:ilvl w:val="0"/>
          <w:numId w:val="21"/>
        </w:numPr>
        <w:tabs>
          <w:tab w:val="left" w:pos="1088"/>
        </w:tabs>
        <w:rPr>
          <w:sz w:val="20"/>
          <w:szCs w:val="20"/>
          <w:lang w:val="ro-RO"/>
        </w:rPr>
      </w:pPr>
      <w:r>
        <w:rPr>
          <w:sz w:val="20"/>
          <w:szCs w:val="20"/>
          <w:lang w:val="ro-RO"/>
        </w:rPr>
        <w:t>elementele de construcţii pot fi decofrate atunci când betonul a atins o rezistenta de minimum 2,5 N/mm astfel încât fetele si muchiile elementelor sa nu fie deteriorate</w:t>
      </w:r>
    </w:p>
    <w:p>
      <w:pPr>
        <w:pStyle w:val="ListParagraph"/>
        <w:numPr>
          <w:ilvl w:val="0"/>
          <w:numId w:val="21"/>
        </w:numPr>
        <w:tabs>
          <w:tab w:val="left" w:pos="1088"/>
        </w:tabs>
        <w:rPr>
          <w:sz w:val="20"/>
          <w:szCs w:val="20"/>
          <w:lang w:val="ro-RO"/>
        </w:rPr>
      </w:pPr>
      <w:r>
        <w:rPr>
          <w:sz w:val="20"/>
          <w:szCs w:val="20"/>
          <w:lang w:val="ro-RO"/>
        </w:rPr>
        <w:t>cofrajele fetelor inferioare la placi si grinzi se vor îndepărta menţinând sau remontând popi de siguranţa, atunci când rezistenta betonului a atins fata de clasa, următoarele procente:</w:t>
      </w:r>
    </w:p>
    <w:p>
      <w:pPr>
        <w:pStyle w:val="ListParagraph"/>
        <w:numPr>
          <w:ilvl w:val="0"/>
          <w:numId w:val="23"/>
        </w:numPr>
        <w:tabs>
          <w:tab w:val="left" w:pos="1088"/>
        </w:tabs>
        <w:ind w:left="1134"/>
        <w:rPr>
          <w:sz w:val="20"/>
          <w:szCs w:val="20"/>
          <w:lang w:val="ro-RO"/>
        </w:rPr>
      </w:pPr>
      <w:r>
        <w:rPr>
          <w:sz w:val="20"/>
          <w:szCs w:val="20"/>
          <w:lang w:val="ro-RO"/>
        </w:rPr>
        <w:t>70% pentru elementele cu deschideri de max. 6m</w:t>
      </w:r>
    </w:p>
    <w:p>
      <w:pPr>
        <w:pStyle w:val="ListParagraph"/>
        <w:numPr>
          <w:ilvl w:val="0"/>
          <w:numId w:val="23"/>
        </w:numPr>
        <w:tabs>
          <w:tab w:val="left" w:pos="1088"/>
        </w:tabs>
        <w:ind w:left="1134"/>
        <w:rPr>
          <w:sz w:val="20"/>
          <w:szCs w:val="20"/>
          <w:lang w:val="ro-RO"/>
        </w:rPr>
      </w:pPr>
      <w:r>
        <w:rPr>
          <w:sz w:val="20"/>
          <w:szCs w:val="20"/>
          <w:lang w:val="ro-RO"/>
        </w:rPr>
        <w:t>85% pentru elemente cu deschideri mai mari de 6m</w:t>
      </w:r>
    </w:p>
    <w:p>
      <w:pPr>
        <w:pStyle w:val="ListParagraph"/>
        <w:numPr>
          <w:ilvl w:val="0"/>
          <w:numId w:val="21"/>
        </w:numPr>
        <w:tabs>
          <w:tab w:val="left" w:pos="1088"/>
        </w:tabs>
        <w:rPr>
          <w:sz w:val="20"/>
          <w:szCs w:val="20"/>
          <w:lang w:val="ro-RO"/>
        </w:rPr>
      </w:pPr>
      <w:r>
        <w:rPr>
          <w:sz w:val="20"/>
          <w:szCs w:val="20"/>
          <w:lang w:val="ro-RO"/>
        </w:rPr>
        <w:t>popii de siguranţa se vor îndepărta atunci când rezistenta betonului a atins fata de clasa următoarele procente:</w:t>
      </w:r>
    </w:p>
    <w:p>
      <w:pPr>
        <w:pStyle w:val="ListParagraph"/>
        <w:numPr>
          <w:ilvl w:val="0"/>
          <w:numId w:val="24"/>
        </w:numPr>
        <w:tabs>
          <w:tab w:val="left" w:pos="1088"/>
        </w:tabs>
        <w:ind w:left="1134"/>
        <w:rPr>
          <w:sz w:val="20"/>
          <w:szCs w:val="20"/>
          <w:lang w:val="ro-RO"/>
        </w:rPr>
      </w:pPr>
      <w:r>
        <w:rPr>
          <w:sz w:val="20"/>
          <w:szCs w:val="20"/>
          <w:lang w:val="ro-RO"/>
        </w:rPr>
        <w:t>95% pentru elemente cu deschideri de max. 6m;</w:t>
      </w:r>
    </w:p>
    <w:p>
      <w:pPr>
        <w:pStyle w:val="ListParagraph"/>
        <w:numPr>
          <w:ilvl w:val="0"/>
          <w:numId w:val="24"/>
        </w:numPr>
        <w:tabs>
          <w:tab w:val="left" w:pos="1088"/>
        </w:tabs>
        <w:ind w:left="1134"/>
        <w:rPr>
          <w:sz w:val="20"/>
          <w:szCs w:val="20"/>
          <w:lang w:val="ro-RO"/>
        </w:rPr>
      </w:pPr>
      <w:r>
        <w:rPr>
          <w:sz w:val="20"/>
          <w:szCs w:val="20"/>
          <w:lang w:val="ro-RO"/>
        </w:rPr>
        <w:t>112% pentru elemnte cu deschideri de 6...12m;</w:t>
      </w:r>
    </w:p>
    <w:p>
      <w:pPr>
        <w:pStyle w:val="ListParagraph"/>
        <w:numPr>
          <w:ilvl w:val="0"/>
          <w:numId w:val="24"/>
        </w:numPr>
        <w:tabs>
          <w:tab w:val="left" w:pos="1088"/>
        </w:tabs>
        <w:ind w:left="1134"/>
        <w:rPr>
          <w:sz w:val="20"/>
          <w:szCs w:val="20"/>
          <w:lang w:val="ro-RO"/>
        </w:rPr>
      </w:pPr>
      <w:r>
        <w:rPr>
          <w:sz w:val="20"/>
          <w:szCs w:val="20"/>
          <w:lang w:val="ro-RO"/>
        </w:rPr>
        <w:t>115% pentru elemente cu deschideri mai mari de 12m.</w:t>
      </w:r>
    </w:p>
    <w:p>
      <w:pPr>
        <w:pStyle w:val="ListParagraph"/>
        <w:numPr>
          <w:ilvl w:val="0"/>
          <w:numId w:val="16"/>
        </w:numPr>
        <w:ind w:left="426"/>
        <w:rPr>
          <w:b/>
          <w:sz w:val="20"/>
          <w:szCs w:val="20"/>
          <w:lang w:val="ro-RO"/>
        </w:rPr>
      </w:pPr>
      <w:r>
        <w:rPr>
          <w:b/>
          <w:sz w:val="20"/>
          <w:szCs w:val="20"/>
          <w:lang w:val="ro-RO"/>
        </w:rPr>
        <w:t>Controlul calităţii lucrărilor</w:t>
      </w:r>
    </w:p>
    <w:p>
      <w:pPr>
        <w:pStyle w:val="ListParagraph"/>
        <w:numPr>
          <w:ilvl w:val="0"/>
          <w:numId w:val="21"/>
        </w:numPr>
        <w:rPr>
          <w:sz w:val="20"/>
          <w:szCs w:val="20"/>
          <w:lang w:val="ro-RO"/>
        </w:rPr>
      </w:pPr>
      <w:r>
        <w:rPr>
          <w:sz w:val="20"/>
          <w:szCs w:val="20"/>
          <w:lang w:val="ro-RO"/>
        </w:rPr>
        <w:t>se interzice utilizarea materialelor aprovizionate care nu îndeplinesc condiţiile de calitate;</w:t>
      </w:r>
    </w:p>
    <w:p>
      <w:pPr>
        <w:pStyle w:val="ListParagraph"/>
        <w:numPr>
          <w:ilvl w:val="0"/>
          <w:numId w:val="21"/>
        </w:numPr>
        <w:rPr>
          <w:sz w:val="20"/>
          <w:szCs w:val="20"/>
          <w:lang w:val="ro-RO"/>
        </w:rPr>
      </w:pPr>
      <w:r>
        <w:rPr>
          <w:sz w:val="20"/>
          <w:szCs w:val="20"/>
          <w:lang w:val="ro-RO"/>
        </w:rPr>
        <w:t>nu se admite trecerea la o noua faza de execuţie înainte de încheierea procesului verbal referitor la faza precedenta, daca aceasta urmează sa devina o lucrare ascunsa;</w:t>
      </w:r>
    </w:p>
    <w:p>
      <w:pPr>
        <w:pStyle w:val="ListParagraph"/>
        <w:numPr>
          <w:ilvl w:val="0"/>
          <w:numId w:val="21"/>
        </w:numPr>
        <w:rPr>
          <w:sz w:val="20"/>
          <w:szCs w:val="20"/>
          <w:lang w:val="ro-RO"/>
        </w:rPr>
      </w:pPr>
      <w:r>
        <w:rPr>
          <w:sz w:val="20"/>
          <w:szCs w:val="20"/>
          <w:lang w:val="ro-RO"/>
        </w:rPr>
        <w:t>verificările care se efectuează sunt următoarele:</w:t>
      </w:r>
    </w:p>
    <w:p>
      <w:pPr>
        <w:pStyle w:val="ListParagraph"/>
        <w:numPr>
          <w:ilvl w:val="0"/>
          <w:numId w:val="25"/>
        </w:numPr>
        <w:rPr>
          <w:sz w:val="20"/>
          <w:szCs w:val="20"/>
          <w:lang w:val="ro-RO"/>
        </w:rPr>
      </w:pPr>
      <w:r>
        <w:rPr>
          <w:sz w:val="20"/>
          <w:szCs w:val="20"/>
          <w:lang w:val="ro-RO"/>
        </w:rPr>
        <w:t>executia sapaturilor pentru fundatii (adancimea si cota de fundare, natura terenului, pozitia in plan, dimensiunile sapaturilor)</w:t>
      </w:r>
    </w:p>
    <w:p>
      <w:pPr>
        <w:pStyle w:val="ListParagraph"/>
        <w:numPr>
          <w:ilvl w:val="0"/>
          <w:numId w:val="25"/>
        </w:numPr>
        <w:rPr>
          <w:sz w:val="20"/>
          <w:szCs w:val="20"/>
          <w:lang w:val="ro-RO"/>
        </w:rPr>
      </w:pPr>
      <w:r>
        <w:rPr>
          <w:sz w:val="20"/>
          <w:szCs w:val="20"/>
          <w:lang w:val="ro-RO"/>
        </w:rPr>
        <w:t>executia cofrajelor (alcatuirea elementelor de sustinere si sprijinire, etanseitatea cofrajelor, dimensiunile interioare, poziţia, poziţia golurilor)</w:t>
      </w:r>
    </w:p>
    <w:p>
      <w:pPr>
        <w:pStyle w:val="ListParagraph"/>
        <w:numPr>
          <w:ilvl w:val="0"/>
          <w:numId w:val="25"/>
        </w:numPr>
        <w:rPr>
          <w:sz w:val="20"/>
          <w:szCs w:val="20"/>
          <w:lang w:val="ro-RO"/>
        </w:rPr>
      </w:pPr>
      <w:r>
        <w:rPr>
          <w:sz w:val="20"/>
          <w:szCs w:val="20"/>
          <w:lang w:val="ro-RO"/>
        </w:rPr>
        <w:t>montarea armaturilor (numărul, diametrul si poziţia, distanta dintre etrieri, diametrul si modul de fixare a etrierilor, poziţia innadirilor si lungimile de petrecere ale barelor, calitatea sudurilor, numărul si calitatea legăturilor dintre bare, dispozitivele de menţinere a poziţiei armaturilor in cursul betonarii, modul de asigurare a grosimii stratului de acoperire cu beton, poziţia, modul de fixare si dimensiunile pieselor înglobate)</w:t>
      </w:r>
    </w:p>
    <w:p>
      <w:pPr>
        <w:pStyle w:val="ListParagraph"/>
        <w:numPr>
          <w:ilvl w:val="0"/>
          <w:numId w:val="25"/>
        </w:numPr>
        <w:rPr>
          <w:sz w:val="20"/>
          <w:szCs w:val="20"/>
          <w:lang w:val="ro-RO"/>
        </w:rPr>
      </w:pPr>
      <w:r>
        <w:rPr>
          <w:sz w:val="20"/>
          <w:szCs w:val="20"/>
          <w:lang w:val="ro-RO"/>
        </w:rPr>
        <w:t>elementele de construcţii betonate (datele din bonurile de livrare- transport ale betonului, consistenta, condiţii de turnare si compactare, frecventa încercărilor si a prelevărilor de probe)</w:t>
      </w:r>
    </w:p>
    <w:p>
      <w:pPr>
        <w:pStyle w:val="ListParagraph"/>
        <w:numPr>
          <w:ilvl w:val="0"/>
          <w:numId w:val="25"/>
        </w:numPr>
        <w:rPr>
          <w:sz w:val="20"/>
          <w:szCs w:val="20"/>
          <w:lang w:val="ro-RO"/>
        </w:rPr>
      </w:pPr>
      <w:r>
        <w:rPr>
          <w:sz w:val="20"/>
          <w:szCs w:val="20"/>
          <w:lang w:val="ro-RO"/>
        </w:rPr>
        <w:t>decofrarea (aspectul, dimensiunile, distanta, poziţia elementelor, poziţia golurilor, poziţia armaturilor)</w:t>
      </w:r>
    </w:p>
    <w:p>
      <w:pPr>
        <w:pStyle w:val="ListParagraph"/>
        <w:numPr>
          <w:ilvl w:val="0"/>
          <w:numId w:val="25"/>
        </w:numPr>
        <w:rPr>
          <w:sz w:val="20"/>
          <w:szCs w:val="20"/>
          <w:lang w:val="ro-RO"/>
        </w:rPr>
      </w:pPr>
      <w:r>
        <w:rPr>
          <w:sz w:val="20"/>
          <w:szCs w:val="20"/>
          <w:lang w:val="ro-RO"/>
        </w:rPr>
        <w:t>recepţionarea structurii de rezistenta se va efectua pe întreaga construcţie sau pe părţi de construcţie.</w:t>
      </w:r>
    </w:p>
    <w:p>
      <w:pPr>
        <w:pStyle w:val="ListParagraph"/>
        <w:numPr>
          <w:ilvl w:val="0"/>
          <w:numId w:val="16"/>
        </w:numPr>
        <w:ind w:left="426"/>
        <w:rPr>
          <w:b/>
          <w:sz w:val="20"/>
          <w:szCs w:val="20"/>
          <w:lang w:val="ro-RO"/>
        </w:rPr>
      </w:pPr>
      <w:r>
        <w:rPr>
          <w:b/>
          <w:sz w:val="20"/>
          <w:szCs w:val="20"/>
          <w:lang w:val="ro-RO"/>
        </w:rPr>
        <w:t>Remedierea defectelor de calitate</w:t>
      </w:r>
    </w:p>
    <w:p>
      <w:pPr>
        <w:rPr>
          <w:sz w:val="20"/>
          <w:szCs w:val="20"/>
          <w:lang w:val="ro-RO"/>
        </w:rPr>
      </w:pPr>
      <w:r>
        <w:rPr>
          <w:sz w:val="20"/>
          <w:szCs w:val="20"/>
          <w:lang w:val="ro-RO"/>
        </w:rPr>
        <w:t>Daca la decofrare se constata defecte de turnare (goluri, zone segregate), responsabilul tehnic cu execuţia atestat, împreuna cu controlorul CTC, vor întocmi rapoarte de neconformitate, iar proiectantul va emite dispoziţii de şantier pentru remedierea deficientelor.</w:t>
      </w:r>
    </w:p>
    <w:p>
      <w:pPr>
        <w:rPr>
          <w:sz w:val="20"/>
          <w:szCs w:val="20"/>
          <w:lang w:val="ro-RO"/>
        </w:rPr>
      </w:pPr>
      <w:r>
        <w:rPr>
          <w:sz w:val="20"/>
          <w:szCs w:val="20"/>
          <w:lang w:val="ro-RO"/>
        </w:rPr>
        <w:t>Decofrarea se va face astfel încât sa se evite preluarea bruscă a încărcărilor de către elementele care se decofrează, ruperea muchiilor betonului sau degradarea materialului, cofrajului si susţinerilor.</w:t>
      </w:r>
    </w:p>
    <w:p>
      <w:pPr>
        <w:rPr>
          <w:sz w:val="20"/>
          <w:szCs w:val="20"/>
          <w:lang w:val="ro-RO"/>
        </w:rPr>
      </w:pPr>
      <w:r>
        <w:rPr>
          <w:sz w:val="20"/>
          <w:szCs w:val="20"/>
          <w:lang w:val="ro-RO"/>
        </w:rPr>
        <w:t>Susţinerile cofrajelor se vor desface începând din zona centrala a deschiderii elementelor si continuând simetric către reazeme.</w:t>
      </w:r>
    </w:p>
    <w:p>
      <w:pPr>
        <w:rPr>
          <w:sz w:val="20"/>
          <w:szCs w:val="20"/>
          <w:lang w:val="ro-RO"/>
        </w:rPr>
      </w:pPr>
      <w:r>
        <w:rPr>
          <w:sz w:val="20"/>
          <w:szCs w:val="20"/>
          <w:lang w:val="ro-RO"/>
        </w:rPr>
        <w:t>Slăbirea pieselor de descentrare (pene, vinciuri) se va face treptat fără şocuri.</w:t>
      </w:r>
    </w:p>
    <w:p>
      <w:pPr>
        <w:rPr>
          <w:sz w:val="20"/>
          <w:szCs w:val="20"/>
          <w:lang w:val="ro-RO"/>
        </w:rPr>
      </w:pPr>
      <w:r>
        <w:rPr>
          <w:sz w:val="20"/>
          <w:szCs w:val="20"/>
          <w:lang w:val="ro-RO"/>
        </w:rPr>
        <w:lastRenderedPageBreak/>
        <w:t>In termen de 24 ore de la decofrarea oricărei părţi de construcţie se va proceda la examinarea amănunţita a tuturor elementelor de rezistenta ale structurii, încheindu-se un proces verbal in care se vor consemna calitatea lucrărilor, precum si eventualele defecte constatate. Este interzisa efectuarea de remedieri înainte de aceasta examinare.</w:t>
      </w:r>
    </w:p>
    <w:p>
      <w:pPr>
        <w:rPr>
          <w:sz w:val="20"/>
          <w:szCs w:val="20"/>
          <w:lang w:val="ro-RO"/>
        </w:rPr>
      </w:pPr>
      <w:r>
        <w:rPr>
          <w:sz w:val="20"/>
          <w:szCs w:val="20"/>
          <w:lang w:val="ro-RO"/>
        </w:rPr>
        <w:t>Sunt permise următoarele defecte privind aspectul elementelor din beton si beton armat:</w:t>
      </w:r>
    </w:p>
    <w:p>
      <w:pPr>
        <w:pStyle w:val="ListParagraph"/>
        <w:numPr>
          <w:ilvl w:val="0"/>
          <w:numId w:val="21"/>
        </w:numPr>
        <w:rPr>
          <w:sz w:val="20"/>
          <w:szCs w:val="20"/>
          <w:lang w:val="ro-RO"/>
        </w:rPr>
      </w:pPr>
      <w:r>
        <w:rPr>
          <w:sz w:val="20"/>
          <w:szCs w:val="20"/>
          <w:lang w:val="ro-RO"/>
        </w:rPr>
        <w:t>defecte de suprafaţa (pori, segregări, denivelări) având adâncimea de max. 1 cm si suprafaţa de max. 400cm2, iar totalitatea defectelor de acest tip fiind limitata la maximum 10% din suprafaţa fetei elementului pe care sunt situate;</w:t>
      </w:r>
    </w:p>
    <w:p>
      <w:pPr>
        <w:pStyle w:val="ListParagraph"/>
        <w:numPr>
          <w:ilvl w:val="0"/>
          <w:numId w:val="21"/>
        </w:numPr>
        <w:rPr>
          <w:sz w:val="20"/>
          <w:szCs w:val="20"/>
          <w:lang w:val="ro-RO"/>
        </w:rPr>
      </w:pPr>
      <w:r>
        <w:rPr>
          <w:sz w:val="20"/>
          <w:szCs w:val="20"/>
          <w:lang w:val="ro-RO"/>
        </w:rPr>
        <w:t>defecte in stratul de acoperire a armaturilor (ştirbiri locale, segregări) cu adâncimea mai mica decât grosimea stratului de acoperire pe lungime de max. 5cm, iar totalitatea defectelor de acest tip fiind limitata la max. 5% din lungimea muchiei respective.</w:t>
      </w:r>
    </w:p>
    <w:p>
      <w:pPr>
        <w:pStyle w:val="ListParagraph"/>
        <w:numPr>
          <w:ilvl w:val="0"/>
          <w:numId w:val="16"/>
        </w:numPr>
        <w:ind w:left="284"/>
        <w:rPr>
          <w:b/>
          <w:sz w:val="20"/>
          <w:szCs w:val="20"/>
          <w:lang w:val="ro-RO"/>
        </w:rPr>
      </w:pPr>
      <w:r>
        <w:rPr>
          <w:b/>
          <w:sz w:val="20"/>
          <w:szCs w:val="20"/>
          <w:lang w:val="ro-RO"/>
        </w:rPr>
        <w:t>Întreruperi neplanificate</w:t>
      </w:r>
    </w:p>
    <w:p>
      <w:pPr>
        <w:rPr>
          <w:sz w:val="20"/>
          <w:szCs w:val="20"/>
          <w:lang w:val="ro-RO"/>
        </w:rPr>
      </w:pPr>
      <w:r>
        <w:rPr>
          <w:sz w:val="20"/>
          <w:szCs w:val="20"/>
          <w:lang w:val="ro-RO"/>
        </w:rPr>
        <w:t>In cazul producerii unor defecţiuni, întreruperile se vor executa conform NE 012/2-2010.</w:t>
      </w:r>
    </w:p>
    <w:p>
      <w:pPr>
        <w:rPr>
          <w:sz w:val="20"/>
          <w:szCs w:val="20"/>
          <w:lang w:val="ro-RO"/>
        </w:rPr>
      </w:pPr>
      <w:r>
        <w:rPr>
          <w:sz w:val="20"/>
          <w:szCs w:val="20"/>
          <w:lang w:val="ro-RO"/>
        </w:rPr>
        <w:t>Se vor lua masuri de formare a rosturilor de poziţionare a benzilor de etanşare din profile PVC, prin strierea suprafeţelor betonului proaspăt si introducerea unei şipci, în vederea formarii rostului de îmbinare.</w:t>
      </w:r>
    </w:p>
    <w:p>
      <w:pPr>
        <w:rPr>
          <w:sz w:val="20"/>
          <w:szCs w:val="20"/>
          <w:lang w:val="ro-RO"/>
        </w:rPr>
      </w:pPr>
      <w:r>
        <w:rPr>
          <w:sz w:val="20"/>
          <w:szCs w:val="20"/>
          <w:lang w:val="ro-RO"/>
        </w:rPr>
        <w:t>Inaintea reluării betonării se vor îndepărta materialele străine, precum si laptele de ciment, si se va trece la curăţarea, buceardarea, îndepărtarea porţiunilor de beton segregat, udarea si suflarea cu aer comprimat.</w:t>
      </w:r>
    </w:p>
    <w:p>
      <w:pPr>
        <w:pStyle w:val="ListParagraph"/>
        <w:keepNext/>
        <w:numPr>
          <w:ilvl w:val="0"/>
          <w:numId w:val="16"/>
        </w:numPr>
        <w:ind w:left="288"/>
        <w:rPr>
          <w:b/>
          <w:sz w:val="20"/>
          <w:szCs w:val="20"/>
          <w:lang w:val="ro-RO"/>
        </w:rPr>
      </w:pPr>
      <w:r>
        <w:rPr>
          <w:b/>
          <w:sz w:val="20"/>
          <w:szCs w:val="20"/>
          <w:lang w:val="ro-RO"/>
        </w:rPr>
        <w:t>Personal</w:t>
      </w:r>
    </w:p>
    <w:p>
      <w:pPr>
        <w:rPr>
          <w:sz w:val="20"/>
          <w:szCs w:val="20"/>
          <w:lang w:val="ro-RO"/>
        </w:rPr>
      </w:pPr>
      <w:r>
        <w:rPr>
          <w:sz w:val="20"/>
          <w:szCs w:val="20"/>
          <w:lang w:val="ro-RO"/>
        </w:rPr>
        <w:t>Numărul personalului se va stabili în funcţie de volumul de lucrări şi de termenele de execuţie fixate, de comun acord între beneficiar si executant.</w:t>
      </w:r>
    </w:p>
    <w:p>
      <w:pPr>
        <w:pStyle w:val="ListParagraph"/>
        <w:numPr>
          <w:ilvl w:val="0"/>
          <w:numId w:val="16"/>
        </w:numPr>
        <w:ind w:left="284"/>
        <w:rPr>
          <w:b/>
          <w:sz w:val="20"/>
          <w:szCs w:val="20"/>
          <w:lang w:val="ro-RO"/>
        </w:rPr>
      </w:pPr>
      <w:r>
        <w:rPr>
          <w:b/>
          <w:sz w:val="20"/>
          <w:szCs w:val="20"/>
          <w:lang w:val="ro-RO"/>
        </w:rPr>
        <w:t>Acţiuni implicate</w:t>
      </w:r>
    </w:p>
    <w:p>
      <w:pPr>
        <w:pStyle w:val="ListParagraph"/>
        <w:numPr>
          <w:ilvl w:val="0"/>
          <w:numId w:val="21"/>
        </w:numPr>
        <w:rPr>
          <w:sz w:val="20"/>
          <w:szCs w:val="20"/>
          <w:lang w:val="ro-RO"/>
        </w:rPr>
      </w:pPr>
      <w:r>
        <w:rPr>
          <w:sz w:val="20"/>
          <w:szCs w:val="20"/>
          <w:lang w:val="ro-RO"/>
        </w:rPr>
        <w:t>Pregătirea terenului de fundare, a suprafeţelor de beton turnate anterior.</w:t>
      </w:r>
    </w:p>
    <w:p>
      <w:pPr>
        <w:pStyle w:val="ListParagraph"/>
        <w:numPr>
          <w:ilvl w:val="0"/>
          <w:numId w:val="21"/>
        </w:numPr>
        <w:rPr>
          <w:sz w:val="20"/>
          <w:szCs w:val="20"/>
          <w:lang w:val="ro-RO"/>
        </w:rPr>
      </w:pPr>
      <w:r>
        <w:rPr>
          <w:sz w:val="20"/>
          <w:szCs w:val="20"/>
          <w:lang w:val="ro-RO"/>
        </w:rPr>
        <w:t>Prepararea, transportul si manipularea betonului.</w:t>
      </w:r>
    </w:p>
    <w:p>
      <w:pPr>
        <w:pStyle w:val="ListParagraph"/>
        <w:numPr>
          <w:ilvl w:val="0"/>
          <w:numId w:val="21"/>
        </w:numPr>
        <w:rPr>
          <w:sz w:val="20"/>
          <w:szCs w:val="20"/>
          <w:lang w:val="ro-RO"/>
        </w:rPr>
      </w:pPr>
      <w:r>
        <w:rPr>
          <w:sz w:val="20"/>
          <w:szCs w:val="20"/>
          <w:lang w:val="ro-RO"/>
        </w:rPr>
        <w:t>Recoltarea probelor de beton, verificarea datelor înscrise in bonul de transport.</w:t>
      </w:r>
    </w:p>
    <w:p>
      <w:pPr>
        <w:pStyle w:val="ListParagraph"/>
        <w:numPr>
          <w:ilvl w:val="0"/>
          <w:numId w:val="21"/>
        </w:numPr>
        <w:rPr>
          <w:sz w:val="20"/>
          <w:szCs w:val="20"/>
          <w:lang w:val="ro-RO"/>
        </w:rPr>
      </w:pPr>
      <w:r>
        <w:rPr>
          <w:sz w:val="20"/>
          <w:szCs w:val="20"/>
          <w:lang w:val="ro-RO"/>
        </w:rPr>
        <w:t>Toate turnările de betoane se vor efectua numai după verificarea cofrajelor, armaturilor, pieselor înglobate sau a cotei de fundare si se vor înscrie in condica de betoane.</w:t>
      </w:r>
    </w:p>
    <w:p>
      <w:pPr>
        <w:pStyle w:val="ListParagraph"/>
        <w:numPr>
          <w:ilvl w:val="0"/>
          <w:numId w:val="21"/>
        </w:numPr>
        <w:rPr>
          <w:sz w:val="20"/>
          <w:szCs w:val="20"/>
          <w:lang w:val="ro-RO"/>
        </w:rPr>
      </w:pPr>
      <w:r>
        <w:rPr>
          <w:sz w:val="20"/>
          <w:szCs w:val="20"/>
          <w:lang w:val="ro-RO"/>
        </w:rPr>
        <w:t>Compactarea betonului.</w:t>
      </w:r>
    </w:p>
    <w:p>
      <w:pPr>
        <w:pStyle w:val="ListParagraph"/>
        <w:numPr>
          <w:ilvl w:val="0"/>
          <w:numId w:val="21"/>
        </w:numPr>
        <w:rPr>
          <w:sz w:val="20"/>
          <w:szCs w:val="20"/>
          <w:lang w:val="ro-RO"/>
        </w:rPr>
      </w:pPr>
      <w:r>
        <w:rPr>
          <w:sz w:val="20"/>
          <w:szCs w:val="20"/>
          <w:lang w:val="ro-RO"/>
        </w:rPr>
        <w:t>Finisarea suprafeţelor si tratarea rosturilor.</w:t>
      </w:r>
    </w:p>
    <w:p>
      <w:pPr>
        <w:pStyle w:val="ListParagraph"/>
        <w:numPr>
          <w:ilvl w:val="0"/>
          <w:numId w:val="21"/>
        </w:numPr>
        <w:rPr>
          <w:sz w:val="20"/>
          <w:szCs w:val="20"/>
          <w:lang w:val="ro-RO"/>
        </w:rPr>
      </w:pPr>
      <w:r>
        <w:rPr>
          <w:sz w:val="20"/>
          <w:szCs w:val="20"/>
          <w:lang w:val="ro-RO"/>
        </w:rPr>
        <w:t>întreruperi neplanificate si protecţia betonului după turnare.</w:t>
      </w:r>
    </w:p>
    <w:p>
      <w:pPr>
        <w:pStyle w:val="ListParagraph"/>
        <w:numPr>
          <w:ilvl w:val="0"/>
          <w:numId w:val="21"/>
        </w:numPr>
        <w:rPr>
          <w:sz w:val="20"/>
          <w:szCs w:val="20"/>
          <w:lang w:val="ro-RO"/>
        </w:rPr>
      </w:pPr>
      <w:r>
        <w:rPr>
          <w:sz w:val="20"/>
          <w:szCs w:val="20"/>
          <w:lang w:val="ro-RO"/>
        </w:rPr>
        <w:t>Remedierea defectelor de turnare si întocmirea proceselor verbale de recepţie calitativa a lucrărilor ce devin ascunse.</w:t>
      </w:r>
    </w:p>
    <w:p>
      <w:pPr>
        <w:pStyle w:val="Heading3"/>
        <w:rPr>
          <w:sz w:val="20"/>
          <w:szCs w:val="20"/>
          <w:lang w:val="ro-RO"/>
        </w:rPr>
      </w:pPr>
      <w:bookmarkStart w:id="31" w:name="_Toc227161506"/>
      <w:r>
        <w:rPr>
          <w:sz w:val="20"/>
          <w:szCs w:val="20"/>
          <w:lang w:val="ro-RO"/>
        </w:rPr>
        <w:t>2.2.3 Cerinţe privind lucrările de construcţii metalice</w:t>
      </w:r>
      <w:bookmarkEnd w:id="31"/>
      <w:r>
        <w:rPr>
          <w:sz w:val="20"/>
          <w:szCs w:val="20"/>
          <w:lang w:val="ro-RO"/>
        </w:rPr>
        <w:t xml:space="preserve"> </w:t>
      </w:r>
    </w:p>
    <w:p>
      <w:pPr>
        <w:pStyle w:val="Heading4"/>
        <w:rPr>
          <w:sz w:val="20"/>
          <w:szCs w:val="20"/>
          <w:lang w:val="ro-RO"/>
        </w:rPr>
      </w:pPr>
      <w:r>
        <w:rPr>
          <w:sz w:val="20"/>
          <w:szCs w:val="20"/>
          <w:lang w:val="ro-RO"/>
        </w:rPr>
        <w:t>2.2.3.1 Conditii prealabile</w:t>
      </w:r>
    </w:p>
    <w:p>
      <w:pPr>
        <w:rPr>
          <w:sz w:val="20"/>
          <w:szCs w:val="20"/>
          <w:lang w:val="ro-RO"/>
        </w:rPr>
      </w:pPr>
      <w:r>
        <w:rPr>
          <w:sz w:val="20"/>
          <w:szCs w:val="20"/>
          <w:lang w:val="ro-RO"/>
        </w:rPr>
        <w:t>Lucrările se vor executa in conformitate cu proiectul tehnic de execuţie, instrucţiunile tehnice aplicabile emise de producător, proiectant sau executant;</w:t>
      </w:r>
    </w:p>
    <w:p>
      <w:pPr>
        <w:rPr>
          <w:sz w:val="20"/>
          <w:szCs w:val="20"/>
          <w:lang w:val="ro-RO"/>
        </w:rPr>
      </w:pPr>
      <w:r>
        <w:rPr>
          <w:sz w:val="20"/>
          <w:szCs w:val="20"/>
          <w:lang w:val="ro-RO"/>
        </w:rPr>
        <w:t>La începerea lucrării se vor verifica următoarele:</w:t>
      </w:r>
    </w:p>
    <w:p>
      <w:pPr>
        <w:pStyle w:val="ListParagraph"/>
        <w:numPr>
          <w:ilvl w:val="0"/>
          <w:numId w:val="21"/>
        </w:numPr>
        <w:rPr>
          <w:sz w:val="20"/>
          <w:szCs w:val="20"/>
          <w:lang w:val="ro-RO"/>
        </w:rPr>
      </w:pPr>
      <w:r>
        <w:rPr>
          <w:sz w:val="20"/>
          <w:szCs w:val="20"/>
          <w:lang w:val="ro-RO"/>
        </w:rPr>
        <w:t>Existenta autorizaţiei de construcţie;</w:t>
      </w:r>
    </w:p>
    <w:p>
      <w:pPr>
        <w:pStyle w:val="ListParagraph"/>
        <w:numPr>
          <w:ilvl w:val="0"/>
          <w:numId w:val="21"/>
        </w:numPr>
        <w:rPr>
          <w:sz w:val="20"/>
          <w:szCs w:val="20"/>
          <w:lang w:val="ro-RO"/>
        </w:rPr>
      </w:pPr>
      <w:r>
        <w:rPr>
          <w:sz w:val="20"/>
          <w:szCs w:val="20"/>
          <w:lang w:val="ro-RO"/>
        </w:rPr>
        <w:t>Existenta procesului verbal de predare-primire a frontului de lucru;</w:t>
      </w:r>
    </w:p>
    <w:p>
      <w:pPr>
        <w:pStyle w:val="ListParagraph"/>
        <w:numPr>
          <w:ilvl w:val="0"/>
          <w:numId w:val="21"/>
        </w:numPr>
        <w:rPr>
          <w:sz w:val="20"/>
          <w:szCs w:val="20"/>
          <w:lang w:val="ro-RO"/>
        </w:rPr>
      </w:pPr>
      <w:r>
        <w:rPr>
          <w:sz w:val="20"/>
          <w:szCs w:val="20"/>
          <w:lang w:val="ro-RO"/>
        </w:rPr>
        <w:t>Existenta utilităţilor (energie electrica, apa);</w:t>
      </w:r>
    </w:p>
    <w:p>
      <w:pPr>
        <w:pStyle w:val="ListParagraph"/>
        <w:numPr>
          <w:ilvl w:val="0"/>
          <w:numId w:val="21"/>
        </w:numPr>
        <w:rPr>
          <w:sz w:val="20"/>
          <w:szCs w:val="20"/>
          <w:lang w:val="ro-RO"/>
        </w:rPr>
      </w:pPr>
      <w:r>
        <w:rPr>
          <w:sz w:val="20"/>
          <w:szCs w:val="20"/>
          <w:lang w:val="ro-RO"/>
        </w:rPr>
        <w:t>Existenta echipamentelor de lucru adecvate;</w:t>
      </w:r>
    </w:p>
    <w:p>
      <w:pPr>
        <w:pStyle w:val="ListParagraph"/>
        <w:numPr>
          <w:ilvl w:val="0"/>
          <w:numId w:val="21"/>
        </w:numPr>
        <w:rPr>
          <w:sz w:val="20"/>
          <w:szCs w:val="20"/>
          <w:lang w:val="ro-RO"/>
        </w:rPr>
      </w:pPr>
      <w:r>
        <w:rPr>
          <w:sz w:val="20"/>
          <w:szCs w:val="20"/>
          <w:lang w:val="ro-RO"/>
        </w:rPr>
        <w:t>Existenta echipamentelor de măsurare si monitorizare specificate in PCCVI si in PTE;</w:t>
      </w:r>
    </w:p>
    <w:p>
      <w:pPr>
        <w:pStyle w:val="ListParagraph"/>
        <w:numPr>
          <w:ilvl w:val="0"/>
          <w:numId w:val="21"/>
        </w:numPr>
        <w:rPr>
          <w:sz w:val="20"/>
          <w:szCs w:val="20"/>
          <w:lang w:val="ro-RO"/>
        </w:rPr>
      </w:pPr>
      <w:r>
        <w:rPr>
          <w:sz w:val="20"/>
          <w:szCs w:val="20"/>
          <w:lang w:val="ro-RO"/>
        </w:rPr>
        <w:t>Existenta sculelor necesare pentru efectuarea operaţiilor tehnologice specifice lucrării;</w:t>
      </w:r>
    </w:p>
    <w:p>
      <w:pPr>
        <w:pStyle w:val="ListParagraph"/>
        <w:numPr>
          <w:ilvl w:val="0"/>
          <w:numId w:val="21"/>
        </w:numPr>
        <w:rPr>
          <w:sz w:val="20"/>
          <w:szCs w:val="20"/>
          <w:lang w:val="ro-RO"/>
        </w:rPr>
      </w:pPr>
      <w:r>
        <w:rPr>
          <w:sz w:val="20"/>
          <w:szCs w:val="20"/>
          <w:lang w:val="ro-RO"/>
        </w:rPr>
        <w:t>Finalizarea/recepţionarea lucrărilor pregătitoare;</w:t>
      </w:r>
    </w:p>
    <w:p>
      <w:pPr>
        <w:pStyle w:val="ListParagraph"/>
        <w:numPr>
          <w:ilvl w:val="0"/>
          <w:numId w:val="21"/>
        </w:numPr>
        <w:rPr>
          <w:sz w:val="20"/>
          <w:szCs w:val="20"/>
          <w:lang w:val="ro-RO"/>
        </w:rPr>
      </w:pPr>
      <w:r>
        <w:rPr>
          <w:sz w:val="20"/>
          <w:szCs w:val="20"/>
          <w:lang w:val="ro-RO"/>
        </w:rPr>
        <w:t>Instruirea personalului cu PTE si instrucţiuni de lucru aplicabile;</w:t>
      </w:r>
    </w:p>
    <w:p>
      <w:pPr>
        <w:pStyle w:val="ListParagraph"/>
        <w:numPr>
          <w:ilvl w:val="0"/>
          <w:numId w:val="21"/>
        </w:numPr>
        <w:rPr>
          <w:sz w:val="20"/>
          <w:szCs w:val="20"/>
          <w:lang w:val="ro-RO"/>
        </w:rPr>
      </w:pPr>
      <w:r>
        <w:rPr>
          <w:sz w:val="20"/>
          <w:szCs w:val="20"/>
          <w:lang w:val="ro-RO"/>
        </w:rPr>
        <w:t>Dotarea personalului de execuţie cu echipament individual de protecţie corespunzător lucrărilor de efectuat (salopeta, casca, cizme de cauciuc, ochelari de protecţie).</w:t>
      </w:r>
    </w:p>
    <w:p>
      <w:pPr>
        <w:pStyle w:val="Heading4"/>
        <w:rPr>
          <w:sz w:val="20"/>
          <w:szCs w:val="20"/>
          <w:lang w:val="ro-RO"/>
        </w:rPr>
      </w:pPr>
      <w:r>
        <w:rPr>
          <w:sz w:val="20"/>
          <w:szCs w:val="20"/>
          <w:lang w:val="ro-RO"/>
        </w:rPr>
        <w:t>2.2.3.2 Montajul confecţiilor metalice</w:t>
      </w:r>
    </w:p>
    <w:p>
      <w:pPr>
        <w:pStyle w:val="ListParagraph"/>
        <w:numPr>
          <w:ilvl w:val="0"/>
          <w:numId w:val="21"/>
        </w:numPr>
        <w:rPr>
          <w:sz w:val="20"/>
          <w:szCs w:val="20"/>
          <w:lang w:val="ro-RO"/>
        </w:rPr>
      </w:pPr>
      <w:r>
        <w:rPr>
          <w:sz w:val="20"/>
          <w:szCs w:val="20"/>
          <w:lang w:val="ro-RO"/>
        </w:rPr>
        <w:t>Montarea se realizează pe baza prevederilor proiectului tehnic de execuţie si a reglementarilor tehnice in vigoare;</w:t>
      </w:r>
    </w:p>
    <w:p>
      <w:pPr>
        <w:pStyle w:val="ListParagraph"/>
        <w:numPr>
          <w:ilvl w:val="0"/>
          <w:numId w:val="21"/>
        </w:numPr>
        <w:rPr>
          <w:sz w:val="20"/>
          <w:szCs w:val="20"/>
          <w:lang w:val="ro-RO"/>
        </w:rPr>
      </w:pPr>
      <w:r>
        <w:rPr>
          <w:sz w:val="20"/>
          <w:szCs w:val="20"/>
          <w:lang w:val="ro-RO"/>
        </w:rPr>
        <w:lastRenderedPageBreak/>
        <w:t>La primirea pe şantier a elementelor metalice, se va efectua recepţia acestora;</w:t>
      </w:r>
    </w:p>
    <w:p>
      <w:pPr>
        <w:pStyle w:val="ListParagraph"/>
        <w:numPr>
          <w:ilvl w:val="0"/>
          <w:numId w:val="21"/>
        </w:numPr>
        <w:rPr>
          <w:sz w:val="20"/>
          <w:szCs w:val="20"/>
          <w:lang w:val="ro-RO"/>
        </w:rPr>
      </w:pPr>
      <w:r>
        <w:rPr>
          <w:sz w:val="20"/>
          <w:szCs w:val="20"/>
          <w:lang w:val="ro-RO"/>
        </w:rPr>
        <w:t>Montarea se face prin intermediul şuruburilor (buloanelor) de montaj sau prin sudare de praznuri, respectiv plăcuţe metalice înglobate;</w:t>
      </w:r>
    </w:p>
    <w:p>
      <w:pPr>
        <w:pStyle w:val="ListParagraph"/>
        <w:numPr>
          <w:ilvl w:val="0"/>
          <w:numId w:val="21"/>
        </w:numPr>
        <w:rPr>
          <w:sz w:val="20"/>
          <w:szCs w:val="20"/>
          <w:lang w:val="ro-RO"/>
        </w:rPr>
      </w:pPr>
      <w:r>
        <w:rPr>
          <w:sz w:val="20"/>
          <w:szCs w:val="20"/>
          <w:lang w:val="ro-RO"/>
        </w:rPr>
        <w:t>Principalele operaţii ale montajului sunt:</w:t>
      </w:r>
    </w:p>
    <w:p>
      <w:pPr>
        <w:pStyle w:val="ListParagraph"/>
        <w:numPr>
          <w:ilvl w:val="0"/>
          <w:numId w:val="26"/>
        </w:numPr>
        <w:rPr>
          <w:sz w:val="20"/>
          <w:szCs w:val="20"/>
          <w:lang w:val="ro-RO"/>
        </w:rPr>
      </w:pPr>
      <w:r>
        <w:rPr>
          <w:sz w:val="20"/>
          <w:szCs w:val="20"/>
          <w:lang w:val="ro-RO"/>
        </w:rPr>
        <w:t>Verificarea elementelor metalice ce urmează a fi montate;</w:t>
      </w:r>
    </w:p>
    <w:p>
      <w:pPr>
        <w:pStyle w:val="ListParagraph"/>
        <w:numPr>
          <w:ilvl w:val="0"/>
          <w:numId w:val="26"/>
        </w:numPr>
        <w:rPr>
          <w:sz w:val="20"/>
          <w:szCs w:val="20"/>
          <w:lang w:val="ro-RO"/>
        </w:rPr>
      </w:pPr>
      <w:r>
        <w:rPr>
          <w:sz w:val="20"/>
          <w:szCs w:val="20"/>
          <w:lang w:val="ro-RO"/>
        </w:rPr>
        <w:t>Trasarea poziţiei de montaj a elementelor;</w:t>
      </w:r>
    </w:p>
    <w:p>
      <w:pPr>
        <w:pStyle w:val="ListParagraph"/>
        <w:numPr>
          <w:ilvl w:val="0"/>
          <w:numId w:val="26"/>
        </w:numPr>
        <w:rPr>
          <w:sz w:val="20"/>
          <w:szCs w:val="20"/>
          <w:lang w:val="ro-RO"/>
        </w:rPr>
      </w:pPr>
      <w:r>
        <w:rPr>
          <w:sz w:val="20"/>
          <w:szCs w:val="20"/>
          <w:lang w:val="ro-RO"/>
        </w:rPr>
        <w:t>Poziţionarea elementelor metalice ce urmează a fi montate.</w:t>
      </w:r>
    </w:p>
    <w:p>
      <w:pPr>
        <w:pStyle w:val="ListParagraph"/>
        <w:numPr>
          <w:ilvl w:val="0"/>
          <w:numId w:val="16"/>
        </w:numPr>
        <w:ind w:left="284"/>
        <w:rPr>
          <w:b/>
          <w:sz w:val="20"/>
          <w:szCs w:val="20"/>
          <w:lang w:val="ro-RO"/>
        </w:rPr>
      </w:pPr>
      <w:r>
        <w:rPr>
          <w:b/>
          <w:sz w:val="20"/>
          <w:szCs w:val="20"/>
          <w:lang w:val="ro-RO"/>
        </w:rPr>
        <w:t>Asigurarea  poziţiei  finale  a  elementelor  metalice, avându-se în  vedere următoarele:</w:t>
      </w:r>
    </w:p>
    <w:p>
      <w:pPr>
        <w:pStyle w:val="ListParagraph"/>
        <w:numPr>
          <w:ilvl w:val="0"/>
          <w:numId w:val="27"/>
        </w:numPr>
        <w:rPr>
          <w:sz w:val="20"/>
          <w:szCs w:val="20"/>
          <w:lang w:val="ro-RO"/>
        </w:rPr>
      </w:pPr>
      <w:r>
        <w:rPr>
          <w:sz w:val="20"/>
          <w:szCs w:val="20"/>
          <w:lang w:val="ro-RO"/>
        </w:rPr>
        <w:t>verticalitatea si orizontalitatea elementelor montate;</w:t>
      </w:r>
    </w:p>
    <w:p>
      <w:pPr>
        <w:pStyle w:val="ListParagraph"/>
        <w:numPr>
          <w:ilvl w:val="0"/>
          <w:numId w:val="27"/>
        </w:numPr>
        <w:rPr>
          <w:sz w:val="20"/>
          <w:szCs w:val="20"/>
          <w:lang w:val="ro-RO"/>
        </w:rPr>
      </w:pPr>
      <w:r>
        <w:rPr>
          <w:sz w:val="20"/>
          <w:szCs w:val="20"/>
          <w:lang w:val="ro-RO"/>
        </w:rPr>
        <w:t>inălţimea constanta fata de pardoseala;</w:t>
      </w:r>
    </w:p>
    <w:p>
      <w:pPr>
        <w:pStyle w:val="ListParagraph"/>
        <w:numPr>
          <w:ilvl w:val="0"/>
          <w:numId w:val="27"/>
        </w:numPr>
        <w:rPr>
          <w:sz w:val="20"/>
          <w:szCs w:val="20"/>
          <w:lang w:val="ro-RO"/>
        </w:rPr>
      </w:pPr>
      <w:r>
        <w:rPr>
          <w:sz w:val="20"/>
          <w:szCs w:val="20"/>
          <w:lang w:val="ro-RO"/>
        </w:rPr>
        <w:t>alinierea în planul pereţilor;</w:t>
      </w:r>
    </w:p>
    <w:p>
      <w:pPr>
        <w:pStyle w:val="ListParagraph"/>
        <w:numPr>
          <w:ilvl w:val="0"/>
          <w:numId w:val="27"/>
        </w:numPr>
        <w:rPr>
          <w:sz w:val="20"/>
          <w:szCs w:val="20"/>
          <w:lang w:val="ro-RO"/>
        </w:rPr>
      </w:pPr>
      <w:r>
        <w:rPr>
          <w:sz w:val="20"/>
          <w:szCs w:val="20"/>
          <w:lang w:val="ro-RO"/>
        </w:rPr>
        <w:t>luftul constant al foilor de usi fata de pardoseala;</w:t>
      </w:r>
    </w:p>
    <w:p>
      <w:pPr>
        <w:pStyle w:val="ListParagraph"/>
        <w:numPr>
          <w:ilvl w:val="0"/>
          <w:numId w:val="27"/>
        </w:numPr>
        <w:rPr>
          <w:sz w:val="20"/>
          <w:szCs w:val="20"/>
          <w:lang w:val="ro-RO"/>
        </w:rPr>
      </w:pPr>
      <w:r>
        <w:rPr>
          <w:sz w:val="20"/>
          <w:szCs w:val="20"/>
          <w:lang w:val="ro-RO"/>
        </w:rPr>
        <w:t>poziţionarea si completitudinea feroneriei;</w:t>
      </w:r>
    </w:p>
    <w:p>
      <w:pPr>
        <w:pStyle w:val="ListParagraph"/>
        <w:numPr>
          <w:ilvl w:val="0"/>
          <w:numId w:val="27"/>
        </w:numPr>
        <w:rPr>
          <w:sz w:val="20"/>
          <w:szCs w:val="20"/>
          <w:lang w:val="ro-RO"/>
        </w:rPr>
      </w:pPr>
      <w:r>
        <w:rPr>
          <w:sz w:val="20"/>
          <w:szCs w:val="20"/>
          <w:lang w:val="ro-RO"/>
        </w:rPr>
        <w:t>asamblarea definitiva si prinderea corespunzatoare a elementelor constructiei.</w:t>
      </w:r>
    </w:p>
    <w:p>
      <w:pPr>
        <w:pStyle w:val="ListParagraph"/>
        <w:numPr>
          <w:ilvl w:val="0"/>
          <w:numId w:val="16"/>
        </w:numPr>
        <w:ind w:left="284"/>
        <w:rPr>
          <w:b/>
          <w:sz w:val="20"/>
          <w:szCs w:val="20"/>
          <w:lang w:val="ro-RO"/>
        </w:rPr>
      </w:pPr>
      <w:r>
        <w:rPr>
          <w:b/>
          <w:sz w:val="20"/>
          <w:szCs w:val="20"/>
          <w:lang w:val="ro-RO"/>
        </w:rPr>
        <w:t>Verificarea calităţii şi primirea pe şantier</w:t>
      </w:r>
    </w:p>
    <w:p>
      <w:pPr>
        <w:rPr>
          <w:sz w:val="20"/>
          <w:szCs w:val="20"/>
          <w:lang w:val="ro-RO"/>
        </w:rPr>
      </w:pPr>
      <w:r>
        <w:rPr>
          <w:sz w:val="20"/>
          <w:szCs w:val="20"/>
          <w:lang w:val="ro-RO"/>
        </w:rPr>
        <w:t>La primirea pe şantier a elementelor sau a materialelor metalice pentru montare, se va efectua recepţia acestora, după cum urmează:</w:t>
      </w:r>
    </w:p>
    <w:p>
      <w:pPr>
        <w:pStyle w:val="ListParagraph"/>
        <w:numPr>
          <w:ilvl w:val="0"/>
          <w:numId w:val="28"/>
        </w:numPr>
        <w:rPr>
          <w:sz w:val="20"/>
          <w:szCs w:val="20"/>
          <w:lang w:val="ro-RO"/>
        </w:rPr>
      </w:pPr>
      <w:r>
        <w:rPr>
          <w:sz w:val="20"/>
          <w:szCs w:val="20"/>
          <w:lang w:val="ro-RO"/>
        </w:rPr>
        <w:t>Verificarea existentei si examinarea atât a conţinutului documentaţiei de atestare a calităţii elementelor din otel, care trebuie sa fie transmisa de producător la şantier odată cu livrarea subansamblelor, cat si a corespondentei calităţii otelului pieselor si a clasei de calitate a sudurilor cap la cap,cu prevederile proiectului tehnic de execuţie si ale prescripţiilor tehnice.</w:t>
      </w:r>
    </w:p>
    <w:p>
      <w:pPr>
        <w:pStyle w:val="ListParagraph"/>
        <w:numPr>
          <w:ilvl w:val="0"/>
          <w:numId w:val="28"/>
        </w:numPr>
        <w:rPr>
          <w:sz w:val="20"/>
          <w:szCs w:val="20"/>
          <w:lang w:val="ro-RO"/>
        </w:rPr>
      </w:pPr>
      <w:r>
        <w:rPr>
          <w:sz w:val="20"/>
          <w:szCs w:val="20"/>
          <w:lang w:val="ro-RO"/>
        </w:rPr>
        <w:t>Documentaţia de atestare a calităţii trebuie sa cuprindă documente de certificare a calităţii tuturor elementelor din otel livrate, la care trebuie anexate:</w:t>
      </w:r>
    </w:p>
    <w:p>
      <w:pPr>
        <w:pStyle w:val="ListParagraph"/>
        <w:numPr>
          <w:ilvl w:val="0"/>
          <w:numId w:val="29"/>
        </w:numPr>
        <w:rPr>
          <w:sz w:val="20"/>
          <w:szCs w:val="20"/>
          <w:lang w:val="ro-RO"/>
        </w:rPr>
      </w:pPr>
      <w:r>
        <w:rPr>
          <w:sz w:val="20"/>
          <w:szCs w:val="20"/>
          <w:lang w:val="ro-RO"/>
        </w:rPr>
        <w:t>confirmarea scrisa a producătorului, bazata pe documente ale furnizorilor săi sau pe încercări proprii, ca toate materialele utilizate corespund proiectului si prescripţiilor tehnice;</w:t>
      </w:r>
    </w:p>
    <w:p>
      <w:pPr>
        <w:pStyle w:val="ListParagraph"/>
        <w:numPr>
          <w:ilvl w:val="0"/>
          <w:numId w:val="29"/>
        </w:numPr>
        <w:rPr>
          <w:sz w:val="20"/>
          <w:szCs w:val="20"/>
          <w:lang w:val="ro-RO"/>
        </w:rPr>
      </w:pPr>
      <w:r>
        <w:rPr>
          <w:sz w:val="20"/>
          <w:szCs w:val="20"/>
          <w:lang w:val="ro-RO"/>
        </w:rPr>
        <w:t>buletine de verificare nedistructiva pentru toate cordoanele de sudura cap la cap executate de producător si pentru care proiectul prevede astfel de încercări (din buletine trebuie sa rezulte in mod clar clasa de calitate rezultata prin incercare);</w:t>
      </w:r>
    </w:p>
    <w:p>
      <w:pPr>
        <w:pStyle w:val="ListParagraph"/>
        <w:numPr>
          <w:ilvl w:val="0"/>
          <w:numId w:val="29"/>
        </w:numPr>
        <w:rPr>
          <w:sz w:val="20"/>
          <w:szCs w:val="20"/>
          <w:lang w:val="ro-RO"/>
        </w:rPr>
      </w:pPr>
      <w:r>
        <w:rPr>
          <w:sz w:val="20"/>
          <w:szCs w:val="20"/>
          <w:lang w:val="ro-RO"/>
        </w:rPr>
        <w:t>procese verbale de receptie a montajului de proba prealabil, daca acesta este prevazut in proiectul de executie, cu specificarea realizării contrasăgeţii prescrise;</w:t>
      </w:r>
    </w:p>
    <w:p>
      <w:pPr>
        <w:pStyle w:val="ListParagraph"/>
        <w:numPr>
          <w:ilvl w:val="0"/>
          <w:numId w:val="29"/>
        </w:numPr>
        <w:rPr>
          <w:sz w:val="20"/>
          <w:szCs w:val="20"/>
          <w:lang w:val="ro-RO"/>
        </w:rPr>
      </w:pPr>
      <w:r>
        <w:rPr>
          <w:sz w:val="20"/>
          <w:szCs w:val="20"/>
          <w:lang w:val="ro-RO"/>
        </w:rPr>
        <w:t>documente privitoare la încercarea prin încărcare a confecţiei metalice (care sa includă rezultatele si concluziile încercarii), dacă necesitatea acestei încercări a fost prevăzuta in proiectul de execuţie, in actele de control sau a fost cerută prin expertiza tehnica;</w:t>
      </w:r>
    </w:p>
    <w:p>
      <w:pPr>
        <w:pStyle w:val="ListParagraph"/>
        <w:numPr>
          <w:ilvl w:val="0"/>
          <w:numId w:val="29"/>
        </w:numPr>
        <w:rPr>
          <w:sz w:val="20"/>
          <w:szCs w:val="20"/>
          <w:lang w:val="ro-RO"/>
        </w:rPr>
      </w:pPr>
      <w:r>
        <w:rPr>
          <w:sz w:val="20"/>
          <w:szCs w:val="20"/>
          <w:lang w:val="ro-RO"/>
        </w:rPr>
        <w:t>schiţe cu marcarea si poziţionarea elementelor din otel;</w:t>
      </w:r>
    </w:p>
    <w:p>
      <w:pPr>
        <w:pStyle w:val="ListParagraph"/>
        <w:numPr>
          <w:ilvl w:val="0"/>
          <w:numId w:val="29"/>
        </w:numPr>
        <w:rPr>
          <w:sz w:val="20"/>
          <w:szCs w:val="20"/>
          <w:lang w:val="ro-RO"/>
        </w:rPr>
      </w:pPr>
      <w:r>
        <w:rPr>
          <w:sz w:val="20"/>
          <w:szCs w:val="20"/>
          <w:lang w:val="ro-RO"/>
        </w:rPr>
        <w:t>piese scrise si desenate ale proiectului tehnic de executie care au suferit modificari si completari pe parcursul executiei, in care au fost introduse modificarile si completarile efectuate, insoţite de aprobarea în scris a proiectantului si beneficiarului, pentru fiecare din modificări;</w:t>
      </w:r>
    </w:p>
    <w:p>
      <w:pPr>
        <w:pStyle w:val="ListParagraph"/>
        <w:numPr>
          <w:ilvl w:val="0"/>
          <w:numId w:val="28"/>
        </w:numPr>
        <w:rPr>
          <w:sz w:val="20"/>
          <w:szCs w:val="20"/>
          <w:lang w:val="ro-RO"/>
        </w:rPr>
      </w:pPr>
      <w:r>
        <w:rPr>
          <w:sz w:val="20"/>
          <w:szCs w:val="20"/>
          <w:lang w:val="ro-RO"/>
        </w:rPr>
        <w:t>Verificarea, prin încercari directe, a calitatii confectionarii elementelor din otel (verificarea vizuala si prin masurare a formei si dimensiunilor, atat a pieselor care alcatuiesc elementul, cât şi a elementului in ansamblu, inclusiv îmbinările), a pregătirii suprafeţelor in vederea aplicării protecţiei anticorozive, precum si a realizării stratului de protecţie temporara;</w:t>
      </w:r>
    </w:p>
    <w:p>
      <w:pPr>
        <w:pStyle w:val="ListParagraph"/>
        <w:numPr>
          <w:ilvl w:val="0"/>
          <w:numId w:val="28"/>
        </w:numPr>
        <w:rPr>
          <w:sz w:val="20"/>
          <w:szCs w:val="20"/>
          <w:lang w:val="ro-RO"/>
        </w:rPr>
      </w:pPr>
      <w:r>
        <w:rPr>
          <w:sz w:val="20"/>
          <w:szCs w:val="20"/>
          <w:lang w:val="ro-RO"/>
        </w:rPr>
        <w:t>Încercări directe asupra calităţii materialelor si îmbinărilor pentru toate elementele fumizate fără documente de certificare a calităţii, pentru cele care au fost deteriorate înaintea montarii, care provin din demontarea unei construcţii metalice existente.</w:t>
      </w:r>
    </w:p>
    <w:p>
      <w:pPr>
        <w:pStyle w:val="ListParagraph"/>
        <w:numPr>
          <w:ilvl w:val="0"/>
          <w:numId w:val="28"/>
        </w:numPr>
        <w:rPr>
          <w:sz w:val="20"/>
          <w:szCs w:val="20"/>
          <w:lang w:val="ro-RO"/>
        </w:rPr>
      </w:pPr>
      <w:r>
        <w:rPr>
          <w:sz w:val="20"/>
          <w:szCs w:val="20"/>
          <w:lang w:val="ro-RO"/>
        </w:rPr>
        <w:t>Verificarea subansamblelor se face bucata cu bucata. In cazul când la unul sau mai multe subansamble se vor constata deficiente de calitate, acestea vor fi consemnate în acte de constatare însoţite de schiţe si detalii suficiente pentru ca ulterior, la verificarea cu delegaţii producătorului, sa poată fi uşor identificate.</w:t>
      </w:r>
    </w:p>
    <w:p>
      <w:pPr>
        <w:pStyle w:val="ListParagraph"/>
        <w:numPr>
          <w:ilvl w:val="0"/>
          <w:numId w:val="28"/>
        </w:numPr>
        <w:rPr>
          <w:sz w:val="20"/>
          <w:szCs w:val="20"/>
          <w:lang w:val="ro-RO"/>
        </w:rPr>
      </w:pPr>
      <w:r>
        <w:rPr>
          <w:sz w:val="20"/>
          <w:szCs w:val="20"/>
          <w:lang w:val="ro-RO"/>
        </w:rPr>
        <w:t xml:space="preserve">Elementele pentru care nu a fost primita la şantier, partial sau total, documentatia, la care se constata neconcordanta intre calitatea ce rezulta din documentatia primita de la producator si cea prevazuta in proiectul de executie sau in prescriptiile tehnice, </w:t>
      </w:r>
      <w:r>
        <w:rPr>
          <w:sz w:val="20"/>
          <w:szCs w:val="20"/>
          <w:lang w:val="ro-RO"/>
        </w:rPr>
        <w:lastRenderedPageBreak/>
        <w:t>precum si cele la care, cu ocazia verificarii calitatii prin incercari directe, s-au constatat deficiente, vor fi respinse la receptie.</w:t>
      </w:r>
    </w:p>
    <w:p>
      <w:pPr>
        <w:pStyle w:val="ListParagraph"/>
        <w:numPr>
          <w:ilvl w:val="0"/>
          <w:numId w:val="16"/>
        </w:numPr>
        <w:ind w:left="284"/>
        <w:rPr>
          <w:b/>
          <w:sz w:val="20"/>
          <w:szCs w:val="20"/>
          <w:lang w:val="ro-RO"/>
        </w:rPr>
      </w:pPr>
      <w:r>
        <w:rPr>
          <w:b/>
          <w:sz w:val="20"/>
          <w:szCs w:val="20"/>
          <w:lang w:val="ro-RO"/>
        </w:rPr>
        <w:t>Materiale de asamblare</w:t>
      </w:r>
    </w:p>
    <w:p>
      <w:pPr>
        <w:rPr>
          <w:sz w:val="20"/>
          <w:szCs w:val="20"/>
          <w:lang w:val="ro-RO"/>
        </w:rPr>
      </w:pPr>
      <w:r>
        <w:rPr>
          <w:sz w:val="20"/>
          <w:szCs w:val="20"/>
          <w:lang w:val="ro-RO"/>
        </w:rPr>
        <w:t>In cazul recepţiei, la primirea pe şantier a materialelor metalice (şuruburi, piuliţe, şaibe, electrozi, fondanţi, sârme pentru sudare) pentru montarea elementelor metalice, verificarea calităţii acestora va consta din:</w:t>
      </w:r>
    </w:p>
    <w:p>
      <w:pPr>
        <w:pStyle w:val="ListParagraph"/>
        <w:numPr>
          <w:ilvl w:val="0"/>
          <w:numId w:val="28"/>
        </w:numPr>
        <w:rPr>
          <w:sz w:val="20"/>
          <w:szCs w:val="20"/>
          <w:lang w:val="ro-RO"/>
        </w:rPr>
      </w:pPr>
      <w:r>
        <w:rPr>
          <w:sz w:val="20"/>
          <w:szCs w:val="20"/>
          <w:lang w:val="ro-RO"/>
        </w:rPr>
        <w:t>Verificarea existentei si examinarea conţinutului documentelor de certificare a calităţii materialelor si a corespondentei cu prevederile proiectului tehnic si ale prescripţiilor tehnice;</w:t>
      </w:r>
    </w:p>
    <w:p>
      <w:pPr>
        <w:pStyle w:val="ListParagraph"/>
        <w:numPr>
          <w:ilvl w:val="0"/>
          <w:numId w:val="28"/>
        </w:numPr>
        <w:rPr>
          <w:sz w:val="20"/>
          <w:szCs w:val="20"/>
          <w:lang w:val="ro-RO"/>
        </w:rPr>
      </w:pPr>
      <w:r>
        <w:rPr>
          <w:sz w:val="20"/>
          <w:szCs w:val="20"/>
          <w:lang w:val="ro-RO"/>
        </w:rPr>
        <w:t>Verificarea prin încercări directe a calităţii materialelor, in conformitate cu prevederile prescripţiilor tehnice corespunzătoare.</w:t>
      </w:r>
    </w:p>
    <w:p>
      <w:pPr>
        <w:pStyle w:val="ListParagraph"/>
        <w:numPr>
          <w:ilvl w:val="0"/>
          <w:numId w:val="28"/>
        </w:numPr>
        <w:rPr>
          <w:sz w:val="20"/>
          <w:szCs w:val="20"/>
          <w:lang w:val="ro-RO"/>
        </w:rPr>
      </w:pPr>
      <w:r>
        <w:rPr>
          <w:sz w:val="20"/>
          <w:szCs w:val="20"/>
          <w:lang w:val="ro-RO"/>
        </w:rPr>
        <w:t>Materialele care nu corespund la verificarea calităţii vor fi respinse la recepţie.</w:t>
      </w:r>
    </w:p>
    <w:p>
      <w:pPr>
        <w:pStyle w:val="ListParagraph"/>
        <w:numPr>
          <w:ilvl w:val="0"/>
          <w:numId w:val="16"/>
        </w:numPr>
        <w:ind w:left="284"/>
        <w:rPr>
          <w:b/>
          <w:sz w:val="20"/>
          <w:szCs w:val="20"/>
          <w:lang w:val="ro-RO"/>
        </w:rPr>
      </w:pPr>
      <w:r>
        <w:rPr>
          <w:b/>
          <w:sz w:val="20"/>
          <w:szCs w:val="20"/>
          <w:lang w:val="ro-RO"/>
        </w:rPr>
        <w:t>Verificarea calităţii lucrărilor la montare</w:t>
      </w:r>
    </w:p>
    <w:p>
      <w:pPr>
        <w:rPr>
          <w:sz w:val="20"/>
          <w:szCs w:val="20"/>
          <w:lang w:val="ro-RO"/>
        </w:rPr>
      </w:pPr>
      <w:r>
        <w:rPr>
          <w:sz w:val="20"/>
          <w:szCs w:val="20"/>
          <w:lang w:val="ro-RO"/>
        </w:rPr>
        <w:t>Înainte de începerea efectuării lucrărilor de montare se vor efectua verificări care sa ateste:</w:t>
      </w:r>
    </w:p>
    <w:p>
      <w:pPr>
        <w:pStyle w:val="ListParagraph"/>
        <w:numPr>
          <w:ilvl w:val="0"/>
          <w:numId w:val="28"/>
        </w:numPr>
        <w:rPr>
          <w:sz w:val="20"/>
          <w:szCs w:val="20"/>
          <w:lang w:val="ro-RO"/>
        </w:rPr>
      </w:pPr>
      <w:r>
        <w:rPr>
          <w:sz w:val="20"/>
          <w:szCs w:val="20"/>
          <w:lang w:val="ro-RO"/>
        </w:rPr>
        <w:t>Exactitatea axelor principale ale construcţiei, precum si a elementelor, în raport cu axele construcţiei;</w:t>
      </w:r>
    </w:p>
    <w:p>
      <w:pPr>
        <w:pStyle w:val="ListParagraph"/>
        <w:numPr>
          <w:ilvl w:val="0"/>
          <w:numId w:val="28"/>
        </w:numPr>
        <w:rPr>
          <w:sz w:val="20"/>
          <w:szCs w:val="20"/>
          <w:lang w:val="ro-RO"/>
        </w:rPr>
      </w:pPr>
      <w:r>
        <w:rPr>
          <w:sz w:val="20"/>
          <w:szCs w:val="20"/>
          <w:lang w:val="ro-RO"/>
        </w:rPr>
        <w:t>Existenta si conţinutul documentelor de verificare si recepţionare a elementelor de construcţii care constituie suporturi sau reazeme pentru confecţia metalica si care sa ateste ca sunt corespunzătoare cerinţelor din proiectul de execuţie si ale prescripţiilor tehnice;</w:t>
      </w:r>
    </w:p>
    <w:p>
      <w:pPr>
        <w:pStyle w:val="ListParagraph"/>
        <w:numPr>
          <w:ilvl w:val="0"/>
          <w:numId w:val="28"/>
        </w:numPr>
        <w:rPr>
          <w:sz w:val="20"/>
          <w:szCs w:val="20"/>
          <w:lang w:val="ro-RO"/>
        </w:rPr>
      </w:pPr>
      <w:r>
        <w:rPr>
          <w:sz w:val="20"/>
          <w:szCs w:val="20"/>
          <w:lang w:val="ro-RO"/>
        </w:rPr>
        <w:t>Poziţia în plan, ca nivel al reazemelor si buloanelor de ancorare;</w:t>
      </w:r>
    </w:p>
    <w:p>
      <w:pPr>
        <w:pStyle w:val="ListParagraph"/>
        <w:numPr>
          <w:ilvl w:val="0"/>
          <w:numId w:val="28"/>
        </w:numPr>
        <w:rPr>
          <w:sz w:val="20"/>
          <w:szCs w:val="20"/>
          <w:lang w:val="ro-RO"/>
        </w:rPr>
      </w:pPr>
      <w:r>
        <w:rPr>
          <w:sz w:val="20"/>
          <w:szCs w:val="20"/>
          <w:lang w:val="ro-RO"/>
        </w:rPr>
        <w:t>Îndreptarea de către constructor a pieselor sau barelor elementelor din otel, deformate in timpul manipulării, depozitarii sau transportului pe şantier;</w:t>
      </w:r>
    </w:p>
    <w:p>
      <w:pPr>
        <w:pStyle w:val="ListParagraph"/>
        <w:numPr>
          <w:ilvl w:val="0"/>
          <w:numId w:val="28"/>
        </w:numPr>
        <w:rPr>
          <w:sz w:val="20"/>
          <w:szCs w:val="20"/>
          <w:lang w:val="ro-RO"/>
        </w:rPr>
      </w:pPr>
      <w:r>
        <w:rPr>
          <w:sz w:val="20"/>
          <w:szCs w:val="20"/>
          <w:lang w:val="ro-RO"/>
        </w:rPr>
        <w:t>Instruirea suficienta si însuşirea corecta a tehnologiei de execuţie de către echipele care executa îmbinările cu şuruburi pretensionate;</w:t>
      </w:r>
    </w:p>
    <w:p>
      <w:pPr>
        <w:pStyle w:val="ListParagraph"/>
        <w:numPr>
          <w:ilvl w:val="0"/>
          <w:numId w:val="28"/>
        </w:numPr>
        <w:rPr>
          <w:sz w:val="20"/>
          <w:szCs w:val="20"/>
          <w:lang w:val="ro-RO"/>
        </w:rPr>
      </w:pPr>
      <w:r>
        <w:rPr>
          <w:sz w:val="20"/>
          <w:szCs w:val="20"/>
          <w:lang w:val="ro-RO"/>
        </w:rPr>
        <w:t>Existenta si poziţionarea corecta a elementelor provizorii de susţinere sau ancorare.</w:t>
      </w:r>
    </w:p>
    <w:p>
      <w:pPr>
        <w:rPr>
          <w:sz w:val="20"/>
          <w:szCs w:val="20"/>
          <w:lang w:val="ro-RO"/>
        </w:rPr>
      </w:pPr>
      <w:r>
        <w:rPr>
          <w:sz w:val="20"/>
          <w:szCs w:val="20"/>
          <w:lang w:val="ro-RO"/>
        </w:rPr>
        <w:t>In perioada executării lucrărilor de montare se vor efectua verificări referitoare la:</w:t>
      </w:r>
    </w:p>
    <w:p>
      <w:pPr>
        <w:pStyle w:val="ListParagraph"/>
        <w:numPr>
          <w:ilvl w:val="0"/>
          <w:numId w:val="28"/>
        </w:numPr>
        <w:rPr>
          <w:sz w:val="20"/>
          <w:szCs w:val="20"/>
          <w:lang w:val="ro-RO"/>
        </w:rPr>
      </w:pPr>
      <w:r>
        <w:rPr>
          <w:sz w:val="20"/>
          <w:szCs w:val="20"/>
          <w:lang w:val="ro-RO"/>
        </w:rPr>
        <w:t>Îndeplinirea tuturor prevederilor proiectului pentru tehnologia de montare a elementelor din otel;</w:t>
      </w:r>
    </w:p>
    <w:p>
      <w:pPr>
        <w:pStyle w:val="ListParagraph"/>
        <w:numPr>
          <w:ilvl w:val="0"/>
          <w:numId w:val="28"/>
        </w:numPr>
        <w:rPr>
          <w:sz w:val="20"/>
          <w:szCs w:val="20"/>
          <w:lang w:val="ro-RO"/>
        </w:rPr>
      </w:pPr>
      <w:r>
        <w:rPr>
          <w:sz w:val="20"/>
          <w:szCs w:val="20"/>
          <w:lang w:val="ro-RO"/>
        </w:rPr>
        <w:t>Realizarea de buna calitate, in conformitate cu prevederile proiectului tehnic de execuţie si ale prescripţiilor tehnice, a lucrărilor de montare, precum si poziţionarea corecta a elementelor din otel (verificarea dimensionala si calitativa se face prin încercări directe, in mod permanent pe parcursul fazelor de montare, abaterile limita admise la lucrările de montare fiind cele cuprinse in STAS 767/09);</w:t>
      </w:r>
    </w:p>
    <w:p>
      <w:pPr>
        <w:pStyle w:val="ListParagraph"/>
        <w:numPr>
          <w:ilvl w:val="0"/>
          <w:numId w:val="30"/>
        </w:numPr>
        <w:rPr>
          <w:sz w:val="20"/>
          <w:szCs w:val="20"/>
          <w:lang w:val="ro-RO"/>
        </w:rPr>
      </w:pPr>
      <w:r>
        <w:rPr>
          <w:sz w:val="20"/>
          <w:szCs w:val="20"/>
          <w:lang w:val="ro-RO"/>
        </w:rPr>
        <w:t>Receptia lucrarilor sau partilor de confectie metalica care devin ascunse, cordoane de sudura care nu mai sunt accesibile la sfarsitul fazei de lucrari, prelucrarea marginilor pieselor care se îmbina prin sudura la montare, executarea diferitelor straturi de protecţie anticorozivă, verificarea calitatii curatarii elementelor care se îmbina prin şuruburi pretensionate);</w:t>
      </w:r>
    </w:p>
    <w:p>
      <w:pPr>
        <w:pStyle w:val="ListParagraph"/>
        <w:numPr>
          <w:ilvl w:val="0"/>
          <w:numId w:val="30"/>
        </w:numPr>
        <w:rPr>
          <w:sz w:val="20"/>
          <w:szCs w:val="20"/>
          <w:lang w:val="ro-RO"/>
        </w:rPr>
      </w:pPr>
      <w:r>
        <w:rPr>
          <w:sz w:val="20"/>
          <w:szCs w:val="20"/>
          <w:lang w:val="ro-RO"/>
        </w:rPr>
        <w:t>Verificarea strângerii suruburilor de inalta rezistenta, precum si realizarea chituirii, grunduirii si vopsirii imbinarilor controlate;</w:t>
      </w:r>
    </w:p>
    <w:p>
      <w:pPr>
        <w:pStyle w:val="ListParagraph"/>
        <w:numPr>
          <w:ilvl w:val="0"/>
          <w:numId w:val="30"/>
        </w:numPr>
        <w:rPr>
          <w:sz w:val="20"/>
          <w:szCs w:val="20"/>
          <w:lang w:val="ro-RO"/>
        </w:rPr>
      </w:pPr>
      <w:r>
        <w:rPr>
          <w:sz w:val="20"/>
          <w:szCs w:val="20"/>
          <w:lang w:val="ro-RO"/>
        </w:rPr>
        <w:t>Verificarea, prin încercări nedistructive, a calităţii sudurilor cap la cap realizate la montare, a căror verificare este indicata in proiectul tehnic de execuţie.</w:t>
      </w:r>
    </w:p>
    <w:p>
      <w:pPr>
        <w:pStyle w:val="ListParagraph"/>
        <w:numPr>
          <w:ilvl w:val="0"/>
          <w:numId w:val="30"/>
        </w:numPr>
        <w:rPr>
          <w:sz w:val="20"/>
          <w:szCs w:val="20"/>
          <w:lang w:val="ro-RO"/>
        </w:rPr>
      </w:pPr>
      <w:r>
        <w:rPr>
          <w:sz w:val="20"/>
          <w:szCs w:val="20"/>
          <w:lang w:val="ro-RO"/>
        </w:rPr>
        <w:t>La terminarea lucrărilor de montare, se va efectua verificarea calităţii lucrărilor de montare executate, după cum urmeaza:</w:t>
      </w:r>
    </w:p>
    <w:p>
      <w:pPr>
        <w:pStyle w:val="ListParagraph"/>
        <w:numPr>
          <w:ilvl w:val="0"/>
          <w:numId w:val="30"/>
        </w:numPr>
        <w:rPr>
          <w:sz w:val="20"/>
          <w:szCs w:val="20"/>
          <w:lang w:val="ro-RO"/>
        </w:rPr>
      </w:pPr>
      <w:r>
        <w:rPr>
          <w:sz w:val="20"/>
          <w:szCs w:val="20"/>
          <w:lang w:val="ro-RO"/>
        </w:rPr>
        <w:t>Examinarea existentei şi continutului documentatiei de atestare a calitatii, care trebuie sa cuprinda:</w:t>
      </w:r>
    </w:p>
    <w:p>
      <w:pPr>
        <w:pStyle w:val="ListParagraph"/>
        <w:numPr>
          <w:ilvl w:val="0"/>
          <w:numId w:val="31"/>
        </w:numPr>
        <w:rPr>
          <w:sz w:val="20"/>
          <w:szCs w:val="20"/>
          <w:lang w:val="ro-RO"/>
        </w:rPr>
      </w:pPr>
      <w:r>
        <w:rPr>
          <w:sz w:val="20"/>
          <w:szCs w:val="20"/>
          <w:lang w:val="ro-RO"/>
        </w:rPr>
        <w:t>Documente de certificare a calitatii sau buletine de incercari pentru toate piesele si materialele metalice folosite atat la montare, cat si la eventualele refaceri, consolidari sau remedieri executate;</w:t>
      </w:r>
    </w:p>
    <w:p>
      <w:pPr>
        <w:pStyle w:val="ListParagraph"/>
        <w:numPr>
          <w:ilvl w:val="0"/>
          <w:numId w:val="31"/>
        </w:numPr>
        <w:rPr>
          <w:sz w:val="20"/>
          <w:szCs w:val="20"/>
          <w:lang w:val="ro-RO"/>
        </w:rPr>
      </w:pPr>
      <w:r>
        <w:rPr>
          <w:sz w:val="20"/>
          <w:szCs w:val="20"/>
          <w:lang w:val="ro-RO"/>
        </w:rPr>
        <w:t>Procese verbale de lucrari ascunse, buletine de încercare nedistructiva a sudurilor cap la cap, a caror executare la montare este prevazuta in proiectul de executie, buletinele unor eventuale incercari dispuse prin dispozitiile de santier ale proiectantului, prin actele de control;</w:t>
      </w:r>
    </w:p>
    <w:p>
      <w:pPr>
        <w:pStyle w:val="ListParagraph"/>
        <w:numPr>
          <w:ilvl w:val="0"/>
          <w:numId w:val="31"/>
        </w:numPr>
        <w:rPr>
          <w:sz w:val="20"/>
          <w:szCs w:val="20"/>
          <w:lang w:val="ro-RO"/>
        </w:rPr>
      </w:pPr>
      <w:r>
        <w:rPr>
          <w:sz w:val="20"/>
          <w:szCs w:val="20"/>
          <w:lang w:val="ro-RO"/>
        </w:rPr>
        <w:t>Tabele cu sudorii autorizati care au executat sudurile de montare;</w:t>
      </w:r>
    </w:p>
    <w:p>
      <w:pPr>
        <w:pStyle w:val="ListParagraph"/>
        <w:numPr>
          <w:ilvl w:val="0"/>
          <w:numId w:val="31"/>
        </w:numPr>
        <w:rPr>
          <w:sz w:val="20"/>
          <w:szCs w:val="20"/>
          <w:lang w:val="ro-RO"/>
        </w:rPr>
      </w:pPr>
      <w:r>
        <w:rPr>
          <w:sz w:val="20"/>
          <w:szCs w:val="20"/>
          <w:lang w:val="ro-RO"/>
        </w:rPr>
        <w:lastRenderedPageBreak/>
        <w:t>Fisele in care au fost consemnate rezultatele controlului îmbinărilor cu surub de înalta rezistenta;</w:t>
      </w:r>
    </w:p>
    <w:p>
      <w:pPr>
        <w:pStyle w:val="ListParagraph"/>
        <w:numPr>
          <w:ilvl w:val="0"/>
          <w:numId w:val="16"/>
        </w:numPr>
        <w:ind w:left="284"/>
        <w:rPr>
          <w:b/>
          <w:sz w:val="20"/>
          <w:szCs w:val="20"/>
          <w:lang w:val="ro-RO"/>
        </w:rPr>
      </w:pPr>
      <w:r>
        <w:rPr>
          <w:b/>
          <w:sz w:val="20"/>
          <w:szCs w:val="20"/>
          <w:lang w:val="ro-RO"/>
        </w:rPr>
        <w:t>Verificări referitoare la montarea confecţiilor metalice (tamplarie):</w:t>
      </w:r>
    </w:p>
    <w:p>
      <w:pPr>
        <w:pStyle w:val="ListParagraph"/>
        <w:numPr>
          <w:ilvl w:val="0"/>
          <w:numId w:val="32"/>
        </w:numPr>
        <w:rPr>
          <w:sz w:val="20"/>
          <w:szCs w:val="20"/>
          <w:lang w:val="ro-RO"/>
        </w:rPr>
      </w:pPr>
      <w:r>
        <w:rPr>
          <w:sz w:val="20"/>
          <w:szCs w:val="20"/>
          <w:lang w:val="ro-RO"/>
        </w:rPr>
        <w:t>Terminarea integrală a lucrărilor din cadrul fazei;</w:t>
      </w:r>
    </w:p>
    <w:p>
      <w:pPr>
        <w:pStyle w:val="ListParagraph"/>
        <w:numPr>
          <w:ilvl w:val="0"/>
          <w:numId w:val="32"/>
        </w:numPr>
        <w:rPr>
          <w:sz w:val="20"/>
          <w:szCs w:val="20"/>
          <w:lang w:val="ro-RO"/>
        </w:rPr>
      </w:pPr>
      <w:r>
        <w:rPr>
          <w:sz w:val="20"/>
          <w:szCs w:val="20"/>
          <w:lang w:val="ro-RO"/>
        </w:rPr>
        <w:t>Verificarea dimensionala si calitativa, bucata cu bucata, a imbinarilor si a celorlalte lucrari de montare a elementelor metalice;</w:t>
      </w:r>
    </w:p>
    <w:p>
      <w:pPr>
        <w:pStyle w:val="ListParagraph"/>
        <w:numPr>
          <w:ilvl w:val="0"/>
          <w:numId w:val="32"/>
        </w:numPr>
        <w:rPr>
          <w:sz w:val="20"/>
          <w:szCs w:val="20"/>
          <w:lang w:val="ro-RO"/>
        </w:rPr>
      </w:pPr>
      <w:r>
        <w:rPr>
          <w:sz w:val="20"/>
          <w:szCs w:val="20"/>
          <w:lang w:val="ro-RO"/>
        </w:rPr>
        <w:t>Existenta si calitatea tuturor accesoriilor metalice;</w:t>
      </w:r>
    </w:p>
    <w:p>
      <w:pPr>
        <w:pStyle w:val="ListParagraph"/>
        <w:numPr>
          <w:ilvl w:val="0"/>
          <w:numId w:val="32"/>
        </w:numPr>
        <w:rPr>
          <w:sz w:val="20"/>
          <w:szCs w:val="20"/>
          <w:lang w:val="ro-RO"/>
        </w:rPr>
      </w:pPr>
      <w:r>
        <w:rPr>
          <w:sz w:val="20"/>
          <w:szCs w:val="20"/>
          <w:lang w:val="ro-RO"/>
        </w:rPr>
        <w:t>Verticalitatea tocurilor si a căptuşelilor - nu se admit abateri mai mari de 1 mm / m;</w:t>
      </w:r>
    </w:p>
    <w:p>
      <w:pPr>
        <w:pStyle w:val="ListParagraph"/>
        <w:numPr>
          <w:ilvl w:val="0"/>
          <w:numId w:val="32"/>
        </w:numPr>
        <w:rPr>
          <w:sz w:val="20"/>
          <w:szCs w:val="20"/>
          <w:lang w:val="ro-RO"/>
        </w:rPr>
      </w:pPr>
      <w:r>
        <w:rPr>
          <w:sz w:val="20"/>
          <w:szCs w:val="20"/>
          <w:lang w:val="ro-RO"/>
        </w:rPr>
        <w:t>Intre foaia de uşa si pardoseala trebuie sa fie un spaţiu constant de 3-8 mm;</w:t>
      </w:r>
    </w:p>
    <w:p>
      <w:pPr>
        <w:pStyle w:val="ListParagraph"/>
        <w:numPr>
          <w:ilvl w:val="0"/>
          <w:numId w:val="32"/>
        </w:numPr>
        <w:rPr>
          <w:sz w:val="20"/>
          <w:szCs w:val="20"/>
          <w:lang w:val="ro-RO"/>
        </w:rPr>
      </w:pPr>
      <w:r>
        <w:rPr>
          <w:sz w:val="20"/>
          <w:szCs w:val="20"/>
          <w:lang w:val="ro-RO"/>
        </w:rPr>
        <w:t>Încastrarea tocului sa fie facuta in zidarie prin şuruburi sau praznuri astfel ca tocul sa aiba joc;</w:t>
      </w:r>
    </w:p>
    <w:p>
      <w:pPr>
        <w:pStyle w:val="ListParagraph"/>
        <w:numPr>
          <w:ilvl w:val="0"/>
          <w:numId w:val="32"/>
        </w:numPr>
        <w:rPr>
          <w:sz w:val="20"/>
          <w:szCs w:val="20"/>
          <w:lang w:val="ro-RO"/>
        </w:rPr>
      </w:pPr>
      <w:r>
        <w:rPr>
          <w:sz w:val="20"/>
          <w:szCs w:val="20"/>
          <w:lang w:val="ro-RO"/>
        </w:rPr>
        <w:t>Abaterile de la planitatea foilor de usi sau cercevele mai lungi de 1500 mm trebuie sa fie mai mici de 1% din lungimea pieselor respective;</w:t>
      </w:r>
    </w:p>
    <w:p>
      <w:pPr>
        <w:pStyle w:val="ListParagraph"/>
        <w:numPr>
          <w:ilvl w:val="0"/>
          <w:numId w:val="32"/>
        </w:numPr>
        <w:rPr>
          <w:sz w:val="20"/>
          <w:szCs w:val="20"/>
          <w:lang w:val="ro-RO"/>
        </w:rPr>
      </w:pPr>
      <w:r>
        <w:rPr>
          <w:sz w:val="20"/>
          <w:szCs w:val="20"/>
          <w:lang w:val="ro-RO"/>
        </w:rPr>
        <w:t>Potrivirea corecta a foilor de uşi, precum şi a cercevelelor pe tocuri, pe toata lungimea falţului respectiv, abaterea acceptată este de maxim 2 mm;</w:t>
      </w:r>
    </w:p>
    <w:p>
      <w:pPr>
        <w:pStyle w:val="ListParagraph"/>
        <w:numPr>
          <w:ilvl w:val="0"/>
          <w:numId w:val="32"/>
        </w:numPr>
        <w:rPr>
          <w:sz w:val="20"/>
          <w:szCs w:val="20"/>
          <w:lang w:val="ro-RO"/>
        </w:rPr>
      </w:pPr>
      <w:r>
        <w:rPr>
          <w:sz w:val="20"/>
          <w:szCs w:val="20"/>
          <w:lang w:val="ro-RO"/>
        </w:rPr>
        <w:t>Intre cercevea si marginea spaletului tencuit trebuie sa fie un spatiu de minim 3,5 cm;</w:t>
      </w:r>
    </w:p>
    <w:p>
      <w:pPr>
        <w:pStyle w:val="ListParagraph"/>
        <w:numPr>
          <w:ilvl w:val="0"/>
          <w:numId w:val="32"/>
        </w:numPr>
        <w:rPr>
          <w:sz w:val="20"/>
          <w:szCs w:val="20"/>
          <w:lang w:val="ro-RO"/>
        </w:rPr>
      </w:pPr>
      <w:r>
        <w:rPr>
          <w:sz w:val="20"/>
          <w:szCs w:val="20"/>
          <w:lang w:val="ro-RO"/>
        </w:rPr>
        <w:t>Glafurile interioare vor fi montate cu o panta catre interior de 1% si la aceeasi înălţime fata de pardoseala camerei;</w:t>
      </w:r>
    </w:p>
    <w:p>
      <w:pPr>
        <w:pStyle w:val="ListParagraph"/>
        <w:numPr>
          <w:ilvl w:val="0"/>
          <w:numId w:val="32"/>
        </w:numPr>
        <w:rPr>
          <w:sz w:val="20"/>
          <w:szCs w:val="20"/>
          <w:lang w:val="ro-RO"/>
        </w:rPr>
      </w:pPr>
      <w:r>
        <w:rPr>
          <w:sz w:val="20"/>
          <w:szCs w:val="20"/>
          <w:lang w:val="ro-RO"/>
        </w:rPr>
        <w:t>Existenta pieselor auxiliare (lacrimare, pazii de tabla) la ferestre, pentru indepartarea apelor de ploaie, este obligatorie;</w:t>
      </w:r>
    </w:p>
    <w:p>
      <w:pPr>
        <w:pStyle w:val="ListParagraph"/>
        <w:numPr>
          <w:ilvl w:val="0"/>
          <w:numId w:val="32"/>
        </w:numPr>
        <w:rPr>
          <w:sz w:val="20"/>
          <w:szCs w:val="20"/>
          <w:lang w:val="ro-RO"/>
        </w:rPr>
      </w:pPr>
      <w:r>
        <w:rPr>
          <w:sz w:val="20"/>
          <w:szCs w:val="20"/>
          <w:lang w:val="ro-RO"/>
        </w:rPr>
        <w:t>Accesoriile metalice trebuie sa fie bine montate si sa funcţioneze perfect;</w:t>
      </w:r>
    </w:p>
    <w:p>
      <w:pPr>
        <w:pStyle w:val="ListParagraph"/>
        <w:numPr>
          <w:ilvl w:val="0"/>
          <w:numId w:val="32"/>
        </w:numPr>
        <w:rPr>
          <w:sz w:val="20"/>
          <w:szCs w:val="20"/>
          <w:lang w:val="ro-RO"/>
        </w:rPr>
      </w:pPr>
      <w:r>
        <w:rPr>
          <w:sz w:val="20"/>
          <w:szCs w:val="20"/>
          <w:lang w:val="ro-RO"/>
        </w:rPr>
        <w:t>Balamalele, cremoanele, drucarele trebuie sa fie montate la inaltime constanta (pentru fiecare in parte) de la pardoseala;</w:t>
      </w:r>
    </w:p>
    <w:p>
      <w:pPr>
        <w:pStyle w:val="ListParagraph"/>
        <w:numPr>
          <w:ilvl w:val="0"/>
          <w:numId w:val="32"/>
        </w:numPr>
        <w:rPr>
          <w:sz w:val="20"/>
          <w:szCs w:val="20"/>
          <w:lang w:val="ro-RO"/>
        </w:rPr>
      </w:pPr>
      <w:r>
        <w:rPr>
          <w:sz w:val="20"/>
          <w:szCs w:val="20"/>
          <w:lang w:val="ro-RO"/>
        </w:rPr>
        <w:t>Lăcaşurile de patrundere a zavoarelor in pardoseli si tocuri trebuie sa fie protejate prin placute metalice sau alte dispozitive, bine fixate la nivelul pardoselii sau a tocului;</w:t>
      </w:r>
    </w:p>
    <w:p>
      <w:pPr>
        <w:pStyle w:val="ListParagraph"/>
        <w:numPr>
          <w:ilvl w:val="0"/>
          <w:numId w:val="32"/>
        </w:numPr>
        <w:rPr>
          <w:sz w:val="20"/>
          <w:szCs w:val="20"/>
          <w:lang w:val="ro-RO"/>
        </w:rPr>
      </w:pPr>
      <w:r>
        <w:rPr>
          <w:sz w:val="20"/>
          <w:szCs w:val="20"/>
          <w:lang w:val="ro-RO"/>
        </w:rPr>
        <w:t>Şnaperele (pentru ferestre duble cu deschidere interioarS) sau carligele de vant (pentru ferestre cu deschidere exterioara) trebuie sa fie montate in pozitie corecta;</w:t>
      </w:r>
    </w:p>
    <w:p>
      <w:pPr>
        <w:pStyle w:val="ListParagraph"/>
        <w:numPr>
          <w:ilvl w:val="0"/>
          <w:numId w:val="32"/>
        </w:numPr>
        <w:rPr>
          <w:sz w:val="20"/>
          <w:szCs w:val="20"/>
          <w:lang w:val="ro-RO"/>
        </w:rPr>
      </w:pPr>
      <w:r>
        <w:rPr>
          <w:sz w:val="20"/>
          <w:szCs w:val="20"/>
          <w:lang w:val="ro-RO"/>
        </w:rPr>
        <w:t>Deschiderea cercevelelor trebuie sa se facă cu uşurinţa, ele nu trebuie să fie blocate din cauza vopsirii;</w:t>
      </w:r>
    </w:p>
    <w:p>
      <w:pPr>
        <w:pStyle w:val="ListParagraph"/>
        <w:numPr>
          <w:ilvl w:val="0"/>
          <w:numId w:val="32"/>
        </w:numPr>
        <w:rPr>
          <w:sz w:val="20"/>
          <w:szCs w:val="20"/>
          <w:lang w:val="ro-RO"/>
        </w:rPr>
      </w:pPr>
      <w:r>
        <w:rPr>
          <w:sz w:val="20"/>
          <w:szCs w:val="20"/>
          <w:lang w:val="ro-RO"/>
        </w:rPr>
        <w:t>Asamblarea elementelor componente, conform indicaţiilor din proiect (sudura, şuruburi);</w:t>
      </w:r>
    </w:p>
    <w:p>
      <w:pPr>
        <w:pStyle w:val="ListParagraph"/>
        <w:numPr>
          <w:ilvl w:val="0"/>
          <w:numId w:val="32"/>
        </w:numPr>
        <w:rPr>
          <w:sz w:val="20"/>
          <w:szCs w:val="20"/>
          <w:lang w:val="ro-RO"/>
        </w:rPr>
      </w:pPr>
      <w:r>
        <w:rPr>
          <w:sz w:val="20"/>
          <w:szCs w:val="20"/>
          <w:lang w:val="ro-RO"/>
        </w:rPr>
        <w:t>Prinderea tamplariei de zidarie sau stalpi de beton, prin sudare de praznuri sau placi metalice (conform numarului si amplasarii lor data de proiect);</w:t>
      </w:r>
    </w:p>
    <w:p>
      <w:pPr>
        <w:pStyle w:val="ListParagraph"/>
        <w:numPr>
          <w:ilvl w:val="0"/>
          <w:numId w:val="32"/>
        </w:numPr>
        <w:rPr>
          <w:sz w:val="20"/>
          <w:szCs w:val="20"/>
          <w:lang w:val="ro-RO"/>
        </w:rPr>
      </w:pPr>
      <w:r>
        <w:rPr>
          <w:sz w:val="20"/>
          <w:szCs w:val="20"/>
          <w:lang w:val="ro-RO"/>
        </w:rPr>
        <w:t>Nu se admit suruburi lipsa sau nestranse, cordoane de sudura neuniforme, cu scurgeri de material sau cu gauri produse prin arderea pieselor, suduri nepolizate;</w:t>
      </w:r>
    </w:p>
    <w:p>
      <w:pPr>
        <w:pStyle w:val="ListParagraph"/>
        <w:numPr>
          <w:ilvl w:val="0"/>
          <w:numId w:val="32"/>
        </w:numPr>
        <w:rPr>
          <w:sz w:val="20"/>
          <w:szCs w:val="20"/>
          <w:lang w:val="ro-RO"/>
        </w:rPr>
      </w:pPr>
      <w:r>
        <w:rPr>
          <w:sz w:val="20"/>
          <w:szCs w:val="20"/>
          <w:lang w:val="ro-RO"/>
        </w:rPr>
        <w:t>Grunduirea cu minium de plumb trebuie sa fie realizata uniform, pe toate fetele, inclusiv la cordoanele de sudura; modul în care s-a realizat montarea garniturii de cauciuc.</w:t>
      </w:r>
    </w:p>
    <w:p>
      <w:pPr>
        <w:rPr>
          <w:sz w:val="20"/>
          <w:szCs w:val="20"/>
          <w:lang w:val="ro-RO"/>
        </w:rPr>
      </w:pPr>
      <w:r>
        <w:rPr>
          <w:sz w:val="20"/>
          <w:szCs w:val="20"/>
          <w:lang w:val="ro-RO"/>
        </w:rPr>
        <w:t>Verificari referitoare la Imbinarile sudate:</w:t>
      </w:r>
    </w:p>
    <w:p>
      <w:pPr>
        <w:pStyle w:val="ListParagraph"/>
        <w:numPr>
          <w:ilvl w:val="0"/>
          <w:numId w:val="33"/>
        </w:numPr>
        <w:ind w:left="709"/>
        <w:rPr>
          <w:sz w:val="20"/>
          <w:szCs w:val="20"/>
          <w:lang w:val="ro-RO"/>
        </w:rPr>
      </w:pPr>
      <w:r>
        <w:rPr>
          <w:sz w:val="20"/>
          <w:szCs w:val="20"/>
          <w:lang w:val="ro-RO"/>
        </w:rPr>
        <w:t>Controlul vizual - prin examinarea vizuala se verifica daca suruburile au saibele, piulitele si contrapiulitele (sau eventual alte piese care au scopul de a împiedica desurubarea piulitelor) prevazute in proiect, daca capetele suruburilor sau piulitelor se sprijina cu toata suprafata pe piesele stranse sau pe saibe si daca partea filetata a surubului depaseste piulitele in afara cu 5¬10 mm (controlul trebuie efectuat la toate suruburile imbinarilor, iar suruburile care prezinta defecte vor fi fnlocuite);</w:t>
      </w:r>
    </w:p>
    <w:p>
      <w:pPr>
        <w:pStyle w:val="ListParagraph"/>
        <w:numPr>
          <w:ilvl w:val="0"/>
          <w:numId w:val="33"/>
        </w:numPr>
        <w:ind w:left="709"/>
        <w:rPr>
          <w:sz w:val="20"/>
          <w:szCs w:val="20"/>
          <w:lang w:val="ro-RO"/>
        </w:rPr>
      </w:pPr>
      <w:r>
        <w:rPr>
          <w:sz w:val="20"/>
          <w:szCs w:val="20"/>
          <w:lang w:val="ro-RO"/>
        </w:rPr>
        <w:t>Controlul dimensional la toate şuruburile îmbinărilor, prin care se verifica:</w:t>
      </w:r>
    </w:p>
    <w:p>
      <w:pPr>
        <w:pStyle w:val="ListParagraph"/>
        <w:numPr>
          <w:ilvl w:val="1"/>
          <w:numId w:val="34"/>
        </w:numPr>
        <w:rPr>
          <w:sz w:val="20"/>
          <w:szCs w:val="20"/>
          <w:lang w:val="ro-RO"/>
        </w:rPr>
      </w:pPr>
      <w:r>
        <w:rPr>
          <w:sz w:val="20"/>
          <w:szCs w:val="20"/>
          <w:lang w:val="ro-RO"/>
        </w:rPr>
        <w:t>corespondenta cu proiectul tehnic de executie a pozitionarii suruburilor faţă de axele imbinarii, a distantei intre suruburi si a pozitionarii imbinarii fata de axele elementului;</w:t>
      </w:r>
    </w:p>
    <w:p>
      <w:pPr>
        <w:pStyle w:val="ListParagraph"/>
        <w:numPr>
          <w:ilvl w:val="1"/>
          <w:numId w:val="34"/>
        </w:numPr>
        <w:rPr>
          <w:sz w:val="20"/>
          <w:szCs w:val="20"/>
          <w:lang w:val="ro-RO"/>
        </w:rPr>
      </w:pPr>
      <w:r>
        <w:rPr>
          <w:sz w:val="20"/>
          <w:szCs w:val="20"/>
          <w:lang w:val="ro-RO"/>
        </w:rPr>
        <w:t>grosimea totala a saibelor sa nu depăşească 70% din diametrul surubului respectiv, iar capul surubului sa depaseasca piulita cu doua pasuri de filet;</w:t>
      </w:r>
    </w:p>
    <w:p>
      <w:pPr>
        <w:pStyle w:val="ListParagraph"/>
        <w:numPr>
          <w:ilvl w:val="1"/>
          <w:numId w:val="34"/>
        </w:numPr>
        <w:rPr>
          <w:sz w:val="20"/>
          <w:szCs w:val="20"/>
          <w:lang w:val="ro-RO"/>
        </w:rPr>
      </w:pPr>
      <w:r>
        <w:rPr>
          <w:sz w:val="20"/>
          <w:szCs w:val="20"/>
          <w:lang w:val="ro-RO"/>
        </w:rPr>
        <w:t>daca exista suruburi oblice, nu se admit suruburi a caror oblicitate depaseste 40% din grosimea pachetului de piese stranse, numarul de suruburi cu oblicitate sub limita admisa nu trebuie sa depaseasca 15% din numarul total de suruburi al imbinarii respective;</w:t>
      </w:r>
    </w:p>
    <w:p>
      <w:pPr>
        <w:pStyle w:val="ListParagraph"/>
        <w:numPr>
          <w:ilvl w:val="1"/>
          <w:numId w:val="34"/>
        </w:numPr>
        <w:rPr>
          <w:sz w:val="20"/>
          <w:szCs w:val="20"/>
          <w:lang w:val="ro-RO"/>
        </w:rPr>
      </w:pPr>
      <w:r>
        <w:rPr>
          <w:sz w:val="20"/>
          <w:szCs w:val="20"/>
          <w:lang w:val="ro-RO"/>
        </w:rPr>
        <w:t>abaterile limita la pozitionarea suruburilor si a distantei dintre ele sunt:</w:t>
      </w:r>
    </w:p>
    <w:p>
      <w:pPr>
        <w:pStyle w:val="ListParagraph"/>
        <w:numPr>
          <w:ilvl w:val="1"/>
          <w:numId w:val="35"/>
        </w:numPr>
        <w:ind w:left="2835"/>
        <w:rPr>
          <w:sz w:val="20"/>
          <w:szCs w:val="20"/>
          <w:lang w:val="ro-RO"/>
        </w:rPr>
      </w:pPr>
      <w:r>
        <w:rPr>
          <w:sz w:val="20"/>
          <w:szCs w:val="20"/>
          <w:lang w:val="ro-RO"/>
        </w:rPr>
        <w:t>la maxim 30 % din totalul suruburilor unei Imbinari 0,5mm;</w:t>
      </w:r>
    </w:p>
    <w:p>
      <w:pPr>
        <w:pStyle w:val="ListParagraph"/>
        <w:numPr>
          <w:ilvl w:val="1"/>
          <w:numId w:val="35"/>
        </w:numPr>
        <w:ind w:left="2835"/>
        <w:rPr>
          <w:sz w:val="20"/>
          <w:szCs w:val="20"/>
          <w:lang w:val="ro-RO"/>
        </w:rPr>
      </w:pPr>
      <w:r>
        <w:rPr>
          <w:sz w:val="20"/>
          <w:szCs w:val="20"/>
          <w:lang w:val="ro-RO"/>
        </w:rPr>
        <w:t>la maximum 15% din totalul suruburilor unei Imbinari 0,5...1,0 mm;</w:t>
      </w:r>
    </w:p>
    <w:p>
      <w:pPr>
        <w:pStyle w:val="ListParagraph"/>
        <w:numPr>
          <w:ilvl w:val="1"/>
          <w:numId w:val="35"/>
        </w:numPr>
        <w:ind w:left="2835"/>
        <w:rPr>
          <w:sz w:val="20"/>
          <w:szCs w:val="20"/>
          <w:lang w:val="ro-RO"/>
        </w:rPr>
      </w:pPr>
      <w:r>
        <w:rPr>
          <w:sz w:val="20"/>
          <w:szCs w:val="20"/>
          <w:lang w:val="ro-RO"/>
        </w:rPr>
        <w:lastRenderedPageBreak/>
        <w:t>in total, abateri de cel mult 35% din numarul total al suruburilor din</w:t>
      </w:r>
    </w:p>
    <w:p>
      <w:pPr>
        <w:pStyle w:val="ListParagraph"/>
        <w:numPr>
          <w:ilvl w:val="1"/>
          <w:numId w:val="35"/>
        </w:numPr>
        <w:ind w:left="2835"/>
        <w:rPr>
          <w:sz w:val="20"/>
          <w:szCs w:val="20"/>
          <w:lang w:val="ro-RO"/>
        </w:rPr>
      </w:pPr>
      <w:r>
        <w:rPr>
          <w:sz w:val="20"/>
          <w:szCs w:val="20"/>
          <w:lang w:val="ro-RO"/>
        </w:rPr>
        <w:t>element.</w:t>
      </w:r>
    </w:p>
    <w:p>
      <w:pPr>
        <w:pStyle w:val="ListParagraph"/>
        <w:numPr>
          <w:ilvl w:val="0"/>
          <w:numId w:val="16"/>
        </w:numPr>
        <w:ind w:left="284"/>
        <w:rPr>
          <w:b/>
          <w:sz w:val="20"/>
          <w:szCs w:val="20"/>
          <w:lang w:val="ro-RO"/>
        </w:rPr>
      </w:pPr>
      <w:r>
        <w:rPr>
          <w:b/>
          <w:sz w:val="20"/>
          <w:szCs w:val="20"/>
          <w:lang w:val="ro-RO"/>
        </w:rPr>
        <w:t>Controlul prin desfacerea suruburilor</w:t>
      </w:r>
    </w:p>
    <w:p>
      <w:pPr>
        <w:pStyle w:val="ListParagraph"/>
        <w:numPr>
          <w:ilvl w:val="0"/>
          <w:numId w:val="33"/>
        </w:numPr>
        <w:rPr>
          <w:sz w:val="20"/>
          <w:szCs w:val="20"/>
          <w:lang w:val="ro-RO"/>
        </w:rPr>
      </w:pPr>
      <w:r>
        <w:rPr>
          <w:sz w:val="20"/>
          <w:szCs w:val="20"/>
          <w:lang w:val="ro-RO"/>
        </w:rPr>
        <w:t>La imbinarile cu suruburi pretensionate se va efectua controlul prin desfacerea a 5% din numarul suruburilor fiecarei imbinari, dar cel puţin al unui şurub la fiecare imbinare; după desfacere se verifica diametrul surubului si al găurii (daca la unul sau mai multe din suruburile desfăcute ale unei îmbinări diametrele nu corespund prevederii proiectului, daca marginea găurii dinspre capul de aşezare nu este zincuita pe o lăţime de 1-2 mm, iar marginea găurii dinspre piulita nu este debavurata) la toate şuruburile îmbinării se vor remedia deficientele constatate;</w:t>
      </w:r>
    </w:p>
    <w:p>
      <w:pPr>
        <w:pStyle w:val="ListParagraph"/>
        <w:numPr>
          <w:ilvl w:val="0"/>
          <w:numId w:val="33"/>
        </w:numPr>
        <w:rPr>
          <w:sz w:val="20"/>
          <w:szCs w:val="20"/>
          <w:lang w:val="ro-RO"/>
        </w:rPr>
      </w:pPr>
      <w:r>
        <w:rPr>
          <w:sz w:val="20"/>
          <w:szCs w:val="20"/>
          <w:lang w:val="ro-RO"/>
        </w:rPr>
        <w:t>La şuruburile care lucrează la forfecare se verifica, prin desfacerea şaibei, daca capătul interior al porţiunii filetate a tijei şurubului este situat cel puţin la mijlocul grosimii şaibei; numărul încercărilor, tehnica controlului, precum si masurile ce trebuie luate In cazul in care nu sunt respectate condiţile de calitate, vor fi identice cu situaţia de mai sus;</w:t>
      </w:r>
    </w:p>
    <w:p>
      <w:pPr>
        <w:pStyle w:val="ListParagraph"/>
        <w:numPr>
          <w:ilvl w:val="0"/>
          <w:numId w:val="16"/>
        </w:numPr>
        <w:ind w:left="284"/>
        <w:rPr>
          <w:b/>
          <w:sz w:val="20"/>
          <w:szCs w:val="20"/>
          <w:lang w:val="ro-RO"/>
        </w:rPr>
      </w:pPr>
      <w:r>
        <w:rPr>
          <w:b/>
          <w:sz w:val="20"/>
          <w:szCs w:val="20"/>
          <w:lang w:val="ro-RO"/>
        </w:rPr>
        <w:t>Controlul prin strangere cu chei obisnuite:</w:t>
      </w:r>
    </w:p>
    <w:p>
      <w:pPr>
        <w:pStyle w:val="ListParagraph"/>
        <w:numPr>
          <w:ilvl w:val="0"/>
          <w:numId w:val="36"/>
        </w:numPr>
        <w:ind w:left="1418"/>
        <w:rPr>
          <w:sz w:val="20"/>
          <w:szCs w:val="20"/>
          <w:lang w:val="ro-RO"/>
        </w:rPr>
      </w:pPr>
      <w:r>
        <w:rPr>
          <w:sz w:val="20"/>
          <w:szCs w:val="20"/>
          <w:lang w:val="ro-RO"/>
        </w:rPr>
        <w:t>controlul prin strangere a 5% din numarul suruburilor fiecarei imbinari, dar cel putin al unui şurub la fiecare îmbinare, controlul se va efectua pentru verificarea strangerii corecte a piulitelor, prin rotirea acestora In sensul de strangere (daca la cel putin unul din suruburile controlate se constata strangerea insuficienta, atunci se vor verifica toate suruburile imbinarii si se vor efectua strângerile corecte) - nu se admit suruburi cu piulita sudata pe tijă.</w:t>
      </w:r>
    </w:p>
    <w:p>
      <w:pPr>
        <w:pStyle w:val="ListParagraph"/>
        <w:ind w:left="1418"/>
        <w:rPr>
          <w:sz w:val="20"/>
          <w:szCs w:val="20"/>
          <w:lang w:val="ro-RO"/>
        </w:rPr>
      </w:pPr>
    </w:p>
    <w:p>
      <w:pPr>
        <w:pStyle w:val="ListParagraph"/>
        <w:numPr>
          <w:ilvl w:val="0"/>
          <w:numId w:val="16"/>
        </w:numPr>
        <w:ind w:left="284"/>
        <w:rPr>
          <w:b/>
          <w:sz w:val="20"/>
          <w:szCs w:val="20"/>
          <w:lang w:val="ro-RO"/>
        </w:rPr>
      </w:pPr>
      <w:r>
        <w:rPr>
          <w:b/>
          <w:sz w:val="20"/>
          <w:szCs w:val="20"/>
          <w:lang w:val="ro-RO"/>
        </w:rPr>
        <w:t>Verificări referitoare la îmbinările cu şuruburi pretensionate:</w:t>
      </w:r>
    </w:p>
    <w:p>
      <w:pPr>
        <w:rPr>
          <w:sz w:val="20"/>
          <w:szCs w:val="20"/>
          <w:lang w:val="ro-RO"/>
        </w:rPr>
      </w:pPr>
      <w:r>
        <w:rPr>
          <w:sz w:val="20"/>
          <w:szCs w:val="20"/>
          <w:lang w:val="ro-RO"/>
        </w:rPr>
        <w:t>Condiţiile de calitate pe care trebuie sa le îndeplinească îmbinările cu şuruburi pretensionate sunt conform tabelului de mai jos:</w:t>
      </w:r>
    </w:p>
    <w:tbl>
      <w:tblPr>
        <w:tblW w:w="9631" w:type="dxa"/>
        <w:jc w:val="center"/>
        <w:tblLayout w:type="fixed"/>
        <w:tblCellMar>
          <w:left w:w="40" w:type="dxa"/>
          <w:right w:w="40" w:type="dxa"/>
        </w:tblCellMar>
        <w:tblLook w:val="0000" w:firstRow="0" w:lastRow="0" w:firstColumn="0" w:lastColumn="0" w:noHBand="0" w:noVBand="0"/>
      </w:tblPr>
      <w:tblGrid>
        <w:gridCol w:w="945"/>
        <w:gridCol w:w="6135"/>
        <w:gridCol w:w="1276"/>
        <w:gridCol w:w="1275"/>
      </w:tblGrid>
      <w:tr>
        <w:trPr>
          <w:jc w:val="center"/>
        </w:trPr>
        <w:tc>
          <w:tcPr>
            <w:tcW w:w="945"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ind w:firstLine="5"/>
              <w:jc w:val="left"/>
              <w:rPr>
                <w:rFonts w:eastAsiaTheme="minorEastAsia" w:cs="Verdana"/>
                <w:sz w:val="20"/>
                <w:szCs w:val="20"/>
                <w:lang w:val="ro-RO" w:eastAsia="ro-RO"/>
              </w:rPr>
            </w:pPr>
            <w:r>
              <w:rPr>
                <w:rFonts w:eastAsiaTheme="minorEastAsia" w:cs="Verdana"/>
                <w:sz w:val="20"/>
                <w:szCs w:val="20"/>
                <w:lang w:val="ro-RO" w:eastAsia="ro-RO"/>
              </w:rPr>
              <w:t>Nr. crt.</w:t>
            </w:r>
          </w:p>
        </w:tc>
        <w:tc>
          <w:tcPr>
            <w:tcW w:w="6135"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sz w:val="20"/>
                <w:szCs w:val="20"/>
                <w:lang w:val="ro-RO" w:eastAsia="ro-RO"/>
              </w:rPr>
            </w:pPr>
            <w:r>
              <w:rPr>
                <w:rFonts w:eastAsiaTheme="minorEastAsia" w:cs="Verdana"/>
                <w:sz w:val="20"/>
                <w:szCs w:val="20"/>
                <w:lang w:val="ro-RO" w:eastAsia="ro-RO"/>
              </w:rPr>
              <w:t>Denumirea abaterilor</w:t>
            </w:r>
          </w:p>
        </w:tc>
        <w:tc>
          <w:tcPr>
            <w:tcW w:w="2551" w:type="dxa"/>
            <w:gridSpan w:val="2"/>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ind w:left="10" w:hanging="10"/>
              <w:jc w:val="left"/>
              <w:rPr>
                <w:rFonts w:eastAsiaTheme="minorEastAsia" w:cs="Verdana"/>
                <w:sz w:val="20"/>
                <w:szCs w:val="20"/>
                <w:lang w:val="ro-RO" w:eastAsia="ro-RO"/>
              </w:rPr>
            </w:pPr>
            <w:r>
              <w:rPr>
                <w:rFonts w:eastAsiaTheme="minorEastAsia" w:cs="Verdana"/>
                <w:sz w:val="20"/>
                <w:szCs w:val="20"/>
                <w:lang w:val="ro-RO" w:eastAsia="ro-RO"/>
              </w:rPr>
              <w:t>Abateri admise fără remedieri (mm)</w:t>
            </w:r>
          </w:p>
        </w:tc>
      </w:tr>
      <w:tr>
        <w:trPr>
          <w:jc w:val="center"/>
        </w:trPr>
        <w:tc>
          <w:tcPr>
            <w:tcW w:w="945"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sz w:val="20"/>
                <w:szCs w:val="20"/>
                <w:lang w:val="ro-RO" w:eastAsia="ro-RO"/>
              </w:rPr>
            </w:pPr>
            <w:r>
              <w:rPr>
                <w:rFonts w:eastAsiaTheme="minorEastAsia" w:cs="Verdana"/>
                <w:sz w:val="20"/>
                <w:szCs w:val="20"/>
                <w:lang w:val="ro-RO" w:eastAsia="ro-RO"/>
              </w:rPr>
              <w:t>1.</w:t>
            </w:r>
          </w:p>
        </w:tc>
        <w:tc>
          <w:tcPr>
            <w:tcW w:w="6135"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ind w:left="5" w:hanging="5"/>
              <w:jc w:val="left"/>
              <w:rPr>
                <w:rFonts w:eastAsiaTheme="minorEastAsia" w:cs="Verdana"/>
                <w:sz w:val="20"/>
                <w:szCs w:val="20"/>
                <w:lang w:val="ro-RO" w:eastAsia="ro-RO"/>
              </w:rPr>
            </w:pPr>
            <w:r>
              <w:rPr>
                <w:rFonts w:eastAsiaTheme="minorEastAsia" w:cs="Verdana"/>
                <w:sz w:val="20"/>
                <w:szCs w:val="20"/>
                <w:lang w:val="ro-RO" w:eastAsia="ro-RO"/>
              </w:rPr>
              <w:t>Abateri de la alinierea suprafeţelor superioare, respectiv inferioare, ale elementelor care se îmbina, talpi;</w:t>
            </w:r>
          </w:p>
        </w:tc>
        <w:tc>
          <w:tcPr>
            <w:tcW w:w="1276"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sz w:val="20"/>
                <w:szCs w:val="20"/>
                <w:lang w:val="ro-RO" w:eastAsia="ro-RO"/>
              </w:rPr>
            </w:pPr>
            <w:r>
              <w:rPr>
                <w:rFonts w:eastAsiaTheme="minorEastAsia" w:cs="Verdana"/>
                <w:sz w:val="20"/>
                <w:szCs w:val="20"/>
                <w:lang w:val="ro-RO" w:eastAsia="ro-RO"/>
              </w:rPr>
              <w:sym w:font="Symbol" w:char="F044"/>
            </w:r>
            <w:r>
              <w:rPr>
                <w:rFonts w:eastAsiaTheme="minorEastAsia" w:cs="Verdana"/>
                <w:sz w:val="20"/>
                <w:szCs w:val="20"/>
                <w:lang w:val="ro-RO" w:eastAsia="ro-RO"/>
              </w:rPr>
              <w:t>H</w:t>
            </w:r>
          </w:p>
        </w:tc>
        <w:tc>
          <w:tcPr>
            <w:tcW w:w="1275"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sz w:val="20"/>
                <w:szCs w:val="20"/>
                <w:lang w:val="ro-RO" w:eastAsia="ro-RO"/>
              </w:rPr>
            </w:pPr>
            <w:r>
              <w:rPr>
                <w:rFonts w:eastAsiaTheme="minorEastAsia" w:cs="Verdana"/>
                <w:sz w:val="20"/>
                <w:szCs w:val="20"/>
                <w:lang w:val="ro-RO" w:eastAsia="ro-RO"/>
              </w:rPr>
              <w:t>1 mm</w:t>
            </w:r>
          </w:p>
        </w:tc>
      </w:tr>
      <w:tr>
        <w:trPr>
          <w:jc w:val="center"/>
        </w:trPr>
        <w:tc>
          <w:tcPr>
            <w:tcW w:w="945"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sz w:val="20"/>
                <w:szCs w:val="20"/>
                <w:lang w:val="ro-RO" w:eastAsia="ro-RO"/>
              </w:rPr>
            </w:pPr>
            <w:r>
              <w:rPr>
                <w:rFonts w:eastAsiaTheme="minorEastAsia" w:cs="Verdana"/>
                <w:sz w:val="20"/>
                <w:szCs w:val="20"/>
                <w:lang w:val="ro-RO" w:eastAsia="ro-RO"/>
              </w:rPr>
              <w:t>2.</w:t>
            </w:r>
          </w:p>
        </w:tc>
        <w:tc>
          <w:tcPr>
            <w:tcW w:w="6135"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ind w:left="5" w:hanging="5"/>
              <w:jc w:val="left"/>
              <w:rPr>
                <w:rFonts w:eastAsiaTheme="minorEastAsia" w:cs="Verdana"/>
                <w:sz w:val="20"/>
                <w:szCs w:val="20"/>
                <w:lang w:val="ro-RO" w:eastAsia="ro-RO"/>
              </w:rPr>
            </w:pPr>
            <w:r>
              <w:rPr>
                <w:rFonts w:eastAsiaTheme="minorEastAsia" w:cs="Verdana"/>
                <w:sz w:val="20"/>
                <w:szCs w:val="20"/>
                <w:lang w:val="ro-RO" w:eastAsia="ro-RO"/>
              </w:rPr>
              <w:t>Abateri de la alinierea suprafeţelor stânga, respectiv dreapta, ale elementelor care se îmbina, inima</w:t>
            </w:r>
          </w:p>
        </w:tc>
        <w:tc>
          <w:tcPr>
            <w:tcW w:w="1276"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sz w:val="20"/>
                <w:szCs w:val="20"/>
                <w:lang w:val="ro-RO" w:eastAsia="ro-RO"/>
              </w:rPr>
            </w:pPr>
            <w:r>
              <w:rPr>
                <w:rFonts w:eastAsiaTheme="minorEastAsia" w:cs="Verdana"/>
                <w:sz w:val="20"/>
                <w:szCs w:val="20"/>
                <w:lang w:val="ro-RO" w:eastAsia="ro-RO"/>
              </w:rPr>
              <w:sym w:font="Symbol" w:char="F044"/>
            </w:r>
            <w:r>
              <w:rPr>
                <w:rFonts w:eastAsiaTheme="minorEastAsia" w:cs="Verdana"/>
                <w:sz w:val="20"/>
                <w:szCs w:val="20"/>
                <w:lang w:val="ro-RO" w:eastAsia="ro-RO"/>
              </w:rPr>
              <w:t>g</w:t>
            </w:r>
          </w:p>
        </w:tc>
        <w:tc>
          <w:tcPr>
            <w:tcW w:w="1275"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sz w:val="20"/>
                <w:szCs w:val="20"/>
                <w:lang w:val="ro-RO" w:eastAsia="ro-RO"/>
              </w:rPr>
            </w:pPr>
            <w:r>
              <w:rPr>
                <w:rFonts w:eastAsiaTheme="minorEastAsia" w:cs="Verdana"/>
                <w:sz w:val="20"/>
                <w:szCs w:val="20"/>
                <w:lang w:val="ro-RO" w:eastAsia="ro-RO"/>
              </w:rPr>
              <w:t>1 mm</w:t>
            </w:r>
          </w:p>
        </w:tc>
      </w:tr>
      <w:tr>
        <w:trPr>
          <w:jc w:val="center"/>
        </w:trPr>
        <w:tc>
          <w:tcPr>
            <w:tcW w:w="945"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sz w:val="20"/>
                <w:szCs w:val="20"/>
                <w:lang w:val="ro-RO" w:eastAsia="ro-RO"/>
              </w:rPr>
            </w:pPr>
            <w:r>
              <w:rPr>
                <w:rFonts w:eastAsiaTheme="minorEastAsia" w:cs="Verdana"/>
                <w:sz w:val="20"/>
                <w:szCs w:val="20"/>
                <w:lang w:val="ro-RO" w:eastAsia="ro-RO"/>
              </w:rPr>
              <w:t>3.</w:t>
            </w:r>
          </w:p>
        </w:tc>
        <w:tc>
          <w:tcPr>
            <w:tcW w:w="6135"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sz w:val="20"/>
                <w:szCs w:val="20"/>
                <w:lang w:val="ro-RO" w:eastAsia="ro-RO"/>
              </w:rPr>
            </w:pPr>
            <w:r>
              <w:rPr>
                <w:rFonts w:eastAsiaTheme="minorEastAsia" w:cs="Verdana"/>
                <w:sz w:val="20"/>
                <w:szCs w:val="20"/>
                <w:lang w:val="ro-RO" w:eastAsia="ro-RO"/>
              </w:rPr>
              <w:t>Abateri de la diametrul găurilor (Ag)</w:t>
            </w:r>
          </w:p>
        </w:tc>
        <w:tc>
          <w:tcPr>
            <w:tcW w:w="1276"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sz w:val="20"/>
                <w:szCs w:val="20"/>
                <w:lang w:val="ro-RO" w:eastAsia="ro-RO"/>
              </w:rPr>
            </w:pPr>
            <w:r>
              <w:rPr>
                <w:rFonts w:eastAsiaTheme="minorEastAsia" w:cs="Verdana"/>
                <w:sz w:val="20"/>
                <w:szCs w:val="20"/>
                <w:lang w:val="ro-RO" w:eastAsia="ro-RO"/>
              </w:rPr>
              <w:t xml:space="preserve">- 0,5 </w:t>
            </w:r>
            <w:r>
              <w:rPr>
                <w:rFonts w:eastAsiaTheme="minorEastAsia" w:cs="Verdana"/>
                <w:sz w:val="20"/>
                <w:szCs w:val="20"/>
                <w:lang w:val="ro-RO" w:eastAsia="ro-RO"/>
              </w:rPr>
              <w:sym w:font="Symbol" w:char="F044"/>
            </w:r>
            <w:r>
              <w:rPr>
                <w:rFonts w:eastAsiaTheme="minorEastAsia" w:cs="Verdana"/>
                <w:sz w:val="20"/>
                <w:szCs w:val="20"/>
                <w:lang w:val="ro-RO" w:eastAsia="ro-RO"/>
              </w:rPr>
              <w:t>dg</w:t>
            </w:r>
          </w:p>
        </w:tc>
        <w:tc>
          <w:tcPr>
            <w:tcW w:w="1275"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sz w:val="20"/>
                <w:szCs w:val="20"/>
                <w:lang w:val="ro-RO" w:eastAsia="ro-RO"/>
              </w:rPr>
            </w:pPr>
            <w:r>
              <w:rPr>
                <w:rFonts w:eastAsiaTheme="minorEastAsia" w:cs="Verdana"/>
                <w:sz w:val="20"/>
                <w:szCs w:val="20"/>
                <w:lang w:val="ro-RO" w:eastAsia="ro-RO"/>
              </w:rPr>
              <w:t>+0,5 mm</w:t>
            </w:r>
          </w:p>
        </w:tc>
      </w:tr>
      <w:tr>
        <w:trPr>
          <w:jc w:val="center"/>
        </w:trPr>
        <w:tc>
          <w:tcPr>
            <w:tcW w:w="945"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sz w:val="20"/>
                <w:szCs w:val="20"/>
                <w:lang w:val="ro-RO" w:eastAsia="ro-RO"/>
              </w:rPr>
            </w:pPr>
            <w:r>
              <w:rPr>
                <w:rFonts w:eastAsiaTheme="minorEastAsia" w:cs="Verdana"/>
                <w:sz w:val="20"/>
                <w:szCs w:val="20"/>
                <w:lang w:val="ro-RO" w:eastAsia="ro-RO"/>
              </w:rPr>
              <w:t>4.</w:t>
            </w:r>
          </w:p>
        </w:tc>
        <w:tc>
          <w:tcPr>
            <w:tcW w:w="6135"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sz w:val="20"/>
                <w:szCs w:val="20"/>
                <w:lang w:val="ro-RO" w:eastAsia="ro-RO"/>
              </w:rPr>
            </w:pPr>
            <w:r>
              <w:rPr>
                <w:rFonts w:eastAsiaTheme="minorEastAsia" w:cs="Verdana"/>
                <w:sz w:val="20"/>
                <w:szCs w:val="20"/>
                <w:lang w:val="ro-RO" w:eastAsia="ro-RO"/>
              </w:rPr>
              <w:t>Abateri de la distantele dintre (Als)</w:t>
            </w:r>
          </w:p>
        </w:tc>
        <w:tc>
          <w:tcPr>
            <w:tcW w:w="1276"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sz w:val="20"/>
                <w:szCs w:val="20"/>
                <w:lang w:val="ro-RO" w:eastAsia="ro-RO"/>
              </w:rPr>
            </w:pPr>
            <w:r>
              <w:rPr>
                <w:rFonts w:eastAsiaTheme="minorEastAsia" w:cs="Verdana"/>
                <w:sz w:val="20"/>
                <w:szCs w:val="20"/>
                <w:lang w:val="ro-RO" w:eastAsia="ro-RO"/>
              </w:rPr>
              <w:t xml:space="preserve">-0,5 </w:t>
            </w:r>
            <w:r>
              <w:rPr>
                <w:rFonts w:eastAsiaTheme="minorEastAsia" w:cs="Verdana"/>
                <w:sz w:val="20"/>
                <w:szCs w:val="20"/>
                <w:lang w:val="ro-RO" w:eastAsia="ro-RO"/>
              </w:rPr>
              <w:sym w:font="Symbol" w:char="F044"/>
            </w:r>
            <w:r>
              <w:rPr>
                <w:rFonts w:eastAsiaTheme="minorEastAsia" w:cs="Verdana"/>
                <w:sz w:val="20"/>
                <w:szCs w:val="20"/>
                <w:lang w:val="ro-RO" w:eastAsia="ro-RO"/>
              </w:rPr>
              <w:t>ls</w:t>
            </w:r>
          </w:p>
        </w:tc>
        <w:tc>
          <w:tcPr>
            <w:tcW w:w="1275"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sz w:val="20"/>
                <w:szCs w:val="20"/>
                <w:lang w:val="ro-RO" w:eastAsia="ro-RO"/>
              </w:rPr>
            </w:pPr>
            <w:r>
              <w:rPr>
                <w:rFonts w:eastAsiaTheme="minorEastAsia" w:cs="Verdana"/>
                <w:sz w:val="20"/>
                <w:szCs w:val="20"/>
                <w:lang w:val="ro-RO" w:eastAsia="ro-RO"/>
              </w:rPr>
              <w:t>+0,5 mm</w:t>
            </w:r>
          </w:p>
        </w:tc>
      </w:tr>
      <w:tr>
        <w:trPr>
          <w:jc w:val="center"/>
        </w:trPr>
        <w:tc>
          <w:tcPr>
            <w:tcW w:w="945"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sz w:val="20"/>
                <w:szCs w:val="20"/>
                <w:lang w:val="ro-RO" w:eastAsia="ro-RO"/>
              </w:rPr>
            </w:pPr>
            <w:r>
              <w:rPr>
                <w:rFonts w:eastAsiaTheme="minorEastAsia" w:cs="Verdana"/>
                <w:sz w:val="20"/>
                <w:szCs w:val="20"/>
                <w:lang w:val="ro-RO" w:eastAsia="ro-RO"/>
              </w:rPr>
              <w:t>5.</w:t>
            </w:r>
          </w:p>
        </w:tc>
        <w:tc>
          <w:tcPr>
            <w:tcW w:w="6135"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ind w:left="5" w:hanging="5"/>
              <w:jc w:val="left"/>
              <w:rPr>
                <w:rFonts w:eastAsiaTheme="minorEastAsia" w:cs="Verdana"/>
                <w:sz w:val="20"/>
                <w:szCs w:val="20"/>
                <w:lang w:val="ro-RO" w:eastAsia="ro-RO"/>
              </w:rPr>
            </w:pPr>
            <w:r>
              <w:rPr>
                <w:rFonts w:eastAsiaTheme="minorEastAsia" w:cs="Verdana"/>
                <w:sz w:val="20"/>
                <w:szCs w:val="20"/>
                <w:lang w:val="ro-RO" w:eastAsia="ro-RO"/>
              </w:rPr>
              <w:t>Abateri   de   la   distantele   dintre   găurile   marginile corespondente ale elementelor care se îmbina (Aim)</w:t>
            </w:r>
          </w:p>
        </w:tc>
        <w:tc>
          <w:tcPr>
            <w:tcW w:w="1276"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sz w:val="20"/>
                <w:szCs w:val="20"/>
                <w:lang w:val="ro-RO" w:eastAsia="ro-RO"/>
              </w:rPr>
            </w:pPr>
            <w:r>
              <w:rPr>
                <w:rFonts w:eastAsiaTheme="minorEastAsia" w:cs="Verdana"/>
                <w:sz w:val="20"/>
                <w:szCs w:val="20"/>
                <w:lang w:val="ro-RO" w:eastAsia="ro-RO"/>
              </w:rPr>
              <w:t>-0,5 Im</w:t>
            </w:r>
          </w:p>
        </w:tc>
        <w:tc>
          <w:tcPr>
            <w:tcW w:w="1275"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sz w:val="20"/>
                <w:szCs w:val="20"/>
                <w:lang w:val="ro-RO" w:eastAsia="ro-RO"/>
              </w:rPr>
            </w:pPr>
            <w:r>
              <w:rPr>
                <w:rFonts w:eastAsiaTheme="minorEastAsia" w:cs="Verdana"/>
                <w:sz w:val="20"/>
                <w:szCs w:val="20"/>
                <w:lang w:val="ro-RO" w:eastAsia="ro-RO"/>
              </w:rPr>
              <w:t>+0,5 mm</w:t>
            </w:r>
          </w:p>
        </w:tc>
      </w:tr>
    </w:tbl>
    <w:p>
      <w:pPr>
        <w:ind w:firstLine="720"/>
        <w:rPr>
          <w:sz w:val="20"/>
          <w:szCs w:val="20"/>
          <w:lang w:val="ro-RO"/>
        </w:rPr>
      </w:pPr>
    </w:p>
    <w:p>
      <w:pPr>
        <w:rPr>
          <w:sz w:val="20"/>
          <w:szCs w:val="20"/>
          <w:lang w:val="ro-RO"/>
        </w:rPr>
      </w:pPr>
      <w:r>
        <w:rPr>
          <w:sz w:val="20"/>
          <w:szCs w:val="20"/>
          <w:lang w:val="ro-RO"/>
        </w:rPr>
        <w:t>Activităţile de monitorizare si măsurare trebuie completate cu verificările prevăzute de proiectant in fazele determinante ale execuţiei lucrărilor.</w:t>
      </w:r>
    </w:p>
    <w:p>
      <w:pPr>
        <w:pStyle w:val="Heading3"/>
        <w:rPr>
          <w:sz w:val="20"/>
          <w:szCs w:val="20"/>
          <w:lang w:val="ro-RO"/>
        </w:rPr>
      </w:pPr>
      <w:bookmarkStart w:id="32" w:name="_Toc227161507"/>
      <w:r>
        <w:rPr>
          <w:sz w:val="20"/>
          <w:szCs w:val="20"/>
          <w:lang w:val="ro-RO"/>
        </w:rPr>
        <w:t>2.2.4 Cerinte privind lucrarille de protectie anticorozive a suprafetelor metalice</w:t>
      </w:r>
      <w:bookmarkEnd w:id="32"/>
    </w:p>
    <w:p>
      <w:pPr>
        <w:pStyle w:val="Heading4"/>
        <w:rPr>
          <w:sz w:val="20"/>
          <w:szCs w:val="20"/>
          <w:lang w:val="ro-RO"/>
        </w:rPr>
      </w:pPr>
      <w:r>
        <w:rPr>
          <w:sz w:val="20"/>
          <w:szCs w:val="20"/>
          <w:lang w:val="ro-RO"/>
        </w:rPr>
        <w:t xml:space="preserve">2.2.4.1 Finisaje pentru protectia materialelor </w:t>
      </w:r>
    </w:p>
    <w:p>
      <w:pPr>
        <w:pStyle w:val="ListParagraph"/>
        <w:numPr>
          <w:ilvl w:val="0"/>
          <w:numId w:val="16"/>
        </w:numPr>
        <w:rPr>
          <w:b/>
          <w:sz w:val="20"/>
          <w:szCs w:val="20"/>
          <w:lang w:val="ro-RO"/>
        </w:rPr>
      </w:pPr>
      <w:r>
        <w:rPr>
          <w:b/>
          <w:sz w:val="20"/>
          <w:szCs w:val="20"/>
          <w:lang w:val="ro-RO"/>
        </w:rPr>
        <w:t>Specificaţii</w:t>
      </w:r>
    </w:p>
    <w:p>
      <w:pPr>
        <w:rPr>
          <w:sz w:val="20"/>
          <w:szCs w:val="20"/>
          <w:lang w:val="ro-RO"/>
        </w:rPr>
      </w:pPr>
      <w:r>
        <w:rPr>
          <w:sz w:val="20"/>
          <w:szCs w:val="20"/>
          <w:lang w:val="ro-RO"/>
        </w:rPr>
        <w:t>Aceste specificatii se aplica protectiilor, vopselelor si tratamentelor de suprafete ale instalatiei ce vor face subiectul acestui Contract.</w:t>
      </w:r>
    </w:p>
    <w:p>
      <w:pPr>
        <w:pStyle w:val="ListParagraph"/>
        <w:numPr>
          <w:ilvl w:val="0"/>
          <w:numId w:val="16"/>
        </w:numPr>
        <w:rPr>
          <w:b/>
          <w:sz w:val="20"/>
          <w:szCs w:val="20"/>
          <w:lang w:val="ro-RO"/>
        </w:rPr>
      </w:pPr>
      <w:r>
        <w:rPr>
          <w:b/>
          <w:sz w:val="20"/>
          <w:szCs w:val="20"/>
          <w:lang w:val="ro-RO"/>
        </w:rPr>
        <w:t>Toxicitate</w:t>
      </w:r>
    </w:p>
    <w:p>
      <w:pPr>
        <w:ind w:firstLine="720"/>
        <w:rPr>
          <w:sz w:val="20"/>
          <w:szCs w:val="20"/>
          <w:lang w:val="ro-RO"/>
        </w:rPr>
      </w:pPr>
      <w:r>
        <w:rPr>
          <w:sz w:val="20"/>
          <w:szCs w:val="20"/>
          <w:lang w:val="ro-RO"/>
        </w:rPr>
        <w:t>Pentru a evita posibilitatea prezentei hidrocarburilor cancerigene, vopselele si acoperirile bituminoase trebuie fabricate din petrol sau bitum asfaltic si nu din bitum gudronic.</w:t>
      </w:r>
    </w:p>
    <w:p>
      <w:pPr>
        <w:pStyle w:val="ListParagraph"/>
        <w:numPr>
          <w:ilvl w:val="0"/>
          <w:numId w:val="16"/>
        </w:numPr>
        <w:rPr>
          <w:b/>
          <w:sz w:val="20"/>
          <w:szCs w:val="20"/>
          <w:lang w:val="ro-RO"/>
        </w:rPr>
      </w:pPr>
      <w:r>
        <w:rPr>
          <w:b/>
          <w:sz w:val="20"/>
          <w:szCs w:val="20"/>
          <w:lang w:val="ro-RO"/>
        </w:rPr>
        <w:t>Vopsea pe baza de plumb</w:t>
      </w:r>
    </w:p>
    <w:p>
      <w:pPr>
        <w:rPr>
          <w:sz w:val="20"/>
          <w:szCs w:val="20"/>
          <w:lang w:val="ro-RO"/>
        </w:rPr>
      </w:pPr>
      <w:r>
        <w:rPr>
          <w:sz w:val="20"/>
          <w:szCs w:val="20"/>
          <w:lang w:val="ro-RO"/>
        </w:rPr>
        <w:lastRenderedPageBreak/>
        <w:t>Nu se vor utiliza vopsele pe baza de plumb.</w:t>
      </w:r>
    </w:p>
    <w:p>
      <w:pPr>
        <w:pStyle w:val="ListParagraph"/>
        <w:numPr>
          <w:ilvl w:val="0"/>
          <w:numId w:val="16"/>
        </w:numPr>
        <w:rPr>
          <w:b/>
          <w:sz w:val="20"/>
          <w:szCs w:val="20"/>
          <w:lang w:val="ro-RO"/>
        </w:rPr>
      </w:pPr>
      <w:r>
        <w:rPr>
          <w:b/>
          <w:sz w:val="20"/>
          <w:szCs w:val="20"/>
          <w:lang w:val="ro-RO"/>
        </w:rPr>
        <w:t>Suprafete lucioase</w:t>
      </w:r>
    </w:p>
    <w:p>
      <w:pPr>
        <w:rPr>
          <w:sz w:val="20"/>
          <w:szCs w:val="20"/>
          <w:lang w:val="ro-RO"/>
        </w:rPr>
      </w:pPr>
      <w:r>
        <w:rPr>
          <w:sz w:val="20"/>
          <w:szCs w:val="20"/>
          <w:lang w:val="ro-RO"/>
        </w:rPr>
        <w:t>Suprafetele polizate, lustruite sau lucioase, atât exterioare, cât si interioare, vor fi prevazute cu protectii corespunzatoare împotriva coroziunii, daunelor si deteriorarii.</w:t>
      </w:r>
    </w:p>
    <w:p>
      <w:pPr>
        <w:pStyle w:val="ListParagraph"/>
        <w:numPr>
          <w:ilvl w:val="0"/>
          <w:numId w:val="16"/>
        </w:numPr>
        <w:rPr>
          <w:b/>
          <w:sz w:val="20"/>
          <w:szCs w:val="20"/>
          <w:lang w:val="ro-RO"/>
        </w:rPr>
      </w:pPr>
      <w:r>
        <w:rPr>
          <w:b/>
          <w:sz w:val="20"/>
          <w:szCs w:val="20"/>
          <w:lang w:val="ro-RO"/>
        </w:rPr>
        <w:t>Pregatiri</w:t>
      </w:r>
    </w:p>
    <w:p>
      <w:pPr>
        <w:rPr>
          <w:sz w:val="20"/>
          <w:szCs w:val="20"/>
          <w:lang w:val="ro-RO"/>
        </w:rPr>
      </w:pPr>
      <w:r>
        <w:rPr>
          <w:sz w:val="20"/>
          <w:szCs w:val="20"/>
          <w:lang w:val="ro-RO"/>
        </w:rPr>
        <w:t>Antreprenorul se va asigura ca, înainte de expedierea de la producator si dupa finalizarea operatiunilor de montare, instalatia beneficiaza de pregatirile corespunzatoare, urmate de sistemul de protectie prezentat în tabelele din prezentele Cerinte.</w:t>
      </w:r>
    </w:p>
    <w:p>
      <w:pPr>
        <w:pStyle w:val="ListParagraph"/>
        <w:numPr>
          <w:ilvl w:val="0"/>
          <w:numId w:val="37"/>
        </w:numPr>
        <w:rPr>
          <w:b/>
          <w:sz w:val="20"/>
          <w:szCs w:val="20"/>
          <w:lang w:val="ro-RO"/>
        </w:rPr>
      </w:pPr>
      <w:r>
        <w:rPr>
          <w:b/>
          <w:sz w:val="20"/>
          <w:szCs w:val="20"/>
          <w:lang w:val="ro-RO"/>
        </w:rPr>
        <w:t>Finalizarea lucrarilor de vopsire</w:t>
      </w:r>
    </w:p>
    <w:p>
      <w:pPr>
        <w:rPr>
          <w:sz w:val="20"/>
          <w:szCs w:val="20"/>
          <w:lang w:val="ro-RO"/>
        </w:rPr>
      </w:pPr>
      <w:r>
        <w:rPr>
          <w:sz w:val="20"/>
          <w:szCs w:val="20"/>
          <w:lang w:val="ro-RO"/>
        </w:rPr>
        <w:t>Lucrarile de vopsire si de aplicare a finisajelor de protectie vor fi finalizate înainte de emiterea procesului verbal de receptie la terminarea lucrarilor sau a oricarui certificat intermediar.</w:t>
      </w:r>
    </w:p>
    <w:p>
      <w:pPr>
        <w:pStyle w:val="ListParagraph"/>
        <w:numPr>
          <w:ilvl w:val="0"/>
          <w:numId w:val="38"/>
        </w:numPr>
        <w:rPr>
          <w:b/>
          <w:sz w:val="20"/>
          <w:szCs w:val="20"/>
          <w:lang w:val="ro-RO"/>
        </w:rPr>
      </w:pPr>
      <w:r>
        <w:rPr>
          <w:b/>
          <w:sz w:val="20"/>
          <w:szCs w:val="20"/>
          <w:lang w:val="ro-RO"/>
        </w:rPr>
        <w:t>Depozitare</w:t>
      </w:r>
    </w:p>
    <w:p>
      <w:pPr>
        <w:ind w:firstLine="720"/>
        <w:rPr>
          <w:sz w:val="20"/>
          <w:szCs w:val="20"/>
          <w:lang w:val="ro-RO"/>
        </w:rPr>
      </w:pPr>
      <w:r>
        <w:rPr>
          <w:sz w:val="20"/>
          <w:szCs w:val="20"/>
          <w:lang w:val="ro-RO"/>
        </w:rPr>
        <w:t>Vopselele vor fi depozitate si utilizate în stricta conformitate cu instructiunile producatorului.</w:t>
      </w:r>
    </w:p>
    <w:p>
      <w:pPr>
        <w:pStyle w:val="ListParagraph"/>
        <w:numPr>
          <w:ilvl w:val="0"/>
          <w:numId w:val="38"/>
        </w:numPr>
        <w:rPr>
          <w:b/>
          <w:sz w:val="20"/>
          <w:szCs w:val="20"/>
          <w:lang w:val="ro-RO"/>
        </w:rPr>
      </w:pPr>
      <w:r>
        <w:rPr>
          <w:b/>
          <w:sz w:val="20"/>
          <w:szCs w:val="20"/>
          <w:lang w:val="ro-RO"/>
        </w:rPr>
        <w:t>Aplicarea vopselelor</w:t>
      </w:r>
    </w:p>
    <w:p>
      <w:pPr>
        <w:rPr>
          <w:sz w:val="20"/>
          <w:szCs w:val="20"/>
          <w:lang w:val="ro-RO"/>
        </w:rPr>
      </w:pPr>
      <w:r>
        <w:rPr>
          <w:sz w:val="20"/>
          <w:szCs w:val="20"/>
          <w:lang w:val="ro-RO"/>
        </w:rPr>
        <w:t>Vopseaua nu va fi aplicata în conditii nefavorabile, respectiv atunci când temperatura constructiilor de otel este mai mica de 4 °C, peste 50 °C, cu mai putin de 3 °C peste punctul de roua sau atunci când umiditatea relativa depaseste 80%.</w:t>
      </w:r>
    </w:p>
    <w:p>
      <w:pPr>
        <w:rPr>
          <w:sz w:val="20"/>
          <w:szCs w:val="20"/>
          <w:lang w:val="ro-RO"/>
        </w:rPr>
      </w:pPr>
      <w:r>
        <w:rPr>
          <w:sz w:val="20"/>
          <w:szCs w:val="20"/>
          <w:lang w:val="ro-RO"/>
        </w:rPr>
        <w:t>Pentru materialele specificate, Antreprenorul se va asigura ca circumstantele de aplicare sunt conforme cu Specificatiile si instructiunile producatorului, vopseaua fiind aplicata doar pe suprafete care au fost curatate si pregatite în conformitate cu aceste instructiuni.</w:t>
      </w:r>
    </w:p>
    <w:p>
      <w:pPr>
        <w:rPr>
          <w:sz w:val="20"/>
          <w:szCs w:val="20"/>
          <w:lang w:val="ro-RO"/>
        </w:rPr>
      </w:pPr>
      <w:r>
        <w:rPr>
          <w:sz w:val="20"/>
          <w:szCs w:val="20"/>
          <w:lang w:val="ro-RO"/>
        </w:rPr>
        <w:t>Atunci când conditiile climatice locale fac dificila respectarea cerintelor specificate, Antreprenorul va asigura protectie temporara.</w:t>
      </w:r>
    </w:p>
    <w:p>
      <w:pPr>
        <w:rPr>
          <w:sz w:val="20"/>
          <w:szCs w:val="20"/>
          <w:lang w:val="ro-RO"/>
        </w:rPr>
      </w:pPr>
      <w:r>
        <w:rPr>
          <w:sz w:val="20"/>
          <w:szCs w:val="20"/>
          <w:lang w:val="ro-RO"/>
        </w:rPr>
        <w:t>Nu se va aplica vopsea peste placuta de identificare a producatorului, gurile de umplere din angrenaje sau duzele de lubrifiant.</w:t>
      </w:r>
    </w:p>
    <w:p>
      <w:pPr>
        <w:rPr>
          <w:sz w:val="20"/>
          <w:szCs w:val="20"/>
          <w:lang w:val="ro-RO"/>
        </w:rPr>
      </w:pPr>
      <w:r>
        <w:rPr>
          <w:sz w:val="20"/>
          <w:szCs w:val="20"/>
          <w:lang w:val="ro-RO"/>
        </w:rPr>
        <w:t>Grosimea stratului uscat de vopsea va fi masurata de Antreprenor în prezenta Supervizorului, cu Ecometru.</w:t>
      </w:r>
    </w:p>
    <w:p>
      <w:pPr>
        <w:pStyle w:val="ListParagraph"/>
        <w:numPr>
          <w:ilvl w:val="0"/>
          <w:numId w:val="38"/>
        </w:numPr>
        <w:rPr>
          <w:b/>
          <w:sz w:val="20"/>
          <w:szCs w:val="20"/>
          <w:lang w:val="ro-RO"/>
        </w:rPr>
      </w:pPr>
      <w:r>
        <w:rPr>
          <w:b/>
          <w:sz w:val="20"/>
          <w:szCs w:val="20"/>
          <w:lang w:val="ro-RO"/>
        </w:rPr>
        <w:t>Suprafete galvanizate</w:t>
      </w:r>
    </w:p>
    <w:p>
      <w:pPr>
        <w:rPr>
          <w:sz w:val="20"/>
          <w:szCs w:val="20"/>
          <w:lang w:val="ro-RO"/>
        </w:rPr>
      </w:pPr>
      <w:r>
        <w:rPr>
          <w:sz w:val="20"/>
          <w:szCs w:val="20"/>
          <w:lang w:val="ro-RO"/>
        </w:rPr>
        <w:t>Atunci când sunt implicate suprafete galvanizate, se va aplica prin procesul de imersare în baie, cu o grosime si cantitate conforme cu SR EN ISO 1461 Partea 1. Procesul de productie (respectiv sudura) va fi finalizat înainte de galvanizare cu marcajele complet vizibile. Suprafetele vor fi degresate corespunzator înainte de aplicarea oricarui strat protector si pretratate prin aplicarea unui grund de decapare cu o pensula.</w:t>
      </w:r>
    </w:p>
    <w:p>
      <w:pPr>
        <w:rPr>
          <w:sz w:val="20"/>
          <w:szCs w:val="20"/>
          <w:lang w:val="ro-RO"/>
        </w:rPr>
      </w:pPr>
      <w:r>
        <w:rPr>
          <w:sz w:val="20"/>
          <w:szCs w:val="20"/>
          <w:lang w:val="ro-RO"/>
        </w:rPr>
        <w:t>Nu va fi utilizat otel supus fragilizarii cu hidrogen prin galvanizare.</w:t>
      </w:r>
    </w:p>
    <w:p>
      <w:pPr>
        <w:pStyle w:val="ListParagraph"/>
        <w:numPr>
          <w:ilvl w:val="0"/>
          <w:numId w:val="38"/>
        </w:numPr>
        <w:rPr>
          <w:b/>
          <w:sz w:val="20"/>
          <w:szCs w:val="20"/>
          <w:lang w:val="ro-RO"/>
        </w:rPr>
      </w:pPr>
      <w:r>
        <w:rPr>
          <w:b/>
          <w:sz w:val="20"/>
          <w:szCs w:val="20"/>
          <w:lang w:val="ro-RO"/>
        </w:rPr>
        <w:t>Pregatirea suprafetei</w:t>
      </w:r>
    </w:p>
    <w:p>
      <w:pPr>
        <w:rPr>
          <w:sz w:val="20"/>
          <w:szCs w:val="20"/>
          <w:lang w:val="ro-RO"/>
        </w:rPr>
      </w:pPr>
      <w:r>
        <w:rPr>
          <w:sz w:val="20"/>
          <w:szCs w:val="20"/>
          <w:lang w:val="ro-RO"/>
        </w:rPr>
        <w:t>Suprafetele de fier si otel vor fi curatate conform EN ISO 8501-3 înainte de aplicarea oricaror acoperiri de protectie. Suprafetele de otel vor fi degresate si sablate la standardul de calitate Sa 2.5 cu o amplitudine de suprafata de 50 - 75 microni, pentru eliminarea ruginii si a arsurilor de laminare. Praful si impuritatile vor fi îndepartate cu un aspirator, aer comprimat sau perie. Sudurile si zonele învecinate vor fi curatate prin sablare si pregatite în mod similar. Defectele de suprafata vor fi eliminate în conformitate cu EN 10163.</w:t>
      </w:r>
    </w:p>
    <w:p>
      <w:pPr>
        <w:rPr>
          <w:sz w:val="20"/>
          <w:szCs w:val="20"/>
          <w:lang w:val="ro-RO"/>
        </w:rPr>
      </w:pPr>
      <w:r>
        <w:rPr>
          <w:sz w:val="20"/>
          <w:szCs w:val="20"/>
          <w:lang w:val="ro-RO"/>
        </w:rPr>
        <w:t>Aerul comprimat pentru sablare, îndepartarea prafului si aplicarea vopselelor nu va contine ulei sau apa. Vor fi instalate tavi pentru colectarea uleiului si apei, cât mai aproape posibil de capatul operational al liniei de aer, respectiv cât mai aproape de linia de sablare, curatare sau vopsire.</w:t>
      </w:r>
    </w:p>
    <w:p>
      <w:pPr>
        <w:rPr>
          <w:sz w:val="20"/>
          <w:szCs w:val="20"/>
          <w:lang w:val="ro-RO"/>
        </w:rPr>
      </w:pPr>
      <w:r>
        <w:rPr>
          <w:sz w:val="20"/>
          <w:szCs w:val="20"/>
          <w:lang w:val="ro-RO"/>
        </w:rPr>
        <w:t xml:space="preserve">Operatiile de sablare vor fi separate de cele de vopsire </w:t>
      </w:r>
    </w:p>
    <w:p>
      <w:pPr>
        <w:pStyle w:val="ListParagraph"/>
        <w:numPr>
          <w:ilvl w:val="0"/>
          <w:numId w:val="39"/>
        </w:numPr>
        <w:rPr>
          <w:b/>
          <w:sz w:val="20"/>
          <w:szCs w:val="20"/>
          <w:lang w:val="ro-RO"/>
        </w:rPr>
      </w:pPr>
      <w:r>
        <w:rPr>
          <w:b/>
          <w:sz w:val="20"/>
          <w:szCs w:val="20"/>
          <w:lang w:val="ro-RO"/>
        </w:rPr>
        <w:t>Culoare</w:t>
      </w:r>
    </w:p>
    <w:p>
      <w:pPr>
        <w:rPr>
          <w:sz w:val="20"/>
          <w:szCs w:val="20"/>
          <w:lang w:val="ro-RO"/>
        </w:rPr>
      </w:pPr>
      <w:r>
        <w:rPr>
          <w:sz w:val="20"/>
          <w:szCs w:val="20"/>
          <w:lang w:val="ro-RO"/>
        </w:rPr>
        <w:t>Toate finisajele de protectie pentru metal vor fi realizate cu culori aprobate de Supervizor.</w:t>
      </w:r>
    </w:p>
    <w:p>
      <w:pPr>
        <w:pStyle w:val="ListParagraph"/>
        <w:numPr>
          <w:ilvl w:val="0"/>
          <w:numId w:val="39"/>
        </w:numPr>
        <w:rPr>
          <w:b/>
          <w:sz w:val="20"/>
          <w:szCs w:val="20"/>
          <w:lang w:val="ro-RO"/>
        </w:rPr>
      </w:pPr>
      <w:r>
        <w:rPr>
          <w:b/>
          <w:sz w:val="20"/>
          <w:szCs w:val="20"/>
          <w:lang w:val="ro-RO"/>
        </w:rPr>
        <w:lastRenderedPageBreak/>
        <w:t>Finisaj cu email pentru cuptor</w:t>
      </w:r>
    </w:p>
    <w:p>
      <w:pPr>
        <w:rPr>
          <w:sz w:val="20"/>
          <w:szCs w:val="20"/>
          <w:lang w:val="ro-RO"/>
        </w:rPr>
      </w:pPr>
      <w:r>
        <w:rPr>
          <w:sz w:val="20"/>
          <w:szCs w:val="20"/>
          <w:lang w:val="ro-RO"/>
        </w:rPr>
        <w:t>Atunci când este prevazut un finisaj cu email pentru cuptor, suprafata va fi curatata, degresata, acoperita cu un strat de grund decapant, urmat de trei straturi superioare cu o grosime totala uscata de cel putin 75 microni.</w:t>
      </w:r>
    </w:p>
    <w:p>
      <w:pPr>
        <w:rPr>
          <w:sz w:val="20"/>
          <w:szCs w:val="20"/>
          <w:lang w:val="ro-RO"/>
        </w:rPr>
      </w:pPr>
      <w:r>
        <w:rPr>
          <w:sz w:val="20"/>
          <w:szCs w:val="20"/>
          <w:lang w:val="ro-RO"/>
        </w:rPr>
        <w:t>Fiecare strat superior va fi uscat individual.</w:t>
      </w:r>
    </w:p>
    <w:p>
      <w:pPr>
        <w:pStyle w:val="ListParagraph"/>
        <w:numPr>
          <w:ilvl w:val="0"/>
          <w:numId w:val="39"/>
        </w:numPr>
        <w:rPr>
          <w:b/>
          <w:sz w:val="20"/>
          <w:szCs w:val="20"/>
          <w:lang w:val="ro-RO"/>
        </w:rPr>
      </w:pPr>
      <w:r>
        <w:rPr>
          <w:b/>
          <w:sz w:val="20"/>
          <w:szCs w:val="20"/>
          <w:lang w:val="ro-RO"/>
        </w:rPr>
        <w:t>Acoperire epoxy cu aplicare prin fuziune</w:t>
      </w:r>
    </w:p>
    <w:p>
      <w:pPr>
        <w:rPr>
          <w:sz w:val="20"/>
          <w:szCs w:val="20"/>
          <w:lang w:val="ro-RO"/>
        </w:rPr>
      </w:pPr>
      <w:r>
        <w:rPr>
          <w:sz w:val="20"/>
          <w:szCs w:val="20"/>
          <w:lang w:val="ro-RO"/>
        </w:rPr>
        <w:t>Conductele fabricate din otel, fier moale (expus) si alte instalatii, daca se specifica, vor fi prevazute cu o protectie de cel putin 250 microni grosime, cu un strat epoxy 100% solid, cu aplicare prinfuziune.</w:t>
      </w:r>
    </w:p>
    <w:p>
      <w:pPr>
        <w:rPr>
          <w:sz w:val="20"/>
          <w:szCs w:val="20"/>
          <w:lang w:val="ro-RO"/>
        </w:rPr>
      </w:pPr>
      <w:r>
        <w:rPr>
          <w:sz w:val="20"/>
          <w:szCs w:val="20"/>
          <w:lang w:val="ro-RO"/>
        </w:rPr>
        <w:t>Nisipul si praful vor fi îndepartate iar aplicarea protectiei va începe înainte de aparitia coroziunii vizibile pe suprafata. Metalul va fi preîncalzit la temperatura recomandata de producatorul protectiei, pudra epoxy aplicata prin imersiune într-un pat fluidizat, dupa care se va elimina pudra în exces. Înainte de uscare, pudra va fi lasata sa se elimine complet.</w:t>
      </w:r>
    </w:p>
    <w:p>
      <w:pPr>
        <w:rPr>
          <w:sz w:val="20"/>
          <w:szCs w:val="20"/>
          <w:lang w:val="ro-RO"/>
        </w:rPr>
      </w:pPr>
      <w:r>
        <w:rPr>
          <w:sz w:val="20"/>
          <w:szCs w:val="20"/>
          <w:lang w:val="ro-RO"/>
        </w:rPr>
        <w:t>Grosimea stratului protector, inclusiv în zonele reparate, va fi verificata cu un tester calibrat. Testarea orificiilor, a golurilor, fisurilor si zonelor deteriorate se va realiza cu un generator de scântei de înalta tensiune.</w:t>
      </w:r>
    </w:p>
    <w:p>
      <w:pPr>
        <w:rPr>
          <w:sz w:val="20"/>
          <w:szCs w:val="20"/>
          <w:lang w:val="ro-RO"/>
        </w:rPr>
      </w:pPr>
      <w:r>
        <w:rPr>
          <w:sz w:val="20"/>
          <w:szCs w:val="20"/>
          <w:lang w:val="ro-RO"/>
        </w:rPr>
        <w:t>Reparatiile datorate imperfectiunilor acoperirii sau deteriorarilor vor fi efectuate cu ajutorul unui compus epoxy lichid, compatibil, aplicat cu peria în doua straturi.</w:t>
      </w:r>
    </w:p>
    <w:p>
      <w:pPr>
        <w:rPr>
          <w:sz w:val="20"/>
          <w:szCs w:val="20"/>
          <w:lang w:val="ro-RO"/>
        </w:rPr>
      </w:pPr>
      <w:r>
        <w:rPr>
          <w:sz w:val="20"/>
          <w:szCs w:val="20"/>
          <w:lang w:val="ro-RO"/>
        </w:rPr>
        <w:t>Suprafata ce trebuie reparata va fi curatata pentru a elimina praful, grasimea, exfolierile si stratul deteriorat. Orificiile nu trebuie pregatite, cu exceptia îndepartarii impuritatilor ce afecteaza aderenta materialului pentru reparatii.</w:t>
      </w:r>
    </w:p>
    <w:p>
      <w:pPr>
        <w:rPr>
          <w:sz w:val="20"/>
          <w:szCs w:val="20"/>
          <w:lang w:val="ro-RO"/>
        </w:rPr>
      </w:pPr>
      <w:r>
        <w:rPr>
          <w:sz w:val="20"/>
          <w:szCs w:val="20"/>
          <w:lang w:val="ro-RO"/>
        </w:rPr>
        <w:t>Acoperirea suprafetei va fi aplicata cu un dispozitiv aprobat în conformitate cu Standardul BGCPS/CW6 sau echivalent.</w:t>
      </w:r>
    </w:p>
    <w:p>
      <w:pPr>
        <w:pStyle w:val="ListParagraph"/>
        <w:numPr>
          <w:ilvl w:val="0"/>
          <w:numId w:val="39"/>
        </w:numPr>
        <w:rPr>
          <w:b/>
          <w:sz w:val="20"/>
          <w:szCs w:val="20"/>
          <w:lang w:val="ro-RO"/>
        </w:rPr>
      </w:pPr>
      <w:r>
        <w:rPr>
          <w:b/>
          <w:sz w:val="20"/>
          <w:szCs w:val="20"/>
          <w:lang w:val="ro-RO"/>
        </w:rPr>
        <w:t>Defecte</w:t>
      </w:r>
    </w:p>
    <w:p>
      <w:pPr>
        <w:rPr>
          <w:sz w:val="20"/>
          <w:szCs w:val="20"/>
          <w:lang w:val="ro-RO"/>
        </w:rPr>
      </w:pPr>
      <w:r>
        <w:rPr>
          <w:sz w:val="20"/>
          <w:szCs w:val="20"/>
          <w:lang w:val="ro-RO"/>
        </w:rPr>
        <w:t>Defectele sunt definite în EN ISO 4618.</w:t>
      </w:r>
    </w:p>
    <w:p>
      <w:pPr>
        <w:rPr>
          <w:sz w:val="20"/>
          <w:szCs w:val="20"/>
          <w:lang w:val="ro-RO"/>
        </w:rPr>
      </w:pPr>
      <w:r>
        <w:rPr>
          <w:sz w:val="20"/>
          <w:szCs w:val="20"/>
          <w:lang w:val="ro-RO"/>
        </w:rPr>
        <w:t>Antreprenorul se va asigura ca învelisurile nu contin defecte si ca sunt corespunzatoare scopului prevazut.</w:t>
      </w:r>
    </w:p>
    <w:p>
      <w:pPr>
        <w:rPr>
          <w:sz w:val="20"/>
          <w:szCs w:val="20"/>
          <w:lang w:val="ro-RO"/>
        </w:rPr>
      </w:pPr>
      <w:r>
        <w:rPr>
          <w:sz w:val="20"/>
          <w:szCs w:val="20"/>
          <w:lang w:val="ro-RO"/>
        </w:rPr>
        <w:t>Sistemul de vopsire va fi considerat necorespunzator daca:</w:t>
      </w:r>
    </w:p>
    <w:p>
      <w:pPr>
        <w:pStyle w:val="ListParagraph"/>
        <w:numPr>
          <w:ilvl w:val="0"/>
          <w:numId w:val="40"/>
        </w:numPr>
        <w:rPr>
          <w:sz w:val="20"/>
          <w:szCs w:val="20"/>
          <w:lang w:val="ro-RO"/>
        </w:rPr>
      </w:pPr>
      <w:r>
        <w:rPr>
          <w:sz w:val="20"/>
          <w:szCs w:val="20"/>
          <w:lang w:val="ro-RO"/>
        </w:rPr>
        <w:t>Dupa vopsire, au fost provocate deteriorari prin manipulare, impact, abraziune sau sudura.</w:t>
      </w:r>
    </w:p>
    <w:p>
      <w:pPr>
        <w:pStyle w:val="ListParagraph"/>
        <w:numPr>
          <w:ilvl w:val="0"/>
          <w:numId w:val="40"/>
        </w:numPr>
        <w:rPr>
          <w:sz w:val="20"/>
          <w:szCs w:val="20"/>
          <w:lang w:val="ro-RO"/>
        </w:rPr>
      </w:pPr>
      <w:r>
        <w:rPr>
          <w:sz w:val="20"/>
          <w:szCs w:val="20"/>
          <w:lang w:val="ro-RO"/>
        </w:rPr>
        <w:t>O portiune a peliculei de vopsea se desprinde de substrat sau de metal.</w:t>
      </w:r>
    </w:p>
    <w:p>
      <w:pPr>
        <w:pStyle w:val="ListParagraph"/>
        <w:numPr>
          <w:ilvl w:val="0"/>
          <w:numId w:val="40"/>
        </w:numPr>
        <w:rPr>
          <w:sz w:val="20"/>
          <w:szCs w:val="20"/>
          <w:lang w:val="ro-RO"/>
        </w:rPr>
      </w:pPr>
      <w:r>
        <w:rPr>
          <w:sz w:val="20"/>
          <w:szCs w:val="20"/>
          <w:lang w:val="ro-RO"/>
        </w:rPr>
        <w:t>Dupa vopsire, grosimea totala a peliculei de vopsea determinata cu Ecometrul este mai mica decât cea specificata.</w:t>
      </w:r>
    </w:p>
    <w:p>
      <w:pPr>
        <w:pStyle w:val="ListParagraph"/>
        <w:numPr>
          <w:ilvl w:val="0"/>
          <w:numId w:val="40"/>
        </w:numPr>
        <w:rPr>
          <w:sz w:val="20"/>
          <w:szCs w:val="20"/>
          <w:lang w:val="ro-RO"/>
        </w:rPr>
      </w:pPr>
      <w:r>
        <w:rPr>
          <w:sz w:val="20"/>
          <w:szCs w:val="20"/>
          <w:lang w:val="ro-RO"/>
        </w:rPr>
        <w:t>Pierderi de luciu.</w:t>
      </w:r>
    </w:p>
    <w:p>
      <w:pPr>
        <w:pStyle w:val="ListParagraph"/>
        <w:numPr>
          <w:ilvl w:val="0"/>
          <w:numId w:val="40"/>
        </w:numPr>
        <w:rPr>
          <w:sz w:val="20"/>
          <w:szCs w:val="20"/>
          <w:lang w:val="ro-RO"/>
        </w:rPr>
      </w:pPr>
      <w:r>
        <w:rPr>
          <w:sz w:val="20"/>
          <w:szCs w:val="20"/>
          <w:lang w:val="ro-RO"/>
        </w:rPr>
        <w:t>Variatii ale nuantei.</w:t>
      </w:r>
    </w:p>
    <w:p>
      <w:pPr>
        <w:rPr>
          <w:sz w:val="20"/>
          <w:szCs w:val="20"/>
          <w:lang w:val="ro-RO"/>
        </w:rPr>
      </w:pPr>
      <w:r>
        <w:rPr>
          <w:sz w:val="20"/>
          <w:szCs w:val="20"/>
          <w:lang w:val="ro-RO"/>
        </w:rPr>
        <w:t xml:space="preserve">Antreprenorul va remedia toate defectele si va retransmite elementele afectate pentru inspectie. </w:t>
      </w:r>
    </w:p>
    <w:p>
      <w:pPr>
        <w:pStyle w:val="ListParagraph"/>
        <w:numPr>
          <w:ilvl w:val="0"/>
          <w:numId w:val="39"/>
        </w:numPr>
        <w:rPr>
          <w:b/>
          <w:sz w:val="20"/>
          <w:szCs w:val="20"/>
          <w:lang w:val="ro-RO"/>
        </w:rPr>
      </w:pPr>
      <w:r>
        <w:rPr>
          <w:b/>
          <w:sz w:val="20"/>
          <w:szCs w:val="20"/>
          <w:lang w:val="ro-RO"/>
        </w:rPr>
        <w:t>Sisteme de protecţie</w:t>
      </w:r>
    </w:p>
    <w:p>
      <w:pPr>
        <w:rPr>
          <w:sz w:val="20"/>
          <w:szCs w:val="20"/>
          <w:lang w:val="ro-RO"/>
        </w:rPr>
      </w:pPr>
      <w:r>
        <w:rPr>
          <w:sz w:val="20"/>
          <w:szCs w:val="20"/>
          <w:lang w:val="ro-RO"/>
        </w:rPr>
        <w:t xml:space="preserve">Se vor aplica urmatoarele sisteme de protectie. </w:t>
      </w:r>
    </w:p>
    <w:p>
      <w:pPr>
        <w:rPr>
          <w:sz w:val="20"/>
          <w:szCs w:val="20"/>
          <w:lang w:val="ro-RO"/>
        </w:rPr>
      </w:pPr>
      <w:r>
        <w:rPr>
          <w:sz w:val="20"/>
          <w:szCs w:val="20"/>
          <w:lang w:val="ro-RO"/>
        </w:rPr>
        <w:t>(a)     Structura de otel, utilaj etc. suprateran:</w:t>
      </w:r>
    </w:p>
    <w:tbl>
      <w:tblPr>
        <w:tblW w:w="9591" w:type="dxa"/>
        <w:tblInd w:w="40" w:type="dxa"/>
        <w:tblLayout w:type="fixed"/>
        <w:tblCellMar>
          <w:left w:w="40" w:type="dxa"/>
          <w:right w:w="40" w:type="dxa"/>
        </w:tblCellMar>
        <w:tblLook w:val="0000" w:firstRow="0" w:lastRow="0" w:firstColumn="0" w:lastColumn="0" w:noHBand="0" w:noVBand="0"/>
      </w:tblPr>
      <w:tblGrid>
        <w:gridCol w:w="2787"/>
        <w:gridCol w:w="3828"/>
        <w:gridCol w:w="2976"/>
      </w:tblGrid>
      <w:tr>
        <w:tc>
          <w:tcPr>
            <w:tcW w:w="2787" w:type="dxa"/>
            <w:tcBorders>
              <w:top w:val="single" w:sz="6" w:space="0" w:color="auto"/>
              <w:left w:val="single" w:sz="6" w:space="0" w:color="auto"/>
              <w:bottom w:val="single" w:sz="6" w:space="0" w:color="auto"/>
              <w:right w:val="single" w:sz="6" w:space="0" w:color="auto"/>
            </w:tcBorders>
          </w:tcPr>
          <w:p>
            <w:pPr>
              <w:rPr>
                <w:sz w:val="20"/>
                <w:szCs w:val="20"/>
                <w:lang w:val="ro-RO"/>
              </w:rPr>
            </w:pPr>
            <w:r>
              <w:rPr>
                <w:sz w:val="20"/>
                <w:szCs w:val="20"/>
                <w:lang w:val="ro-RO"/>
              </w:rPr>
              <w:t>Tratament</w:t>
            </w:r>
          </w:p>
        </w:tc>
        <w:tc>
          <w:tcPr>
            <w:tcW w:w="3828" w:type="dxa"/>
            <w:tcBorders>
              <w:top w:val="single" w:sz="6" w:space="0" w:color="auto"/>
              <w:left w:val="single" w:sz="6" w:space="0" w:color="auto"/>
              <w:bottom w:val="single" w:sz="6" w:space="0" w:color="auto"/>
              <w:right w:val="single" w:sz="6" w:space="0" w:color="auto"/>
            </w:tcBorders>
          </w:tcPr>
          <w:p>
            <w:pPr>
              <w:rPr>
                <w:sz w:val="20"/>
                <w:szCs w:val="20"/>
                <w:lang w:val="ro-RO"/>
              </w:rPr>
            </w:pPr>
            <w:r>
              <w:rPr>
                <w:sz w:val="20"/>
                <w:szCs w:val="20"/>
                <w:lang w:val="ro-RO"/>
              </w:rPr>
              <w:t>Descriere</w:t>
            </w:r>
          </w:p>
        </w:tc>
        <w:tc>
          <w:tcPr>
            <w:tcW w:w="2976" w:type="dxa"/>
            <w:tcBorders>
              <w:top w:val="single" w:sz="6" w:space="0" w:color="auto"/>
              <w:left w:val="single" w:sz="6" w:space="0" w:color="auto"/>
              <w:bottom w:val="single" w:sz="6" w:space="0" w:color="auto"/>
              <w:right w:val="single" w:sz="6" w:space="0" w:color="auto"/>
            </w:tcBorders>
          </w:tcPr>
          <w:p>
            <w:pPr>
              <w:rPr>
                <w:sz w:val="20"/>
                <w:szCs w:val="20"/>
                <w:lang w:val="ro-RO"/>
              </w:rPr>
            </w:pPr>
            <w:r>
              <w:rPr>
                <w:sz w:val="20"/>
                <w:szCs w:val="20"/>
                <w:lang w:val="ro-RO"/>
              </w:rPr>
              <w:t>Grosimea peliculei uscate</w:t>
            </w:r>
          </w:p>
        </w:tc>
      </w:tr>
      <w:tr>
        <w:tc>
          <w:tcPr>
            <w:tcW w:w="2787" w:type="dxa"/>
            <w:tcBorders>
              <w:top w:val="single" w:sz="6" w:space="0" w:color="auto"/>
              <w:left w:val="single" w:sz="6" w:space="0" w:color="auto"/>
              <w:bottom w:val="single" w:sz="6" w:space="0" w:color="auto"/>
              <w:right w:val="single" w:sz="6" w:space="0" w:color="auto"/>
            </w:tcBorders>
          </w:tcPr>
          <w:p>
            <w:pPr>
              <w:rPr>
                <w:sz w:val="20"/>
                <w:szCs w:val="20"/>
                <w:lang w:val="ro-RO"/>
              </w:rPr>
            </w:pPr>
            <w:r>
              <w:rPr>
                <w:sz w:val="20"/>
                <w:szCs w:val="20"/>
                <w:lang w:val="ro-RO"/>
              </w:rPr>
              <w:t>Pregatirea suprafetei</w:t>
            </w:r>
          </w:p>
        </w:tc>
        <w:tc>
          <w:tcPr>
            <w:tcW w:w="3828" w:type="dxa"/>
            <w:tcBorders>
              <w:top w:val="single" w:sz="6" w:space="0" w:color="auto"/>
              <w:left w:val="single" w:sz="6" w:space="0" w:color="auto"/>
              <w:bottom w:val="single" w:sz="6" w:space="0" w:color="auto"/>
              <w:right w:val="single" w:sz="6" w:space="0" w:color="auto"/>
            </w:tcBorders>
          </w:tcPr>
          <w:p>
            <w:pPr>
              <w:rPr>
                <w:sz w:val="20"/>
                <w:szCs w:val="20"/>
                <w:lang w:val="ro-RO"/>
              </w:rPr>
            </w:pPr>
            <w:r>
              <w:rPr>
                <w:sz w:val="20"/>
                <w:szCs w:val="20"/>
                <w:lang w:val="ro-RO"/>
              </w:rPr>
              <w:t>Sablare abraziva SA 2</w:t>
            </w:r>
            <w:r>
              <w:rPr>
                <w:sz w:val="20"/>
                <w:szCs w:val="20"/>
                <w:vertAlign w:val="superscript"/>
                <w:lang w:val="ro-RO"/>
              </w:rPr>
              <w:t>1/2</w:t>
            </w:r>
          </w:p>
        </w:tc>
        <w:tc>
          <w:tcPr>
            <w:tcW w:w="2976" w:type="dxa"/>
            <w:tcBorders>
              <w:top w:val="single" w:sz="6" w:space="0" w:color="auto"/>
              <w:left w:val="single" w:sz="6" w:space="0" w:color="auto"/>
              <w:bottom w:val="single" w:sz="6" w:space="0" w:color="auto"/>
              <w:right w:val="single" w:sz="6" w:space="0" w:color="auto"/>
            </w:tcBorders>
          </w:tcPr>
          <w:p>
            <w:pPr>
              <w:rPr>
                <w:sz w:val="20"/>
                <w:szCs w:val="20"/>
                <w:lang w:val="ro-RO"/>
              </w:rPr>
            </w:pPr>
            <w:r>
              <w:rPr>
                <w:sz w:val="20"/>
                <w:szCs w:val="20"/>
                <w:lang w:val="ro-RO"/>
              </w:rPr>
              <w:t>N/A</w:t>
            </w:r>
          </w:p>
        </w:tc>
      </w:tr>
      <w:tr>
        <w:tc>
          <w:tcPr>
            <w:tcW w:w="2787" w:type="dxa"/>
            <w:tcBorders>
              <w:top w:val="single" w:sz="6" w:space="0" w:color="auto"/>
              <w:left w:val="single" w:sz="6" w:space="0" w:color="auto"/>
              <w:bottom w:val="single" w:sz="6" w:space="0" w:color="auto"/>
              <w:right w:val="single" w:sz="6" w:space="0" w:color="auto"/>
            </w:tcBorders>
          </w:tcPr>
          <w:p>
            <w:pPr>
              <w:rPr>
                <w:sz w:val="20"/>
                <w:szCs w:val="20"/>
                <w:lang w:val="ro-RO"/>
              </w:rPr>
            </w:pPr>
            <w:r>
              <w:rPr>
                <w:sz w:val="20"/>
                <w:szCs w:val="20"/>
                <w:lang w:val="ro-RO"/>
              </w:rPr>
              <w:t>Pretratare</w:t>
            </w:r>
          </w:p>
        </w:tc>
        <w:tc>
          <w:tcPr>
            <w:tcW w:w="3828" w:type="dxa"/>
            <w:tcBorders>
              <w:top w:val="single" w:sz="6" w:space="0" w:color="auto"/>
              <w:left w:val="single" w:sz="6" w:space="0" w:color="auto"/>
              <w:bottom w:val="single" w:sz="6" w:space="0" w:color="auto"/>
              <w:right w:val="single" w:sz="6" w:space="0" w:color="auto"/>
            </w:tcBorders>
          </w:tcPr>
          <w:p>
            <w:pPr>
              <w:rPr>
                <w:sz w:val="20"/>
                <w:szCs w:val="20"/>
                <w:lang w:val="ro-RO"/>
              </w:rPr>
            </w:pPr>
            <w:r>
              <w:rPr>
                <w:sz w:val="20"/>
                <w:szCs w:val="20"/>
                <w:lang w:val="ro-RO"/>
              </w:rPr>
              <w:t>Grund Epoxy bogat in zinc</w:t>
            </w:r>
          </w:p>
        </w:tc>
        <w:tc>
          <w:tcPr>
            <w:tcW w:w="2976" w:type="dxa"/>
            <w:tcBorders>
              <w:top w:val="single" w:sz="6" w:space="0" w:color="auto"/>
              <w:left w:val="single" w:sz="6" w:space="0" w:color="auto"/>
              <w:bottom w:val="single" w:sz="6" w:space="0" w:color="auto"/>
              <w:right w:val="single" w:sz="6" w:space="0" w:color="auto"/>
            </w:tcBorders>
          </w:tcPr>
          <w:p>
            <w:pPr>
              <w:rPr>
                <w:sz w:val="20"/>
                <w:szCs w:val="20"/>
                <w:lang w:val="ro-RO"/>
              </w:rPr>
            </w:pPr>
            <w:r>
              <w:rPr>
                <w:sz w:val="20"/>
                <w:szCs w:val="20"/>
                <w:lang w:val="ro-RO"/>
              </w:rPr>
              <w:t>40 microni</w:t>
            </w:r>
          </w:p>
        </w:tc>
      </w:tr>
      <w:tr>
        <w:tc>
          <w:tcPr>
            <w:tcW w:w="2787" w:type="dxa"/>
            <w:tcBorders>
              <w:top w:val="single" w:sz="6" w:space="0" w:color="auto"/>
              <w:left w:val="single" w:sz="6" w:space="0" w:color="auto"/>
              <w:bottom w:val="single" w:sz="6" w:space="0" w:color="auto"/>
              <w:right w:val="single" w:sz="6" w:space="0" w:color="auto"/>
            </w:tcBorders>
          </w:tcPr>
          <w:p>
            <w:pPr>
              <w:rPr>
                <w:sz w:val="20"/>
                <w:szCs w:val="20"/>
                <w:lang w:val="ro-RO"/>
              </w:rPr>
            </w:pPr>
            <w:r>
              <w:rPr>
                <w:sz w:val="20"/>
                <w:szCs w:val="20"/>
                <w:lang w:val="ro-RO"/>
              </w:rPr>
              <w:t>Primul strat</w:t>
            </w:r>
          </w:p>
        </w:tc>
        <w:tc>
          <w:tcPr>
            <w:tcW w:w="3828" w:type="dxa"/>
            <w:tcBorders>
              <w:top w:val="single" w:sz="6" w:space="0" w:color="auto"/>
              <w:left w:val="single" w:sz="6" w:space="0" w:color="auto"/>
              <w:bottom w:val="single" w:sz="6" w:space="0" w:color="auto"/>
              <w:right w:val="single" w:sz="6" w:space="0" w:color="auto"/>
            </w:tcBorders>
          </w:tcPr>
          <w:p>
            <w:pPr>
              <w:rPr>
                <w:sz w:val="20"/>
                <w:szCs w:val="20"/>
                <w:lang w:val="ro-RO"/>
              </w:rPr>
            </w:pPr>
            <w:r>
              <w:rPr>
                <w:sz w:val="20"/>
                <w:szCs w:val="20"/>
                <w:lang w:val="ro-RO"/>
              </w:rPr>
              <w:t>Epoxy High Build</w:t>
            </w:r>
          </w:p>
        </w:tc>
        <w:tc>
          <w:tcPr>
            <w:tcW w:w="2976" w:type="dxa"/>
            <w:tcBorders>
              <w:top w:val="single" w:sz="6" w:space="0" w:color="auto"/>
              <w:left w:val="single" w:sz="6" w:space="0" w:color="auto"/>
              <w:bottom w:val="single" w:sz="6" w:space="0" w:color="auto"/>
              <w:right w:val="single" w:sz="6" w:space="0" w:color="auto"/>
            </w:tcBorders>
          </w:tcPr>
          <w:p>
            <w:pPr>
              <w:rPr>
                <w:sz w:val="20"/>
                <w:szCs w:val="20"/>
                <w:lang w:val="ro-RO"/>
              </w:rPr>
            </w:pPr>
            <w:r>
              <w:rPr>
                <w:sz w:val="20"/>
                <w:szCs w:val="20"/>
                <w:lang w:val="ro-RO"/>
              </w:rPr>
              <w:t>100 microni</w:t>
            </w:r>
          </w:p>
        </w:tc>
      </w:tr>
      <w:tr>
        <w:tc>
          <w:tcPr>
            <w:tcW w:w="2787" w:type="dxa"/>
            <w:tcBorders>
              <w:top w:val="single" w:sz="6" w:space="0" w:color="auto"/>
              <w:left w:val="single" w:sz="6" w:space="0" w:color="auto"/>
              <w:bottom w:val="single" w:sz="6" w:space="0" w:color="auto"/>
              <w:right w:val="single" w:sz="6" w:space="0" w:color="auto"/>
            </w:tcBorders>
          </w:tcPr>
          <w:p>
            <w:pPr>
              <w:rPr>
                <w:sz w:val="20"/>
                <w:szCs w:val="20"/>
                <w:lang w:val="ro-RO"/>
              </w:rPr>
            </w:pPr>
            <w:r>
              <w:rPr>
                <w:sz w:val="20"/>
                <w:szCs w:val="20"/>
                <w:lang w:val="ro-RO"/>
              </w:rPr>
              <w:t>Al doilea strat</w:t>
            </w:r>
          </w:p>
        </w:tc>
        <w:tc>
          <w:tcPr>
            <w:tcW w:w="3828" w:type="dxa"/>
            <w:tcBorders>
              <w:top w:val="single" w:sz="6" w:space="0" w:color="auto"/>
              <w:left w:val="single" w:sz="6" w:space="0" w:color="auto"/>
              <w:bottom w:val="single" w:sz="6" w:space="0" w:color="auto"/>
              <w:right w:val="single" w:sz="6" w:space="0" w:color="auto"/>
            </w:tcBorders>
          </w:tcPr>
          <w:p>
            <w:pPr>
              <w:rPr>
                <w:sz w:val="20"/>
                <w:szCs w:val="20"/>
                <w:lang w:val="ro-RO"/>
              </w:rPr>
            </w:pPr>
            <w:r>
              <w:rPr>
                <w:sz w:val="20"/>
                <w:szCs w:val="20"/>
                <w:lang w:val="ro-RO"/>
              </w:rPr>
              <w:t>Epoxy High Build</w:t>
            </w:r>
          </w:p>
        </w:tc>
        <w:tc>
          <w:tcPr>
            <w:tcW w:w="2976" w:type="dxa"/>
            <w:tcBorders>
              <w:top w:val="single" w:sz="6" w:space="0" w:color="auto"/>
              <w:left w:val="single" w:sz="6" w:space="0" w:color="auto"/>
              <w:bottom w:val="single" w:sz="6" w:space="0" w:color="auto"/>
              <w:right w:val="single" w:sz="6" w:space="0" w:color="auto"/>
            </w:tcBorders>
          </w:tcPr>
          <w:p>
            <w:pPr>
              <w:rPr>
                <w:sz w:val="20"/>
                <w:szCs w:val="20"/>
                <w:lang w:val="ro-RO"/>
              </w:rPr>
            </w:pPr>
            <w:r>
              <w:rPr>
                <w:sz w:val="20"/>
                <w:szCs w:val="20"/>
                <w:lang w:val="ro-RO"/>
              </w:rPr>
              <w:t>100 microni</w:t>
            </w:r>
          </w:p>
        </w:tc>
      </w:tr>
      <w:tr>
        <w:tc>
          <w:tcPr>
            <w:tcW w:w="2787" w:type="dxa"/>
            <w:tcBorders>
              <w:top w:val="single" w:sz="6" w:space="0" w:color="auto"/>
              <w:left w:val="single" w:sz="6" w:space="0" w:color="auto"/>
              <w:bottom w:val="single" w:sz="6" w:space="0" w:color="auto"/>
              <w:right w:val="single" w:sz="6" w:space="0" w:color="auto"/>
            </w:tcBorders>
          </w:tcPr>
          <w:p>
            <w:pPr>
              <w:rPr>
                <w:sz w:val="20"/>
                <w:szCs w:val="20"/>
                <w:lang w:val="ro-RO"/>
              </w:rPr>
            </w:pPr>
            <w:r>
              <w:rPr>
                <w:sz w:val="20"/>
                <w:szCs w:val="20"/>
                <w:lang w:val="ro-RO"/>
              </w:rPr>
              <w:t>Al treilea strat</w:t>
            </w:r>
          </w:p>
        </w:tc>
        <w:tc>
          <w:tcPr>
            <w:tcW w:w="3828" w:type="dxa"/>
            <w:tcBorders>
              <w:top w:val="single" w:sz="6" w:space="0" w:color="auto"/>
              <w:left w:val="single" w:sz="6" w:space="0" w:color="auto"/>
              <w:bottom w:val="single" w:sz="6" w:space="0" w:color="auto"/>
              <w:right w:val="single" w:sz="6" w:space="0" w:color="auto"/>
            </w:tcBorders>
          </w:tcPr>
          <w:p>
            <w:pPr>
              <w:jc w:val="left"/>
              <w:rPr>
                <w:sz w:val="20"/>
                <w:szCs w:val="20"/>
                <w:lang w:val="ro-RO"/>
              </w:rPr>
            </w:pPr>
            <w:r>
              <w:rPr>
                <w:sz w:val="20"/>
                <w:szCs w:val="20"/>
                <w:lang w:val="ro-RO"/>
              </w:rPr>
              <w:t>Poliuretan bicomponent (email)</w:t>
            </w:r>
          </w:p>
        </w:tc>
        <w:tc>
          <w:tcPr>
            <w:tcW w:w="2976" w:type="dxa"/>
            <w:tcBorders>
              <w:top w:val="single" w:sz="6" w:space="0" w:color="auto"/>
              <w:left w:val="single" w:sz="6" w:space="0" w:color="auto"/>
              <w:bottom w:val="single" w:sz="6" w:space="0" w:color="auto"/>
              <w:right w:val="single" w:sz="6" w:space="0" w:color="auto"/>
            </w:tcBorders>
          </w:tcPr>
          <w:p>
            <w:pPr>
              <w:rPr>
                <w:sz w:val="20"/>
                <w:szCs w:val="20"/>
                <w:lang w:val="ro-RO"/>
              </w:rPr>
            </w:pPr>
            <w:r>
              <w:rPr>
                <w:sz w:val="20"/>
                <w:szCs w:val="20"/>
                <w:lang w:val="ro-RO"/>
              </w:rPr>
              <w:t>50 microni</w:t>
            </w:r>
          </w:p>
        </w:tc>
      </w:tr>
      <w:tr>
        <w:tc>
          <w:tcPr>
            <w:tcW w:w="2787" w:type="dxa"/>
            <w:tcBorders>
              <w:top w:val="single" w:sz="6" w:space="0" w:color="auto"/>
              <w:left w:val="single" w:sz="6" w:space="0" w:color="auto"/>
              <w:bottom w:val="single" w:sz="6" w:space="0" w:color="auto"/>
              <w:right w:val="single" w:sz="6" w:space="0" w:color="auto"/>
            </w:tcBorders>
          </w:tcPr>
          <w:p>
            <w:pPr>
              <w:rPr>
                <w:sz w:val="20"/>
                <w:szCs w:val="20"/>
                <w:lang w:val="ro-RO"/>
              </w:rPr>
            </w:pPr>
            <w:r>
              <w:rPr>
                <w:sz w:val="20"/>
                <w:szCs w:val="20"/>
                <w:lang w:val="ro-RO"/>
              </w:rPr>
              <w:lastRenderedPageBreak/>
              <w:t>N/A</w:t>
            </w:r>
          </w:p>
        </w:tc>
        <w:tc>
          <w:tcPr>
            <w:tcW w:w="3828" w:type="dxa"/>
            <w:tcBorders>
              <w:top w:val="single" w:sz="6" w:space="0" w:color="auto"/>
              <w:left w:val="single" w:sz="6" w:space="0" w:color="auto"/>
              <w:bottom w:val="single" w:sz="6" w:space="0" w:color="auto"/>
              <w:right w:val="single" w:sz="6" w:space="0" w:color="auto"/>
            </w:tcBorders>
          </w:tcPr>
          <w:p>
            <w:pPr>
              <w:rPr>
                <w:sz w:val="20"/>
                <w:szCs w:val="20"/>
                <w:lang w:val="ro-RO"/>
              </w:rPr>
            </w:pPr>
            <w:r>
              <w:rPr>
                <w:sz w:val="20"/>
                <w:szCs w:val="20"/>
                <w:lang w:val="ro-RO"/>
              </w:rPr>
              <w:t>Grosimea totala a peliculei uscate</w:t>
            </w:r>
          </w:p>
        </w:tc>
        <w:tc>
          <w:tcPr>
            <w:tcW w:w="2976" w:type="dxa"/>
            <w:tcBorders>
              <w:top w:val="single" w:sz="6" w:space="0" w:color="auto"/>
              <w:left w:val="single" w:sz="6" w:space="0" w:color="auto"/>
              <w:bottom w:val="single" w:sz="6" w:space="0" w:color="auto"/>
              <w:right w:val="single" w:sz="6" w:space="0" w:color="auto"/>
            </w:tcBorders>
          </w:tcPr>
          <w:p>
            <w:pPr>
              <w:rPr>
                <w:sz w:val="20"/>
                <w:szCs w:val="20"/>
                <w:lang w:val="ro-RO"/>
              </w:rPr>
            </w:pPr>
            <w:r>
              <w:rPr>
                <w:sz w:val="20"/>
                <w:szCs w:val="20"/>
                <w:lang w:val="ro-RO"/>
              </w:rPr>
              <w:t>290 microni</w:t>
            </w:r>
          </w:p>
        </w:tc>
      </w:tr>
      <w:tr>
        <w:tc>
          <w:tcPr>
            <w:tcW w:w="9591" w:type="dxa"/>
            <w:gridSpan w:val="3"/>
            <w:tcBorders>
              <w:top w:val="single" w:sz="6" w:space="0" w:color="auto"/>
              <w:left w:val="nil"/>
              <w:bottom w:val="single" w:sz="6" w:space="0" w:color="auto"/>
              <w:right w:val="nil"/>
            </w:tcBorders>
          </w:tcPr>
          <w:p>
            <w:pPr>
              <w:rPr>
                <w:sz w:val="20"/>
                <w:szCs w:val="20"/>
                <w:lang w:val="ro-RO"/>
              </w:rPr>
            </w:pPr>
          </w:p>
          <w:p>
            <w:pPr>
              <w:rPr>
                <w:sz w:val="20"/>
                <w:szCs w:val="20"/>
                <w:lang w:val="ro-RO"/>
              </w:rPr>
            </w:pPr>
            <w:r>
              <w:rPr>
                <w:sz w:val="20"/>
                <w:szCs w:val="20"/>
                <w:lang w:val="ro-RO"/>
              </w:rPr>
              <w:t>(b)     Structura de otel, utilaj etc. sub nivelul apei sau canalizarii.</w:t>
            </w:r>
          </w:p>
        </w:tc>
      </w:tr>
      <w:tr>
        <w:tc>
          <w:tcPr>
            <w:tcW w:w="2787" w:type="dxa"/>
            <w:tcBorders>
              <w:top w:val="single" w:sz="6" w:space="0" w:color="auto"/>
              <w:left w:val="single" w:sz="6" w:space="0" w:color="auto"/>
              <w:bottom w:val="single" w:sz="6" w:space="0" w:color="auto"/>
              <w:right w:val="single" w:sz="6" w:space="0" w:color="auto"/>
            </w:tcBorders>
          </w:tcPr>
          <w:p>
            <w:pPr>
              <w:rPr>
                <w:sz w:val="20"/>
                <w:szCs w:val="20"/>
                <w:lang w:val="ro-RO"/>
              </w:rPr>
            </w:pPr>
            <w:r>
              <w:rPr>
                <w:sz w:val="20"/>
                <w:szCs w:val="20"/>
                <w:lang w:val="ro-RO"/>
              </w:rPr>
              <w:t>Tratament</w:t>
            </w:r>
          </w:p>
        </w:tc>
        <w:tc>
          <w:tcPr>
            <w:tcW w:w="3828" w:type="dxa"/>
            <w:tcBorders>
              <w:top w:val="single" w:sz="6" w:space="0" w:color="auto"/>
              <w:left w:val="single" w:sz="6" w:space="0" w:color="auto"/>
              <w:bottom w:val="single" w:sz="6" w:space="0" w:color="auto"/>
              <w:right w:val="single" w:sz="6" w:space="0" w:color="auto"/>
            </w:tcBorders>
          </w:tcPr>
          <w:p>
            <w:pPr>
              <w:rPr>
                <w:sz w:val="20"/>
                <w:szCs w:val="20"/>
                <w:lang w:val="ro-RO"/>
              </w:rPr>
            </w:pPr>
            <w:r>
              <w:rPr>
                <w:sz w:val="20"/>
                <w:szCs w:val="20"/>
                <w:lang w:val="ro-RO"/>
              </w:rPr>
              <w:t>Descriere</w:t>
            </w:r>
          </w:p>
        </w:tc>
        <w:tc>
          <w:tcPr>
            <w:tcW w:w="2976" w:type="dxa"/>
            <w:tcBorders>
              <w:top w:val="single" w:sz="6" w:space="0" w:color="auto"/>
              <w:left w:val="single" w:sz="6" w:space="0" w:color="auto"/>
              <w:bottom w:val="single" w:sz="6" w:space="0" w:color="auto"/>
              <w:right w:val="single" w:sz="6" w:space="0" w:color="auto"/>
            </w:tcBorders>
          </w:tcPr>
          <w:p>
            <w:pPr>
              <w:rPr>
                <w:sz w:val="20"/>
                <w:szCs w:val="20"/>
                <w:lang w:val="ro-RO"/>
              </w:rPr>
            </w:pPr>
            <w:r>
              <w:rPr>
                <w:sz w:val="20"/>
                <w:szCs w:val="20"/>
                <w:lang w:val="ro-RO"/>
              </w:rPr>
              <w:t>Grosimea peliculei uscate</w:t>
            </w:r>
          </w:p>
        </w:tc>
      </w:tr>
      <w:tr>
        <w:tc>
          <w:tcPr>
            <w:tcW w:w="2787" w:type="dxa"/>
            <w:tcBorders>
              <w:top w:val="single" w:sz="6" w:space="0" w:color="auto"/>
              <w:left w:val="single" w:sz="6" w:space="0" w:color="auto"/>
              <w:bottom w:val="single" w:sz="6" w:space="0" w:color="auto"/>
              <w:right w:val="single" w:sz="6" w:space="0" w:color="auto"/>
            </w:tcBorders>
          </w:tcPr>
          <w:p>
            <w:pPr>
              <w:rPr>
                <w:sz w:val="20"/>
                <w:szCs w:val="20"/>
                <w:lang w:val="ro-RO"/>
              </w:rPr>
            </w:pPr>
            <w:r>
              <w:rPr>
                <w:sz w:val="20"/>
                <w:szCs w:val="20"/>
                <w:lang w:val="ro-RO"/>
              </w:rPr>
              <w:t>Pregatirea suprafetei</w:t>
            </w:r>
          </w:p>
        </w:tc>
        <w:tc>
          <w:tcPr>
            <w:tcW w:w="3828" w:type="dxa"/>
            <w:tcBorders>
              <w:top w:val="single" w:sz="6" w:space="0" w:color="auto"/>
              <w:left w:val="single" w:sz="6" w:space="0" w:color="auto"/>
              <w:bottom w:val="single" w:sz="6" w:space="0" w:color="auto"/>
              <w:right w:val="single" w:sz="6" w:space="0" w:color="auto"/>
            </w:tcBorders>
          </w:tcPr>
          <w:p>
            <w:pPr>
              <w:rPr>
                <w:sz w:val="20"/>
                <w:szCs w:val="20"/>
                <w:lang w:val="ro-RO"/>
              </w:rPr>
            </w:pPr>
            <w:r>
              <w:rPr>
                <w:sz w:val="20"/>
                <w:szCs w:val="20"/>
                <w:lang w:val="ro-RO"/>
              </w:rPr>
              <w:t>Sablare abraziva SA 2%</w:t>
            </w:r>
          </w:p>
        </w:tc>
        <w:tc>
          <w:tcPr>
            <w:tcW w:w="2976" w:type="dxa"/>
            <w:tcBorders>
              <w:top w:val="single" w:sz="6" w:space="0" w:color="auto"/>
              <w:left w:val="single" w:sz="6" w:space="0" w:color="auto"/>
              <w:bottom w:val="single" w:sz="6" w:space="0" w:color="auto"/>
              <w:right w:val="single" w:sz="6" w:space="0" w:color="auto"/>
            </w:tcBorders>
          </w:tcPr>
          <w:p>
            <w:pPr>
              <w:rPr>
                <w:sz w:val="20"/>
                <w:szCs w:val="20"/>
                <w:lang w:val="ro-RO"/>
              </w:rPr>
            </w:pPr>
            <w:r>
              <w:rPr>
                <w:sz w:val="20"/>
                <w:szCs w:val="20"/>
                <w:lang w:val="ro-RO"/>
              </w:rPr>
              <w:t>N/A</w:t>
            </w:r>
          </w:p>
        </w:tc>
      </w:tr>
      <w:tr>
        <w:tc>
          <w:tcPr>
            <w:tcW w:w="2787" w:type="dxa"/>
            <w:tcBorders>
              <w:top w:val="single" w:sz="6" w:space="0" w:color="auto"/>
              <w:left w:val="single" w:sz="6" w:space="0" w:color="auto"/>
              <w:bottom w:val="single" w:sz="6" w:space="0" w:color="auto"/>
              <w:right w:val="single" w:sz="6" w:space="0" w:color="auto"/>
            </w:tcBorders>
          </w:tcPr>
          <w:p>
            <w:pPr>
              <w:rPr>
                <w:sz w:val="20"/>
                <w:szCs w:val="20"/>
                <w:lang w:val="ro-RO"/>
              </w:rPr>
            </w:pPr>
            <w:r>
              <w:rPr>
                <w:sz w:val="20"/>
                <w:szCs w:val="20"/>
                <w:lang w:val="ro-RO"/>
              </w:rPr>
              <w:t>Pretratare</w:t>
            </w:r>
          </w:p>
        </w:tc>
        <w:tc>
          <w:tcPr>
            <w:tcW w:w="3828" w:type="dxa"/>
            <w:tcBorders>
              <w:top w:val="single" w:sz="6" w:space="0" w:color="auto"/>
              <w:left w:val="single" w:sz="6" w:space="0" w:color="auto"/>
              <w:bottom w:val="single" w:sz="6" w:space="0" w:color="auto"/>
              <w:right w:val="single" w:sz="6" w:space="0" w:color="auto"/>
            </w:tcBorders>
          </w:tcPr>
          <w:p>
            <w:pPr>
              <w:rPr>
                <w:sz w:val="20"/>
                <w:szCs w:val="20"/>
                <w:lang w:val="ro-RO"/>
              </w:rPr>
            </w:pPr>
            <w:r>
              <w:rPr>
                <w:sz w:val="20"/>
                <w:szCs w:val="20"/>
                <w:lang w:val="ro-RO"/>
              </w:rPr>
              <w:t>Nici unul sau grund</w:t>
            </w:r>
          </w:p>
        </w:tc>
        <w:tc>
          <w:tcPr>
            <w:tcW w:w="2976" w:type="dxa"/>
            <w:tcBorders>
              <w:top w:val="single" w:sz="6" w:space="0" w:color="auto"/>
              <w:left w:val="single" w:sz="6" w:space="0" w:color="auto"/>
              <w:bottom w:val="single" w:sz="6" w:space="0" w:color="auto"/>
              <w:right w:val="single" w:sz="6" w:space="0" w:color="auto"/>
            </w:tcBorders>
          </w:tcPr>
          <w:p>
            <w:pPr>
              <w:rPr>
                <w:sz w:val="20"/>
                <w:szCs w:val="20"/>
                <w:lang w:val="ro-RO"/>
              </w:rPr>
            </w:pPr>
            <w:r>
              <w:rPr>
                <w:sz w:val="20"/>
                <w:szCs w:val="20"/>
                <w:lang w:val="ro-RO"/>
              </w:rPr>
              <w:t>N/A</w:t>
            </w:r>
          </w:p>
        </w:tc>
      </w:tr>
      <w:tr>
        <w:tc>
          <w:tcPr>
            <w:tcW w:w="2787" w:type="dxa"/>
            <w:tcBorders>
              <w:top w:val="single" w:sz="6" w:space="0" w:color="auto"/>
              <w:left w:val="single" w:sz="6" w:space="0" w:color="auto"/>
              <w:bottom w:val="single" w:sz="6" w:space="0" w:color="auto"/>
              <w:right w:val="single" w:sz="6" w:space="0" w:color="auto"/>
            </w:tcBorders>
          </w:tcPr>
          <w:p>
            <w:pPr>
              <w:rPr>
                <w:sz w:val="20"/>
                <w:szCs w:val="20"/>
                <w:lang w:val="ro-RO"/>
              </w:rPr>
            </w:pPr>
            <w:r>
              <w:rPr>
                <w:sz w:val="20"/>
                <w:szCs w:val="20"/>
                <w:lang w:val="ro-RO"/>
              </w:rPr>
              <w:t>Primul strat</w:t>
            </w:r>
          </w:p>
        </w:tc>
        <w:tc>
          <w:tcPr>
            <w:tcW w:w="3828" w:type="dxa"/>
            <w:tcBorders>
              <w:top w:val="single" w:sz="6" w:space="0" w:color="auto"/>
              <w:left w:val="single" w:sz="6" w:space="0" w:color="auto"/>
              <w:bottom w:val="single" w:sz="6" w:space="0" w:color="auto"/>
              <w:right w:val="single" w:sz="6" w:space="0" w:color="auto"/>
            </w:tcBorders>
          </w:tcPr>
          <w:p>
            <w:pPr>
              <w:rPr>
                <w:sz w:val="20"/>
                <w:szCs w:val="20"/>
                <w:lang w:val="ro-RO"/>
              </w:rPr>
            </w:pPr>
            <w:r>
              <w:rPr>
                <w:sz w:val="20"/>
                <w:szCs w:val="20"/>
                <w:lang w:val="ro-RO"/>
              </w:rPr>
              <w:t>Epoxy gudronat bicomponent</w:t>
            </w:r>
          </w:p>
        </w:tc>
        <w:tc>
          <w:tcPr>
            <w:tcW w:w="2976" w:type="dxa"/>
            <w:tcBorders>
              <w:top w:val="single" w:sz="6" w:space="0" w:color="auto"/>
              <w:left w:val="single" w:sz="6" w:space="0" w:color="auto"/>
              <w:bottom w:val="single" w:sz="6" w:space="0" w:color="auto"/>
              <w:right w:val="single" w:sz="6" w:space="0" w:color="auto"/>
            </w:tcBorders>
          </w:tcPr>
          <w:p>
            <w:pPr>
              <w:rPr>
                <w:sz w:val="20"/>
                <w:szCs w:val="20"/>
                <w:lang w:val="ro-RO"/>
              </w:rPr>
            </w:pPr>
            <w:r>
              <w:rPr>
                <w:sz w:val="20"/>
                <w:szCs w:val="20"/>
                <w:lang w:val="ro-RO"/>
              </w:rPr>
              <w:t>100 microni</w:t>
            </w:r>
          </w:p>
        </w:tc>
      </w:tr>
      <w:tr>
        <w:tc>
          <w:tcPr>
            <w:tcW w:w="2787" w:type="dxa"/>
            <w:tcBorders>
              <w:top w:val="single" w:sz="6" w:space="0" w:color="auto"/>
              <w:left w:val="single" w:sz="6" w:space="0" w:color="auto"/>
              <w:bottom w:val="single" w:sz="6" w:space="0" w:color="auto"/>
              <w:right w:val="single" w:sz="6" w:space="0" w:color="auto"/>
            </w:tcBorders>
          </w:tcPr>
          <w:p>
            <w:pPr>
              <w:rPr>
                <w:sz w:val="20"/>
                <w:szCs w:val="20"/>
                <w:lang w:val="ro-RO"/>
              </w:rPr>
            </w:pPr>
            <w:r>
              <w:rPr>
                <w:sz w:val="20"/>
                <w:szCs w:val="20"/>
                <w:lang w:val="ro-RO"/>
              </w:rPr>
              <w:t>Al doilea strat</w:t>
            </w:r>
          </w:p>
        </w:tc>
        <w:tc>
          <w:tcPr>
            <w:tcW w:w="3828" w:type="dxa"/>
            <w:tcBorders>
              <w:top w:val="single" w:sz="6" w:space="0" w:color="auto"/>
              <w:left w:val="single" w:sz="6" w:space="0" w:color="auto"/>
              <w:bottom w:val="single" w:sz="6" w:space="0" w:color="auto"/>
              <w:right w:val="single" w:sz="6" w:space="0" w:color="auto"/>
            </w:tcBorders>
          </w:tcPr>
          <w:p>
            <w:pPr>
              <w:rPr>
                <w:sz w:val="20"/>
                <w:szCs w:val="20"/>
                <w:lang w:val="ro-RO"/>
              </w:rPr>
            </w:pPr>
            <w:r>
              <w:rPr>
                <w:sz w:val="20"/>
                <w:szCs w:val="20"/>
                <w:lang w:val="ro-RO"/>
              </w:rPr>
              <w:t>Epoxy gudronat bicomponent</w:t>
            </w:r>
          </w:p>
        </w:tc>
        <w:tc>
          <w:tcPr>
            <w:tcW w:w="2976" w:type="dxa"/>
            <w:tcBorders>
              <w:top w:val="single" w:sz="6" w:space="0" w:color="auto"/>
              <w:left w:val="single" w:sz="6" w:space="0" w:color="auto"/>
              <w:bottom w:val="single" w:sz="6" w:space="0" w:color="auto"/>
              <w:right w:val="single" w:sz="6" w:space="0" w:color="auto"/>
            </w:tcBorders>
          </w:tcPr>
          <w:p>
            <w:pPr>
              <w:rPr>
                <w:sz w:val="20"/>
                <w:szCs w:val="20"/>
                <w:lang w:val="ro-RO"/>
              </w:rPr>
            </w:pPr>
            <w:r>
              <w:rPr>
                <w:sz w:val="20"/>
                <w:szCs w:val="20"/>
                <w:lang w:val="ro-RO"/>
              </w:rPr>
              <w:t>100 microni</w:t>
            </w:r>
          </w:p>
        </w:tc>
      </w:tr>
      <w:tr>
        <w:tc>
          <w:tcPr>
            <w:tcW w:w="2787" w:type="dxa"/>
            <w:tcBorders>
              <w:top w:val="single" w:sz="6" w:space="0" w:color="auto"/>
              <w:left w:val="single" w:sz="6" w:space="0" w:color="auto"/>
              <w:bottom w:val="single" w:sz="6" w:space="0" w:color="auto"/>
              <w:right w:val="single" w:sz="6" w:space="0" w:color="auto"/>
            </w:tcBorders>
          </w:tcPr>
          <w:p>
            <w:pPr>
              <w:rPr>
                <w:sz w:val="20"/>
                <w:szCs w:val="20"/>
                <w:lang w:val="ro-RO"/>
              </w:rPr>
            </w:pPr>
            <w:r>
              <w:rPr>
                <w:sz w:val="20"/>
                <w:szCs w:val="20"/>
                <w:lang w:val="ro-RO"/>
              </w:rPr>
              <w:t>Al treilea strat</w:t>
            </w:r>
          </w:p>
        </w:tc>
        <w:tc>
          <w:tcPr>
            <w:tcW w:w="3828" w:type="dxa"/>
            <w:tcBorders>
              <w:top w:val="single" w:sz="6" w:space="0" w:color="auto"/>
              <w:left w:val="single" w:sz="6" w:space="0" w:color="auto"/>
              <w:bottom w:val="single" w:sz="6" w:space="0" w:color="auto"/>
              <w:right w:val="single" w:sz="6" w:space="0" w:color="auto"/>
            </w:tcBorders>
          </w:tcPr>
          <w:p>
            <w:pPr>
              <w:rPr>
                <w:sz w:val="20"/>
                <w:szCs w:val="20"/>
                <w:lang w:val="ro-RO"/>
              </w:rPr>
            </w:pPr>
            <w:r>
              <w:rPr>
                <w:sz w:val="20"/>
                <w:szCs w:val="20"/>
                <w:lang w:val="ro-RO"/>
              </w:rPr>
              <w:t>Epoxy gudronat bicomponent</w:t>
            </w:r>
          </w:p>
        </w:tc>
        <w:tc>
          <w:tcPr>
            <w:tcW w:w="2976" w:type="dxa"/>
            <w:tcBorders>
              <w:top w:val="single" w:sz="6" w:space="0" w:color="auto"/>
              <w:left w:val="single" w:sz="6" w:space="0" w:color="auto"/>
              <w:bottom w:val="single" w:sz="6" w:space="0" w:color="auto"/>
              <w:right w:val="single" w:sz="6" w:space="0" w:color="auto"/>
            </w:tcBorders>
          </w:tcPr>
          <w:p>
            <w:pPr>
              <w:rPr>
                <w:sz w:val="20"/>
                <w:szCs w:val="20"/>
                <w:lang w:val="ro-RO"/>
              </w:rPr>
            </w:pPr>
            <w:r>
              <w:rPr>
                <w:sz w:val="20"/>
                <w:szCs w:val="20"/>
                <w:lang w:val="ro-RO"/>
              </w:rPr>
              <w:t>100 microni</w:t>
            </w:r>
          </w:p>
        </w:tc>
      </w:tr>
      <w:tr>
        <w:tc>
          <w:tcPr>
            <w:tcW w:w="2787" w:type="dxa"/>
            <w:tcBorders>
              <w:top w:val="single" w:sz="6" w:space="0" w:color="auto"/>
              <w:left w:val="single" w:sz="6" w:space="0" w:color="auto"/>
              <w:bottom w:val="single" w:sz="6" w:space="0" w:color="auto"/>
              <w:right w:val="single" w:sz="6" w:space="0" w:color="auto"/>
            </w:tcBorders>
          </w:tcPr>
          <w:p>
            <w:pPr>
              <w:rPr>
                <w:sz w:val="20"/>
                <w:szCs w:val="20"/>
                <w:lang w:val="ro-RO"/>
              </w:rPr>
            </w:pPr>
            <w:r>
              <w:rPr>
                <w:sz w:val="20"/>
                <w:szCs w:val="20"/>
                <w:lang w:val="ro-RO"/>
              </w:rPr>
              <w:t>N/A</w:t>
            </w:r>
          </w:p>
        </w:tc>
        <w:tc>
          <w:tcPr>
            <w:tcW w:w="3828" w:type="dxa"/>
            <w:tcBorders>
              <w:top w:val="single" w:sz="6" w:space="0" w:color="auto"/>
              <w:left w:val="single" w:sz="6" w:space="0" w:color="auto"/>
              <w:bottom w:val="single" w:sz="6" w:space="0" w:color="auto"/>
              <w:right w:val="single" w:sz="6" w:space="0" w:color="auto"/>
            </w:tcBorders>
          </w:tcPr>
          <w:p>
            <w:pPr>
              <w:rPr>
                <w:sz w:val="20"/>
                <w:szCs w:val="20"/>
                <w:lang w:val="ro-RO"/>
              </w:rPr>
            </w:pPr>
            <w:r>
              <w:rPr>
                <w:sz w:val="20"/>
                <w:szCs w:val="20"/>
                <w:lang w:val="ro-RO"/>
              </w:rPr>
              <w:t>Grosimea totala a peliculei uscate</w:t>
            </w:r>
          </w:p>
        </w:tc>
        <w:tc>
          <w:tcPr>
            <w:tcW w:w="2976" w:type="dxa"/>
            <w:tcBorders>
              <w:top w:val="single" w:sz="6" w:space="0" w:color="auto"/>
              <w:left w:val="single" w:sz="6" w:space="0" w:color="auto"/>
              <w:bottom w:val="single" w:sz="6" w:space="0" w:color="auto"/>
              <w:right w:val="single" w:sz="6" w:space="0" w:color="auto"/>
            </w:tcBorders>
          </w:tcPr>
          <w:p>
            <w:pPr>
              <w:rPr>
                <w:sz w:val="20"/>
                <w:szCs w:val="20"/>
                <w:lang w:val="ro-RO"/>
              </w:rPr>
            </w:pPr>
            <w:r>
              <w:rPr>
                <w:sz w:val="20"/>
                <w:szCs w:val="20"/>
                <w:lang w:val="ro-RO"/>
              </w:rPr>
              <w:t>300 microni</w:t>
            </w:r>
          </w:p>
        </w:tc>
      </w:tr>
    </w:tbl>
    <w:p>
      <w:pPr>
        <w:rPr>
          <w:sz w:val="20"/>
          <w:szCs w:val="20"/>
          <w:lang w:val="ro-RO"/>
        </w:rPr>
      </w:pPr>
    </w:p>
    <w:p>
      <w:pPr>
        <w:pStyle w:val="Heading3"/>
        <w:rPr>
          <w:sz w:val="20"/>
          <w:szCs w:val="20"/>
          <w:lang w:val="ro-RO"/>
        </w:rPr>
      </w:pPr>
      <w:bookmarkStart w:id="33" w:name="_Toc227161508"/>
      <w:r>
        <w:rPr>
          <w:sz w:val="20"/>
          <w:szCs w:val="20"/>
          <w:lang w:val="ro-RO"/>
        </w:rPr>
        <w:t>2.2.5  Cerinte privind lucrarile de armare</w:t>
      </w:r>
      <w:bookmarkEnd w:id="33"/>
    </w:p>
    <w:p>
      <w:pPr>
        <w:pStyle w:val="Heading4"/>
        <w:rPr>
          <w:sz w:val="20"/>
          <w:szCs w:val="20"/>
          <w:lang w:val="ro-RO"/>
        </w:rPr>
      </w:pPr>
      <w:r>
        <w:rPr>
          <w:sz w:val="20"/>
          <w:szCs w:val="20"/>
          <w:lang w:val="ro-RO"/>
        </w:rPr>
        <w:t>2.2.5.1 Conditii prealabile</w:t>
      </w:r>
    </w:p>
    <w:p>
      <w:pPr>
        <w:pStyle w:val="ListParagraph"/>
        <w:numPr>
          <w:ilvl w:val="0"/>
          <w:numId w:val="36"/>
        </w:numPr>
        <w:rPr>
          <w:sz w:val="20"/>
          <w:szCs w:val="20"/>
          <w:lang w:val="ro-RO"/>
        </w:rPr>
      </w:pPr>
      <w:r>
        <w:rPr>
          <w:sz w:val="20"/>
          <w:szCs w:val="20"/>
          <w:lang w:val="ro-RO"/>
        </w:rPr>
        <w:t>Existenta detaliilor de armare si a extraselor de armaturi.</w:t>
      </w:r>
    </w:p>
    <w:p>
      <w:pPr>
        <w:pStyle w:val="ListParagraph"/>
        <w:numPr>
          <w:ilvl w:val="0"/>
          <w:numId w:val="36"/>
        </w:numPr>
        <w:rPr>
          <w:sz w:val="20"/>
          <w:szCs w:val="20"/>
          <w:lang w:val="ro-RO"/>
        </w:rPr>
      </w:pPr>
      <w:r>
        <w:rPr>
          <w:sz w:val="20"/>
          <w:szCs w:val="20"/>
          <w:lang w:val="ro-RO"/>
        </w:rPr>
        <w:t>Livrarea otelului beton va fi însoţită de un document de calitate (certificat de calitate, declaraţie de conformitate).</w:t>
      </w:r>
    </w:p>
    <w:p>
      <w:pPr>
        <w:pStyle w:val="ListParagraph"/>
        <w:numPr>
          <w:ilvl w:val="0"/>
          <w:numId w:val="36"/>
        </w:numPr>
        <w:rPr>
          <w:sz w:val="20"/>
          <w:szCs w:val="20"/>
          <w:lang w:val="ro-RO"/>
        </w:rPr>
      </w:pPr>
      <w:r>
        <w:rPr>
          <w:sz w:val="20"/>
          <w:szCs w:val="20"/>
          <w:lang w:val="ro-RO"/>
        </w:rPr>
        <w:t>Efectuarea încercărilor conform NE 012-99, de către un laborator autorizat. Dotarea corespunzătoare a atelierului de fasonare armaturi cu maşini, dispozitive, instalaţii de fasonat otel beton.</w:t>
      </w:r>
    </w:p>
    <w:p>
      <w:pPr>
        <w:pStyle w:val="ListParagraph"/>
        <w:numPr>
          <w:ilvl w:val="0"/>
          <w:numId w:val="36"/>
        </w:numPr>
        <w:rPr>
          <w:sz w:val="20"/>
          <w:szCs w:val="20"/>
          <w:lang w:val="ro-RO"/>
        </w:rPr>
      </w:pPr>
      <w:r>
        <w:rPr>
          <w:sz w:val="20"/>
          <w:szCs w:val="20"/>
          <w:lang w:val="ro-RO"/>
        </w:rPr>
        <w:t>Existenta unei platforme pentru depozitarea armaturilor pe diametre.</w:t>
      </w:r>
    </w:p>
    <w:p>
      <w:pPr>
        <w:pStyle w:val="ListParagraph"/>
        <w:numPr>
          <w:ilvl w:val="0"/>
          <w:numId w:val="36"/>
        </w:numPr>
        <w:rPr>
          <w:sz w:val="20"/>
          <w:szCs w:val="20"/>
          <w:lang w:val="ro-RO"/>
        </w:rPr>
      </w:pPr>
      <w:r>
        <w:rPr>
          <w:sz w:val="20"/>
          <w:szCs w:val="20"/>
          <w:lang w:val="ro-RO"/>
        </w:rPr>
        <w:t>Verificarea poziţiei si lungimilor de ancoraj a mustăţilor conform detaliilor de armare si a normativului NE 012/2-2010.</w:t>
      </w:r>
    </w:p>
    <w:p>
      <w:pPr>
        <w:pStyle w:val="ListParagraph"/>
        <w:rPr>
          <w:sz w:val="20"/>
          <w:szCs w:val="20"/>
          <w:lang w:val="ro-RO"/>
        </w:rPr>
      </w:pPr>
    </w:p>
    <w:p>
      <w:pPr>
        <w:pStyle w:val="Heading4"/>
        <w:rPr>
          <w:sz w:val="20"/>
          <w:szCs w:val="20"/>
          <w:lang w:val="ro-RO"/>
        </w:rPr>
      </w:pPr>
      <w:r>
        <w:rPr>
          <w:sz w:val="20"/>
          <w:szCs w:val="20"/>
          <w:lang w:val="ro-RO"/>
        </w:rPr>
        <w:t>2.2.5.2 Descrierea tehnologiei</w:t>
      </w:r>
    </w:p>
    <w:p>
      <w:pPr>
        <w:pStyle w:val="ListParagraph"/>
        <w:numPr>
          <w:ilvl w:val="0"/>
          <w:numId w:val="39"/>
        </w:numPr>
        <w:rPr>
          <w:b/>
          <w:sz w:val="20"/>
          <w:szCs w:val="20"/>
          <w:lang w:val="ro-RO"/>
        </w:rPr>
      </w:pPr>
      <w:r>
        <w:rPr>
          <w:b/>
          <w:sz w:val="20"/>
          <w:szCs w:val="20"/>
          <w:lang w:val="ro-RO"/>
        </w:rPr>
        <w:t>Pregatirea lucrarii</w:t>
      </w:r>
    </w:p>
    <w:p>
      <w:pPr>
        <w:rPr>
          <w:sz w:val="20"/>
          <w:szCs w:val="20"/>
          <w:lang w:val="ro-RO"/>
        </w:rPr>
      </w:pPr>
      <w:r>
        <w:rPr>
          <w:sz w:val="20"/>
          <w:szCs w:val="20"/>
          <w:lang w:val="ro-RO"/>
        </w:rPr>
        <w:t>Otelul beton armat, livrat in colaci sau bare îndoite, trebuie îndreptat inainte de a se proceda la debitarea si fasonarea lui, fara a se deteriora profilul acestora. Otelul beton care se fasoneaza trebuie sa fîe curatat de impuritati.</w:t>
      </w:r>
    </w:p>
    <w:p>
      <w:pPr>
        <w:rPr>
          <w:sz w:val="20"/>
          <w:szCs w:val="20"/>
          <w:lang w:val="ro-RO"/>
        </w:rPr>
      </w:pPr>
      <w:r>
        <w:rPr>
          <w:sz w:val="20"/>
          <w:szCs w:val="20"/>
          <w:lang w:val="ro-RO"/>
        </w:rPr>
        <w:t>Barele debitate si fasonate vor fi depozitate in pachete etichetate, pentru a se evita confundarea lor. Armaturile nu se vor fasona la temperaturi sub -10° C. Se va trasa pozitia barelor de armatura si a cotelor de nivel la cofraj.</w:t>
      </w:r>
    </w:p>
    <w:p>
      <w:pPr>
        <w:pStyle w:val="ListParagraph"/>
        <w:numPr>
          <w:ilvl w:val="0"/>
          <w:numId w:val="39"/>
        </w:numPr>
        <w:rPr>
          <w:b/>
          <w:sz w:val="20"/>
          <w:szCs w:val="20"/>
          <w:lang w:val="ro-RO"/>
        </w:rPr>
      </w:pPr>
      <w:r>
        <w:rPr>
          <w:b/>
          <w:sz w:val="20"/>
          <w:szCs w:val="20"/>
          <w:lang w:val="ro-RO"/>
        </w:rPr>
        <w:t>Fasonarea barelor</w:t>
      </w:r>
    </w:p>
    <w:p>
      <w:pPr>
        <w:rPr>
          <w:sz w:val="20"/>
          <w:szCs w:val="20"/>
          <w:lang w:val="ro-RO"/>
        </w:rPr>
      </w:pPr>
      <w:r>
        <w:rPr>
          <w:sz w:val="20"/>
          <w:szCs w:val="20"/>
          <w:lang w:val="ro-RO"/>
        </w:rPr>
        <w:t>Fasonarea barelor se executa in baza comenzii si conform graficului de livrare, ordinea tehnologica si în baza planurilor de armare. Fasonarea barelor, confectionarea carcaselor de armatura se face în stricta conformitate cu prevederile proiectului.</w:t>
      </w:r>
    </w:p>
    <w:p>
      <w:pPr>
        <w:rPr>
          <w:sz w:val="20"/>
          <w:szCs w:val="20"/>
          <w:lang w:val="ro-RO"/>
        </w:rPr>
      </w:pPr>
      <w:r>
        <w:rPr>
          <w:sz w:val="20"/>
          <w:szCs w:val="20"/>
          <w:lang w:val="ro-RO"/>
        </w:rPr>
        <w:t>Neconcordantele din plansele de armare si greselile de proiectare se rezolva numai cu acordul proiectantului prin dispozitii de santier.</w:t>
      </w:r>
    </w:p>
    <w:p>
      <w:pPr>
        <w:rPr>
          <w:sz w:val="20"/>
          <w:szCs w:val="20"/>
          <w:lang w:val="ro-RO"/>
        </w:rPr>
      </w:pPr>
      <w:r>
        <w:rPr>
          <w:sz w:val="20"/>
          <w:szCs w:val="20"/>
          <w:lang w:val="ro-RO"/>
        </w:rPr>
        <w:t>Inlocuirea de diametre prin echivalarea suprafetelor de armare se face cu aprobarea responsabilului tehnic cu executia atestat, iar schimbarea calitatii otelului numai cu acordul proiectantului. La prefabricate se interzice inlocuirea de diametre fara aprobarea proiectantului.</w:t>
      </w:r>
    </w:p>
    <w:p>
      <w:pPr>
        <w:rPr>
          <w:sz w:val="20"/>
          <w:szCs w:val="20"/>
          <w:lang w:val="ro-RO"/>
        </w:rPr>
      </w:pPr>
      <w:r>
        <w:rPr>
          <w:sz w:val="20"/>
          <w:szCs w:val="20"/>
          <w:lang w:val="ro-RO"/>
        </w:rPr>
        <w:t>Debitarea barelor de otel beton se face cu ghilotina sau flexul, numai pe platforma de fasonare folosind masini si dispozitive functie de lungimea si diametrul barelor.</w:t>
      </w:r>
    </w:p>
    <w:p>
      <w:pPr>
        <w:rPr>
          <w:sz w:val="20"/>
          <w:szCs w:val="20"/>
          <w:lang w:val="ro-RO"/>
        </w:rPr>
      </w:pPr>
      <w:r>
        <w:rPr>
          <w:sz w:val="20"/>
          <w:szCs w:val="20"/>
          <w:lang w:val="ro-RO"/>
        </w:rPr>
        <w:t>Armatura trebuie taiata, indoita, manipulata astfel incat sa se evite: deteriorarea mecanica, ruperi ale sudurilor in carcase si plase sudate, contactul cu substante care pot afecta proprietatile de aderenta sau pot produce procese de coroziune.</w:t>
      </w:r>
    </w:p>
    <w:p>
      <w:pPr>
        <w:rPr>
          <w:sz w:val="20"/>
          <w:szCs w:val="20"/>
          <w:lang w:val="ro-RO"/>
        </w:rPr>
      </w:pPr>
      <w:r>
        <w:rPr>
          <w:sz w:val="20"/>
          <w:szCs w:val="20"/>
          <w:lang w:val="ro-RO"/>
        </w:rPr>
        <w:lastRenderedPageBreak/>
        <w:t>Îndoirea barelor se face la masina de fasonat, folosind dornuri de diametrul barelor. Îndoirea barelor se executa cu o miscare lenta fara socuri. La masina de indoit cu doua viteze nu se admite curbarea barelor cu profil periodic la viteza mare a masinii.</w:t>
      </w:r>
    </w:p>
    <w:p>
      <w:pPr>
        <w:rPr>
          <w:sz w:val="20"/>
          <w:szCs w:val="20"/>
          <w:lang w:val="ro-RO"/>
        </w:rPr>
      </w:pPr>
      <w:r>
        <w:rPr>
          <w:sz w:val="20"/>
          <w:szCs w:val="20"/>
          <w:lang w:val="ro-RO"/>
        </w:rPr>
        <w:t>În cazul in care la indoire barele au tendinta de fisurare sau de rupere, se refuza otelul beton si se anunta furnizorul. Se interzice îndoirea barelor la cald, cu flacara oxiacetilenica sau electrica.</w:t>
      </w:r>
    </w:p>
    <w:p>
      <w:pPr>
        <w:rPr>
          <w:sz w:val="20"/>
          <w:szCs w:val="20"/>
          <w:lang w:val="ro-RO"/>
        </w:rPr>
      </w:pPr>
      <w:r>
        <w:rPr>
          <w:sz w:val="20"/>
          <w:szCs w:val="20"/>
          <w:lang w:val="ro-RO"/>
        </w:rPr>
        <w:t>În mediu coroziv, armarea si betonarea armaturilor trebuie sa se facă in maximum 15 zile de la fasonare.</w:t>
      </w:r>
    </w:p>
    <w:p>
      <w:pPr>
        <w:rPr>
          <w:sz w:val="20"/>
          <w:szCs w:val="20"/>
          <w:lang w:val="ro-RO"/>
        </w:rPr>
      </w:pPr>
      <w:r>
        <w:rPr>
          <w:sz w:val="20"/>
          <w:szCs w:val="20"/>
          <w:lang w:val="ro-RO"/>
        </w:rPr>
        <w:t>Armaturile se vor termina cu sau fara ciocuri. În cazul armaturilor din otel beton rotund neted, ciocul se îndoaie la 180° cu raza interioara de 1.25 d si portiunea dreapta 3 d. În cazul armaturilor cu profil periodic, ciocul se indoaie la 90 ° cu raza interioara de min 2 d si portiunea dreapta la capat de minim 7 d.</w:t>
      </w:r>
    </w:p>
    <w:p>
      <w:pPr>
        <w:rPr>
          <w:sz w:val="20"/>
          <w:szCs w:val="20"/>
          <w:lang w:val="ro-RO"/>
        </w:rPr>
      </w:pPr>
      <w:r>
        <w:rPr>
          <w:sz w:val="20"/>
          <w:szCs w:val="20"/>
          <w:lang w:val="ro-RO"/>
        </w:rPr>
        <w:t>Îndoirea barelor înclinate, a celor de trecere prin stâlpi in grinzi sau a celor ce trec prin coltul unui cadru, se face după un arc de cerc cu raza minima de l0 d. Capetele barelor înclinate vor avea o porţiune dreapta cu lungimea de cel puţin 20 d în zonele întinse si cel puţin 10 d în zonele comprimate. Toate barele fasonate vor fi depozitate, etichetate, pe platforme de fasonare.</w:t>
      </w:r>
    </w:p>
    <w:p>
      <w:pPr>
        <w:pStyle w:val="ListParagraph"/>
        <w:numPr>
          <w:ilvl w:val="0"/>
          <w:numId w:val="39"/>
        </w:numPr>
        <w:rPr>
          <w:b/>
          <w:sz w:val="20"/>
          <w:szCs w:val="20"/>
          <w:lang w:val="ro-RO"/>
        </w:rPr>
      </w:pPr>
      <w:r>
        <w:rPr>
          <w:b/>
          <w:sz w:val="20"/>
          <w:szCs w:val="20"/>
          <w:lang w:val="ro-RO"/>
        </w:rPr>
        <w:t>Transportul, manipularea si depozitarea</w:t>
      </w:r>
    </w:p>
    <w:p>
      <w:pPr>
        <w:rPr>
          <w:sz w:val="20"/>
          <w:szCs w:val="20"/>
          <w:lang w:val="ro-RO"/>
        </w:rPr>
      </w:pPr>
      <w:r>
        <w:rPr>
          <w:sz w:val="20"/>
          <w:szCs w:val="20"/>
          <w:lang w:val="ro-RO"/>
        </w:rPr>
        <w:t>Toate barele fasonate vor fî transportate pe platforme adiacente zonei de lucru, în mijloace de transport adecvate, functie de lungimea si forma barelor.</w:t>
      </w:r>
    </w:p>
    <w:p>
      <w:pPr>
        <w:rPr>
          <w:sz w:val="20"/>
          <w:szCs w:val="20"/>
          <w:lang w:val="ro-RO"/>
        </w:rPr>
      </w:pPr>
      <w:r>
        <w:rPr>
          <w:sz w:val="20"/>
          <w:szCs w:val="20"/>
          <w:lang w:val="ro-RO"/>
        </w:rPr>
        <w:t>Depozitarea barelor fasonate se face astfel incât sa se evite corodarea si murdarirea lor. Barele se depoziteaza pe loturi identificabile si usor accesibile. Se vor lua în evidenta certificatele de calitate emise de furnizori sau producatori.</w:t>
      </w:r>
    </w:p>
    <w:p>
      <w:pPr>
        <w:pStyle w:val="ListParagraph"/>
        <w:numPr>
          <w:ilvl w:val="0"/>
          <w:numId w:val="39"/>
        </w:numPr>
        <w:rPr>
          <w:b/>
          <w:sz w:val="20"/>
          <w:szCs w:val="20"/>
          <w:lang w:val="ro-RO"/>
        </w:rPr>
      </w:pPr>
      <w:r>
        <w:rPr>
          <w:b/>
          <w:sz w:val="20"/>
          <w:szCs w:val="20"/>
          <w:lang w:val="ro-RO"/>
        </w:rPr>
        <w:t>Montarea armaturilor</w:t>
      </w:r>
    </w:p>
    <w:p>
      <w:pPr>
        <w:rPr>
          <w:sz w:val="20"/>
          <w:szCs w:val="20"/>
          <w:lang w:val="ro-RO"/>
        </w:rPr>
      </w:pPr>
      <w:r>
        <w:rPr>
          <w:sz w:val="20"/>
          <w:szCs w:val="20"/>
          <w:lang w:val="ro-RO"/>
        </w:rPr>
        <w:t>Montarea se face conform planurilor si detaliilor de armare si prezentei proceduri. Se creaza spatii necesare patrunderii vibratorului.</w:t>
      </w:r>
    </w:p>
    <w:p>
      <w:pPr>
        <w:rPr>
          <w:sz w:val="20"/>
          <w:szCs w:val="20"/>
          <w:lang w:val="ro-RO"/>
        </w:rPr>
      </w:pPr>
      <w:r>
        <w:rPr>
          <w:sz w:val="20"/>
          <w:szCs w:val="20"/>
          <w:lang w:val="ro-RO"/>
        </w:rPr>
        <w:t>Se va asigura mentinerea la pozitie a armaturii în timpul turnarilor.</w:t>
      </w:r>
    </w:p>
    <w:p>
      <w:pPr>
        <w:rPr>
          <w:sz w:val="20"/>
          <w:szCs w:val="20"/>
          <w:lang w:val="ro-RO"/>
        </w:rPr>
      </w:pPr>
      <w:r>
        <w:rPr>
          <w:sz w:val="20"/>
          <w:szCs w:val="20"/>
          <w:lang w:val="ro-RO"/>
        </w:rPr>
        <w:t>Se va asigura stratul de acoperire al armaturilor cu beton conform prevederilor proiectului, montându-se minimum patru distantieri / mp de placa sau perete; minimum un distantier/ ml de grinda sau stilp; cel putin un distantier între rândurile de armaturi la fiecare 2 ml de grinda în zona cu armatura pe doua sau mai multe rânduri.</w:t>
      </w:r>
    </w:p>
    <w:p>
      <w:pPr>
        <w:rPr>
          <w:sz w:val="20"/>
          <w:szCs w:val="20"/>
          <w:lang w:val="ro-RO"/>
        </w:rPr>
      </w:pPr>
      <w:r>
        <w:rPr>
          <w:sz w:val="20"/>
          <w:szCs w:val="20"/>
          <w:lang w:val="ro-RO"/>
        </w:rPr>
        <w:t>Distantierii vor fi executati din mortar de ciment sau din material plastic. Este interzisa folosirea cupoanelor de OB in loc de distantieri. Pentru mentinerea la pozitie a armaturilor la partea superioara a placilor se vor folosi capre din OB, dispuse la distanta maxima 1 m (1 buc / mp), în câmp, respectiv de maxim 50 cm (4 buc / mp) in zonele dc consola. In cazul placilor cu grosime mai mare de 40 cm si al armaturilor cu diametrul mai mare de 14 mm, se admite depasirea distantelor mentionate.</w:t>
      </w:r>
    </w:p>
    <w:p>
      <w:pPr>
        <w:rPr>
          <w:sz w:val="20"/>
          <w:szCs w:val="20"/>
          <w:lang w:val="ro-RO"/>
        </w:rPr>
      </w:pPr>
      <w:r>
        <w:rPr>
          <w:sz w:val="20"/>
          <w:szCs w:val="20"/>
          <w:lang w:val="ro-RO"/>
        </w:rPr>
        <w:t>Praznurile si piesele metalice înglobate vor fi fixate prin puncte de sudura sau legaturi de sârma de armatura elementului sau de cofrag.</w:t>
      </w:r>
    </w:p>
    <w:p>
      <w:pPr>
        <w:rPr>
          <w:sz w:val="20"/>
          <w:szCs w:val="20"/>
          <w:lang w:val="ro-RO"/>
        </w:rPr>
      </w:pPr>
      <w:r>
        <w:rPr>
          <w:sz w:val="20"/>
          <w:szCs w:val="20"/>
          <w:lang w:val="ro-RO"/>
        </w:rPr>
        <w:t>Atunci când se dispune de mijloace de ridicat, se recomanda sa se monteze sub forma de carcase preasamblate.</w:t>
      </w:r>
    </w:p>
    <w:p>
      <w:pPr>
        <w:pStyle w:val="ListParagraph"/>
        <w:numPr>
          <w:ilvl w:val="0"/>
          <w:numId w:val="39"/>
        </w:numPr>
        <w:rPr>
          <w:b/>
          <w:sz w:val="20"/>
          <w:szCs w:val="20"/>
          <w:lang w:val="ro-RO"/>
        </w:rPr>
      </w:pPr>
      <w:r>
        <w:rPr>
          <w:b/>
          <w:sz w:val="20"/>
          <w:szCs w:val="20"/>
          <w:lang w:val="ro-RO"/>
        </w:rPr>
        <w:t>Legarea armaturilor</w:t>
      </w:r>
    </w:p>
    <w:p>
      <w:pPr>
        <w:rPr>
          <w:sz w:val="20"/>
          <w:szCs w:val="20"/>
          <w:lang w:val="ro-RO"/>
        </w:rPr>
      </w:pPr>
      <w:r>
        <w:rPr>
          <w:sz w:val="20"/>
          <w:szCs w:val="20"/>
          <w:lang w:val="ro-RO"/>
        </w:rPr>
        <w:t>La încrucisari, barele de armare trebuie sa fie legate între ele prin legaturi de sârma neagra sau prin puncte de sudura.</w:t>
      </w:r>
    </w:p>
    <w:p>
      <w:pPr>
        <w:rPr>
          <w:sz w:val="20"/>
          <w:szCs w:val="20"/>
          <w:lang w:val="ro-RO"/>
        </w:rPr>
      </w:pPr>
      <w:r>
        <w:rPr>
          <w:sz w:val="20"/>
          <w:szCs w:val="20"/>
          <w:lang w:val="ro-RO"/>
        </w:rPr>
        <w:t>Retelele de armaturi din placi si din pereti vor avea legate in mod obligatoriu doua rânduri de încrucisari marginale, pe întreg conturul. Restul încrucisarilor din mijlocul retelelor vor fi legate din doua în doua, pe ambele sensuri.</w:t>
      </w:r>
    </w:p>
    <w:p>
      <w:pPr>
        <w:rPr>
          <w:sz w:val="20"/>
          <w:szCs w:val="20"/>
          <w:lang w:val="ro-RO"/>
        </w:rPr>
      </w:pPr>
      <w:r>
        <w:rPr>
          <w:sz w:val="20"/>
          <w:szCs w:val="20"/>
          <w:lang w:val="ro-RO"/>
        </w:rPr>
        <w:t>La grinzi si stâlpi vor fi legate toate încrucisarile barelor armaturii cu colturile etrierilor sau cu ciocurile agrafelor. Restul încrucisarilor acestor bare cu portiunile drepte ale etrierilor pot fi legate numai în sah. Barele înclinate vor fi legate de primii etrieri cu care se încruciseaza. Fetele vor fi legate de regula de toate barele longitudinale cu care se incruciseaza.</w:t>
      </w:r>
    </w:p>
    <w:p>
      <w:pPr>
        <w:pStyle w:val="ListParagraph"/>
        <w:numPr>
          <w:ilvl w:val="0"/>
          <w:numId w:val="39"/>
        </w:numPr>
        <w:rPr>
          <w:b/>
          <w:sz w:val="20"/>
          <w:szCs w:val="20"/>
          <w:lang w:val="ro-RO"/>
        </w:rPr>
      </w:pPr>
      <w:r>
        <w:rPr>
          <w:b/>
          <w:sz w:val="20"/>
          <w:szCs w:val="20"/>
          <w:lang w:val="ro-RO"/>
        </w:rPr>
        <w:lastRenderedPageBreak/>
        <w:t>Innadirea armaturilor</w:t>
      </w:r>
    </w:p>
    <w:p>
      <w:pPr>
        <w:rPr>
          <w:sz w:val="20"/>
          <w:szCs w:val="20"/>
          <w:lang w:val="ro-RO"/>
        </w:rPr>
      </w:pPr>
      <w:r>
        <w:rPr>
          <w:sz w:val="20"/>
          <w:szCs w:val="20"/>
          <w:lang w:val="ro-RO"/>
        </w:rPr>
        <w:t>Se executa in conformitate cu prevederile proiectului.</w:t>
      </w:r>
    </w:p>
    <w:p>
      <w:pPr>
        <w:rPr>
          <w:sz w:val="20"/>
          <w:szCs w:val="20"/>
          <w:lang w:val="ro-RO"/>
        </w:rPr>
      </w:pPr>
      <w:r>
        <w:rPr>
          <w:sz w:val="20"/>
          <w:szCs w:val="20"/>
          <w:lang w:val="ro-RO"/>
        </w:rPr>
        <w:t>Procedurile de înnadire vor fi prin suprapunere, sudura, mansoane presate la rece, mansoane sudate metalo-termic.</w:t>
      </w:r>
    </w:p>
    <w:p>
      <w:pPr>
        <w:rPr>
          <w:sz w:val="20"/>
          <w:szCs w:val="20"/>
          <w:lang w:val="ro-RO"/>
        </w:rPr>
      </w:pPr>
      <w:r>
        <w:rPr>
          <w:sz w:val="20"/>
          <w:szCs w:val="20"/>
          <w:lang w:val="ro-RO"/>
        </w:rPr>
        <w:t>Innadirea prin sudura se poate executa prin sudare electrica prin puncte, sudare electrică cap la cap prin topire intermitenta, sudare manuala cu arcul electric prin suprapunere şi cu eclise.</w:t>
      </w:r>
    </w:p>
    <w:p>
      <w:pPr>
        <w:rPr>
          <w:sz w:val="20"/>
          <w:szCs w:val="20"/>
          <w:lang w:val="ro-RO"/>
        </w:rPr>
      </w:pPr>
      <w:r>
        <w:rPr>
          <w:sz w:val="20"/>
          <w:szCs w:val="20"/>
          <w:lang w:val="ro-RO"/>
        </w:rPr>
        <w:t>Nu se permite folosirea sudurii la innadirile armaturilor din oteluri ale caror calitati au fost imbunatatite pe cale mecanica (sarma trasa). Aceasta interdictie nu se refera si la sudurile prin puncte de la noduirle plaselor sudate executate industrial.</w:t>
      </w:r>
    </w:p>
    <w:p>
      <w:pPr>
        <w:pStyle w:val="ListParagraph"/>
        <w:numPr>
          <w:ilvl w:val="0"/>
          <w:numId w:val="39"/>
        </w:numPr>
        <w:rPr>
          <w:b/>
          <w:sz w:val="20"/>
          <w:szCs w:val="20"/>
          <w:lang w:val="ro-RO"/>
        </w:rPr>
      </w:pPr>
      <w:r>
        <w:rPr>
          <w:b/>
          <w:sz w:val="20"/>
          <w:szCs w:val="20"/>
          <w:lang w:val="ro-RO"/>
        </w:rPr>
        <w:t>Stratul de acoperire cu beton</w:t>
      </w:r>
    </w:p>
    <w:p>
      <w:pPr>
        <w:rPr>
          <w:sz w:val="20"/>
          <w:szCs w:val="20"/>
          <w:lang w:val="ro-RO"/>
        </w:rPr>
      </w:pPr>
      <w:r>
        <w:rPr>
          <w:sz w:val="20"/>
          <w:szCs w:val="20"/>
          <w:lang w:val="ro-RO"/>
        </w:rPr>
        <w:t>Pentru asigurarea durabilitatii elementelor/structurilor prin protectia armaturii contra coroziunii si o conlucrare corespunzatoare cu betonul, este necesar ca la elementele din beton armat sa se realizeze un strat de acoperire cu beton minim. Grosimea minima a stratului se determina în functie de tipul elementului, categoria elementului, conditiile de expunere, diametrul armaturilor, clasa betonului, gradul de rezistenta la foc etc. Grosimea stratului de acoperire cu beton va fi stabilita prin proiect.</w:t>
      </w:r>
    </w:p>
    <w:p>
      <w:pPr>
        <w:rPr>
          <w:sz w:val="20"/>
          <w:szCs w:val="20"/>
          <w:lang w:val="ro-RO"/>
        </w:rPr>
      </w:pPr>
      <w:r>
        <w:rPr>
          <w:sz w:val="20"/>
          <w:szCs w:val="20"/>
          <w:lang w:val="ro-RO"/>
        </w:rPr>
        <w:t>Pentru asigurarea, la executie, a stratului de acoperire proiectat, trebuie realizata o dispunere corespunzatoare a distantierilor din materiale plastice, mortar. Este interzisa utilizarea distantierilor din cupoane metalice sau din lemn.</w:t>
      </w:r>
    </w:p>
    <w:p>
      <w:pPr>
        <w:rPr>
          <w:sz w:val="20"/>
          <w:szCs w:val="20"/>
          <w:lang w:val="ro-RO"/>
        </w:rPr>
      </w:pPr>
      <w:r>
        <w:rPr>
          <w:sz w:val="20"/>
          <w:szCs w:val="20"/>
          <w:lang w:val="ro-RO"/>
        </w:rPr>
        <w:t>înlocuirea armaturilor se poate face respectând urmatoarele condiţii:</w:t>
      </w:r>
    </w:p>
    <w:p>
      <w:pPr>
        <w:pStyle w:val="ListParagraph"/>
        <w:numPr>
          <w:ilvl w:val="0"/>
          <w:numId w:val="36"/>
        </w:numPr>
        <w:rPr>
          <w:sz w:val="20"/>
          <w:szCs w:val="20"/>
          <w:lang w:val="ro-RO"/>
        </w:rPr>
      </w:pPr>
      <w:r>
        <w:rPr>
          <w:sz w:val="20"/>
          <w:szCs w:val="20"/>
          <w:lang w:val="ro-RO"/>
        </w:rPr>
        <w:t>înlocuirea diametrelor cu acelasi tip de otel se face astfel incât aria armaturii sa rezulte egala cu cel mult 5% mai mare decât cea din proiect;</w:t>
      </w:r>
    </w:p>
    <w:p>
      <w:pPr>
        <w:pStyle w:val="ListParagraph"/>
        <w:numPr>
          <w:ilvl w:val="0"/>
          <w:numId w:val="36"/>
        </w:numPr>
        <w:rPr>
          <w:sz w:val="20"/>
          <w:szCs w:val="20"/>
          <w:lang w:val="ro-RO"/>
        </w:rPr>
      </w:pPr>
      <w:r>
        <w:rPr>
          <w:sz w:val="20"/>
          <w:szCs w:val="20"/>
          <w:lang w:val="ro-RO"/>
        </w:rPr>
        <w:t>în cazul armaturilor de rezistenta, diametrul nou trebuie sa fîe mai mic sau cel mult cu 25% mai mare decât cel prevazut în proiect, dar fara a schimba tipul otelului;</w:t>
      </w:r>
    </w:p>
    <w:p>
      <w:pPr>
        <w:pStyle w:val="ListParagraph"/>
        <w:numPr>
          <w:ilvl w:val="0"/>
          <w:numId w:val="36"/>
        </w:numPr>
        <w:rPr>
          <w:sz w:val="20"/>
          <w:szCs w:val="20"/>
          <w:lang w:val="ro-RO"/>
        </w:rPr>
      </w:pPr>
      <w:r>
        <w:rPr>
          <w:sz w:val="20"/>
          <w:szCs w:val="20"/>
          <w:lang w:val="ro-RO"/>
        </w:rPr>
        <w:t>înlocuirea tipului de otel se face numai cu avizul proiectantului;</w:t>
      </w:r>
    </w:p>
    <w:p>
      <w:pPr>
        <w:pStyle w:val="ListParagraph"/>
        <w:numPr>
          <w:ilvl w:val="0"/>
          <w:numId w:val="36"/>
        </w:numPr>
        <w:rPr>
          <w:sz w:val="20"/>
          <w:szCs w:val="20"/>
          <w:lang w:val="ro-RO"/>
        </w:rPr>
      </w:pPr>
      <w:r>
        <w:rPr>
          <w:sz w:val="20"/>
          <w:szCs w:val="20"/>
          <w:lang w:val="ro-RO"/>
        </w:rPr>
        <w:t xml:space="preserve">inlocuirea se va înscrie în planurile de executie şi se va consemna in PVRC a armaturii. </w:t>
      </w:r>
    </w:p>
    <w:p>
      <w:pPr>
        <w:pStyle w:val="ListParagraph"/>
        <w:rPr>
          <w:sz w:val="20"/>
          <w:szCs w:val="20"/>
          <w:lang w:val="ro-RO"/>
        </w:rPr>
      </w:pPr>
    </w:p>
    <w:p>
      <w:pPr>
        <w:pStyle w:val="ListParagraph"/>
        <w:numPr>
          <w:ilvl w:val="0"/>
          <w:numId w:val="39"/>
        </w:numPr>
        <w:rPr>
          <w:b/>
          <w:sz w:val="20"/>
          <w:szCs w:val="20"/>
          <w:lang w:val="ro-RO"/>
        </w:rPr>
      </w:pPr>
      <w:r>
        <w:rPr>
          <w:b/>
          <w:sz w:val="20"/>
          <w:szCs w:val="20"/>
          <w:lang w:val="ro-RO"/>
        </w:rPr>
        <w:t>Executarea lucrarilor de armaturi pe timp friguros</w:t>
      </w:r>
    </w:p>
    <w:p>
      <w:pPr>
        <w:rPr>
          <w:sz w:val="20"/>
          <w:szCs w:val="20"/>
          <w:lang w:val="ro-RO"/>
        </w:rPr>
      </w:pPr>
      <w:r>
        <w:rPr>
          <w:sz w:val="20"/>
          <w:szCs w:val="20"/>
          <w:lang w:val="ro-RO"/>
        </w:rPr>
        <w:t>Pentru lucrarile de armatura se vor avea in vedere urmatoarele masuri speciale:</w:t>
      </w:r>
    </w:p>
    <w:p>
      <w:pPr>
        <w:pStyle w:val="ListParagraph"/>
        <w:numPr>
          <w:ilvl w:val="0"/>
          <w:numId w:val="36"/>
        </w:numPr>
        <w:rPr>
          <w:sz w:val="20"/>
          <w:szCs w:val="20"/>
          <w:lang w:val="ro-RO"/>
        </w:rPr>
      </w:pPr>
      <w:r>
        <w:rPr>
          <w:sz w:val="20"/>
          <w:szCs w:val="20"/>
          <w:lang w:val="ro-RO"/>
        </w:rPr>
        <w:t>depozitarea armaturilor se va face de preferinta in spatiile acoperite disponibile, iar in caz ca acestea nu exista, se vor proteja (cu prelate, folii), astfel incat sa se evite caderea zapezii sau formarea ghetii pe suprafata barelor;</w:t>
      </w:r>
    </w:p>
    <w:p>
      <w:pPr>
        <w:pStyle w:val="ListParagraph"/>
        <w:numPr>
          <w:ilvl w:val="0"/>
          <w:numId w:val="36"/>
        </w:numPr>
        <w:rPr>
          <w:sz w:val="20"/>
          <w:szCs w:val="20"/>
          <w:lang w:val="ro-RO"/>
        </w:rPr>
      </w:pPr>
      <w:r>
        <w:rPr>
          <w:sz w:val="20"/>
          <w:szCs w:val="20"/>
          <w:lang w:val="ro-RO"/>
        </w:rPr>
        <w:t>barele pe suprafata carora s-a format gheata, trebuie curatate inainte de prelucrare, prin ciocanire cu ciocan de lemn, prin jet de apa fierbinte, aer cald sau abur. La fel se procedeaza si in cazul armaturilor montate, dar numai cu putin timp inaintea turnarii betonului, pentru a nu se forma din nou gheata. Este interzisa dezghetarea cu ajutorul flacarii, deoarece, prin afumarea suprafetei otelului, se micsoreaza aderenta la beton;</w:t>
      </w:r>
    </w:p>
    <w:p>
      <w:pPr>
        <w:pStyle w:val="ListParagraph"/>
        <w:numPr>
          <w:ilvl w:val="0"/>
          <w:numId w:val="36"/>
        </w:numPr>
        <w:rPr>
          <w:sz w:val="20"/>
          <w:szCs w:val="20"/>
          <w:lang w:val="ro-RO"/>
        </w:rPr>
      </w:pPr>
      <w:r>
        <w:rPr>
          <w:sz w:val="20"/>
          <w:szCs w:val="20"/>
          <w:lang w:val="ro-RO"/>
        </w:rPr>
        <w:t>fasonarea armaturii se face la temperaturi pozitive (in cazuri speciale si sub 0° C), folosind, dupa posibilitati, spatii inchise;</w:t>
      </w:r>
    </w:p>
    <w:p>
      <w:pPr>
        <w:pStyle w:val="ListParagraph"/>
        <w:numPr>
          <w:ilvl w:val="0"/>
          <w:numId w:val="36"/>
        </w:numPr>
        <w:rPr>
          <w:sz w:val="20"/>
          <w:szCs w:val="20"/>
          <w:lang w:val="ro-RO"/>
        </w:rPr>
      </w:pPr>
      <w:r>
        <w:rPr>
          <w:sz w:val="20"/>
          <w:szCs w:val="20"/>
          <w:lang w:val="ro-RO"/>
        </w:rPr>
        <w:t>la fundatiile puternice armate, montarea armaturilor se va face numai cu putin timp inainte de turnare, deoarece in cazul unei eventuale inghetari, armatura ar impiedica operatiunea de dezghetare a fundului sapaturii;</w:t>
      </w:r>
    </w:p>
    <w:p>
      <w:pPr>
        <w:pStyle w:val="ListParagraph"/>
        <w:numPr>
          <w:ilvl w:val="0"/>
          <w:numId w:val="36"/>
        </w:numPr>
        <w:rPr>
          <w:sz w:val="20"/>
          <w:szCs w:val="20"/>
          <w:lang w:val="ro-RO"/>
        </w:rPr>
      </w:pPr>
      <w:r>
        <w:rPr>
          <w:sz w:val="20"/>
          <w:szCs w:val="20"/>
          <w:lang w:val="ro-RO"/>
        </w:rPr>
        <w:t>portiunile de armaturi care raman afara din beton dupa turnarea acestuia, se vor izola cu grija prin invelirea cu pasla minerala, calti, etc. si carton asfaltat, pentru a nu se produce inghetarea betonului care adera la ele;</w:t>
      </w:r>
    </w:p>
    <w:p>
      <w:pPr>
        <w:pStyle w:val="ListParagraph"/>
        <w:numPr>
          <w:ilvl w:val="0"/>
          <w:numId w:val="36"/>
        </w:numPr>
        <w:rPr>
          <w:sz w:val="20"/>
          <w:szCs w:val="20"/>
          <w:lang w:val="ro-RO"/>
        </w:rPr>
      </w:pPr>
      <w:r>
        <w:rPr>
          <w:sz w:val="20"/>
          <w:szCs w:val="20"/>
          <w:lang w:val="ro-RO"/>
        </w:rPr>
        <w:t>in cazul in care sunt necesare suduri, acestea nu vor fi executate la temperaturi sub -5° C, decat cu încălzirea barelor de sudat la 40-50 C;</w:t>
      </w:r>
    </w:p>
    <w:p>
      <w:pPr>
        <w:pStyle w:val="ListParagraph"/>
        <w:numPr>
          <w:ilvl w:val="0"/>
          <w:numId w:val="36"/>
        </w:numPr>
        <w:rPr>
          <w:sz w:val="20"/>
          <w:szCs w:val="20"/>
          <w:lang w:val="ro-RO"/>
        </w:rPr>
      </w:pPr>
      <w:r>
        <w:rPr>
          <w:sz w:val="20"/>
          <w:szCs w:val="20"/>
          <w:lang w:val="ro-RO"/>
        </w:rPr>
        <w:t>nu se admite sudarea in locuri neacoperite pe timp de ploaie, furtuna sau ninsoare;</w:t>
      </w:r>
    </w:p>
    <w:p>
      <w:pPr>
        <w:pStyle w:val="ListParagraph"/>
        <w:numPr>
          <w:ilvl w:val="0"/>
          <w:numId w:val="36"/>
        </w:numPr>
        <w:rPr>
          <w:sz w:val="20"/>
          <w:szCs w:val="20"/>
          <w:lang w:val="ro-RO"/>
        </w:rPr>
      </w:pPr>
      <w:r>
        <w:rPr>
          <w:sz w:val="20"/>
          <w:szCs w:val="20"/>
          <w:lang w:val="ro-RO"/>
        </w:rPr>
        <w:t>legăturile de bare, plase sau carcase care trebuie ridicate in vederea montarii se vor curata de zăpada sau gheata;</w:t>
      </w:r>
    </w:p>
    <w:p>
      <w:pPr>
        <w:pStyle w:val="ListParagraph"/>
        <w:numPr>
          <w:ilvl w:val="0"/>
          <w:numId w:val="36"/>
        </w:numPr>
        <w:rPr>
          <w:sz w:val="20"/>
          <w:szCs w:val="20"/>
          <w:lang w:val="ro-RO"/>
        </w:rPr>
      </w:pPr>
      <w:r>
        <w:rPr>
          <w:sz w:val="20"/>
          <w:szCs w:val="20"/>
          <w:lang w:val="ro-RO"/>
        </w:rPr>
        <w:t xml:space="preserve">cablurile (sufele) pentru ridicare vor fi, de asemenea, curatate de zapada sau gheata si vor fi verificate vizual daca sunt bune pentru a fi utilizate fara toroane sau sarme rupte. </w:t>
      </w:r>
      <w:r>
        <w:rPr>
          <w:sz w:val="20"/>
          <w:szCs w:val="20"/>
          <w:lang w:val="ro-RO"/>
        </w:rPr>
        <w:lastRenderedPageBreak/>
        <w:t>Legarea sarcinii se face numai de catre personal instruit in acest sens, iar comanda de ridicare se va da numai de către seful formatiilor de lucru.</w:t>
      </w:r>
    </w:p>
    <w:p>
      <w:pPr>
        <w:pStyle w:val="ListParagraph"/>
        <w:rPr>
          <w:sz w:val="20"/>
          <w:szCs w:val="20"/>
          <w:lang w:val="ro-RO"/>
        </w:rPr>
      </w:pPr>
    </w:p>
    <w:p>
      <w:pPr>
        <w:pStyle w:val="ListParagraph"/>
        <w:numPr>
          <w:ilvl w:val="0"/>
          <w:numId w:val="41"/>
        </w:numPr>
        <w:rPr>
          <w:b/>
          <w:sz w:val="20"/>
          <w:szCs w:val="20"/>
          <w:lang w:val="ro-RO"/>
        </w:rPr>
      </w:pPr>
      <w:r>
        <w:rPr>
          <w:b/>
          <w:sz w:val="20"/>
          <w:szCs w:val="20"/>
          <w:lang w:val="ro-RO"/>
        </w:rPr>
        <w:t>Conditii de calitate, verificarea si receptia lucrarilor de armaturi</w:t>
      </w:r>
    </w:p>
    <w:p>
      <w:pPr>
        <w:rPr>
          <w:sz w:val="20"/>
          <w:szCs w:val="20"/>
          <w:lang w:val="ro-RO"/>
        </w:rPr>
      </w:pPr>
      <w:r>
        <w:rPr>
          <w:sz w:val="20"/>
          <w:szCs w:val="20"/>
          <w:lang w:val="ro-RO"/>
        </w:rPr>
        <w:t>Verifîcarile lucrarilor de armaturi trebuie efectuate de catre dirigintele de santier, executant si proiectant si trebuie sa se refere la toate aspectele lucrarii si anume:</w:t>
      </w:r>
    </w:p>
    <w:p>
      <w:pPr>
        <w:pStyle w:val="ListParagraph"/>
        <w:numPr>
          <w:ilvl w:val="0"/>
          <w:numId w:val="36"/>
        </w:numPr>
        <w:rPr>
          <w:sz w:val="20"/>
          <w:szCs w:val="20"/>
          <w:lang w:val="ro-RO"/>
        </w:rPr>
      </w:pPr>
      <w:r>
        <w:rPr>
          <w:sz w:val="20"/>
          <w:szCs w:val="20"/>
          <w:lang w:val="ro-RO"/>
        </w:rPr>
        <w:t>numarul, diametrul, pozitia barelor in diferite sectiuni transversale, caracteristice elementului de structura;</w:t>
      </w:r>
    </w:p>
    <w:p>
      <w:pPr>
        <w:pStyle w:val="ListParagraph"/>
        <w:numPr>
          <w:ilvl w:val="0"/>
          <w:numId w:val="36"/>
        </w:numPr>
        <w:rPr>
          <w:sz w:val="20"/>
          <w:szCs w:val="20"/>
          <w:lang w:val="ro-RO"/>
        </w:rPr>
      </w:pPr>
      <w:r>
        <w:rPr>
          <w:sz w:val="20"/>
          <w:szCs w:val="20"/>
          <w:lang w:val="ro-RO"/>
        </w:rPr>
        <w:t>distanta dintre etrieri, diametrul acestora si modul de fixare;</w:t>
      </w:r>
    </w:p>
    <w:p>
      <w:pPr>
        <w:pStyle w:val="ListParagraph"/>
        <w:numPr>
          <w:ilvl w:val="0"/>
          <w:numId w:val="36"/>
        </w:numPr>
        <w:rPr>
          <w:sz w:val="20"/>
          <w:szCs w:val="20"/>
          <w:lang w:val="ro-RO"/>
        </w:rPr>
      </w:pPr>
      <w:r>
        <w:rPr>
          <w:sz w:val="20"/>
          <w:szCs w:val="20"/>
          <w:lang w:val="ro-RO"/>
        </w:rPr>
        <w:t>lungimea portiunilor de bare care depasesc reazemele sau care urmeaza a fi inglobate in elemente care se toarna ulterior (mustati);</w:t>
      </w:r>
    </w:p>
    <w:p>
      <w:pPr>
        <w:pStyle w:val="ListParagraph"/>
        <w:numPr>
          <w:ilvl w:val="0"/>
          <w:numId w:val="36"/>
        </w:numPr>
        <w:rPr>
          <w:sz w:val="20"/>
          <w:szCs w:val="20"/>
          <w:lang w:val="ro-RO"/>
        </w:rPr>
      </w:pPr>
      <w:r>
        <w:rPr>
          <w:sz w:val="20"/>
          <w:szCs w:val="20"/>
          <w:lang w:val="ro-RO"/>
        </w:rPr>
        <w:t>lungimi de petrecere la înnădiri;</w:t>
      </w:r>
    </w:p>
    <w:p>
      <w:pPr>
        <w:pStyle w:val="ListParagraph"/>
        <w:numPr>
          <w:ilvl w:val="0"/>
          <w:numId w:val="36"/>
        </w:numPr>
        <w:rPr>
          <w:sz w:val="20"/>
          <w:szCs w:val="20"/>
          <w:lang w:val="ro-RO"/>
        </w:rPr>
      </w:pPr>
      <w:r>
        <w:rPr>
          <w:sz w:val="20"/>
          <w:szCs w:val="20"/>
          <w:lang w:val="ro-RO"/>
        </w:rPr>
        <w:t>calitatea sudurilor;</w:t>
      </w:r>
    </w:p>
    <w:p>
      <w:pPr>
        <w:pStyle w:val="ListParagraph"/>
        <w:numPr>
          <w:ilvl w:val="0"/>
          <w:numId w:val="36"/>
        </w:numPr>
        <w:rPr>
          <w:sz w:val="20"/>
          <w:szCs w:val="20"/>
          <w:lang w:val="ro-RO"/>
        </w:rPr>
      </w:pPr>
      <w:r>
        <w:rPr>
          <w:sz w:val="20"/>
          <w:szCs w:val="20"/>
          <w:lang w:val="ro-RO"/>
        </w:rPr>
        <w:t>numărul si calitatea legăturilor dintre bare;</w:t>
      </w:r>
    </w:p>
    <w:p>
      <w:pPr>
        <w:pStyle w:val="ListParagraph"/>
        <w:numPr>
          <w:ilvl w:val="0"/>
          <w:numId w:val="36"/>
        </w:numPr>
        <w:rPr>
          <w:sz w:val="20"/>
          <w:szCs w:val="20"/>
          <w:lang w:val="ro-RO"/>
        </w:rPr>
      </w:pPr>
      <w:r>
        <w:rPr>
          <w:sz w:val="20"/>
          <w:szCs w:val="20"/>
          <w:lang w:val="ro-RO"/>
        </w:rPr>
        <w:t>dispozitivele de menţinere a poziţiei armaturilor in cursul betonarii (capra, distanţiere);</w:t>
      </w:r>
    </w:p>
    <w:p>
      <w:pPr>
        <w:pStyle w:val="ListParagraph"/>
        <w:numPr>
          <w:ilvl w:val="0"/>
          <w:numId w:val="36"/>
        </w:numPr>
        <w:rPr>
          <w:sz w:val="20"/>
          <w:szCs w:val="20"/>
          <w:lang w:val="ro-RO"/>
        </w:rPr>
      </w:pPr>
      <w:r>
        <w:rPr>
          <w:sz w:val="20"/>
          <w:szCs w:val="20"/>
          <w:lang w:val="ro-RO"/>
        </w:rPr>
        <w:t>modul de asigurare a grosimii stratului de acoperire sau beton al armaturii;</w:t>
      </w:r>
    </w:p>
    <w:p>
      <w:pPr>
        <w:pStyle w:val="ListParagraph"/>
        <w:numPr>
          <w:ilvl w:val="0"/>
          <w:numId w:val="36"/>
        </w:numPr>
        <w:rPr>
          <w:sz w:val="20"/>
          <w:szCs w:val="20"/>
          <w:lang w:val="ro-RO"/>
        </w:rPr>
      </w:pPr>
      <w:r>
        <w:rPr>
          <w:sz w:val="20"/>
          <w:szCs w:val="20"/>
          <w:lang w:val="ro-RO"/>
        </w:rPr>
        <w:t>pozitia, modul de fixare si dimensiunile pieselor.</w:t>
      </w:r>
    </w:p>
    <w:p>
      <w:pPr>
        <w:rPr>
          <w:sz w:val="20"/>
          <w:szCs w:val="20"/>
          <w:lang w:val="ro-RO"/>
        </w:rPr>
      </w:pPr>
      <w:r>
        <w:rPr>
          <w:sz w:val="20"/>
          <w:szCs w:val="20"/>
          <w:lang w:val="ro-RO"/>
        </w:rPr>
        <w:t>Aceste elemente se inregistreaza in Registrul de procese verbale pentru verificarea calitatii lucrarilor ce devin ascunse, valabilitatea lui fiind de 7 zile. Daca in acest timp nu s-au executat betonarile, trebuie refacut procesul verbal.</w:t>
      </w:r>
    </w:p>
    <w:p>
      <w:pPr>
        <w:pStyle w:val="Heading3"/>
        <w:rPr>
          <w:sz w:val="20"/>
          <w:szCs w:val="20"/>
          <w:lang w:val="ro-RO"/>
        </w:rPr>
      </w:pPr>
      <w:bookmarkStart w:id="34" w:name="_Toc227161509"/>
      <w:r>
        <w:rPr>
          <w:sz w:val="20"/>
          <w:szCs w:val="20"/>
          <w:lang w:val="ro-RO"/>
        </w:rPr>
        <w:t>2.2.6 Cerinţe privind lucrările de montaj al invelitorilor</w:t>
      </w:r>
      <w:bookmarkEnd w:id="34"/>
      <w:r>
        <w:rPr>
          <w:sz w:val="20"/>
          <w:szCs w:val="20"/>
          <w:lang w:val="ro-RO"/>
        </w:rPr>
        <w:t xml:space="preserve"> </w:t>
      </w:r>
    </w:p>
    <w:p>
      <w:pPr>
        <w:pStyle w:val="Heading4"/>
        <w:rPr>
          <w:sz w:val="20"/>
          <w:szCs w:val="20"/>
          <w:lang w:val="ro-RO"/>
        </w:rPr>
      </w:pPr>
      <w:r>
        <w:rPr>
          <w:sz w:val="20"/>
          <w:szCs w:val="20"/>
          <w:lang w:val="ro-RO"/>
        </w:rPr>
        <w:t>2.2.6.1 Conditii prealabile</w:t>
      </w:r>
    </w:p>
    <w:p>
      <w:pPr>
        <w:tabs>
          <w:tab w:val="left" w:pos="1356"/>
        </w:tabs>
        <w:rPr>
          <w:sz w:val="20"/>
          <w:szCs w:val="20"/>
          <w:lang w:val="ro-RO"/>
        </w:rPr>
      </w:pPr>
      <w:r>
        <w:rPr>
          <w:sz w:val="20"/>
          <w:szCs w:val="20"/>
          <w:lang w:val="ro-RO"/>
        </w:rPr>
        <w:t>Pentru executia lucrarilor sunt necesare urmatoarele;</w:t>
      </w:r>
    </w:p>
    <w:p>
      <w:pPr>
        <w:pStyle w:val="ListParagraph"/>
        <w:numPr>
          <w:ilvl w:val="0"/>
          <w:numId w:val="36"/>
        </w:numPr>
        <w:tabs>
          <w:tab w:val="left" w:pos="1356"/>
        </w:tabs>
        <w:rPr>
          <w:sz w:val="20"/>
          <w:szCs w:val="20"/>
          <w:lang w:val="ro-RO"/>
        </w:rPr>
      </w:pPr>
      <w:r>
        <w:rPr>
          <w:sz w:val="20"/>
          <w:szCs w:val="20"/>
          <w:lang w:val="ro-RO"/>
        </w:rPr>
        <w:t>asigurarea documentelor de executie;</w:t>
      </w:r>
    </w:p>
    <w:p>
      <w:pPr>
        <w:pStyle w:val="ListParagraph"/>
        <w:numPr>
          <w:ilvl w:val="0"/>
          <w:numId w:val="36"/>
        </w:numPr>
        <w:tabs>
          <w:tab w:val="left" w:pos="1356"/>
        </w:tabs>
        <w:rPr>
          <w:sz w:val="20"/>
          <w:szCs w:val="20"/>
          <w:lang w:val="ro-RO"/>
        </w:rPr>
      </w:pPr>
      <w:r>
        <w:rPr>
          <w:sz w:val="20"/>
          <w:szCs w:val="20"/>
          <w:lang w:val="ro-RO"/>
        </w:rPr>
        <w:t>verificarea calitatii materialelor puse in opera;</w:t>
      </w:r>
    </w:p>
    <w:p>
      <w:pPr>
        <w:pStyle w:val="ListParagraph"/>
        <w:numPr>
          <w:ilvl w:val="0"/>
          <w:numId w:val="36"/>
        </w:numPr>
        <w:tabs>
          <w:tab w:val="left" w:pos="1356"/>
        </w:tabs>
        <w:rPr>
          <w:sz w:val="20"/>
          <w:szCs w:val="20"/>
          <w:lang w:val="ro-RO"/>
        </w:rPr>
      </w:pPr>
      <w:r>
        <w:rPr>
          <w:sz w:val="20"/>
          <w:szCs w:val="20"/>
          <w:lang w:val="ro-RO"/>
        </w:rPr>
        <w:t>verificarea conditiilor speciale,</w:t>
      </w:r>
    </w:p>
    <w:p>
      <w:pPr>
        <w:pStyle w:val="ListParagraph"/>
        <w:numPr>
          <w:ilvl w:val="0"/>
          <w:numId w:val="36"/>
        </w:numPr>
        <w:tabs>
          <w:tab w:val="left" w:pos="1356"/>
        </w:tabs>
        <w:rPr>
          <w:sz w:val="20"/>
          <w:szCs w:val="20"/>
          <w:lang w:val="ro-RO"/>
        </w:rPr>
      </w:pPr>
      <w:r>
        <w:rPr>
          <w:sz w:val="20"/>
          <w:szCs w:val="20"/>
          <w:lang w:val="ro-RO"/>
        </w:rPr>
        <w:t>instruirea personalului in executarea lucrărilor</w:t>
      </w:r>
    </w:p>
    <w:p>
      <w:pPr>
        <w:pStyle w:val="ListParagraph"/>
        <w:numPr>
          <w:ilvl w:val="0"/>
          <w:numId w:val="36"/>
        </w:numPr>
        <w:tabs>
          <w:tab w:val="left" w:pos="1356"/>
        </w:tabs>
        <w:rPr>
          <w:sz w:val="20"/>
          <w:szCs w:val="20"/>
          <w:lang w:val="ro-RO"/>
        </w:rPr>
      </w:pPr>
      <w:r>
        <w:rPr>
          <w:sz w:val="20"/>
          <w:szCs w:val="20"/>
          <w:lang w:val="ro-RO"/>
        </w:rPr>
        <w:t>dotarea cu scule si dispozitive necesare realizarii lucrarii;</w:t>
      </w:r>
    </w:p>
    <w:p>
      <w:pPr>
        <w:pStyle w:val="ListParagraph"/>
        <w:numPr>
          <w:ilvl w:val="0"/>
          <w:numId w:val="36"/>
        </w:numPr>
        <w:tabs>
          <w:tab w:val="left" w:pos="1356"/>
        </w:tabs>
        <w:rPr>
          <w:sz w:val="20"/>
          <w:szCs w:val="20"/>
          <w:lang w:val="ro-RO"/>
        </w:rPr>
      </w:pPr>
      <w:r>
        <w:rPr>
          <w:sz w:val="20"/>
          <w:szCs w:val="20"/>
          <w:lang w:val="ro-RO"/>
        </w:rPr>
        <w:t>racorduri de energie, apa si alte utilitati</w:t>
      </w:r>
    </w:p>
    <w:p>
      <w:pPr>
        <w:pStyle w:val="ListParagraph"/>
        <w:numPr>
          <w:ilvl w:val="0"/>
          <w:numId w:val="36"/>
        </w:numPr>
        <w:tabs>
          <w:tab w:val="left" w:pos="1356"/>
        </w:tabs>
        <w:rPr>
          <w:sz w:val="20"/>
          <w:szCs w:val="20"/>
          <w:lang w:val="ro-RO"/>
        </w:rPr>
      </w:pPr>
      <w:r>
        <w:rPr>
          <w:sz w:val="20"/>
          <w:szCs w:val="20"/>
          <w:lang w:val="ro-RO"/>
        </w:rPr>
        <w:t>trasarea lucrarilor;</w:t>
      </w:r>
    </w:p>
    <w:p>
      <w:pPr>
        <w:tabs>
          <w:tab w:val="left" w:pos="1356"/>
        </w:tabs>
        <w:rPr>
          <w:sz w:val="20"/>
          <w:szCs w:val="20"/>
          <w:lang w:val="ro-RO"/>
        </w:rPr>
      </w:pPr>
      <w:r>
        <w:rPr>
          <w:sz w:val="20"/>
          <w:szCs w:val="20"/>
          <w:lang w:val="ro-RO"/>
        </w:rPr>
        <w:t>Împreuna cu Reprezentantul Beneficiarului se vor stabili, in faza de proiectare, culorile pentru inchideri si invelitori.</w:t>
      </w:r>
    </w:p>
    <w:p>
      <w:pPr>
        <w:tabs>
          <w:tab w:val="left" w:pos="1356"/>
        </w:tabs>
        <w:rPr>
          <w:sz w:val="20"/>
          <w:szCs w:val="20"/>
          <w:lang w:val="ro-RO"/>
        </w:rPr>
      </w:pPr>
      <w:r>
        <w:rPr>
          <w:sz w:val="20"/>
          <w:szCs w:val="20"/>
          <w:lang w:val="ro-RO"/>
        </w:rPr>
        <w:t>Pentru montajul panourilor termoizolante si al panourilor de tabla cutata se vor folosi ca organe de asamblare piulite si suruburi autoforante, zincate, prevazute cu capac de protectie din PVC.</w:t>
      </w:r>
    </w:p>
    <w:p>
      <w:pPr>
        <w:pStyle w:val="Heading4"/>
        <w:rPr>
          <w:sz w:val="20"/>
          <w:szCs w:val="20"/>
          <w:lang w:val="ro-RO"/>
        </w:rPr>
      </w:pPr>
      <w:r>
        <w:rPr>
          <w:sz w:val="20"/>
          <w:szCs w:val="20"/>
          <w:lang w:val="ro-RO"/>
        </w:rPr>
        <w:t>2.2.6.2   Descrierea procedeului</w:t>
      </w:r>
    </w:p>
    <w:p>
      <w:pPr>
        <w:tabs>
          <w:tab w:val="left" w:pos="1356"/>
        </w:tabs>
        <w:rPr>
          <w:sz w:val="20"/>
          <w:szCs w:val="20"/>
          <w:lang w:val="ro-RO"/>
        </w:rPr>
      </w:pPr>
      <w:r>
        <w:rPr>
          <w:sz w:val="20"/>
          <w:szCs w:val="20"/>
          <w:lang w:val="ro-RO"/>
        </w:rPr>
        <w:t>Invelitorile de diferite tipuri (tigle si olane, materiale lemnoase, placi plane din azbociment, foi din tabla plana si tabla ondulata sau cutata, foi de carton bitumat, panouri tip "Rompan" se utilizeaza pentru constructii de locuinte, social-culturale si constructii agrozootehnice, constructii provizorii, constructii monumentale. Alegerea tipului de invelitoare este in functie de specificul local, turistic, climatic si in functie de posibilitatile de aprovizionare apropiate sau din sursele locale.</w:t>
      </w:r>
    </w:p>
    <w:p>
      <w:pPr>
        <w:tabs>
          <w:tab w:val="left" w:pos="1356"/>
        </w:tabs>
        <w:rPr>
          <w:sz w:val="20"/>
          <w:szCs w:val="20"/>
          <w:lang w:val="ro-RO"/>
        </w:rPr>
      </w:pPr>
      <w:r>
        <w:rPr>
          <w:sz w:val="20"/>
          <w:szCs w:val="20"/>
          <w:lang w:val="ro-RO"/>
        </w:rPr>
        <w:t>Stabilirea grosimii de termoizolatie va fi rezultatul calculelor de transfer termic efectuate in baza conditiilor climatice, a conditiilor de temperatura interioara la care se produce condens, de activitatile desfasurate la interior. In cazul termoizolatiei de tip termosistem se va lua in considerare şi coeficientul termic al caramizilor din care este alcatuit peretele exterior.</w:t>
      </w:r>
    </w:p>
    <w:p>
      <w:pPr>
        <w:tabs>
          <w:tab w:val="left" w:pos="1356"/>
        </w:tabs>
        <w:rPr>
          <w:sz w:val="20"/>
          <w:szCs w:val="20"/>
          <w:lang w:val="ro-RO"/>
        </w:rPr>
      </w:pPr>
      <w:r>
        <w:rPr>
          <w:sz w:val="20"/>
          <w:szCs w:val="20"/>
          <w:lang w:val="ro-RO"/>
        </w:rPr>
        <w:t>Grosimea tablei care alcatuieste panourile se va stabili in functie de rezistenta la incovoiere rezultata in urma incercarilor, declarata de producator, ca si de zona de vant.</w:t>
      </w:r>
    </w:p>
    <w:p>
      <w:pPr>
        <w:tabs>
          <w:tab w:val="left" w:pos="1356"/>
        </w:tabs>
        <w:rPr>
          <w:sz w:val="20"/>
          <w:szCs w:val="20"/>
          <w:lang w:val="ro-RO"/>
        </w:rPr>
      </w:pPr>
      <w:r>
        <w:rPr>
          <w:sz w:val="20"/>
          <w:szCs w:val="20"/>
          <w:lang w:val="ro-RO"/>
        </w:rPr>
        <w:t>Asamblarea panourilor de tabla pe orizontala se va face tinand cont suprafetele de suprapunere specificate de producator.</w:t>
      </w:r>
    </w:p>
    <w:p>
      <w:pPr>
        <w:tabs>
          <w:tab w:val="left" w:pos="1356"/>
        </w:tabs>
        <w:rPr>
          <w:sz w:val="20"/>
          <w:szCs w:val="20"/>
          <w:lang w:val="ro-RO"/>
        </w:rPr>
      </w:pPr>
      <w:r>
        <w:rPr>
          <w:sz w:val="20"/>
          <w:szCs w:val="20"/>
          <w:lang w:val="ro-RO"/>
        </w:rPr>
        <w:t>Asamblarea panourilor de tabla pe verticala va tine cont de specificatiile producatorului in ceea ce priveste schema statica de montaj si distantele de suprapunere.</w:t>
      </w:r>
    </w:p>
    <w:p>
      <w:pPr>
        <w:tabs>
          <w:tab w:val="left" w:pos="1356"/>
        </w:tabs>
        <w:rPr>
          <w:sz w:val="20"/>
          <w:szCs w:val="20"/>
          <w:lang w:val="ro-RO"/>
        </w:rPr>
      </w:pPr>
      <w:r>
        <w:rPr>
          <w:sz w:val="20"/>
          <w:szCs w:val="20"/>
          <w:lang w:val="ro-RO"/>
        </w:rPr>
        <w:lastRenderedPageBreak/>
        <w:t>Se va respecta numarul minim de suruburi autoforante indicat de producator si de proiectant.</w:t>
      </w:r>
    </w:p>
    <w:p>
      <w:pPr>
        <w:pStyle w:val="ListParagraph"/>
        <w:numPr>
          <w:ilvl w:val="0"/>
          <w:numId w:val="41"/>
        </w:numPr>
        <w:tabs>
          <w:tab w:val="left" w:pos="1356"/>
        </w:tabs>
        <w:rPr>
          <w:b/>
          <w:sz w:val="20"/>
          <w:szCs w:val="20"/>
          <w:lang w:val="ro-RO"/>
        </w:rPr>
      </w:pPr>
      <w:r>
        <w:rPr>
          <w:b/>
          <w:sz w:val="20"/>
          <w:szCs w:val="20"/>
          <w:lang w:val="ro-RO"/>
        </w:rPr>
        <w:t>Manipulare, transport si depozitare</w:t>
      </w:r>
    </w:p>
    <w:p>
      <w:pPr>
        <w:tabs>
          <w:tab w:val="left" w:pos="1356"/>
        </w:tabs>
        <w:rPr>
          <w:sz w:val="20"/>
          <w:szCs w:val="20"/>
          <w:lang w:val="ro-RO"/>
        </w:rPr>
      </w:pPr>
      <w:r>
        <w:rPr>
          <w:sz w:val="20"/>
          <w:szCs w:val="20"/>
          <w:lang w:val="ro-RO"/>
        </w:rPr>
        <w:t>Elementele din invelitoare se livreaza in pachete paletizate protejate cu o folie protectoare impermeabila.</w:t>
      </w:r>
    </w:p>
    <w:p>
      <w:pPr>
        <w:tabs>
          <w:tab w:val="left" w:pos="1356"/>
        </w:tabs>
        <w:rPr>
          <w:sz w:val="20"/>
          <w:szCs w:val="20"/>
          <w:lang w:val="ro-RO"/>
        </w:rPr>
      </w:pPr>
      <w:r>
        <w:rPr>
          <w:sz w:val="20"/>
          <w:szCs w:val="20"/>
          <w:lang w:val="ro-RO"/>
        </w:rPr>
        <w:t>Manipularea materialelor se face cu macarale echipate cu dispozitive speciale. Se interzice bascularea sau aruncarea elementelor din tigle si olane, placi plane din azbociment, foi din tabla plana si tabla ondulata sau cutata, foi de carton bitumat, panouri termoizolatoare.</w:t>
      </w:r>
    </w:p>
    <w:p>
      <w:pPr>
        <w:tabs>
          <w:tab w:val="left" w:pos="1356"/>
        </w:tabs>
        <w:rPr>
          <w:sz w:val="20"/>
          <w:szCs w:val="20"/>
          <w:lang w:val="ro-RO"/>
        </w:rPr>
      </w:pPr>
      <w:r>
        <w:rPr>
          <w:sz w:val="20"/>
          <w:szCs w:val="20"/>
          <w:lang w:val="ro-RO"/>
        </w:rPr>
        <w:t>Diversele operatii necesare pentru realizarea invelitorilor (manipulare, prelucrare, montare, finisare etc.) se executa cu scule si dispozitive speciale indicate in proiectul tehnologic, in functie de operatia efectuata.</w:t>
      </w:r>
    </w:p>
    <w:p>
      <w:pPr>
        <w:tabs>
          <w:tab w:val="left" w:pos="1356"/>
        </w:tabs>
        <w:rPr>
          <w:sz w:val="20"/>
          <w:szCs w:val="20"/>
          <w:lang w:val="ro-RO"/>
        </w:rPr>
      </w:pPr>
      <w:r>
        <w:rPr>
          <w:sz w:val="20"/>
          <w:szCs w:val="20"/>
          <w:lang w:val="ro-RO"/>
        </w:rPr>
        <w:t>Depozitarea se va face in apropierea locului de montaj, in locuri uscate, ferite de acumularea apelor meteorice, plate, pe reazeme din materiale rigide.</w:t>
      </w:r>
    </w:p>
    <w:p>
      <w:pPr>
        <w:tabs>
          <w:tab w:val="left" w:pos="1356"/>
        </w:tabs>
        <w:rPr>
          <w:sz w:val="20"/>
          <w:szCs w:val="20"/>
          <w:lang w:val="ro-RO"/>
        </w:rPr>
      </w:pPr>
      <w:r>
        <w:rPr>
          <w:sz w:val="20"/>
          <w:szCs w:val="20"/>
          <w:lang w:val="ro-RO"/>
        </w:rPr>
        <w:t>La depozitare se interzice indepartarea materialului protector al pachetelor, depozitarea elementelor pe inaltimi mai mari de 2,40 m si suprapunerea pachetelor paletizate.</w:t>
      </w:r>
    </w:p>
    <w:p>
      <w:pPr>
        <w:tabs>
          <w:tab w:val="left" w:pos="1356"/>
        </w:tabs>
        <w:rPr>
          <w:sz w:val="20"/>
          <w:szCs w:val="20"/>
          <w:lang w:val="ro-RO"/>
        </w:rPr>
      </w:pPr>
      <w:r>
        <w:rPr>
          <w:sz w:val="20"/>
          <w:szCs w:val="20"/>
          <w:lang w:val="ro-RO"/>
        </w:rPr>
        <w:t>Personalul de executie trebuie instruit pentru cunoasterea particularitatilor materialului, a dispozitivelor de lucru, a materialelor auxiliare si a conditiilor specifice lucrarilor respective.</w:t>
      </w:r>
    </w:p>
    <w:p>
      <w:pPr>
        <w:tabs>
          <w:tab w:val="left" w:pos="1356"/>
        </w:tabs>
        <w:rPr>
          <w:sz w:val="20"/>
          <w:szCs w:val="20"/>
          <w:lang w:val="ro-RO"/>
        </w:rPr>
      </w:pPr>
      <w:r>
        <w:rPr>
          <w:sz w:val="20"/>
          <w:szCs w:val="20"/>
          <w:lang w:val="ro-RO"/>
        </w:rPr>
        <w:t>Se va verifica, prin sondaj, calitatea elementelor in ceea ce priveste aspectul, dimensiunile si capacitatea portanta, certificatele de calitate si marcarea pachetelor.</w:t>
      </w:r>
    </w:p>
    <w:p>
      <w:pPr>
        <w:tabs>
          <w:tab w:val="left" w:pos="1356"/>
        </w:tabs>
        <w:rPr>
          <w:sz w:val="20"/>
          <w:szCs w:val="20"/>
          <w:lang w:val="ro-RO"/>
        </w:rPr>
      </w:pPr>
      <w:r>
        <w:rPr>
          <w:sz w:val="20"/>
          <w:szCs w:val="20"/>
          <w:lang w:val="ro-RO"/>
        </w:rPr>
        <w:t>Invelitorile se vor executa in conformitate cu proiectul tehnic, care va contine toate detaliile, piesele de prindere, imbinare elementelor.</w:t>
      </w:r>
    </w:p>
    <w:p>
      <w:pPr>
        <w:tabs>
          <w:tab w:val="left" w:pos="1356"/>
        </w:tabs>
        <w:rPr>
          <w:sz w:val="20"/>
          <w:szCs w:val="20"/>
          <w:lang w:val="ro-RO"/>
        </w:rPr>
      </w:pPr>
      <w:r>
        <w:rPr>
          <w:sz w:val="20"/>
          <w:szCs w:val="20"/>
          <w:lang w:val="ro-RO"/>
        </w:rPr>
        <w:t>Inainte de inceperea lucrarilor pentru executarea invelitorilor se va verifica:</w:t>
      </w:r>
    </w:p>
    <w:p>
      <w:pPr>
        <w:pStyle w:val="ListParagraph"/>
        <w:numPr>
          <w:ilvl w:val="0"/>
          <w:numId w:val="36"/>
        </w:numPr>
        <w:tabs>
          <w:tab w:val="left" w:pos="1356"/>
        </w:tabs>
        <w:rPr>
          <w:sz w:val="20"/>
          <w:szCs w:val="20"/>
          <w:lang w:val="ro-RO"/>
        </w:rPr>
      </w:pPr>
      <w:r>
        <w:rPr>
          <w:sz w:val="20"/>
          <w:szCs w:val="20"/>
          <w:lang w:val="ro-RO"/>
        </w:rPr>
        <w:t>Stratul suport (pane si rigle de perete, respectiv lati si contralati) va fi riguros controlat in ceea ce priveste: respectarea pantelor, scurgerilor, planeitatii si a aliniamentului fermelor, panelor si capriorilor in conformitate cu proiectul tehnic;</w:t>
      </w:r>
    </w:p>
    <w:p>
      <w:pPr>
        <w:pStyle w:val="ListParagraph"/>
        <w:numPr>
          <w:ilvl w:val="0"/>
          <w:numId w:val="36"/>
        </w:numPr>
        <w:tabs>
          <w:tab w:val="left" w:pos="1356"/>
        </w:tabs>
        <w:rPr>
          <w:sz w:val="20"/>
          <w:szCs w:val="20"/>
          <w:lang w:val="ro-RO"/>
        </w:rPr>
      </w:pPr>
      <w:r>
        <w:rPr>
          <w:sz w:val="20"/>
          <w:szCs w:val="20"/>
          <w:lang w:val="ro-RO"/>
        </w:rPr>
        <w:t>Executarea prealabila a tuturor strapungerilor pentru cosuri, ventilatii, conducte, cable;</w:t>
      </w:r>
    </w:p>
    <w:p>
      <w:pPr>
        <w:pStyle w:val="ListParagraph"/>
        <w:numPr>
          <w:ilvl w:val="0"/>
          <w:numId w:val="36"/>
        </w:numPr>
        <w:tabs>
          <w:tab w:val="left" w:pos="1356"/>
        </w:tabs>
        <w:rPr>
          <w:sz w:val="20"/>
          <w:szCs w:val="20"/>
          <w:lang w:val="ro-RO"/>
        </w:rPr>
      </w:pPr>
      <w:r>
        <w:rPr>
          <w:sz w:val="20"/>
          <w:szCs w:val="20"/>
          <w:lang w:val="ro-RO"/>
        </w:rPr>
        <w:t>Realizarea unor distante de minimum 100mm intre cosurile de fum si partile lemnoase sau combustibile ale suportului;</w:t>
      </w:r>
    </w:p>
    <w:p>
      <w:pPr>
        <w:pStyle w:val="ListParagraph"/>
        <w:numPr>
          <w:ilvl w:val="0"/>
          <w:numId w:val="36"/>
        </w:numPr>
        <w:tabs>
          <w:tab w:val="left" w:pos="1356"/>
        </w:tabs>
        <w:rPr>
          <w:sz w:val="20"/>
          <w:szCs w:val="20"/>
          <w:lang w:val="ro-RO"/>
        </w:rPr>
      </w:pPr>
      <w:r>
        <w:rPr>
          <w:sz w:val="20"/>
          <w:szCs w:val="20"/>
          <w:lang w:val="ro-RO"/>
        </w:rPr>
        <w:t>Asigurarea scurgerii apei in cazul cosurilor luminatoarelor, sau alte obstacole transversale mai late de 500mm, prin realizarea in amonte de sei in doua ape, de minimum 150mm inaltime fata de planul invelitorii;</w:t>
      </w:r>
    </w:p>
    <w:p>
      <w:pPr>
        <w:pStyle w:val="ListParagraph"/>
        <w:numPr>
          <w:ilvl w:val="0"/>
          <w:numId w:val="36"/>
        </w:numPr>
        <w:tabs>
          <w:tab w:val="left" w:pos="1356"/>
        </w:tabs>
        <w:rPr>
          <w:sz w:val="20"/>
          <w:szCs w:val="20"/>
          <w:lang w:val="ro-RO"/>
        </w:rPr>
      </w:pPr>
      <w:r>
        <w:rPr>
          <w:sz w:val="20"/>
          <w:szCs w:val="20"/>
          <w:lang w:val="ro-RO"/>
        </w:rPr>
        <w:t>Protectia anticoroziva prevazuta in proiectul tehnic.</w:t>
      </w:r>
    </w:p>
    <w:p>
      <w:pPr>
        <w:tabs>
          <w:tab w:val="left" w:pos="1356"/>
        </w:tabs>
        <w:rPr>
          <w:sz w:val="20"/>
          <w:szCs w:val="20"/>
          <w:lang w:val="ro-RO"/>
        </w:rPr>
      </w:pPr>
      <w:r>
        <w:rPr>
          <w:sz w:val="20"/>
          <w:szCs w:val="20"/>
          <w:lang w:val="ro-RO"/>
        </w:rPr>
        <w:t>La executarea invelitorilor de toate tipurile se va tine cont de existenta si corectitudinea lucrarilor de tinichigerie aferente invelitorii, in conformitate cu proiectul tehnic si masuratorile din teren pentru: sorturi, dolii, pazii, imbracamintea cosurilor si strapungeri pentru ventilatii, jgheaburi, burlane.</w:t>
      </w:r>
    </w:p>
    <w:p>
      <w:pPr>
        <w:tabs>
          <w:tab w:val="left" w:pos="1356"/>
        </w:tabs>
        <w:rPr>
          <w:sz w:val="20"/>
          <w:szCs w:val="20"/>
          <w:lang w:val="ro-RO"/>
        </w:rPr>
      </w:pPr>
      <w:r>
        <w:rPr>
          <w:sz w:val="20"/>
          <w:szCs w:val="20"/>
          <w:lang w:val="ro-RO"/>
        </w:rPr>
        <w:t>Dupa finalizarea montajului se vor indeparta urechile de montaj, mustati, resturi de materiale, molozului etc. de pe fata stratului suport.</w:t>
      </w:r>
    </w:p>
    <w:p>
      <w:pPr>
        <w:tabs>
          <w:tab w:val="left" w:pos="1356"/>
        </w:tabs>
        <w:rPr>
          <w:sz w:val="20"/>
          <w:szCs w:val="20"/>
          <w:lang w:val="ro-RO"/>
        </w:rPr>
      </w:pPr>
      <w:r>
        <w:rPr>
          <w:sz w:val="20"/>
          <w:szCs w:val="20"/>
          <w:lang w:val="ro-RO"/>
        </w:rPr>
        <w:t>Este interzisa utilizarea sculelor de debitare, frezare, aschiere a metalului prin a caror functionare se produc scantei, in apropierea suprafetelor metalice protejate anticoroziv. In vederea efectuarii acestor activitati, se vor construi spatii special amenajate, care vor fi inchise pe trei laturi si acoperite, sau vor fi amplasate la distanta suficient de mare, astfel incat spanul sa nu fie suflat de vant pe suprafetele metalice finisate.</w:t>
      </w:r>
    </w:p>
    <w:p>
      <w:pPr>
        <w:pStyle w:val="ListParagraph"/>
        <w:numPr>
          <w:ilvl w:val="0"/>
          <w:numId w:val="41"/>
        </w:numPr>
        <w:tabs>
          <w:tab w:val="left" w:pos="1356"/>
        </w:tabs>
        <w:rPr>
          <w:b/>
          <w:sz w:val="20"/>
          <w:szCs w:val="20"/>
          <w:lang w:val="ro-RO"/>
        </w:rPr>
      </w:pPr>
      <w:r>
        <w:rPr>
          <w:b/>
          <w:sz w:val="20"/>
          <w:szCs w:val="20"/>
          <w:lang w:val="ro-RO"/>
        </w:rPr>
        <w:t>Controlul calitatii si receptia lucrarilor</w:t>
      </w:r>
    </w:p>
    <w:p>
      <w:pPr>
        <w:tabs>
          <w:tab w:val="left" w:pos="1356"/>
        </w:tabs>
        <w:rPr>
          <w:sz w:val="20"/>
          <w:szCs w:val="20"/>
          <w:lang w:val="ro-RO"/>
        </w:rPr>
      </w:pPr>
      <w:r>
        <w:rPr>
          <w:sz w:val="20"/>
          <w:szCs w:val="20"/>
          <w:lang w:val="ro-RO"/>
        </w:rPr>
        <w:t>Receptia se efecteaza pe intreaga constructie sau parti de constructie (tronson scara) . La receptie se va verifica urmatoarele:</w:t>
      </w:r>
    </w:p>
    <w:p>
      <w:pPr>
        <w:pStyle w:val="ListParagraph"/>
        <w:numPr>
          <w:ilvl w:val="0"/>
          <w:numId w:val="36"/>
        </w:numPr>
        <w:tabs>
          <w:tab w:val="left" w:pos="1356"/>
        </w:tabs>
        <w:rPr>
          <w:sz w:val="20"/>
          <w:szCs w:val="20"/>
          <w:lang w:val="ro-RO"/>
        </w:rPr>
      </w:pPr>
      <w:r>
        <w:rPr>
          <w:sz w:val="20"/>
          <w:szCs w:val="20"/>
          <w:lang w:val="ro-RO"/>
        </w:rPr>
        <w:t>existenta si continutul proceselor verbale de receptie calitativa a suportului invelitorii;</w:t>
      </w:r>
    </w:p>
    <w:p>
      <w:pPr>
        <w:pStyle w:val="ListParagraph"/>
        <w:numPr>
          <w:ilvl w:val="0"/>
          <w:numId w:val="36"/>
        </w:numPr>
        <w:tabs>
          <w:tab w:val="left" w:pos="1356"/>
        </w:tabs>
        <w:rPr>
          <w:sz w:val="20"/>
          <w:szCs w:val="20"/>
          <w:lang w:val="ro-RO"/>
        </w:rPr>
      </w:pPr>
      <w:r>
        <w:rPr>
          <w:sz w:val="20"/>
          <w:szCs w:val="20"/>
          <w:lang w:val="ro-RO"/>
        </w:rPr>
        <w:t>existenta si continutul certificatelor de calitate a materialelor;</w:t>
      </w:r>
    </w:p>
    <w:p>
      <w:pPr>
        <w:pStyle w:val="ListParagraph"/>
        <w:numPr>
          <w:ilvl w:val="0"/>
          <w:numId w:val="36"/>
        </w:numPr>
        <w:tabs>
          <w:tab w:val="left" w:pos="1356"/>
        </w:tabs>
        <w:rPr>
          <w:sz w:val="20"/>
          <w:szCs w:val="20"/>
          <w:lang w:val="ro-RO"/>
        </w:rPr>
      </w:pPr>
      <w:r>
        <w:rPr>
          <w:sz w:val="20"/>
          <w:szCs w:val="20"/>
          <w:lang w:val="ro-RO"/>
        </w:rPr>
        <w:t>confirmarea prin procese verbale a executarii corecte a masurilor de remediere prevazute;</w:t>
      </w:r>
    </w:p>
    <w:p>
      <w:pPr>
        <w:pStyle w:val="ListParagraph"/>
        <w:numPr>
          <w:ilvl w:val="0"/>
          <w:numId w:val="36"/>
        </w:numPr>
        <w:tabs>
          <w:tab w:val="left" w:pos="1356"/>
        </w:tabs>
        <w:rPr>
          <w:sz w:val="20"/>
          <w:szCs w:val="20"/>
          <w:lang w:val="ro-RO"/>
        </w:rPr>
      </w:pPr>
      <w:r>
        <w:rPr>
          <w:sz w:val="20"/>
          <w:szCs w:val="20"/>
          <w:lang w:val="ro-RO"/>
        </w:rPr>
        <w:t>dimensiunile de ansamblu si cotele de nivel;</w:t>
      </w:r>
    </w:p>
    <w:p>
      <w:pPr>
        <w:pStyle w:val="ListParagraph"/>
        <w:numPr>
          <w:ilvl w:val="0"/>
          <w:numId w:val="36"/>
        </w:numPr>
        <w:tabs>
          <w:tab w:val="left" w:pos="1356"/>
        </w:tabs>
        <w:rPr>
          <w:sz w:val="20"/>
          <w:szCs w:val="20"/>
          <w:lang w:val="ro-RO"/>
        </w:rPr>
      </w:pPr>
      <w:r>
        <w:rPr>
          <w:sz w:val="20"/>
          <w:szCs w:val="20"/>
          <w:lang w:val="ro-RO"/>
        </w:rPr>
        <w:lastRenderedPageBreak/>
        <w:t>dimensiunile diferitelor elemente conforme cu proiectul tehnic ;</w:t>
      </w:r>
    </w:p>
    <w:p>
      <w:pPr>
        <w:pStyle w:val="ListParagraph"/>
        <w:numPr>
          <w:ilvl w:val="0"/>
          <w:numId w:val="36"/>
        </w:numPr>
        <w:tabs>
          <w:tab w:val="left" w:pos="1356"/>
        </w:tabs>
        <w:rPr>
          <w:sz w:val="20"/>
          <w:szCs w:val="20"/>
          <w:lang w:val="ro-RO"/>
        </w:rPr>
      </w:pPr>
      <w:r>
        <w:rPr>
          <w:sz w:val="20"/>
          <w:szCs w:val="20"/>
          <w:lang w:val="ro-RO"/>
        </w:rPr>
        <w:t>respectarea conditiilor tehnice speciale impuse prin proiect, privind materialele utilizate şi corectitudinea executiei.</w:t>
      </w:r>
    </w:p>
    <w:p>
      <w:pPr>
        <w:tabs>
          <w:tab w:val="left" w:pos="1356"/>
        </w:tabs>
        <w:rPr>
          <w:sz w:val="20"/>
          <w:szCs w:val="20"/>
          <w:lang w:val="ro-RO"/>
        </w:rPr>
      </w:pPr>
      <w:r>
        <w:rPr>
          <w:sz w:val="20"/>
          <w:szCs w:val="20"/>
          <w:lang w:val="ro-RO"/>
        </w:rPr>
        <w:t>Acoperirea elementelor structurii cu alte lucrari (protectii, finisaje) este interzisa.</w:t>
      </w:r>
    </w:p>
    <w:p>
      <w:pPr>
        <w:pStyle w:val="Heading3"/>
        <w:rPr>
          <w:sz w:val="20"/>
          <w:szCs w:val="20"/>
          <w:lang w:val="ro-RO"/>
        </w:rPr>
      </w:pPr>
      <w:bookmarkStart w:id="35" w:name="_Toc227161510"/>
      <w:r>
        <w:rPr>
          <w:sz w:val="20"/>
          <w:szCs w:val="20"/>
          <w:lang w:val="ro-RO"/>
        </w:rPr>
        <w:t>2.2.7 Cerinte privind lucrarile de drumuri si platforme din beton</w:t>
      </w:r>
      <w:bookmarkEnd w:id="35"/>
      <w:r>
        <w:rPr>
          <w:sz w:val="20"/>
          <w:szCs w:val="20"/>
          <w:lang w:val="ro-RO"/>
        </w:rPr>
        <w:t xml:space="preserve"> </w:t>
      </w:r>
    </w:p>
    <w:p>
      <w:pPr>
        <w:pStyle w:val="Heading4"/>
        <w:rPr>
          <w:sz w:val="20"/>
          <w:szCs w:val="20"/>
          <w:lang w:val="ro-RO"/>
        </w:rPr>
      </w:pPr>
      <w:r>
        <w:rPr>
          <w:sz w:val="20"/>
          <w:szCs w:val="20"/>
          <w:lang w:val="ro-RO"/>
        </w:rPr>
        <w:t>2.2.7.1 Conditii prealabile</w:t>
      </w:r>
    </w:p>
    <w:p>
      <w:pPr>
        <w:pStyle w:val="ListParagraph"/>
        <w:numPr>
          <w:ilvl w:val="0"/>
          <w:numId w:val="36"/>
        </w:numPr>
        <w:tabs>
          <w:tab w:val="left" w:pos="1356"/>
        </w:tabs>
        <w:rPr>
          <w:sz w:val="20"/>
          <w:szCs w:val="20"/>
          <w:lang w:val="ro-RO"/>
        </w:rPr>
      </w:pPr>
      <w:r>
        <w:rPr>
          <w:sz w:val="20"/>
          <w:szCs w:val="20"/>
          <w:lang w:val="ro-RO"/>
        </w:rPr>
        <w:t>Asigurarea pe santier a documentatiei de executie aferente lucrarilor, precum si a prezentei proceduri;</w:t>
      </w:r>
    </w:p>
    <w:p>
      <w:pPr>
        <w:pStyle w:val="ListParagraph"/>
        <w:numPr>
          <w:ilvl w:val="0"/>
          <w:numId w:val="36"/>
        </w:numPr>
        <w:tabs>
          <w:tab w:val="left" w:pos="1356"/>
        </w:tabs>
        <w:rPr>
          <w:sz w:val="20"/>
          <w:szCs w:val="20"/>
          <w:lang w:val="ro-RO"/>
        </w:rPr>
      </w:pPr>
      <w:r>
        <w:rPr>
          <w:sz w:val="20"/>
          <w:szCs w:val="20"/>
          <w:lang w:val="ro-RO"/>
        </w:rPr>
        <w:t>Instruirea personalului care concura la realizarea lucrarilor, in scopul insusirii proiectelor de executie, a caietelor de sarcini, normativelor si procedurilor care se refera la faza respectiva de lucru;</w:t>
      </w:r>
    </w:p>
    <w:p>
      <w:pPr>
        <w:pStyle w:val="ListParagraph"/>
        <w:numPr>
          <w:ilvl w:val="0"/>
          <w:numId w:val="36"/>
        </w:numPr>
        <w:tabs>
          <w:tab w:val="left" w:pos="1356"/>
        </w:tabs>
        <w:rPr>
          <w:sz w:val="20"/>
          <w:szCs w:val="20"/>
          <w:lang w:val="ro-RO"/>
        </w:rPr>
      </w:pPr>
      <w:r>
        <w:rPr>
          <w:sz w:val="20"/>
          <w:szCs w:val="20"/>
          <w:lang w:val="ro-RO"/>
        </w:rPr>
        <w:t>Asigurarea pe santier a materialelor, receptionate si depozitate conform normativelor si standardelor in vigoare;</w:t>
      </w:r>
    </w:p>
    <w:p>
      <w:pPr>
        <w:pStyle w:val="ListParagraph"/>
        <w:numPr>
          <w:ilvl w:val="0"/>
          <w:numId w:val="36"/>
        </w:numPr>
        <w:tabs>
          <w:tab w:val="left" w:pos="1356"/>
        </w:tabs>
        <w:rPr>
          <w:sz w:val="20"/>
          <w:szCs w:val="20"/>
          <w:lang w:val="ro-RO"/>
        </w:rPr>
      </w:pPr>
      <w:r>
        <w:rPr>
          <w:sz w:val="20"/>
          <w:szCs w:val="20"/>
          <w:lang w:val="ro-RO"/>
        </w:rPr>
        <w:t>Dotarea formaţiei de lucru cu scule, dispozitive si aparate de masura sau control;</w:t>
      </w:r>
    </w:p>
    <w:p>
      <w:pPr>
        <w:pStyle w:val="ListParagraph"/>
        <w:numPr>
          <w:ilvl w:val="0"/>
          <w:numId w:val="36"/>
        </w:numPr>
        <w:tabs>
          <w:tab w:val="left" w:pos="1356"/>
        </w:tabs>
        <w:rPr>
          <w:sz w:val="20"/>
          <w:szCs w:val="20"/>
          <w:lang w:val="ro-RO"/>
        </w:rPr>
      </w:pPr>
      <w:r>
        <w:rPr>
          <w:sz w:val="20"/>
          <w:szCs w:val="20"/>
          <w:lang w:val="ro-RO"/>
        </w:rPr>
        <w:t>Verificarea condiţiilor legate de lucrarile executate anterior;</w:t>
      </w:r>
    </w:p>
    <w:p>
      <w:pPr>
        <w:pStyle w:val="ListParagraph"/>
        <w:numPr>
          <w:ilvl w:val="0"/>
          <w:numId w:val="36"/>
        </w:numPr>
        <w:tabs>
          <w:tab w:val="left" w:pos="1356"/>
        </w:tabs>
        <w:rPr>
          <w:sz w:val="20"/>
          <w:szCs w:val="20"/>
          <w:lang w:val="ro-RO"/>
        </w:rPr>
      </w:pPr>
      <w:r>
        <w:rPr>
          <w:sz w:val="20"/>
          <w:szCs w:val="20"/>
          <w:lang w:val="ro-RO"/>
        </w:rPr>
        <w:t>Materializarea axelor si a cotelor de nivel;</w:t>
      </w:r>
    </w:p>
    <w:p>
      <w:pPr>
        <w:pStyle w:val="ListParagraph"/>
        <w:numPr>
          <w:ilvl w:val="0"/>
          <w:numId w:val="36"/>
        </w:numPr>
        <w:tabs>
          <w:tab w:val="left" w:pos="1356"/>
        </w:tabs>
        <w:rPr>
          <w:sz w:val="20"/>
          <w:szCs w:val="20"/>
          <w:lang w:val="ro-RO"/>
        </w:rPr>
      </w:pPr>
      <w:r>
        <w:rPr>
          <w:sz w:val="20"/>
          <w:szCs w:val="20"/>
          <w:lang w:val="ro-RO"/>
        </w:rPr>
        <w:t xml:space="preserve">Asigurarea utilitatilor. </w:t>
      </w:r>
    </w:p>
    <w:p>
      <w:pPr>
        <w:pStyle w:val="ListParagraph"/>
        <w:tabs>
          <w:tab w:val="left" w:pos="1356"/>
        </w:tabs>
        <w:rPr>
          <w:sz w:val="20"/>
          <w:szCs w:val="20"/>
          <w:lang w:val="ro-RO"/>
        </w:rPr>
      </w:pPr>
    </w:p>
    <w:p>
      <w:pPr>
        <w:pStyle w:val="ListParagraph"/>
        <w:numPr>
          <w:ilvl w:val="0"/>
          <w:numId w:val="41"/>
        </w:numPr>
        <w:tabs>
          <w:tab w:val="left" w:pos="1356"/>
        </w:tabs>
        <w:rPr>
          <w:b/>
          <w:sz w:val="20"/>
          <w:szCs w:val="20"/>
          <w:lang w:val="ro-RO"/>
        </w:rPr>
      </w:pPr>
      <w:r>
        <w:rPr>
          <w:b/>
          <w:sz w:val="20"/>
          <w:szCs w:val="20"/>
          <w:lang w:val="ro-RO"/>
        </w:rPr>
        <w:t>Masuri preventive</w:t>
      </w:r>
    </w:p>
    <w:p>
      <w:pPr>
        <w:pStyle w:val="ListParagraph"/>
        <w:numPr>
          <w:ilvl w:val="0"/>
          <w:numId w:val="36"/>
        </w:numPr>
        <w:tabs>
          <w:tab w:val="left" w:pos="1356"/>
        </w:tabs>
        <w:rPr>
          <w:sz w:val="20"/>
          <w:szCs w:val="20"/>
          <w:lang w:val="ro-RO"/>
        </w:rPr>
      </w:pPr>
      <w:r>
        <w:rPr>
          <w:sz w:val="20"/>
          <w:szCs w:val="20"/>
          <w:lang w:val="ro-RO"/>
        </w:rPr>
        <w:t>instruirea personalului de executie pe linie de NTSM si PSI, completarea si semnarea fiselor de instructaj;</w:t>
      </w:r>
    </w:p>
    <w:p>
      <w:pPr>
        <w:pStyle w:val="ListParagraph"/>
        <w:numPr>
          <w:ilvl w:val="0"/>
          <w:numId w:val="36"/>
        </w:numPr>
        <w:tabs>
          <w:tab w:val="left" w:pos="1356"/>
        </w:tabs>
        <w:rPr>
          <w:sz w:val="20"/>
          <w:szCs w:val="20"/>
          <w:lang w:val="ro-RO"/>
        </w:rPr>
      </w:pPr>
      <w:r>
        <w:rPr>
          <w:sz w:val="20"/>
          <w:szCs w:val="20"/>
          <w:lang w:val="ro-RO"/>
        </w:rPr>
        <w:t>existenta si folosirea echipamentelor specifice de protectia muncii;</w:t>
      </w:r>
    </w:p>
    <w:p>
      <w:pPr>
        <w:pStyle w:val="ListParagraph"/>
        <w:numPr>
          <w:ilvl w:val="0"/>
          <w:numId w:val="36"/>
        </w:numPr>
        <w:tabs>
          <w:tab w:val="left" w:pos="1356"/>
        </w:tabs>
        <w:rPr>
          <w:sz w:val="20"/>
          <w:szCs w:val="20"/>
          <w:lang w:val="ro-RO"/>
        </w:rPr>
      </w:pPr>
      <w:r>
        <w:rPr>
          <w:sz w:val="20"/>
          <w:szCs w:val="20"/>
          <w:lang w:val="ro-RO"/>
        </w:rPr>
        <w:t xml:space="preserve">instruirea personalului de executie cu prevederile prezentei proceduri. </w:t>
      </w:r>
    </w:p>
    <w:p>
      <w:pPr>
        <w:pStyle w:val="Heading4"/>
        <w:rPr>
          <w:sz w:val="20"/>
          <w:szCs w:val="20"/>
          <w:lang w:val="ro-RO"/>
        </w:rPr>
      </w:pPr>
      <w:r>
        <w:rPr>
          <w:sz w:val="20"/>
          <w:szCs w:val="20"/>
          <w:lang w:val="ro-RO"/>
        </w:rPr>
        <w:t>2.2.7.2  Tehnologia de execuţie</w:t>
      </w:r>
    </w:p>
    <w:p>
      <w:pPr>
        <w:tabs>
          <w:tab w:val="left" w:pos="1356"/>
        </w:tabs>
        <w:rPr>
          <w:sz w:val="20"/>
          <w:szCs w:val="20"/>
          <w:lang w:val="ro-RO"/>
        </w:rPr>
      </w:pPr>
      <w:r>
        <w:rPr>
          <w:sz w:val="20"/>
          <w:szCs w:val="20"/>
          <w:lang w:val="ro-RO"/>
        </w:rPr>
        <w:t>Dimensiunile, tipul caramizilor, precum si marca mortarului de zidărie vor fi obligatoriu cele prevăzute în proiect. Compozitia mortarului va fi cea arătata in STAS 1030/ 85 si instrucţiunile tehnice C17/82.</w:t>
      </w:r>
    </w:p>
    <w:p>
      <w:pPr>
        <w:pStyle w:val="ListParagraph"/>
        <w:numPr>
          <w:ilvl w:val="0"/>
          <w:numId w:val="36"/>
        </w:numPr>
        <w:tabs>
          <w:tab w:val="left" w:pos="1356"/>
        </w:tabs>
        <w:rPr>
          <w:sz w:val="20"/>
          <w:szCs w:val="20"/>
          <w:lang w:val="ro-RO"/>
        </w:rPr>
      </w:pPr>
      <w:r>
        <w:rPr>
          <w:sz w:val="20"/>
          <w:szCs w:val="20"/>
          <w:lang w:val="ro-RO"/>
        </w:rPr>
        <w:t>consistenta mortarului, determinata cu conul etalon, pentru zidaria din caramizi pline va fi de 8 -13 cm, iar pentru zidaria din caramizi cu goluri verticale sau orizontale va fi de 7 - 8 cm.</w:t>
      </w:r>
    </w:p>
    <w:p>
      <w:pPr>
        <w:pStyle w:val="ListParagraph"/>
        <w:numPr>
          <w:ilvl w:val="0"/>
          <w:numId w:val="36"/>
        </w:numPr>
        <w:tabs>
          <w:tab w:val="left" w:pos="1356"/>
        </w:tabs>
        <w:rPr>
          <w:sz w:val="20"/>
          <w:szCs w:val="20"/>
          <w:lang w:val="ro-RO"/>
        </w:rPr>
      </w:pPr>
      <w:r>
        <w:rPr>
          <w:sz w:val="20"/>
          <w:szCs w:val="20"/>
          <w:lang w:val="ro-RO"/>
        </w:rPr>
        <w:t>înainte de punerea în operă, caramizile se vor uda bine cu apa. Pe timp de arsita, udarea se face mai abundent.</w:t>
      </w:r>
    </w:p>
    <w:p>
      <w:pPr>
        <w:pStyle w:val="ListParagraph"/>
        <w:numPr>
          <w:ilvl w:val="0"/>
          <w:numId w:val="36"/>
        </w:numPr>
        <w:tabs>
          <w:tab w:val="left" w:pos="1356"/>
        </w:tabs>
        <w:rPr>
          <w:sz w:val="20"/>
          <w:szCs w:val="20"/>
          <w:lang w:val="ro-RO"/>
        </w:rPr>
      </w:pPr>
      <w:r>
        <w:rPr>
          <w:sz w:val="20"/>
          <w:szCs w:val="20"/>
          <w:lang w:val="ro-RO"/>
        </w:rPr>
        <w:t>la zidaria din caramizi pline si cu goluri verticale, rosturile orizontale si verticale vor fi bine umplute cu mortar, lasându-se însă neumplute pe o adâncime de 1-1.5 cm de la fata exterioara a zidului.</w:t>
      </w:r>
    </w:p>
    <w:p>
      <w:pPr>
        <w:pStyle w:val="ListParagraph"/>
        <w:numPr>
          <w:ilvl w:val="0"/>
          <w:numId w:val="36"/>
        </w:numPr>
        <w:tabs>
          <w:tab w:val="left" w:pos="1356"/>
        </w:tabs>
        <w:rPr>
          <w:sz w:val="20"/>
          <w:szCs w:val="20"/>
          <w:lang w:val="ro-RO"/>
        </w:rPr>
      </w:pPr>
      <w:r>
        <w:rPr>
          <w:sz w:val="20"/>
          <w:szCs w:val="20"/>
          <w:lang w:val="ro-RO"/>
        </w:rPr>
        <w:t>la zidaria din blocuri cu goluri orizontale, rosturile orizontale vor fi bine umplute cu mortar. Pentru realizarea rosturilor verticale, mortarul se va aplica cu mistria numai pe portiunile marginale ale blocurilor cu goluri orizontale inguste.</w:t>
      </w:r>
    </w:p>
    <w:p>
      <w:pPr>
        <w:pStyle w:val="ListParagraph"/>
        <w:numPr>
          <w:ilvl w:val="0"/>
          <w:numId w:val="36"/>
        </w:numPr>
        <w:tabs>
          <w:tab w:val="left" w:pos="1356"/>
        </w:tabs>
        <w:rPr>
          <w:sz w:val="20"/>
          <w:szCs w:val="20"/>
          <w:lang w:val="ro-RO"/>
        </w:rPr>
      </w:pPr>
      <w:r>
        <w:rPr>
          <w:sz w:val="20"/>
          <w:szCs w:val="20"/>
          <w:lang w:val="ro-RO"/>
        </w:rPr>
        <w:t>orizontalitatea rândurilor de caramizi sau blocuri se obtine utilizând rigle de lemn sau metal montate la intervale egale cu înaltimea rindurilor de zidarie. Riglele se fixeaza la colturile zidariei. Verificarea orizontalitatii se va face cu o sfoara de trasat bine întinsa între rigle.</w:t>
      </w:r>
    </w:p>
    <w:p>
      <w:pPr>
        <w:pStyle w:val="ListParagraph"/>
        <w:numPr>
          <w:ilvl w:val="0"/>
          <w:numId w:val="36"/>
        </w:numPr>
        <w:tabs>
          <w:tab w:val="left" w:pos="1356"/>
        </w:tabs>
        <w:rPr>
          <w:sz w:val="20"/>
          <w:szCs w:val="20"/>
          <w:lang w:val="ro-RO"/>
        </w:rPr>
      </w:pPr>
      <w:r>
        <w:rPr>
          <w:sz w:val="20"/>
          <w:szCs w:val="20"/>
          <w:lang w:val="ro-RO"/>
        </w:rPr>
        <w:t>intreruperea executiei zidariei se face in trepte.</w:t>
      </w:r>
    </w:p>
    <w:p>
      <w:pPr>
        <w:pStyle w:val="ListParagraph"/>
        <w:numPr>
          <w:ilvl w:val="0"/>
          <w:numId w:val="36"/>
        </w:numPr>
        <w:tabs>
          <w:tab w:val="left" w:pos="1356"/>
        </w:tabs>
        <w:rPr>
          <w:sz w:val="20"/>
          <w:szCs w:val="20"/>
          <w:lang w:val="ro-RO"/>
        </w:rPr>
      </w:pPr>
      <w:r>
        <w:rPr>
          <w:sz w:val="20"/>
          <w:szCs w:val="20"/>
          <w:lang w:val="ro-RO"/>
        </w:rPr>
        <w:t>legaturile între ziduri, la colturi, intersectii si ramificatii, se fac alternativ, în functie de tipul de caramizi sau blocuri ceramice utilizat.</w:t>
      </w:r>
    </w:p>
    <w:p>
      <w:pPr>
        <w:pStyle w:val="ListParagraph"/>
        <w:numPr>
          <w:ilvl w:val="0"/>
          <w:numId w:val="36"/>
        </w:numPr>
        <w:tabs>
          <w:tab w:val="left" w:pos="1356"/>
        </w:tabs>
        <w:rPr>
          <w:sz w:val="20"/>
          <w:szCs w:val="20"/>
          <w:lang w:val="ro-RO"/>
        </w:rPr>
      </w:pPr>
      <w:r>
        <w:rPr>
          <w:sz w:val="20"/>
          <w:szCs w:val="20"/>
          <w:lang w:val="ro-RO"/>
        </w:rPr>
        <w:t>ultimul rând al zidariei, peste care urmeaza sa se monteze elemente prefabricate, se va executa cu caramizi asezate în lung.</w:t>
      </w:r>
    </w:p>
    <w:p>
      <w:pPr>
        <w:pStyle w:val="ListParagraph"/>
        <w:numPr>
          <w:ilvl w:val="0"/>
          <w:numId w:val="36"/>
        </w:numPr>
        <w:tabs>
          <w:tab w:val="left" w:pos="1356"/>
        </w:tabs>
        <w:rPr>
          <w:sz w:val="20"/>
          <w:szCs w:val="20"/>
          <w:lang w:val="ro-RO"/>
        </w:rPr>
      </w:pPr>
      <w:r>
        <w:rPr>
          <w:sz w:val="20"/>
          <w:szCs w:val="20"/>
          <w:lang w:val="ro-RO"/>
        </w:rPr>
        <w:t>ancorarea zidariei de umplutura de structura cladirii (stâlpi sau diafragme) se face fie cu ajutorul mustatilor de otel beton, fie cu agrafe fixate, pe bolturi împuscate.</w:t>
      </w:r>
    </w:p>
    <w:p>
      <w:pPr>
        <w:pStyle w:val="ListParagraph"/>
        <w:numPr>
          <w:ilvl w:val="0"/>
          <w:numId w:val="36"/>
        </w:numPr>
        <w:tabs>
          <w:tab w:val="left" w:pos="1356"/>
        </w:tabs>
        <w:rPr>
          <w:sz w:val="20"/>
          <w:szCs w:val="20"/>
          <w:lang w:val="ro-RO"/>
        </w:rPr>
      </w:pPr>
      <w:r>
        <w:rPr>
          <w:sz w:val="20"/>
          <w:szCs w:val="20"/>
          <w:lang w:val="ro-RO"/>
        </w:rPr>
        <w:t>înainte de executarea zidariei de umplutura, pe suprafetele stilpilor sau diafragmelor se va aplica un sprit de mortar de ciment, iar rostul vertical dintre zidarie si elementul de structura va fi umplut complet cu mortar.</w:t>
      </w:r>
    </w:p>
    <w:p>
      <w:pPr>
        <w:pStyle w:val="ListParagraph"/>
        <w:numPr>
          <w:ilvl w:val="0"/>
          <w:numId w:val="36"/>
        </w:numPr>
        <w:tabs>
          <w:tab w:val="left" w:pos="1356"/>
        </w:tabs>
        <w:rPr>
          <w:sz w:val="20"/>
          <w:szCs w:val="20"/>
          <w:lang w:val="ro-RO"/>
        </w:rPr>
      </w:pPr>
      <w:r>
        <w:rPr>
          <w:sz w:val="20"/>
          <w:szCs w:val="20"/>
          <w:lang w:val="ro-RO"/>
        </w:rPr>
        <w:t>la executarea zidariei complexe, în cazul în care armatura stalpisorilor se realizeaza din carcase, acestea se vor monta înainte de executarea zidariei, legându-le de mustatile nivelului inferior.</w:t>
      </w:r>
    </w:p>
    <w:p>
      <w:pPr>
        <w:tabs>
          <w:tab w:val="left" w:pos="1356"/>
        </w:tabs>
        <w:rPr>
          <w:sz w:val="20"/>
          <w:szCs w:val="20"/>
          <w:lang w:val="ro-RO"/>
        </w:rPr>
      </w:pPr>
      <w:r>
        <w:rPr>
          <w:sz w:val="20"/>
          <w:szCs w:val="20"/>
          <w:lang w:val="ro-RO"/>
        </w:rPr>
        <w:lastRenderedPageBreak/>
        <w:t>Pe masura executarii zidariei, în rosturile orizontale acesteia se aseaza barele de legatura cu stâlpisorii, înglobându-le în mortar de marca 50, obtinut, când este cazul, prin îmbogatirea locala a dozajului de ciment. Rosturile zidariei în dreptul stâlpisorilor se lasa neumplute cu mortar pe o adâncime de cca. 2 cm, pentru realizarea unei legaturi cât mai bune cu stâlpisorii.</w:t>
      </w:r>
    </w:p>
    <w:p>
      <w:pPr>
        <w:pStyle w:val="ListParagraph"/>
        <w:numPr>
          <w:ilvl w:val="0"/>
          <w:numId w:val="36"/>
        </w:numPr>
        <w:tabs>
          <w:tab w:val="left" w:pos="1356"/>
        </w:tabs>
        <w:rPr>
          <w:sz w:val="20"/>
          <w:szCs w:val="20"/>
          <w:lang w:val="ro-RO"/>
        </w:rPr>
      </w:pPr>
      <w:r>
        <w:rPr>
          <w:sz w:val="20"/>
          <w:szCs w:val="20"/>
          <w:lang w:val="ro-RO"/>
        </w:rPr>
        <w:t>la zidurile cu grosime de cel putin o caramida se vor zidi de o parte si de alta a golurilor câte 3 gheremele la fiecare gol de usa si câte 2 gheremele la fiecare gol de fereastra. Gheremelele de lemn vor fi impregnate în solutii biruminoase sau scufundate de 2-3 ori intr-o baie de bitum fierbinte.</w:t>
      </w:r>
    </w:p>
    <w:p>
      <w:pPr>
        <w:pStyle w:val="ListParagraph"/>
        <w:numPr>
          <w:ilvl w:val="0"/>
          <w:numId w:val="36"/>
        </w:numPr>
        <w:tabs>
          <w:tab w:val="left" w:pos="1356"/>
        </w:tabs>
        <w:rPr>
          <w:sz w:val="20"/>
          <w:szCs w:val="20"/>
          <w:lang w:val="ro-RO"/>
        </w:rPr>
      </w:pPr>
      <w:r>
        <w:rPr>
          <w:sz w:val="20"/>
          <w:szCs w:val="20"/>
          <w:lang w:val="ro-RO"/>
        </w:rPr>
        <w:t>rosturile zidariei cosurilor de fum se vor tese la fiecare rând si vor fi umplute complet cu mortar. Se va utiliza mortar de aceeasi marca ca la zidaria peretilor. Executia va fi ingrijita astfel ca suprafata interioara a cosului sa fie neteda. Cosurile pe portiunea din podurile cladirilor se vor tencui si spoi cu var.</w:t>
      </w:r>
    </w:p>
    <w:p>
      <w:pPr>
        <w:pStyle w:val="ListParagraph"/>
        <w:numPr>
          <w:ilvl w:val="0"/>
          <w:numId w:val="36"/>
        </w:numPr>
        <w:tabs>
          <w:tab w:val="left" w:pos="1356"/>
        </w:tabs>
        <w:rPr>
          <w:sz w:val="20"/>
          <w:szCs w:val="20"/>
          <w:lang w:val="ro-RO"/>
        </w:rPr>
      </w:pPr>
      <w:r>
        <w:rPr>
          <w:sz w:val="20"/>
          <w:szCs w:val="20"/>
          <w:lang w:val="ro-RO"/>
        </w:rPr>
        <w:t>zidaria aparenta se va executa cu caramizi de calitate A, cu rosturi drepte, paralele si de grosime egala. In acest scop se va utiliza o rigla din otel de grosimea rostului, care se aseaza pe marginea rândului de zidarie imediat inferior celui care se executa. Rostuirea se va face cu mortar de marca prevazuta în proiect.</w:t>
      </w:r>
    </w:p>
    <w:p>
      <w:pPr>
        <w:pStyle w:val="ListParagraph"/>
        <w:numPr>
          <w:ilvl w:val="0"/>
          <w:numId w:val="36"/>
        </w:numPr>
        <w:tabs>
          <w:tab w:val="left" w:pos="1356"/>
        </w:tabs>
        <w:rPr>
          <w:sz w:val="20"/>
          <w:szCs w:val="20"/>
          <w:lang w:val="ro-RO"/>
        </w:rPr>
      </w:pPr>
      <w:r>
        <w:rPr>
          <w:sz w:val="20"/>
          <w:szCs w:val="20"/>
          <w:lang w:val="ro-RO"/>
        </w:rPr>
        <w:t>placarea diafragmelor de beton armat cu caramizi sau blocuri ceramice, se va executa intre centurile de beton armat scose în consola în dreptul planseelor. Zidaria se va împana între centuri. Spatiul dintre zidarie si diafragma se va umple bine cu mortar odata cu executarea zidariei.</w:t>
      </w:r>
    </w:p>
    <w:p>
      <w:pPr>
        <w:pStyle w:val="ListParagraph"/>
        <w:numPr>
          <w:ilvl w:val="0"/>
          <w:numId w:val="36"/>
        </w:numPr>
        <w:tabs>
          <w:tab w:val="left" w:pos="1356"/>
        </w:tabs>
        <w:rPr>
          <w:sz w:val="20"/>
          <w:szCs w:val="20"/>
          <w:lang w:val="ro-RO"/>
        </w:rPr>
      </w:pPr>
      <w:r>
        <w:rPr>
          <w:sz w:val="20"/>
          <w:szCs w:val="20"/>
          <w:lang w:val="ro-RO"/>
        </w:rPr>
        <w:t>Ancorarea se face cu mustati 0 6 mm având lungimea de cca. 30 cm, scoase din diafragma sau fixate cu ajutorul bolturilor împuscate.</w:t>
      </w:r>
    </w:p>
    <w:p>
      <w:pPr>
        <w:pStyle w:val="ListParagraph"/>
        <w:numPr>
          <w:ilvl w:val="0"/>
          <w:numId w:val="36"/>
        </w:numPr>
        <w:tabs>
          <w:tab w:val="left" w:pos="1356"/>
        </w:tabs>
        <w:rPr>
          <w:sz w:val="20"/>
          <w:szCs w:val="20"/>
          <w:lang w:val="ro-RO"/>
        </w:rPr>
      </w:pPr>
      <w:r>
        <w:rPr>
          <w:sz w:val="20"/>
          <w:szCs w:val="20"/>
          <w:lang w:val="ro-RO"/>
        </w:rPr>
        <w:t>Mustăţile se vor prevedea la intervale de câte 90 cm pe orizontala si 60 cm pe verticala si se vor îndoi în dreptul rosturilor orizontale, înglobându-se in mortar. Armarea rosturilor orizontale ale zidariei se va face pe toata lungimea lor cu bare de otel beton 0 6-8 mm, la intervale de câte 60 cm pe înaltime. Barele se vor ancora la intervale de cca. 90 cm de mustatile scoase in acest scop din diafragma, precum si de mustatile scoase din diafragmele transversale sau din stilpi.</w:t>
      </w:r>
    </w:p>
    <w:p>
      <w:pPr>
        <w:pStyle w:val="ListParagraph"/>
        <w:numPr>
          <w:ilvl w:val="0"/>
          <w:numId w:val="36"/>
        </w:numPr>
        <w:tabs>
          <w:tab w:val="left" w:pos="1356"/>
        </w:tabs>
        <w:rPr>
          <w:sz w:val="20"/>
          <w:szCs w:val="20"/>
          <w:lang w:val="ro-RO"/>
        </w:rPr>
      </w:pPr>
      <w:r>
        <w:rPr>
          <w:sz w:val="20"/>
          <w:szCs w:val="20"/>
          <w:lang w:val="ro-RO"/>
        </w:rPr>
        <w:t>obiectele sanitare care se monteaza pe zidaria din caramizi si blocuri cu goluri orizontale se vor fixa in dibluri de lemn, care se prevad în goluri executate cu ajutorul unei freze sau cu o dalta subtire, bine ascutita, cu lama de 5 mm.</w:t>
      </w:r>
    </w:p>
    <w:p>
      <w:pPr>
        <w:pStyle w:val="ListParagraph"/>
        <w:tabs>
          <w:tab w:val="left" w:pos="1356"/>
        </w:tabs>
        <w:rPr>
          <w:sz w:val="20"/>
          <w:szCs w:val="20"/>
          <w:lang w:val="ro-RO"/>
        </w:rPr>
      </w:pPr>
    </w:p>
    <w:p>
      <w:pPr>
        <w:pStyle w:val="ListParagraph"/>
        <w:numPr>
          <w:ilvl w:val="0"/>
          <w:numId w:val="41"/>
        </w:numPr>
        <w:tabs>
          <w:tab w:val="left" w:pos="1356"/>
        </w:tabs>
        <w:rPr>
          <w:b/>
          <w:sz w:val="20"/>
          <w:szCs w:val="20"/>
          <w:lang w:val="ro-RO"/>
        </w:rPr>
      </w:pPr>
      <w:r>
        <w:rPr>
          <w:b/>
          <w:sz w:val="20"/>
          <w:szCs w:val="20"/>
          <w:lang w:val="ro-RO"/>
        </w:rPr>
        <w:t>Abateri admisibile</w:t>
      </w:r>
    </w:p>
    <w:p>
      <w:pPr>
        <w:tabs>
          <w:tab w:val="left" w:pos="1356"/>
        </w:tabs>
        <w:rPr>
          <w:sz w:val="20"/>
          <w:szCs w:val="20"/>
          <w:lang w:val="ro-RO"/>
        </w:rPr>
      </w:pPr>
      <w:r>
        <w:rPr>
          <w:sz w:val="20"/>
          <w:szCs w:val="20"/>
          <w:lang w:val="ro-RO"/>
        </w:rPr>
        <w:t>Abaterile limita faţă de dimensiunile stabilita prin proiect sau prin prescriptiile legale in vigoare sunt conform tabelului următor.</w:t>
      </w:r>
    </w:p>
    <w:tbl>
      <w:tblPr>
        <w:tblW w:w="0" w:type="auto"/>
        <w:jc w:val="center"/>
        <w:tblLayout w:type="fixed"/>
        <w:tblCellMar>
          <w:left w:w="40" w:type="dxa"/>
          <w:right w:w="40" w:type="dxa"/>
        </w:tblCellMar>
        <w:tblLook w:val="0000" w:firstRow="0" w:lastRow="0" w:firstColumn="0" w:lastColumn="0" w:noHBand="0" w:noVBand="0"/>
      </w:tblPr>
      <w:tblGrid>
        <w:gridCol w:w="945"/>
        <w:gridCol w:w="6804"/>
        <w:gridCol w:w="1599"/>
      </w:tblGrid>
      <w:tr>
        <w:trPr>
          <w:jc w:val="center"/>
        </w:trPr>
        <w:tc>
          <w:tcPr>
            <w:tcW w:w="945" w:type="dxa"/>
            <w:tcBorders>
              <w:top w:val="single" w:sz="6" w:space="0" w:color="auto"/>
              <w:left w:val="single" w:sz="6" w:space="0" w:color="auto"/>
              <w:bottom w:val="nil"/>
              <w:right w:val="single" w:sz="6" w:space="0" w:color="auto"/>
            </w:tcBorders>
          </w:tcPr>
          <w:p>
            <w:pPr>
              <w:tabs>
                <w:tab w:val="left" w:pos="1356"/>
              </w:tabs>
              <w:rPr>
                <w:b/>
                <w:bCs/>
                <w:sz w:val="20"/>
                <w:szCs w:val="20"/>
                <w:lang w:val="ro-RO"/>
              </w:rPr>
            </w:pPr>
            <w:r>
              <w:rPr>
                <w:b/>
                <w:bCs/>
                <w:sz w:val="20"/>
                <w:szCs w:val="20"/>
                <w:lang w:val="ro-RO"/>
              </w:rPr>
              <w:t>Nr.</w:t>
            </w:r>
          </w:p>
        </w:tc>
        <w:tc>
          <w:tcPr>
            <w:tcW w:w="6804" w:type="dxa"/>
            <w:tcBorders>
              <w:top w:val="single" w:sz="6" w:space="0" w:color="auto"/>
              <w:left w:val="single" w:sz="6" w:space="0" w:color="auto"/>
              <w:bottom w:val="nil"/>
              <w:right w:val="single" w:sz="6" w:space="0" w:color="auto"/>
            </w:tcBorders>
          </w:tcPr>
          <w:p>
            <w:pPr>
              <w:tabs>
                <w:tab w:val="left" w:pos="1356"/>
              </w:tabs>
              <w:rPr>
                <w:b/>
                <w:bCs/>
                <w:sz w:val="20"/>
                <w:szCs w:val="20"/>
                <w:lang w:val="ro-RO"/>
              </w:rPr>
            </w:pPr>
            <w:r>
              <w:rPr>
                <w:b/>
                <w:bCs/>
                <w:sz w:val="20"/>
                <w:szCs w:val="20"/>
                <w:lang w:val="ro-RO"/>
              </w:rPr>
              <w:t>Caracteristicile zidariilor si peretilor</w:t>
            </w:r>
          </w:p>
        </w:tc>
        <w:tc>
          <w:tcPr>
            <w:tcW w:w="1599" w:type="dxa"/>
            <w:tcBorders>
              <w:top w:val="single" w:sz="6" w:space="0" w:color="auto"/>
              <w:left w:val="single" w:sz="6" w:space="0" w:color="auto"/>
              <w:bottom w:val="nil"/>
              <w:right w:val="single" w:sz="6" w:space="0" w:color="auto"/>
            </w:tcBorders>
          </w:tcPr>
          <w:p>
            <w:pPr>
              <w:tabs>
                <w:tab w:val="left" w:pos="1356"/>
              </w:tabs>
              <w:rPr>
                <w:b/>
                <w:bCs/>
                <w:sz w:val="20"/>
                <w:szCs w:val="20"/>
                <w:lang w:val="ro-RO"/>
              </w:rPr>
            </w:pPr>
            <w:r>
              <w:rPr>
                <w:b/>
                <w:bCs/>
                <w:sz w:val="20"/>
                <w:szCs w:val="20"/>
                <w:lang w:val="ro-RO"/>
              </w:rPr>
              <w:t>Abateri</w:t>
            </w:r>
          </w:p>
        </w:tc>
      </w:tr>
      <w:tr>
        <w:trPr>
          <w:jc w:val="center"/>
        </w:trPr>
        <w:tc>
          <w:tcPr>
            <w:tcW w:w="945" w:type="dxa"/>
            <w:tcBorders>
              <w:top w:val="nil"/>
              <w:left w:val="single" w:sz="6" w:space="0" w:color="auto"/>
              <w:bottom w:val="single" w:sz="6" w:space="0" w:color="auto"/>
              <w:right w:val="single" w:sz="6" w:space="0" w:color="auto"/>
            </w:tcBorders>
          </w:tcPr>
          <w:p>
            <w:pPr>
              <w:tabs>
                <w:tab w:val="left" w:pos="1356"/>
              </w:tabs>
              <w:rPr>
                <w:b/>
                <w:bCs/>
                <w:sz w:val="20"/>
                <w:szCs w:val="20"/>
                <w:lang w:val="ro-RO"/>
              </w:rPr>
            </w:pPr>
            <w:r>
              <w:rPr>
                <w:b/>
                <w:bCs/>
                <w:sz w:val="20"/>
                <w:szCs w:val="20"/>
                <w:lang w:val="ro-RO"/>
              </w:rPr>
              <w:t>crt.</w:t>
            </w:r>
          </w:p>
        </w:tc>
        <w:tc>
          <w:tcPr>
            <w:tcW w:w="6804" w:type="dxa"/>
            <w:tcBorders>
              <w:top w:val="nil"/>
              <w:left w:val="single" w:sz="6" w:space="0" w:color="auto"/>
              <w:bottom w:val="single" w:sz="6" w:space="0" w:color="auto"/>
              <w:right w:val="single" w:sz="6" w:space="0" w:color="auto"/>
            </w:tcBorders>
          </w:tcPr>
          <w:p>
            <w:pPr>
              <w:tabs>
                <w:tab w:val="left" w:pos="1356"/>
              </w:tabs>
              <w:rPr>
                <w:sz w:val="20"/>
                <w:szCs w:val="20"/>
                <w:lang w:val="ro-RO"/>
              </w:rPr>
            </w:pPr>
          </w:p>
        </w:tc>
        <w:tc>
          <w:tcPr>
            <w:tcW w:w="1599" w:type="dxa"/>
            <w:tcBorders>
              <w:top w:val="nil"/>
              <w:left w:val="single" w:sz="6" w:space="0" w:color="auto"/>
              <w:bottom w:val="single" w:sz="6" w:space="0" w:color="auto"/>
              <w:right w:val="single" w:sz="6" w:space="0" w:color="auto"/>
            </w:tcBorders>
          </w:tcPr>
          <w:p>
            <w:pPr>
              <w:tabs>
                <w:tab w:val="left" w:pos="1356"/>
              </w:tabs>
              <w:rPr>
                <w:b/>
                <w:bCs/>
                <w:sz w:val="20"/>
                <w:szCs w:val="20"/>
                <w:lang w:val="ro-RO"/>
              </w:rPr>
            </w:pPr>
            <w:r>
              <w:rPr>
                <w:b/>
                <w:bCs/>
                <w:sz w:val="20"/>
                <w:szCs w:val="20"/>
                <w:lang w:val="ro-RO"/>
              </w:rPr>
              <w:t>limita (mm)</w:t>
            </w:r>
          </w:p>
        </w:tc>
      </w:tr>
      <w:tr>
        <w:trPr>
          <w:jc w:val="center"/>
        </w:trPr>
        <w:tc>
          <w:tcPr>
            <w:tcW w:w="945" w:type="dxa"/>
            <w:vMerge w:val="restart"/>
            <w:tcBorders>
              <w:top w:val="single" w:sz="6" w:space="0" w:color="auto"/>
              <w:left w:val="single" w:sz="6" w:space="0" w:color="auto"/>
              <w:right w:val="single" w:sz="6" w:space="0" w:color="auto"/>
            </w:tcBorders>
            <w:vAlign w:val="center"/>
          </w:tcPr>
          <w:p>
            <w:pPr>
              <w:tabs>
                <w:tab w:val="left" w:pos="1356"/>
              </w:tabs>
              <w:rPr>
                <w:sz w:val="20"/>
                <w:szCs w:val="20"/>
                <w:lang w:val="ro-RO"/>
              </w:rPr>
            </w:pPr>
            <w:r>
              <w:rPr>
                <w:sz w:val="20"/>
                <w:szCs w:val="20"/>
                <w:lang w:val="ro-RO"/>
              </w:rPr>
              <w:t>1</w:t>
            </w:r>
          </w:p>
        </w:tc>
        <w:tc>
          <w:tcPr>
            <w:tcW w:w="8403" w:type="dxa"/>
            <w:gridSpan w:val="2"/>
            <w:tcBorders>
              <w:top w:val="single" w:sz="6" w:space="0" w:color="auto"/>
              <w:left w:val="single" w:sz="6" w:space="0" w:color="auto"/>
              <w:bottom w:val="single" w:sz="6" w:space="0" w:color="auto"/>
              <w:right w:val="single" w:sz="6" w:space="0" w:color="auto"/>
            </w:tcBorders>
          </w:tcPr>
          <w:p>
            <w:pPr>
              <w:tabs>
                <w:tab w:val="left" w:pos="1356"/>
              </w:tabs>
              <w:rPr>
                <w:sz w:val="20"/>
                <w:szCs w:val="20"/>
                <w:lang w:val="ro-RO"/>
              </w:rPr>
            </w:pPr>
            <w:r>
              <w:rPr>
                <w:sz w:val="20"/>
                <w:szCs w:val="20"/>
                <w:lang w:val="ro-RO"/>
              </w:rPr>
              <w:t>La dimensiunile zidurilor:</w:t>
            </w:r>
          </w:p>
        </w:tc>
      </w:tr>
      <w:tr>
        <w:trPr>
          <w:jc w:val="center"/>
        </w:trPr>
        <w:tc>
          <w:tcPr>
            <w:tcW w:w="945" w:type="dxa"/>
            <w:vMerge/>
            <w:tcBorders>
              <w:left w:val="single" w:sz="6" w:space="0" w:color="auto"/>
              <w:right w:val="single" w:sz="6" w:space="0" w:color="auto"/>
            </w:tcBorders>
            <w:vAlign w:val="center"/>
          </w:tcPr>
          <w:p>
            <w:pPr>
              <w:tabs>
                <w:tab w:val="left" w:pos="1356"/>
              </w:tabs>
              <w:rPr>
                <w:sz w:val="20"/>
                <w:szCs w:val="20"/>
                <w:lang w:val="ro-RO"/>
              </w:rPr>
            </w:pPr>
          </w:p>
        </w:tc>
        <w:tc>
          <w:tcPr>
            <w:tcW w:w="6804" w:type="dxa"/>
            <w:tcBorders>
              <w:top w:val="single" w:sz="6" w:space="0" w:color="auto"/>
              <w:left w:val="single" w:sz="6" w:space="0" w:color="auto"/>
              <w:bottom w:val="single" w:sz="6" w:space="0" w:color="auto"/>
              <w:right w:val="single" w:sz="6" w:space="0" w:color="auto"/>
            </w:tcBorders>
          </w:tcPr>
          <w:p>
            <w:pPr>
              <w:tabs>
                <w:tab w:val="left" w:pos="1356"/>
              </w:tabs>
              <w:rPr>
                <w:sz w:val="20"/>
                <w:szCs w:val="20"/>
                <w:lang w:val="ro-RO"/>
              </w:rPr>
            </w:pPr>
            <w:r>
              <w:rPr>
                <w:rFonts w:ascii="Arial" w:hAnsi="Arial" w:cs="Arial"/>
                <w:sz w:val="20"/>
                <w:szCs w:val="20"/>
                <w:lang w:val="ro-RO"/>
              </w:rPr>
              <w:t>■</w:t>
            </w:r>
            <w:r>
              <w:rPr>
                <w:sz w:val="20"/>
                <w:szCs w:val="20"/>
                <w:lang w:val="ro-RO"/>
              </w:rPr>
              <w:t xml:space="preserve">    Ziduri cu grosimea &lt; 63 mm</w:t>
            </w:r>
          </w:p>
        </w:tc>
        <w:tc>
          <w:tcPr>
            <w:tcW w:w="1599" w:type="dxa"/>
            <w:tcBorders>
              <w:top w:val="single" w:sz="6" w:space="0" w:color="auto"/>
              <w:left w:val="single" w:sz="6" w:space="0" w:color="auto"/>
              <w:bottom w:val="single" w:sz="6" w:space="0" w:color="auto"/>
              <w:right w:val="single" w:sz="6" w:space="0" w:color="auto"/>
            </w:tcBorders>
          </w:tcPr>
          <w:p>
            <w:pPr>
              <w:tabs>
                <w:tab w:val="left" w:pos="1356"/>
              </w:tabs>
              <w:rPr>
                <w:b/>
                <w:bCs/>
                <w:sz w:val="20"/>
                <w:szCs w:val="20"/>
                <w:lang w:val="ro-RO"/>
              </w:rPr>
            </w:pPr>
            <w:r>
              <w:rPr>
                <w:b/>
                <w:bCs/>
                <w:sz w:val="20"/>
                <w:szCs w:val="20"/>
                <w:lang w:val="ro-RO"/>
              </w:rPr>
              <w:t>± 3</w:t>
            </w:r>
          </w:p>
        </w:tc>
      </w:tr>
      <w:tr>
        <w:trPr>
          <w:jc w:val="center"/>
        </w:trPr>
        <w:tc>
          <w:tcPr>
            <w:tcW w:w="945" w:type="dxa"/>
            <w:vMerge/>
            <w:tcBorders>
              <w:left w:val="single" w:sz="6" w:space="0" w:color="auto"/>
              <w:right w:val="single" w:sz="6" w:space="0" w:color="auto"/>
            </w:tcBorders>
            <w:vAlign w:val="center"/>
          </w:tcPr>
          <w:p>
            <w:pPr>
              <w:tabs>
                <w:tab w:val="left" w:pos="1356"/>
              </w:tabs>
              <w:rPr>
                <w:sz w:val="20"/>
                <w:szCs w:val="20"/>
                <w:lang w:val="ro-RO"/>
              </w:rPr>
            </w:pPr>
          </w:p>
        </w:tc>
        <w:tc>
          <w:tcPr>
            <w:tcW w:w="6804" w:type="dxa"/>
            <w:tcBorders>
              <w:top w:val="single" w:sz="6" w:space="0" w:color="auto"/>
              <w:left w:val="single" w:sz="6" w:space="0" w:color="auto"/>
              <w:bottom w:val="single" w:sz="6" w:space="0" w:color="auto"/>
              <w:right w:val="single" w:sz="6" w:space="0" w:color="auto"/>
            </w:tcBorders>
          </w:tcPr>
          <w:p>
            <w:pPr>
              <w:tabs>
                <w:tab w:val="left" w:pos="1356"/>
              </w:tabs>
              <w:rPr>
                <w:sz w:val="20"/>
                <w:szCs w:val="20"/>
                <w:lang w:val="ro-RO"/>
              </w:rPr>
            </w:pPr>
            <w:r>
              <w:rPr>
                <w:rFonts w:ascii="Arial" w:hAnsi="Arial" w:cs="Arial"/>
                <w:sz w:val="20"/>
                <w:szCs w:val="20"/>
                <w:lang w:val="ro-RO"/>
              </w:rPr>
              <w:t>■</w:t>
            </w:r>
            <w:r>
              <w:rPr>
                <w:sz w:val="20"/>
                <w:szCs w:val="20"/>
                <w:lang w:val="ro-RO"/>
              </w:rPr>
              <w:t xml:space="preserve">    Ziduri cu grosimea de 90 mm</w:t>
            </w:r>
          </w:p>
        </w:tc>
        <w:tc>
          <w:tcPr>
            <w:tcW w:w="1599" w:type="dxa"/>
            <w:tcBorders>
              <w:top w:val="single" w:sz="6" w:space="0" w:color="auto"/>
              <w:left w:val="single" w:sz="6" w:space="0" w:color="auto"/>
              <w:bottom w:val="single" w:sz="6" w:space="0" w:color="auto"/>
              <w:right w:val="single" w:sz="6" w:space="0" w:color="auto"/>
            </w:tcBorders>
          </w:tcPr>
          <w:p>
            <w:pPr>
              <w:tabs>
                <w:tab w:val="left" w:pos="1356"/>
              </w:tabs>
              <w:rPr>
                <w:b/>
                <w:bCs/>
                <w:sz w:val="20"/>
                <w:szCs w:val="20"/>
                <w:lang w:val="ro-RO"/>
              </w:rPr>
            </w:pPr>
            <w:r>
              <w:rPr>
                <w:b/>
                <w:bCs/>
                <w:sz w:val="20"/>
                <w:szCs w:val="20"/>
                <w:lang w:val="ro-RO"/>
              </w:rPr>
              <w:t>± 4</w:t>
            </w:r>
          </w:p>
        </w:tc>
      </w:tr>
      <w:tr>
        <w:trPr>
          <w:jc w:val="center"/>
        </w:trPr>
        <w:tc>
          <w:tcPr>
            <w:tcW w:w="945" w:type="dxa"/>
            <w:vMerge/>
            <w:tcBorders>
              <w:left w:val="single" w:sz="6" w:space="0" w:color="auto"/>
              <w:bottom w:val="single" w:sz="6" w:space="0" w:color="auto"/>
              <w:right w:val="single" w:sz="6" w:space="0" w:color="auto"/>
            </w:tcBorders>
            <w:vAlign w:val="center"/>
          </w:tcPr>
          <w:p>
            <w:pPr>
              <w:tabs>
                <w:tab w:val="left" w:pos="1356"/>
              </w:tabs>
              <w:rPr>
                <w:sz w:val="20"/>
                <w:szCs w:val="20"/>
                <w:lang w:val="ro-RO"/>
              </w:rPr>
            </w:pPr>
          </w:p>
        </w:tc>
        <w:tc>
          <w:tcPr>
            <w:tcW w:w="6804" w:type="dxa"/>
            <w:tcBorders>
              <w:top w:val="single" w:sz="6" w:space="0" w:color="auto"/>
              <w:left w:val="single" w:sz="6" w:space="0" w:color="auto"/>
              <w:bottom w:val="single" w:sz="6" w:space="0" w:color="auto"/>
              <w:right w:val="single" w:sz="6" w:space="0" w:color="auto"/>
            </w:tcBorders>
          </w:tcPr>
          <w:p>
            <w:pPr>
              <w:tabs>
                <w:tab w:val="left" w:pos="1356"/>
              </w:tabs>
              <w:rPr>
                <w:sz w:val="20"/>
                <w:szCs w:val="20"/>
                <w:lang w:val="ro-RO"/>
              </w:rPr>
            </w:pPr>
            <w:r>
              <w:rPr>
                <w:rFonts w:ascii="Arial" w:hAnsi="Arial" w:cs="Arial"/>
                <w:sz w:val="20"/>
                <w:szCs w:val="20"/>
                <w:lang w:val="ro-RO"/>
              </w:rPr>
              <w:t>■</w:t>
            </w:r>
            <w:r>
              <w:rPr>
                <w:sz w:val="20"/>
                <w:szCs w:val="20"/>
                <w:lang w:val="ro-RO"/>
              </w:rPr>
              <w:t xml:space="preserve">    Ziduri cu grosimea de 115 mm</w:t>
            </w:r>
          </w:p>
        </w:tc>
        <w:tc>
          <w:tcPr>
            <w:tcW w:w="1599" w:type="dxa"/>
            <w:tcBorders>
              <w:top w:val="single" w:sz="6" w:space="0" w:color="auto"/>
              <w:left w:val="single" w:sz="6" w:space="0" w:color="auto"/>
              <w:bottom w:val="single" w:sz="6" w:space="0" w:color="auto"/>
              <w:right w:val="single" w:sz="6" w:space="0" w:color="auto"/>
            </w:tcBorders>
          </w:tcPr>
          <w:p>
            <w:pPr>
              <w:tabs>
                <w:tab w:val="left" w:pos="1356"/>
              </w:tabs>
              <w:rPr>
                <w:b/>
                <w:bCs/>
                <w:sz w:val="20"/>
                <w:szCs w:val="20"/>
                <w:lang w:val="ro-RO"/>
              </w:rPr>
            </w:pPr>
            <w:r>
              <w:rPr>
                <w:b/>
                <w:bCs/>
                <w:sz w:val="20"/>
                <w:szCs w:val="20"/>
                <w:lang w:val="ro-RO"/>
              </w:rPr>
              <w:t>+ 4</w:t>
            </w:r>
          </w:p>
        </w:tc>
      </w:tr>
      <w:tr>
        <w:trPr>
          <w:jc w:val="center"/>
        </w:trPr>
        <w:tc>
          <w:tcPr>
            <w:tcW w:w="945" w:type="dxa"/>
            <w:tcBorders>
              <w:top w:val="single" w:sz="6" w:space="0" w:color="auto"/>
              <w:left w:val="single" w:sz="6" w:space="0" w:color="auto"/>
              <w:bottom w:val="nil"/>
              <w:right w:val="single" w:sz="6" w:space="0" w:color="auto"/>
            </w:tcBorders>
            <w:vAlign w:val="center"/>
          </w:tcPr>
          <w:p>
            <w:pPr>
              <w:tabs>
                <w:tab w:val="left" w:pos="1356"/>
              </w:tabs>
              <w:rPr>
                <w:sz w:val="20"/>
                <w:szCs w:val="20"/>
                <w:lang w:val="ro-RO"/>
              </w:rPr>
            </w:pPr>
          </w:p>
        </w:tc>
        <w:tc>
          <w:tcPr>
            <w:tcW w:w="6804" w:type="dxa"/>
            <w:tcBorders>
              <w:top w:val="single" w:sz="6" w:space="0" w:color="auto"/>
              <w:left w:val="single" w:sz="6" w:space="0" w:color="auto"/>
              <w:bottom w:val="single" w:sz="6" w:space="0" w:color="auto"/>
              <w:right w:val="single" w:sz="6" w:space="0" w:color="auto"/>
            </w:tcBorders>
          </w:tcPr>
          <w:p>
            <w:pPr>
              <w:tabs>
                <w:tab w:val="left" w:pos="1356"/>
              </w:tabs>
              <w:rPr>
                <w:sz w:val="20"/>
                <w:szCs w:val="20"/>
                <w:lang w:val="ro-RO"/>
              </w:rPr>
            </w:pPr>
            <w:r>
              <w:rPr>
                <w:rFonts w:ascii="Arial" w:hAnsi="Arial" w:cs="Arial"/>
                <w:sz w:val="20"/>
                <w:szCs w:val="20"/>
                <w:lang w:val="ro-RO"/>
              </w:rPr>
              <w:t>■</w:t>
            </w:r>
            <w:r>
              <w:rPr>
                <w:sz w:val="20"/>
                <w:szCs w:val="20"/>
                <w:lang w:val="ro-RO"/>
              </w:rPr>
              <w:t xml:space="preserve">   Ziduri cu grosimea de 140 mm</w:t>
            </w:r>
          </w:p>
        </w:tc>
        <w:tc>
          <w:tcPr>
            <w:tcW w:w="1599" w:type="dxa"/>
            <w:tcBorders>
              <w:top w:val="single" w:sz="6" w:space="0" w:color="auto"/>
              <w:left w:val="single" w:sz="6" w:space="0" w:color="auto"/>
              <w:bottom w:val="single" w:sz="6" w:space="0" w:color="auto"/>
              <w:right w:val="single" w:sz="6" w:space="0" w:color="auto"/>
            </w:tcBorders>
          </w:tcPr>
          <w:p>
            <w:pPr>
              <w:tabs>
                <w:tab w:val="left" w:pos="1356"/>
              </w:tabs>
              <w:rPr>
                <w:b/>
                <w:bCs/>
                <w:sz w:val="20"/>
                <w:szCs w:val="20"/>
                <w:lang w:val="ro-RO"/>
              </w:rPr>
            </w:pPr>
            <w:r>
              <w:rPr>
                <w:b/>
                <w:bCs/>
                <w:sz w:val="20"/>
                <w:szCs w:val="20"/>
                <w:lang w:val="ro-RO"/>
              </w:rPr>
              <w:t>+ 4</w:t>
            </w:r>
          </w:p>
        </w:tc>
      </w:tr>
      <w:tr>
        <w:trPr>
          <w:jc w:val="center"/>
        </w:trPr>
        <w:tc>
          <w:tcPr>
            <w:tcW w:w="945" w:type="dxa"/>
            <w:tcBorders>
              <w:top w:val="nil"/>
              <w:left w:val="single" w:sz="6" w:space="0" w:color="auto"/>
              <w:bottom w:val="nil"/>
              <w:right w:val="single" w:sz="6" w:space="0" w:color="auto"/>
            </w:tcBorders>
            <w:vAlign w:val="center"/>
          </w:tcPr>
          <w:p>
            <w:pPr>
              <w:tabs>
                <w:tab w:val="left" w:pos="1356"/>
              </w:tabs>
              <w:rPr>
                <w:sz w:val="20"/>
                <w:szCs w:val="20"/>
                <w:lang w:val="ro-RO"/>
              </w:rPr>
            </w:pPr>
          </w:p>
        </w:tc>
        <w:tc>
          <w:tcPr>
            <w:tcW w:w="6804" w:type="dxa"/>
            <w:tcBorders>
              <w:top w:val="single" w:sz="6" w:space="0" w:color="auto"/>
              <w:left w:val="single" w:sz="6" w:space="0" w:color="auto"/>
              <w:bottom w:val="single" w:sz="6" w:space="0" w:color="auto"/>
              <w:right w:val="single" w:sz="6" w:space="0" w:color="auto"/>
            </w:tcBorders>
          </w:tcPr>
          <w:p>
            <w:pPr>
              <w:tabs>
                <w:tab w:val="left" w:pos="1356"/>
              </w:tabs>
              <w:rPr>
                <w:sz w:val="20"/>
                <w:szCs w:val="20"/>
                <w:lang w:val="ro-RO"/>
              </w:rPr>
            </w:pPr>
            <w:r>
              <w:rPr>
                <w:rFonts w:ascii="Arial" w:hAnsi="Arial" w:cs="Arial"/>
                <w:sz w:val="20"/>
                <w:szCs w:val="20"/>
                <w:lang w:val="ro-RO"/>
              </w:rPr>
              <w:t>■</w:t>
            </w:r>
            <w:r>
              <w:rPr>
                <w:sz w:val="20"/>
                <w:szCs w:val="20"/>
                <w:lang w:val="ro-RO"/>
              </w:rPr>
              <w:t xml:space="preserve">   Ziduri cu grosimea de 240 mm</w:t>
            </w:r>
          </w:p>
        </w:tc>
        <w:tc>
          <w:tcPr>
            <w:tcW w:w="1599" w:type="dxa"/>
            <w:tcBorders>
              <w:top w:val="single" w:sz="6" w:space="0" w:color="auto"/>
              <w:left w:val="single" w:sz="6" w:space="0" w:color="auto"/>
              <w:bottom w:val="single" w:sz="6" w:space="0" w:color="auto"/>
              <w:right w:val="single" w:sz="6" w:space="0" w:color="auto"/>
            </w:tcBorders>
          </w:tcPr>
          <w:p>
            <w:pPr>
              <w:tabs>
                <w:tab w:val="left" w:pos="1356"/>
              </w:tabs>
              <w:rPr>
                <w:b/>
                <w:bCs/>
                <w:sz w:val="20"/>
                <w:szCs w:val="20"/>
                <w:lang w:val="ro-RO"/>
              </w:rPr>
            </w:pPr>
            <w:r>
              <w:rPr>
                <w:b/>
                <w:bCs/>
                <w:sz w:val="20"/>
                <w:szCs w:val="20"/>
                <w:lang w:val="ro-RO"/>
              </w:rPr>
              <w:t>+ 6</w:t>
            </w:r>
          </w:p>
        </w:tc>
      </w:tr>
      <w:tr>
        <w:trPr>
          <w:jc w:val="center"/>
        </w:trPr>
        <w:tc>
          <w:tcPr>
            <w:tcW w:w="945" w:type="dxa"/>
            <w:tcBorders>
              <w:top w:val="nil"/>
              <w:left w:val="single" w:sz="6" w:space="0" w:color="auto"/>
              <w:bottom w:val="single" w:sz="6" w:space="0" w:color="auto"/>
              <w:right w:val="single" w:sz="6" w:space="0" w:color="auto"/>
            </w:tcBorders>
            <w:vAlign w:val="center"/>
          </w:tcPr>
          <w:p>
            <w:pPr>
              <w:tabs>
                <w:tab w:val="left" w:pos="1356"/>
              </w:tabs>
              <w:rPr>
                <w:sz w:val="20"/>
                <w:szCs w:val="20"/>
                <w:lang w:val="ro-RO"/>
              </w:rPr>
            </w:pPr>
          </w:p>
        </w:tc>
        <w:tc>
          <w:tcPr>
            <w:tcW w:w="6804" w:type="dxa"/>
            <w:tcBorders>
              <w:top w:val="single" w:sz="6" w:space="0" w:color="auto"/>
              <w:left w:val="single" w:sz="6" w:space="0" w:color="auto"/>
              <w:bottom w:val="single" w:sz="6" w:space="0" w:color="auto"/>
              <w:right w:val="single" w:sz="6" w:space="0" w:color="auto"/>
            </w:tcBorders>
          </w:tcPr>
          <w:p>
            <w:pPr>
              <w:tabs>
                <w:tab w:val="left" w:pos="1356"/>
              </w:tabs>
              <w:rPr>
                <w:sz w:val="20"/>
                <w:szCs w:val="20"/>
                <w:lang w:val="ro-RO"/>
              </w:rPr>
            </w:pPr>
            <w:r>
              <w:rPr>
                <w:rFonts w:ascii="Arial" w:hAnsi="Arial" w:cs="Arial"/>
                <w:sz w:val="20"/>
                <w:szCs w:val="20"/>
                <w:lang w:val="ro-RO"/>
              </w:rPr>
              <w:t>■</w:t>
            </w:r>
            <w:r>
              <w:rPr>
                <w:sz w:val="20"/>
                <w:szCs w:val="20"/>
                <w:lang w:val="ro-RO"/>
              </w:rPr>
              <w:t xml:space="preserve">   Ziduri cu grosimea &gt; 240 mm</w:t>
            </w:r>
          </w:p>
        </w:tc>
        <w:tc>
          <w:tcPr>
            <w:tcW w:w="1599" w:type="dxa"/>
            <w:tcBorders>
              <w:top w:val="single" w:sz="6" w:space="0" w:color="auto"/>
              <w:left w:val="single" w:sz="6" w:space="0" w:color="auto"/>
              <w:bottom w:val="single" w:sz="6" w:space="0" w:color="auto"/>
              <w:right w:val="single" w:sz="6" w:space="0" w:color="auto"/>
            </w:tcBorders>
          </w:tcPr>
          <w:p>
            <w:pPr>
              <w:tabs>
                <w:tab w:val="left" w:pos="1356"/>
              </w:tabs>
              <w:rPr>
                <w:sz w:val="20"/>
                <w:szCs w:val="20"/>
                <w:lang w:val="ro-RO"/>
              </w:rPr>
            </w:pPr>
            <w:r>
              <w:rPr>
                <w:b/>
                <w:bCs/>
                <w:sz w:val="20"/>
                <w:szCs w:val="20"/>
                <w:lang w:val="ro-RO"/>
              </w:rPr>
              <w:t>±-8</w:t>
            </w:r>
            <w:r>
              <w:rPr>
                <w:sz w:val="20"/>
                <w:szCs w:val="20"/>
                <w:lang w:val="ro-RO"/>
              </w:rPr>
              <w:t>0</w:t>
            </w:r>
          </w:p>
        </w:tc>
      </w:tr>
      <w:tr>
        <w:trPr>
          <w:jc w:val="center"/>
        </w:trPr>
        <w:tc>
          <w:tcPr>
            <w:tcW w:w="945" w:type="dxa"/>
            <w:vMerge w:val="restart"/>
            <w:tcBorders>
              <w:top w:val="single" w:sz="6" w:space="0" w:color="auto"/>
              <w:left w:val="single" w:sz="6" w:space="0" w:color="auto"/>
              <w:right w:val="single" w:sz="6" w:space="0" w:color="auto"/>
            </w:tcBorders>
            <w:vAlign w:val="center"/>
          </w:tcPr>
          <w:p>
            <w:pPr>
              <w:tabs>
                <w:tab w:val="left" w:pos="1356"/>
              </w:tabs>
              <w:rPr>
                <w:sz w:val="20"/>
                <w:szCs w:val="20"/>
                <w:lang w:val="ro-RO"/>
              </w:rPr>
            </w:pPr>
            <w:r>
              <w:rPr>
                <w:sz w:val="20"/>
                <w:szCs w:val="20"/>
                <w:lang w:val="ro-RO"/>
              </w:rPr>
              <w:t>2</w:t>
            </w:r>
          </w:p>
        </w:tc>
        <w:tc>
          <w:tcPr>
            <w:tcW w:w="8403" w:type="dxa"/>
            <w:gridSpan w:val="2"/>
            <w:tcBorders>
              <w:top w:val="single" w:sz="6" w:space="0" w:color="auto"/>
              <w:left w:val="single" w:sz="6" w:space="0" w:color="auto"/>
              <w:bottom w:val="single" w:sz="6" w:space="0" w:color="auto"/>
              <w:right w:val="single" w:sz="6" w:space="0" w:color="auto"/>
            </w:tcBorders>
          </w:tcPr>
          <w:p>
            <w:pPr>
              <w:tabs>
                <w:tab w:val="left" w:pos="1356"/>
              </w:tabs>
              <w:rPr>
                <w:sz w:val="20"/>
                <w:szCs w:val="20"/>
                <w:lang w:val="ro-RO"/>
              </w:rPr>
            </w:pPr>
            <w:r>
              <w:rPr>
                <w:sz w:val="20"/>
                <w:szCs w:val="20"/>
                <w:lang w:val="ro-RO"/>
              </w:rPr>
              <w:t>La goluri:</w:t>
            </w:r>
          </w:p>
        </w:tc>
      </w:tr>
      <w:tr>
        <w:trPr>
          <w:jc w:val="center"/>
        </w:trPr>
        <w:tc>
          <w:tcPr>
            <w:tcW w:w="945" w:type="dxa"/>
            <w:vMerge/>
            <w:tcBorders>
              <w:left w:val="single" w:sz="6" w:space="0" w:color="auto"/>
              <w:right w:val="single" w:sz="6" w:space="0" w:color="auto"/>
            </w:tcBorders>
            <w:vAlign w:val="center"/>
          </w:tcPr>
          <w:p>
            <w:pPr>
              <w:tabs>
                <w:tab w:val="left" w:pos="1356"/>
              </w:tabs>
              <w:rPr>
                <w:sz w:val="20"/>
                <w:szCs w:val="20"/>
                <w:lang w:val="ro-RO"/>
              </w:rPr>
            </w:pPr>
          </w:p>
        </w:tc>
        <w:tc>
          <w:tcPr>
            <w:tcW w:w="6804" w:type="dxa"/>
            <w:tcBorders>
              <w:top w:val="single" w:sz="6" w:space="0" w:color="auto"/>
              <w:left w:val="single" w:sz="6" w:space="0" w:color="auto"/>
              <w:bottom w:val="single" w:sz="6" w:space="0" w:color="auto"/>
              <w:right w:val="single" w:sz="6" w:space="0" w:color="auto"/>
            </w:tcBorders>
          </w:tcPr>
          <w:p>
            <w:pPr>
              <w:tabs>
                <w:tab w:val="left" w:pos="1356"/>
              </w:tabs>
              <w:rPr>
                <w:sz w:val="20"/>
                <w:szCs w:val="20"/>
                <w:lang w:val="ro-RO"/>
              </w:rPr>
            </w:pPr>
            <w:r>
              <w:rPr>
                <w:rFonts w:ascii="Arial" w:hAnsi="Arial" w:cs="Arial"/>
                <w:sz w:val="20"/>
                <w:szCs w:val="20"/>
                <w:lang w:val="ro-RO"/>
              </w:rPr>
              <w:t>■</w:t>
            </w:r>
            <w:r>
              <w:rPr>
                <w:sz w:val="20"/>
                <w:szCs w:val="20"/>
                <w:lang w:val="ro-RO"/>
              </w:rPr>
              <w:t xml:space="preserve">   cu dimensiunea &lt; 100 cm</w:t>
            </w:r>
          </w:p>
        </w:tc>
        <w:tc>
          <w:tcPr>
            <w:tcW w:w="1599" w:type="dxa"/>
            <w:tcBorders>
              <w:top w:val="single" w:sz="6" w:space="0" w:color="auto"/>
              <w:left w:val="single" w:sz="6" w:space="0" w:color="auto"/>
              <w:bottom w:val="single" w:sz="6" w:space="0" w:color="auto"/>
              <w:right w:val="single" w:sz="6" w:space="0" w:color="auto"/>
            </w:tcBorders>
          </w:tcPr>
          <w:p>
            <w:pPr>
              <w:tabs>
                <w:tab w:val="left" w:pos="1356"/>
              </w:tabs>
              <w:rPr>
                <w:sz w:val="20"/>
                <w:szCs w:val="20"/>
                <w:lang w:val="ro-RO"/>
              </w:rPr>
            </w:pPr>
            <w:r>
              <w:rPr>
                <w:sz w:val="20"/>
                <w:szCs w:val="20"/>
                <w:lang w:val="ro-RO"/>
              </w:rPr>
              <w:t>±10</w:t>
            </w:r>
          </w:p>
        </w:tc>
      </w:tr>
      <w:tr>
        <w:trPr>
          <w:jc w:val="center"/>
        </w:trPr>
        <w:tc>
          <w:tcPr>
            <w:tcW w:w="945" w:type="dxa"/>
            <w:vMerge/>
            <w:tcBorders>
              <w:left w:val="single" w:sz="6" w:space="0" w:color="auto"/>
              <w:bottom w:val="single" w:sz="6" w:space="0" w:color="auto"/>
              <w:right w:val="single" w:sz="6" w:space="0" w:color="auto"/>
            </w:tcBorders>
            <w:vAlign w:val="center"/>
          </w:tcPr>
          <w:p>
            <w:pPr>
              <w:tabs>
                <w:tab w:val="left" w:pos="1356"/>
              </w:tabs>
              <w:rPr>
                <w:sz w:val="20"/>
                <w:szCs w:val="20"/>
                <w:lang w:val="ro-RO"/>
              </w:rPr>
            </w:pPr>
          </w:p>
        </w:tc>
        <w:tc>
          <w:tcPr>
            <w:tcW w:w="6804" w:type="dxa"/>
            <w:tcBorders>
              <w:top w:val="single" w:sz="6" w:space="0" w:color="auto"/>
              <w:left w:val="single" w:sz="6" w:space="0" w:color="auto"/>
              <w:bottom w:val="single" w:sz="6" w:space="0" w:color="auto"/>
              <w:right w:val="single" w:sz="6" w:space="0" w:color="auto"/>
            </w:tcBorders>
          </w:tcPr>
          <w:p>
            <w:pPr>
              <w:tabs>
                <w:tab w:val="left" w:pos="1356"/>
              </w:tabs>
              <w:rPr>
                <w:sz w:val="20"/>
                <w:szCs w:val="20"/>
                <w:lang w:val="ro-RO"/>
              </w:rPr>
            </w:pPr>
            <w:r>
              <w:rPr>
                <w:rFonts w:ascii="Arial" w:hAnsi="Arial" w:cs="Arial"/>
                <w:sz w:val="20"/>
                <w:szCs w:val="20"/>
                <w:lang w:val="ro-RO"/>
              </w:rPr>
              <w:t>■</w:t>
            </w:r>
            <w:r>
              <w:rPr>
                <w:sz w:val="20"/>
                <w:szCs w:val="20"/>
                <w:lang w:val="ro-RO"/>
              </w:rPr>
              <w:t xml:space="preserve">   cu dimensiunea &gt; 100 cm</w:t>
            </w:r>
          </w:p>
        </w:tc>
        <w:tc>
          <w:tcPr>
            <w:tcW w:w="1599" w:type="dxa"/>
            <w:tcBorders>
              <w:top w:val="single" w:sz="6" w:space="0" w:color="auto"/>
              <w:left w:val="single" w:sz="6" w:space="0" w:color="auto"/>
              <w:bottom w:val="single" w:sz="6" w:space="0" w:color="auto"/>
              <w:right w:val="single" w:sz="6" w:space="0" w:color="auto"/>
            </w:tcBorders>
          </w:tcPr>
          <w:p>
            <w:pPr>
              <w:tabs>
                <w:tab w:val="left" w:pos="1356"/>
              </w:tabs>
              <w:rPr>
                <w:sz w:val="20"/>
                <w:szCs w:val="20"/>
                <w:lang w:val="ro-RO"/>
              </w:rPr>
            </w:pPr>
            <w:r>
              <w:rPr>
                <w:b/>
                <w:bCs/>
                <w:sz w:val="20"/>
                <w:szCs w:val="20"/>
                <w:lang w:val="ro-RO"/>
              </w:rPr>
              <w:t xml:space="preserve">+ </w:t>
            </w:r>
            <w:r>
              <w:rPr>
                <w:sz w:val="20"/>
                <w:szCs w:val="20"/>
                <w:lang w:val="ro-RO"/>
              </w:rPr>
              <w:t>20</w:t>
            </w:r>
          </w:p>
        </w:tc>
      </w:tr>
      <w:tr>
        <w:trPr>
          <w:jc w:val="center"/>
        </w:trPr>
        <w:tc>
          <w:tcPr>
            <w:tcW w:w="945" w:type="dxa"/>
            <w:vMerge w:val="restart"/>
            <w:tcBorders>
              <w:top w:val="single" w:sz="6" w:space="0" w:color="auto"/>
              <w:left w:val="single" w:sz="6" w:space="0" w:color="auto"/>
              <w:right w:val="single" w:sz="6" w:space="0" w:color="auto"/>
            </w:tcBorders>
            <w:vAlign w:val="center"/>
          </w:tcPr>
          <w:p>
            <w:pPr>
              <w:tabs>
                <w:tab w:val="left" w:pos="1356"/>
              </w:tabs>
              <w:rPr>
                <w:sz w:val="20"/>
                <w:szCs w:val="20"/>
                <w:lang w:val="ro-RO"/>
              </w:rPr>
            </w:pPr>
            <w:r>
              <w:rPr>
                <w:sz w:val="20"/>
                <w:szCs w:val="20"/>
                <w:lang w:val="ro-RO"/>
              </w:rPr>
              <w:t>3</w:t>
            </w:r>
          </w:p>
        </w:tc>
        <w:tc>
          <w:tcPr>
            <w:tcW w:w="8403" w:type="dxa"/>
            <w:gridSpan w:val="2"/>
            <w:tcBorders>
              <w:top w:val="single" w:sz="6" w:space="0" w:color="auto"/>
              <w:left w:val="single" w:sz="6" w:space="0" w:color="auto"/>
              <w:bottom w:val="single" w:sz="6" w:space="0" w:color="auto"/>
              <w:right w:val="single" w:sz="6" w:space="0" w:color="auto"/>
            </w:tcBorders>
          </w:tcPr>
          <w:p>
            <w:pPr>
              <w:tabs>
                <w:tab w:val="left" w:pos="1356"/>
              </w:tabs>
              <w:rPr>
                <w:sz w:val="20"/>
                <w:szCs w:val="20"/>
                <w:lang w:val="ro-RO"/>
              </w:rPr>
            </w:pPr>
            <w:r>
              <w:rPr>
                <w:sz w:val="20"/>
                <w:szCs w:val="20"/>
                <w:lang w:val="ro-RO"/>
              </w:rPr>
              <w:t>La dimensiunile in plan ale încăperilor:</w:t>
            </w:r>
          </w:p>
        </w:tc>
      </w:tr>
      <w:tr>
        <w:trPr>
          <w:jc w:val="center"/>
        </w:trPr>
        <w:tc>
          <w:tcPr>
            <w:tcW w:w="945" w:type="dxa"/>
            <w:vMerge/>
            <w:tcBorders>
              <w:left w:val="single" w:sz="6" w:space="0" w:color="auto"/>
              <w:right w:val="single" w:sz="6" w:space="0" w:color="auto"/>
            </w:tcBorders>
            <w:vAlign w:val="center"/>
          </w:tcPr>
          <w:p>
            <w:pPr>
              <w:tabs>
                <w:tab w:val="left" w:pos="1356"/>
              </w:tabs>
              <w:rPr>
                <w:sz w:val="20"/>
                <w:szCs w:val="20"/>
                <w:lang w:val="ro-RO"/>
              </w:rPr>
            </w:pPr>
          </w:p>
        </w:tc>
        <w:tc>
          <w:tcPr>
            <w:tcW w:w="6804" w:type="dxa"/>
            <w:tcBorders>
              <w:top w:val="single" w:sz="6" w:space="0" w:color="auto"/>
              <w:left w:val="single" w:sz="6" w:space="0" w:color="auto"/>
              <w:bottom w:val="single" w:sz="6" w:space="0" w:color="auto"/>
              <w:right w:val="single" w:sz="6" w:space="0" w:color="auto"/>
            </w:tcBorders>
          </w:tcPr>
          <w:p>
            <w:pPr>
              <w:tabs>
                <w:tab w:val="left" w:pos="1356"/>
              </w:tabs>
              <w:rPr>
                <w:sz w:val="20"/>
                <w:szCs w:val="20"/>
                <w:lang w:val="ro-RO"/>
              </w:rPr>
            </w:pPr>
            <w:r>
              <w:rPr>
                <w:rFonts w:ascii="Arial" w:hAnsi="Arial" w:cs="Arial"/>
                <w:sz w:val="20"/>
                <w:szCs w:val="20"/>
                <w:lang w:val="ro-RO"/>
              </w:rPr>
              <w:t>■</w:t>
            </w:r>
            <w:r>
              <w:rPr>
                <w:sz w:val="20"/>
                <w:szCs w:val="20"/>
                <w:lang w:val="ro-RO"/>
              </w:rPr>
              <w:t xml:space="preserve">   cu latura încăperii &lt; 300 cm</w:t>
            </w:r>
          </w:p>
        </w:tc>
        <w:tc>
          <w:tcPr>
            <w:tcW w:w="1599" w:type="dxa"/>
            <w:tcBorders>
              <w:top w:val="single" w:sz="6" w:space="0" w:color="auto"/>
              <w:left w:val="single" w:sz="6" w:space="0" w:color="auto"/>
              <w:bottom w:val="single" w:sz="6" w:space="0" w:color="auto"/>
              <w:right w:val="single" w:sz="6" w:space="0" w:color="auto"/>
            </w:tcBorders>
          </w:tcPr>
          <w:p>
            <w:pPr>
              <w:tabs>
                <w:tab w:val="left" w:pos="1356"/>
              </w:tabs>
              <w:rPr>
                <w:sz w:val="20"/>
                <w:szCs w:val="20"/>
                <w:lang w:val="ro-RO"/>
              </w:rPr>
            </w:pPr>
            <w:r>
              <w:rPr>
                <w:sz w:val="20"/>
                <w:szCs w:val="20"/>
                <w:lang w:val="ro-RO"/>
              </w:rPr>
              <w:t>±15</w:t>
            </w:r>
          </w:p>
        </w:tc>
      </w:tr>
      <w:tr>
        <w:trPr>
          <w:jc w:val="center"/>
        </w:trPr>
        <w:tc>
          <w:tcPr>
            <w:tcW w:w="945" w:type="dxa"/>
            <w:vMerge/>
            <w:tcBorders>
              <w:left w:val="single" w:sz="6" w:space="0" w:color="auto"/>
              <w:bottom w:val="single" w:sz="6" w:space="0" w:color="auto"/>
              <w:right w:val="single" w:sz="6" w:space="0" w:color="auto"/>
            </w:tcBorders>
            <w:vAlign w:val="center"/>
          </w:tcPr>
          <w:p>
            <w:pPr>
              <w:tabs>
                <w:tab w:val="left" w:pos="1356"/>
              </w:tabs>
              <w:rPr>
                <w:sz w:val="20"/>
                <w:szCs w:val="20"/>
                <w:lang w:val="ro-RO"/>
              </w:rPr>
            </w:pPr>
          </w:p>
        </w:tc>
        <w:tc>
          <w:tcPr>
            <w:tcW w:w="6804" w:type="dxa"/>
            <w:tcBorders>
              <w:top w:val="single" w:sz="6" w:space="0" w:color="auto"/>
              <w:left w:val="single" w:sz="6" w:space="0" w:color="auto"/>
              <w:bottom w:val="single" w:sz="6" w:space="0" w:color="auto"/>
              <w:right w:val="single" w:sz="6" w:space="0" w:color="auto"/>
            </w:tcBorders>
          </w:tcPr>
          <w:p>
            <w:pPr>
              <w:tabs>
                <w:tab w:val="left" w:pos="1356"/>
              </w:tabs>
              <w:rPr>
                <w:sz w:val="20"/>
                <w:szCs w:val="20"/>
                <w:lang w:val="ro-RO"/>
              </w:rPr>
            </w:pPr>
            <w:r>
              <w:rPr>
                <w:rFonts w:ascii="Arial" w:hAnsi="Arial" w:cs="Arial"/>
                <w:sz w:val="20"/>
                <w:szCs w:val="20"/>
                <w:lang w:val="ro-RO"/>
              </w:rPr>
              <w:t>■</w:t>
            </w:r>
            <w:r>
              <w:rPr>
                <w:sz w:val="20"/>
                <w:szCs w:val="20"/>
                <w:lang w:val="ro-RO"/>
              </w:rPr>
              <w:t xml:space="preserve">   cu latura încăperii &gt; 300 cm</w:t>
            </w:r>
          </w:p>
        </w:tc>
        <w:tc>
          <w:tcPr>
            <w:tcW w:w="1599" w:type="dxa"/>
            <w:tcBorders>
              <w:top w:val="single" w:sz="6" w:space="0" w:color="auto"/>
              <w:left w:val="single" w:sz="6" w:space="0" w:color="auto"/>
              <w:bottom w:val="single" w:sz="6" w:space="0" w:color="auto"/>
              <w:right w:val="single" w:sz="6" w:space="0" w:color="auto"/>
            </w:tcBorders>
          </w:tcPr>
          <w:p>
            <w:pPr>
              <w:tabs>
                <w:tab w:val="left" w:pos="1356"/>
              </w:tabs>
              <w:rPr>
                <w:sz w:val="20"/>
                <w:szCs w:val="20"/>
                <w:lang w:val="ro-RO"/>
              </w:rPr>
            </w:pPr>
            <w:r>
              <w:rPr>
                <w:sz w:val="20"/>
                <w:szCs w:val="20"/>
                <w:lang w:val="ro-RO"/>
              </w:rPr>
              <w:t>±20</w:t>
            </w:r>
          </w:p>
        </w:tc>
      </w:tr>
      <w:tr>
        <w:trPr>
          <w:jc w:val="center"/>
        </w:trPr>
        <w:tc>
          <w:tcPr>
            <w:tcW w:w="945" w:type="dxa"/>
            <w:tcBorders>
              <w:top w:val="single" w:sz="6" w:space="0" w:color="auto"/>
              <w:left w:val="single" w:sz="6" w:space="0" w:color="auto"/>
              <w:bottom w:val="single" w:sz="6" w:space="0" w:color="auto"/>
              <w:right w:val="single" w:sz="6" w:space="0" w:color="auto"/>
            </w:tcBorders>
            <w:vAlign w:val="center"/>
          </w:tcPr>
          <w:p>
            <w:pPr>
              <w:tabs>
                <w:tab w:val="left" w:pos="1356"/>
              </w:tabs>
              <w:rPr>
                <w:sz w:val="20"/>
                <w:szCs w:val="20"/>
                <w:lang w:val="ro-RO"/>
              </w:rPr>
            </w:pPr>
            <w:r>
              <w:rPr>
                <w:sz w:val="20"/>
                <w:szCs w:val="20"/>
                <w:lang w:val="ro-RO"/>
              </w:rPr>
              <w:t>4</w:t>
            </w:r>
          </w:p>
        </w:tc>
        <w:tc>
          <w:tcPr>
            <w:tcW w:w="6804" w:type="dxa"/>
            <w:tcBorders>
              <w:top w:val="single" w:sz="6" w:space="0" w:color="auto"/>
              <w:left w:val="single" w:sz="6" w:space="0" w:color="auto"/>
              <w:bottom w:val="single" w:sz="6" w:space="0" w:color="auto"/>
              <w:right w:val="single" w:sz="6" w:space="0" w:color="auto"/>
            </w:tcBorders>
          </w:tcPr>
          <w:p>
            <w:pPr>
              <w:tabs>
                <w:tab w:val="left" w:pos="1356"/>
              </w:tabs>
              <w:rPr>
                <w:sz w:val="20"/>
                <w:szCs w:val="20"/>
                <w:lang w:val="ro-RO"/>
              </w:rPr>
            </w:pPr>
            <w:r>
              <w:rPr>
                <w:sz w:val="20"/>
                <w:szCs w:val="20"/>
                <w:lang w:val="ro-RO"/>
              </w:rPr>
              <w:t>La dimensiunile parţiale in plan (nise, spaleti etc.)</w:t>
            </w:r>
          </w:p>
        </w:tc>
        <w:tc>
          <w:tcPr>
            <w:tcW w:w="1599" w:type="dxa"/>
            <w:tcBorders>
              <w:top w:val="single" w:sz="6" w:space="0" w:color="auto"/>
              <w:left w:val="single" w:sz="6" w:space="0" w:color="auto"/>
              <w:bottom w:val="single" w:sz="6" w:space="0" w:color="auto"/>
              <w:right w:val="single" w:sz="6" w:space="0" w:color="auto"/>
            </w:tcBorders>
          </w:tcPr>
          <w:p>
            <w:pPr>
              <w:tabs>
                <w:tab w:val="left" w:pos="1356"/>
              </w:tabs>
              <w:rPr>
                <w:sz w:val="20"/>
                <w:szCs w:val="20"/>
                <w:lang w:val="ro-RO"/>
              </w:rPr>
            </w:pPr>
            <w:r>
              <w:rPr>
                <w:sz w:val="20"/>
                <w:szCs w:val="20"/>
                <w:lang w:val="ro-RO"/>
              </w:rPr>
              <w:t>±20</w:t>
            </w:r>
          </w:p>
        </w:tc>
      </w:tr>
      <w:tr>
        <w:trPr>
          <w:jc w:val="center"/>
        </w:trPr>
        <w:tc>
          <w:tcPr>
            <w:tcW w:w="945" w:type="dxa"/>
            <w:tcBorders>
              <w:top w:val="single" w:sz="6" w:space="0" w:color="auto"/>
              <w:left w:val="single" w:sz="6" w:space="0" w:color="auto"/>
              <w:bottom w:val="single" w:sz="6" w:space="0" w:color="auto"/>
              <w:right w:val="single" w:sz="6" w:space="0" w:color="auto"/>
            </w:tcBorders>
            <w:vAlign w:val="center"/>
          </w:tcPr>
          <w:p>
            <w:pPr>
              <w:tabs>
                <w:tab w:val="left" w:pos="1356"/>
              </w:tabs>
              <w:rPr>
                <w:sz w:val="20"/>
                <w:szCs w:val="20"/>
                <w:lang w:val="ro-RO"/>
              </w:rPr>
            </w:pPr>
            <w:r>
              <w:rPr>
                <w:sz w:val="20"/>
                <w:szCs w:val="20"/>
                <w:lang w:val="ro-RO"/>
              </w:rPr>
              <w:t>5</w:t>
            </w:r>
          </w:p>
        </w:tc>
        <w:tc>
          <w:tcPr>
            <w:tcW w:w="6804" w:type="dxa"/>
            <w:tcBorders>
              <w:top w:val="single" w:sz="6" w:space="0" w:color="auto"/>
              <w:left w:val="single" w:sz="6" w:space="0" w:color="auto"/>
              <w:bottom w:val="single" w:sz="6" w:space="0" w:color="auto"/>
              <w:right w:val="single" w:sz="6" w:space="0" w:color="auto"/>
            </w:tcBorders>
          </w:tcPr>
          <w:p>
            <w:pPr>
              <w:tabs>
                <w:tab w:val="left" w:pos="1356"/>
              </w:tabs>
              <w:rPr>
                <w:sz w:val="20"/>
                <w:szCs w:val="20"/>
                <w:lang w:val="ro-RO"/>
              </w:rPr>
            </w:pPr>
            <w:r>
              <w:rPr>
                <w:sz w:val="20"/>
                <w:szCs w:val="20"/>
                <w:lang w:val="ro-RO"/>
              </w:rPr>
              <w:t>La dimensiunile in plan ale întregii clădiri</w:t>
            </w:r>
          </w:p>
        </w:tc>
        <w:tc>
          <w:tcPr>
            <w:tcW w:w="1599" w:type="dxa"/>
            <w:tcBorders>
              <w:top w:val="single" w:sz="6" w:space="0" w:color="auto"/>
              <w:left w:val="single" w:sz="6" w:space="0" w:color="auto"/>
              <w:bottom w:val="single" w:sz="6" w:space="0" w:color="auto"/>
              <w:right w:val="single" w:sz="6" w:space="0" w:color="auto"/>
            </w:tcBorders>
          </w:tcPr>
          <w:p>
            <w:pPr>
              <w:tabs>
                <w:tab w:val="left" w:pos="1356"/>
              </w:tabs>
              <w:rPr>
                <w:sz w:val="20"/>
                <w:szCs w:val="20"/>
                <w:lang w:val="ro-RO"/>
              </w:rPr>
            </w:pPr>
            <w:r>
              <w:rPr>
                <w:sz w:val="20"/>
                <w:szCs w:val="20"/>
                <w:lang w:val="ro-RO"/>
              </w:rPr>
              <w:t>±50</w:t>
            </w:r>
          </w:p>
        </w:tc>
      </w:tr>
      <w:tr>
        <w:trPr>
          <w:jc w:val="center"/>
        </w:trPr>
        <w:tc>
          <w:tcPr>
            <w:tcW w:w="945" w:type="dxa"/>
            <w:vMerge w:val="restart"/>
            <w:tcBorders>
              <w:top w:val="single" w:sz="6" w:space="0" w:color="auto"/>
              <w:left w:val="single" w:sz="6" w:space="0" w:color="auto"/>
              <w:right w:val="single" w:sz="6" w:space="0" w:color="auto"/>
            </w:tcBorders>
            <w:vAlign w:val="center"/>
          </w:tcPr>
          <w:p>
            <w:pPr>
              <w:tabs>
                <w:tab w:val="left" w:pos="1356"/>
              </w:tabs>
              <w:rPr>
                <w:sz w:val="20"/>
                <w:szCs w:val="20"/>
                <w:lang w:val="ro-RO"/>
              </w:rPr>
            </w:pPr>
            <w:r>
              <w:rPr>
                <w:sz w:val="20"/>
                <w:szCs w:val="20"/>
                <w:lang w:val="ro-RO"/>
              </w:rPr>
              <w:t>6</w:t>
            </w:r>
          </w:p>
        </w:tc>
        <w:tc>
          <w:tcPr>
            <w:tcW w:w="8403" w:type="dxa"/>
            <w:gridSpan w:val="2"/>
            <w:tcBorders>
              <w:top w:val="single" w:sz="6" w:space="0" w:color="auto"/>
              <w:left w:val="single" w:sz="6" w:space="0" w:color="auto"/>
              <w:bottom w:val="single" w:sz="6" w:space="0" w:color="auto"/>
              <w:right w:val="single" w:sz="6" w:space="0" w:color="auto"/>
            </w:tcBorders>
          </w:tcPr>
          <w:p>
            <w:pPr>
              <w:tabs>
                <w:tab w:val="left" w:pos="1356"/>
              </w:tabs>
              <w:rPr>
                <w:sz w:val="20"/>
                <w:szCs w:val="20"/>
                <w:lang w:val="ro-RO"/>
              </w:rPr>
            </w:pPr>
            <w:r>
              <w:rPr>
                <w:sz w:val="20"/>
                <w:szCs w:val="20"/>
                <w:lang w:val="ro-RO"/>
              </w:rPr>
              <w:t>La dimensiunea rosturilor dintre caramizi, blocuri sau placi:</w:t>
            </w:r>
          </w:p>
        </w:tc>
      </w:tr>
      <w:tr>
        <w:trPr>
          <w:jc w:val="center"/>
        </w:trPr>
        <w:tc>
          <w:tcPr>
            <w:tcW w:w="945" w:type="dxa"/>
            <w:vMerge/>
            <w:tcBorders>
              <w:left w:val="single" w:sz="6" w:space="0" w:color="auto"/>
              <w:right w:val="single" w:sz="6" w:space="0" w:color="auto"/>
            </w:tcBorders>
          </w:tcPr>
          <w:p>
            <w:pPr>
              <w:tabs>
                <w:tab w:val="left" w:pos="1356"/>
              </w:tabs>
              <w:rPr>
                <w:sz w:val="20"/>
                <w:szCs w:val="20"/>
                <w:lang w:val="ro-RO"/>
              </w:rPr>
            </w:pPr>
          </w:p>
        </w:tc>
        <w:tc>
          <w:tcPr>
            <w:tcW w:w="6804" w:type="dxa"/>
            <w:tcBorders>
              <w:top w:val="single" w:sz="6" w:space="0" w:color="auto"/>
              <w:left w:val="single" w:sz="6" w:space="0" w:color="auto"/>
              <w:bottom w:val="single" w:sz="6" w:space="0" w:color="auto"/>
              <w:right w:val="single" w:sz="6" w:space="0" w:color="auto"/>
            </w:tcBorders>
          </w:tcPr>
          <w:p>
            <w:pPr>
              <w:tabs>
                <w:tab w:val="left" w:pos="1356"/>
              </w:tabs>
              <w:rPr>
                <w:sz w:val="20"/>
                <w:szCs w:val="20"/>
                <w:lang w:val="ro-RO"/>
              </w:rPr>
            </w:pPr>
            <w:r>
              <w:rPr>
                <w:rFonts w:ascii="Arial" w:hAnsi="Arial" w:cs="Arial"/>
                <w:sz w:val="20"/>
                <w:szCs w:val="20"/>
                <w:lang w:val="ro-RO"/>
              </w:rPr>
              <w:t>■</w:t>
            </w:r>
            <w:r>
              <w:rPr>
                <w:sz w:val="20"/>
                <w:szCs w:val="20"/>
                <w:lang w:val="ro-RO"/>
              </w:rPr>
              <w:t xml:space="preserve">   rosturi orizontale</w:t>
            </w:r>
          </w:p>
        </w:tc>
        <w:tc>
          <w:tcPr>
            <w:tcW w:w="1599" w:type="dxa"/>
            <w:tcBorders>
              <w:top w:val="single" w:sz="6" w:space="0" w:color="auto"/>
              <w:left w:val="single" w:sz="6" w:space="0" w:color="auto"/>
              <w:bottom w:val="single" w:sz="6" w:space="0" w:color="auto"/>
              <w:right w:val="single" w:sz="6" w:space="0" w:color="auto"/>
            </w:tcBorders>
          </w:tcPr>
          <w:p>
            <w:pPr>
              <w:tabs>
                <w:tab w:val="left" w:pos="1356"/>
              </w:tabs>
              <w:rPr>
                <w:b/>
                <w:bCs/>
                <w:sz w:val="20"/>
                <w:szCs w:val="20"/>
                <w:lang w:val="ro-RO"/>
              </w:rPr>
            </w:pPr>
            <w:r>
              <w:rPr>
                <w:b/>
                <w:bCs/>
                <w:sz w:val="20"/>
                <w:szCs w:val="20"/>
                <w:lang w:val="ro-RO"/>
              </w:rPr>
              <w:t>+ 5</w:t>
            </w:r>
          </w:p>
        </w:tc>
      </w:tr>
      <w:tr>
        <w:trPr>
          <w:jc w:val="center"/>
        </w:trPr>
        <w:tc>
          <w:tcPr>
            <w:tcW w:w="945" w:type="dxa"/>
            <w:vMerge/>
            <w:tcBorders>
              <w:left w:val="single" w:sz="6" w:space="0" w:color="auto"/>
              <w:right w:val="single" w:sz="6" w:space="0" w:color="auto"/>
            </w:tcBorders>
          </w:tcPr>
          <w:p>
            <w:pPr>
              <w:tabs>
                <w:tab w:val="left" w:pos="1356"/>
              </w:tabs>
              <w:rPr>
                <w:sz w:val="20"/>
                <w:szCs w:val="20"/>
                <w:lang w:val="ro-RO"/>
              </w:rPr>
            </w:pPr>
          </w:p>
        </w:tc>
        <w:tc>
          <w:tcPr>
            <w:tcW w:w="6804" w:type="dxa"/>
            <w:tcBorders>
              <w:top w:val="single" w:sz="6" w:space="0" w:color="auto"/>
              <w:left w:val="single" w:sz="6" w:space="0" w:color="auto"/>
              <w:bottom w:val="single" w:sz="6" w:space="0" w:color="auto"/>
              <w:right w:val="single" w:sz="6" w:space="0" w:color="auto"/>
            </w:tcBorders>
          </w:tcPr>
          <w:p>
            <w:pPr>
              <w:tabs>
                <w:tab w:val="left" w:pos="1356"/>
              </w:tabs>
              <w:rPr>
                <w:sz w:val="20"/>
                <w:szCs w:val="20"/>
                <w:lang w:val="ro-RO"/>
              </w:rPr>
            </w:pPr>
            <w:r>
              <w:rPr>
                <w:rFonts w:ascii="Arial" w:hAnsi="Arial" w:cs="Arial"/>
                <w:sz w:val="20"/>
                <w:szCs w:val="20"/>
                <w:lang w:val="ro-RO"/>
              </w:rPr>
              <w:t>■</w:t>
            </w:r>
            <w:r>
              <w:rPr>
                <w:sz w:val="20"/>
                <w:szCs w:val="20"/>
                <w:lang w:val="ro-RO"/>
              </w:rPr>
              <w:t xml:space="preserve">   rosturi verticale</w:t>
            </w:r>
          </w:p>
        </w:tc>
        <w:tc>
          <w:tcPr>
            <w:tcW w:w="1599" w:type="dxa"/>
            <w:tcBorders>
              <w:top w:val="single" w:sz="6" w:space="0" w:color="auto"/>
              <w:left w:val="single" w:sz="6" w:space="0" w:color="auto"/>
              <w:bottom w:val="single" w:sz="6" w:space="0" w:color="auto"/>
              <w:right w:val="single" w:sz="6" w:space="0" w:color="auto"/>
            </w:tcBorders>
          </w:tcPr>
          <w:p>
            <w:pPr>
              <w:tabs>
                <w:tab w:val="left" w:pos="1356"/>
              </w:tabs>
              <w:rPr>
                <w:b/>
                <w:bCs/>
                <w:sz w:val="20"/>
                <w:szCs w:val="20"/>
                <w:lang w:val="ro-RO"/>
              </w:rPr>
            </w:pPr>
            <w:r>
              <w:rPr>
                <w:b/>
                <w:bCs/>
                <w:sz w:val="20"/>
                <w:szCs w:val="20"/>
                <w:lang w:val="ro-RO"/>
              </w:rPr>
              <w:t>+ 5</w:t>
            </w:r>
          </w:p>
        </w:tc>
      </w:tr>
      <w:tr>
        <w:trPr>
          <w:jc w:val="center"/>
        </w:trPr>
        <w:tc>
          <w:tcPr>
            <w:tcW w:w="945" w:type="dxa"/>
            <w:vMerge/>
            <w:tcBorders>
              <w:left w:val="single" w:sz="6" w:space="0" w:color="auto"/>
              <w:bottom w:val="single" w:sz="6" w:space="0" w:color="auto"/>
              <w:right w:val="single" w:sz="6" w:space="0" w:color="auto"/>
            </w:tcBorders>
          </w:tcPr>
          <w:p>
            <w:pPr>
              <w:tabs>
                <w:tab w:val="left" w:pos="1356"/>
              </w:tabs>
              <w:rPr>
                <w:sz w:val="20"/>
                <w:szCs w:val="20"/>
                <w:lang w:val="ro-RO"/>
              </w:rPr>
            </w:pPr>
          </w:p>
        </w:tc>
        <w:tc>
          <w:tcPr>
            <w:tcW w:w="6804" w:type="dxa"/>
            <w:tcBorders>
              <w:top w:val="single" w:sz="6" w:space="0" w:color="auto"/>
              <w:left w:val="single" w:sz="6" w:space="0" w:color="auto"/>
              <w:bottom w:val="single" w:sz="6" w:space="0" w:color="auto"/>
              <w:right w:val="single" w:sz="6" w:space="0" w:color="auto"/>
            </w:tcBorders>
          </w:tcPr>
          <w:p>
            <w:pPr>
              <w:tabs>
                <w:tab w:val="left" w:pos="1356"/>
              </w:tabs>
              <w:rPr>
                <w:sz w:val="20"/>
                <w:szCs w:val="20"/>
                <w:lang w:val="ro-RO"/>
              </w:rPr>
            </w:pPr>
            <w:r>
              <w:rPr>
                <w:rFonts w:ascii="Arial" w:hAnsi="Arial" w:cs="Arial"/>
                <w:sz w:val="20"/>
                <w:szCs w:val="20"/>
                <w:lang w:val="ro-RO"/>
              </w:rPr>
              <w:t>■</w:t>
            </w:r>
            <w:r>
              <w:rPr>
                <w:sz w:val="20"/>
                <w:szCs w:val="20"/>
                <w:lang w:val="ro-RO"/>
              </w:rPr>
              <w:t xml:space="preserve">   pentru ziduri aparente</w:t>
            </w:r>
          </w:p>
        </w:tc>
        <w:tc>
          <w:tcPr>
            <w:tcW w:w="1599" w:type="dxa"/>
            <w:tcBorders>
              <w:top w:val="single" w:sz="6" w:space="0" w:color="auto"/>
              <w:left w:val="single" w:sz="6" w:space="0" w:color="auto"/>
              <w:bottom w:val="single" w:sz="6" w:space="0" w:color="auto"/>
              <w:right w:val="single" w:sz="6" w:space="0" w:color="auto"/>
            </w:tcBorders>
          </w:tcPr>
          <w:p>
            <w:pPr>
              <w:tabs>
                <w:tab w:val="left" w:pos="1356"/>
              </w:tabs>
              <w:rPr>
                <w:b/>
                <w:bCs/>
                <w:sz w:val="20"/>
                <w:szCs w:val="20"/>
                <w:lang w:val="ro-RO"/>
              </w:rPr>
            </w:pPr>
            <w:r>
              <w:rPr>
                <w:b/>
                <w:bCs/>
                <w:sz w:val="20"/>
                <w:szCs w:val="20"/>
                <w:lang w:val="ro-RO"/>
              </w:rPr>
              <w:t>±2</w:t>
            </w:r>
          </w:p>
        </w:tc>
      </w:tr>
    </w:tbl>
    <w:p>
      <w:pPr>
        <w:rPr>
          <w:sz w:val="20"/>
          <w:szCs w:val="20"/>
          <w:lang w:val="ro-RO"/>
        </w:rPr>
      </w:pPr>
    </w:p>
    <w:p>
      <w:pPr>
        <w:pStyle w:val="ListParagraph"/>
        <w:numPr>
          <w:ilvl w:val="0"/>
          <w:numId w:val="41"/>
        </w:numPr>
        <w:rPr>
          <w:b/>
          <w:sz w:val="20"/>
          <w:szCs w:val="20"/>
          <w:lang w:val="ro-RO"/>
        </w:rPr>
      </w:pPr>
      <w:r>
        <w:rPr>
          <w:b/>
          <w:sz w:val="20"/>
          <w:szCs w:val="20"/>
          <w:lang w:val="ro-RO"/>
        </w:rPr>
        <w:t>Verificarea calitatii si receptia lucrarilor</w:t>
      </w:r>
    </w:p>
    <w:p>
      <w:pPr>
        <w:rPr>
          <w:sz w:val="20"/>
          <w:szCs w:val="20"/>
          <w:lang w:val="ro-RO"/>
        </w:rPr>
      </w:pPr>
      <w:r>
        <w:rPr>
          <w:sz w:val="20"/>
          <w:szCs w:val="20"/>
          <w:lang w:val="ro-RO"/>
        </w:rPr>
        <w:t>Toate materialele care se folosesc la executarea zidariilor se vor pune in opera numai dupa ce conducatorul tehnic al lucrarii a verificat ca ele corespund cu prevederile proiectului si prescriptiilor tehnice. Verificările se fac pe baza documentelor care atesta calitatea materialelor si le insotesc la livrare (certificate de calitate, fise de transport), prin examinare vizuala si masuratori.</w:t>
      </w:r>
    </w:p>
    <w:p>
      <w:pPr>
        <w:rPr>
          <w:sz w:val="20"/>
          <w:szCs w:val="20"/>
          <w:lang w:val="ro-RO"/>
        </w:rPr>
      </w:pPr>
      <w:r>
        <w:rPr>
          <w:sz w:val="20"/>
          <w:szCs w:val="20"/>
          <w:lang w:val="ro-RO"/>
        </w:rPr>
        <w:t>Verificarea calitatii zidariilor se face vizual si prin masuratori, pe tot timpul executiei lucrarilor.</w:t>
      </w:r>
    </w:p>
    <w:p>
      <w:pPr>
        <w:rPr>
          <w:sz w:val="20"/>
          <w:szCs w:val="20"/>
          <w:lang w:val="ro-RO"/>
        </w:rPr>
      </w:pPr>
      <w:r>
        <w:rPr>
          <w:sz w:val="20"/>
          <w:szCs w:val="20"/>
          <w:lang w:val="ro-RO"/>
        </w:rPr>
        <w:t>La incheierea unei fazei de lucru, verificarile constau din examinarea existentei si analizarea continutului proceselor verbale de lucrari ascunse, a certificatelor de calitate, a eventualelor buletine de incercare sau a actelor incheiate cu comisia executarii remedierilor, precum si a dispozitiilor de santier date de beneficiar, proiectant sau organele de control.</w:t>
      </w:r>
    </w:p>
    <w:p>
      <w:pPr>
        <w:rPr>
          <w:sz w:val="20"/>
          <w:szCs w:val="20"/>
          <w:lang w:val="ro-RO"/>
        </w:rPr>
      </w:pPr>
      <w:r>
        <w:rPr>
          <w:sz w:val="20"/>
          <w:szCs w:val="20"/>
          <w:lang w:val="ro-RO"/>
        </w:rPr>
        <w:t>După executarea receptiei pe faza, comisia incheie un proces verbal in care consemneaza verificările efectuate, rezultatele obtinute si concluzia cu privire la posibilitatea continuarii lucrarilor sau propune supunerea lor unei comisii de expertiza.</w:t>
      </w:r>
    </w:p>
    <w:p>
      <w:pPr>
        <w:rPr>
          <w:sz w:val="20"/>
          <w:szCs w:val="20"/>
          <w:lang w:val="ro-RO"/>
        </w:rPr>
      </w:pPr>
      <w:r>
        <w:rPr>
          <w:sz w:val="20"/>
          <w:szCs w:val="20"/>
          <w:lang w:val="ro-RO"/>
        </w:rPr>
        <w:t>La recepţia preliminara a lucrării, comisia de recepţie examinează lucrările şi verifică îndeplinirea condiţiilor de execuţie şi calitative impuse de proiect şi Cerinţele Beneficiarului, precum şi constatările consemnate pe parcursul execuţiei, de către organele de control. Se încheie un "Proces verbal de recepţie preliminară".</w:t>
      </w:r>
    </w:p>
    <w:p>
      <w:pPr>
        <w:pStyle w:val="Heading3"/>
        <w:rPr>
          <w:sz w:val="20"/>
          <w:szCs w:val="20"/>
          <w:lang w:val="ro-RO"/>
        </w:rPr>
      </w:pPr>
      <w:bookmarkStart w:id="36" w:name="_Toc227161511"/>
      <w:r>
        <w:rPr>
          <w:sz w:val="20"/>
          <w:szCs w:val="20"/>
          <w:lang w:val="ro-RO"/>
        </w:rPr>
        <w:t>2.2.8 Cerinte privind lucrarile de executie a umpluturilor compactate</w:t>
      </w:r>
      <w:bookmarkEnd w:id="36"/>
    </w:p>
    <w:p>
      <w:pPr>
        <w:pStyle w:val="Heading4"/>
        <w:rPr>
          <w:sz w:val="20"/>
          <w:szCs w:val="20"/>
          <w:lang w:val="ro-RO"/>
        </w:rPr>
      </w:pPr>
      <w:r>
        <w:rPr>
          <w:sz w:val="20"/>
          <w:szCs w:val="20"/>
          <w:lang w:val="ro-RO"/>
        </w:rPr>
        <w:t>2.2.8.1 Conditii prealabile</w:t>
      </w:r>
    </w:p>
    <w:p>
      <w:pPr>
        <w:pStyle w:val="ListParagraph"/>
        <w:numPr>
          <w:ilvl w:val="0"/>
          <w:numId w:val="36"/>
        </w:numPr>
        <w:rPr>
          <w:sz w:val="20"/>
          <w:szCs w:val="20"/>
          <w:lang w:val="ro-RO"/>
        </w:rPr>
      </w:pPr>
      <w:r>
        <w:rPr>
          <w:sz w:val="20"/>
          <w:szCs w:val="20"/>
          <w:lang w:val="ro-RO"/>
        </w:rPr>
        <w:t>Existenta documentatiei de executie inclusiv studiile geotehnice, precum si prezenta procedura.</w:t>
      </w:r>
    </w:p>
    <w:p>
      <w:pPr>
        <w:pStyle w:val="ListParagraph"/>
        <w:numPr>
          <w:ilvl w:val="0"/>
          <w:numId w:val="36"/>
        </w:numPr>
        <w:rPr>
          <w:sz w:val="20"/>
          <w:szCs w:val="20"/>
          <w:lang w:val="ro-RO"/>
        </w:rPr>
      </w:pPr>
      <w:r>
        <w:rPr>
          <w:sz w:val="20"/>
          <w:szCs w:val="20"/>
          <w:lang w:val="ro-RO"/>
        </w:rPr>
        <w:t>Existenta proiectului pentru executarea umpluturilor compactate.</w:t>
      </w:r>
    </w:p>
    <w:p>
      <w:pPr>
        <w:pStyle w:val="ListParagraph"/>
        <w:numPr>
          <w:ilvl w:val="0"/>
          <w:numId w:val="36"/>
        </w:numPr>
        <w:rPr>
          <w:sz w:val="20"/>
          <w:szCs w:val="20"/>
          <w:lang w:val="ro-RO"/>
        </w:rPr>
      </w:pPr>
      <w:r>
        <w:rPr>
          <w:sz w:val="20"/>
          <w:szCs w:val="20"/>
          <w:lang w:val="ro-RO"/>
        </w:rPr>
        <w:t>Terminarea lucrarilor pregatitoare, conform C169/88.</w:t>
      </w:r>
    </w:p>
    <w:p>
      <w:pPr>
        <w:pStyle w:val="ListParagraph"/>
        <w:numPr>
          <w:ilvl w:val="0"/>
          <w:numId w:val="36"/>
        </w:numPr>
        <w:rPr>
          <w:sz w:val="20"/>
          <w:szCs w:val="20"/>
          <w:lang w:val="ro-RO"/>
        </w:rPr>
      </w:pPr>
      <w:r>
        <w:rPr>
          <w:sz w:val="20"/>
          <w:szCs w:val="20"/>
          <w:lang w:val="ro-RO"/>
        </w:rPr>
        <w:t>Existenta inregistrarilor de calitate pentru terenul pe care urmeaza sa se execute umluturile compactate (proces verbal de receptie calitativa a naturii si cotei terenului de fundare)</w:t>
      </w:r>
    </w:p>
    <w:p>
      <w:pPr>
        <w:pStyle w:val="ListParagraph"/>
        <w:numPr>
          <w:ilvl w:val="0"/>
          <w:numId w:val="36"/>
        </w:numPr>
        <w:rPr>
          <w:sz w:val="20"/>
          <w:szCs w:val="20"/>
          <w:lang w:val="ro-RO"/>
        </w:rPr>
      </w:pPr>
      <w:r>
        <w:rPr>
          <w:sz w:val="20"/>
          <w:szCs w:val="20"/>
          <w:lang w:val="ro-RO"/>
        </w:rPr>
        <w:t>Existenta verificarilor, analizelor si încercarilor, efectuate de un laborator autorizat, privind materialele din care se va realiza umplutura compactata si concluzionarea daca acestea corespund cerintelor impuse prin proiect si normele tehnice.</w:t>
      </w:r>
    </w:p>
    <w:p>
      <w:pPr>
        <w:pStyle w:val="ListParagraph"/>
        <w:numPr>
          <w:ilvl w:val="0"/>
          <w:numId w:val="36"/>
        </w:numPr>
        <w:rPr>
          <w:sz w:val="20"/>
          <w:szCs w:val="20"/>
          <w:lang w:val="ro-RO"/>
        </w:rPr>
      </w:pPr>
      <w:r>
        <w:rPr>
          <w:sz w:val="20"/>
          <w:szCs w:val="20"/>
          <w:lang w:val="ro-RO"/>
        </w:rPr>
        <w:t>Existenta utilitatilor: drumuri de acces, utilaje necesare, instalatie de apa, instalatie de lumina si forta, scule, dispozitive si utilaje specifice pentru echipele de muncitori ce vor executa lucrarea.</w:t>
      </w:r>
    </w:p>
    <w:p>
      <w:pPr>
        <w:pStyle w:val="ListParagraph"/>
        <w:numPr>
          <w:ilvl w:val="0"/>
          <w:numId w:val="36"/>
        </w:numPr>
        <w:rPr>
          <w:sz w:val="20"/>
          <w:szCs w:val="20"/>
          <w:lang w:val="ro-RO"/>
        </w:rPr>
      </w:pPr>
      <w:r>
        <w:rPr>
          <w:sz w:val="20"/>
          <w:szCs w:val="20"/>
          <w:lang w:val="ro-RO"/>
        </w:rPr>
        <w:t>Asigurarea la punctul de lucru a materialului corespunzator calitativ executarii umpluturilor compactate.</w:t>
      </w:r>
    </w:p>
    <w:p>
      <w:pPr>
        <w:pStyle w:val="ListParagraph"/>
        <w:numPr>
          <w:ilvl w:val="0"/>
          <w:numId w:val="36"/>
        </w:numPr>
        <w:rPr>
          <w:sz w:val="20"/>
          <w:szCs w:val="20"/>
          <w:lang w:val="ro-RO"/>
        </w:rPr>
      </w:pPr>
      <w:r>
        <w:rPr>
          <w:sz w:val="20"/>
          <w:szCs w:val="20"/>
          <w:lang w:val="ro-RO"/>
        </w:rPr>
        <w:t>Instruirea personalului executant privind NTSM si PSI specifice activitatii desfasurate.</w:t>
      </w:r>
    </w:p>
    <w:p>
      <w:pPr>
        <w:pStyle w:val="Heading4"/>
        <w:rPr>
          <w:sz w:val="20"/>
          <w:szCs w:val="20"/>
          <w:lang w:val="ro-RO"/>
        </w:rPr>
      </w:pPr>
      <w:r>
        <w:rPr>
          <w:sz w:val="20"/>
          <w:szCs w:val="20"/>
          <w:lang w:val="ro-RO"/>
        </w:rPr>
        <w:t>2.2.8.2 Descrierea tehnologiei</w:t>
      </w:r>
    </w:p>
    <w:p>
      <w:pPr>
        <w:rPr>
          <w:sz w:val="20"/>
          <w:szCs w:val="20"/>
          <w:lang w:val="ro-RO"/>
        </w:rPr>
      </w:pPr>
      <w:r>
        <w:rPr>
          <w:sz w:val="20"/>
          <w:szCs w:val="20"/>
          <w:lang w:val="ro-RO"/>
        </w:rPr>
        <w:t>Umpluturile necesare intre zidurile cladirilor, pentru ridicarea nivelului pana la cel necesar asezarii pardoselilor la parter, cat si la ridicarea nivelului terenului in exteriorul cladirilor, se vor executa numai dupa ce a fost inlaturat pamantul vegetal.</w:t>
      </w:r>
    </w:p>
    <w:p>
      <w:pPr>
        <w:rPr>
          <w:sz w:val="20"/>
          <w:szCs w:val="20"/>
          <w:lang w:val="ro-RO"/>
        </w:rPr>
      </w:pPr>
      <w:r>
        <w:rPr>
          <w:sz w:val="20"/>
          <w:szCs w:val="20"/>
          <w:lang w:val="ro-RO"/>
        </w:rPr>
        <w:lastRenderedPageBreak/>
        <w:t>Pamantul folosit pentru umplere va fi cel excavat la lucrarile de sapatura, fara corpuri straine (colturi, moloz, resturi de lemn etc.) si se va asterne in straturi de 20 cm grosime, care vor fi compactate, dupa ce au fost aduse la umiditatea optima de compactare, stabilita in prealabil.</w:t>
      </w:r>
    </w:p>
    <w:p>
      <w:pPr>
        <w:rPr>
          <w:sz w:val="20"/>
          <w:szCs w:val="20"/>
          <w:lang w:val="ro-RO"/>
        </w:rPr>
      </w:pPr>
      <w:r>
        <w:rPr>
          <w:sz w:val="20"/>
          <w:szCs w:val="20"/>
          <w:lang w:val="ro-RO"/>
        </w:rPr>
        <w:t>Cand umpluturile se fac cu pamanturi diferite, acestea se vor aseza in straturi alternante.</w:t>
      </w:r>
    </w:p>
    <w:p>
      <w:pPr>
        <w:rPr>
          <w:sz w:val="20"/>
          <w:szCs w:val="20"/>
          <w:lang w:val="ro-RO"/>
        </w:rPr>
      </w:pPr>
      <w:r>
        <w:rPr>
          <w:sz w:val="20"/>
          <w:szCs w:val="20"/>
          <w:lang w:val="ro-RO"/>
        </w:rPr>
        <w:t>In acelasi mod se va proceda si la executarea umpluturilor necesare pentru astuparea golurilor ramase in sapatura de fundatie imediat dupa turnarea betonului, scoaterea cofrajelor si a sprijinirilor si executarea zidariei pana deasupra terenului.</w:t>
      </w:r>
    </w:p>
    <w:p>
      <w:pPr>
        <w:rPr>
          <w:sz w:val="20"/>
          <w:szCs w:val="20"/>
          <w:lang w:val="ro-RO"/>
        </w:rPr>
      </w:pPr>
      <w:r>
        <w:rPr>
          <w:sz w:val="20"/>
          <w:szCs w:val="20"/>
          <w:lang w:val="ro-RO"/>
        </w:rPr>
        <w:t>La umpluturile ce se executa pentru pamanturile ce s-au aflat sub apa si la care, in timpul sapaturilor, nivelul hidrostatic a fost coborat prin metode artificiale, se recomanda realizarea unui prim strat de 0.3...0.5m din material pietros sau alte materiale filtrante, bine compactat, deasupra caruia se realizeaza umplutura din material natural.</w:t>
      </w:r>
    </w:p>
    <w:p>
      <w:pPr>
        <w:rPr>
          <w:sz w:val="20"/>
          <w:szCs w:val="20"/>
          <w:lang w:val="ro-RO"/>
        </w:rPr>
      </w:pPr>
      <w:r>
        <w:rPr>
          <w:sz w:val="20"/>
          <w:szCs w:val="20"/>
          <w:lang w:val="ro-RO"/>
        </w:rPr>
        <w:t>La umplutura santurilor pentru conducte trebuie sa se observe ca sa nu ramana goluri pe langa conducte si sub acestea, iar compactarea se va face fara a deplasa conductele sau cablurile. Umplerea si compactarea pana la 15 cm peste conducte si tuburi se va face manual.</w:t>
      </w:r>
    </w:p>
    <w:p>
      <w:pPr>
        <w:rPr>
          <w:sz w:val="20"/>
          <w:szCs w:val="20"/>
          <w:lang w:val="ro-RO"/>
        </w:rPr>
      </w:pPr>
      <w:r>
        <w:rPr>
          <w:sz w:val="20"/>
          <w:szCs w:val="20"/>
          <w:lang w:val="ro-RO"/>
        </w:rPr>
        <w:t>In zonele cu pamanturi contractile, la executarea umpluturilor sub pardoseli se vor folosi ca material umplutura fiepamanturi potential necontractile, fie pamantul local degresat prin amestecare cu nisip sau tratate cu praf de var nestins.</w:t>
      </w:r>
    </w:p>
    <w:p>
      <w:pPr>
        <w:rPr>
          <w:sz w:val="20"/>
          <w:szCs w:val="20"/>
          <w:lang w:val="ro-RO"/>
        </w:rPr>
      </w:pPr>
      <w:r>
        <w:rPr>
          <w:sz w:val="20"/>
          <w:szCs w:val="20"/>
          <w:lang w:val="ro-RO"/>
        </w:rPr>
        <w:t>La umplururile santurilor cu adancime mai mare de 1m, pe primii 0.5...lm de la suprafata terenului nivelat se va folosi materialul indicat mai sus.</w:t>
      </w:r>
    </w:p>
    <w:p>
      <w:pPr>
        <w:rPr>
          <w:sz w:val="20"/>
          <w:szCs w:val="20"/>
          <w:lang w:val="ro-RO"/>
        </w:rPr>
      </w:pPr>
      <w:r>
        <w:rPr>
          <w:sz w:val="20"/>
          <w:szCs w:val="20"/>
          <w:lang w:val="ro-RO"/>
        </w:rPr>
        <w:t>Umpluturile vor fi bine compactate in straturi de 15...20 cm grosime.</w:t>
      </w:r>
    </w:p>
    <w:p>
      <w:pPr>
        <w:rPr>
          <w:sz w:val="20"/>
          <w:szCs w:val="20"/>
          <w:lang w:val="ro-RO"/>
        </w:rPr>
      </w:pPr>
      <w:r>
        <w:rPr>
          <w:sz w:val="20"/>
          <w:szCs w:val="20"/>
          <w:lang w:val="ro-RO"/>
        </w:rPr>
        <w:t>Cand se constata ca pamantul de umplutura ar fi inundat sau umezit, datorita cresterii nivelului apei subterane sau prin capilaritate, primul strat de umplutura se va face cu pietris, balast sau nisip mare, cu capilaritate redusa (strat de rupere a capilaritatii), pentru ca apa sa nu ajunga la straturile de pamant cu care se face umplutura.</w:t>
      </w:r>
    </w:p>
    <w:p>
      <w:pPr>
        <w:rPr>
          <w:sz w:val="20"/>
          <w:szCs w:val="20"/>
          <w:lang w:val="ro-RO"/>
        </w:rPr>
      </w:pPr>
      <w:r>
        <w:rPr>
          <w:sz w:val="20"/>
          <w:szCs w:val="20"/>
          <w:lang w:val="ro-RO"/>
        </w:rPr>
        <w:t>Utilajele de compactat pot fi:</w:t>
      </w:r>
    </w:p>
    <w:p>
      <w:pPr>
        <w:pStyle w:val="ListParagraph"/>
        <w:numPr>
          <w:ilvl w:val="0"/>
          <w:numId w:val="42"/>
        </w:numPr>
        <w:rPr>
          <w:sz w:val="20"/>
          <w:szCs w:val="20"/>
          <w:lang w:val="ro-RO"/>
        </w:rPr>
      </w:pPr>
      <w:r>
        <w:rPr>
          <w:sz w:val="20"/>
          <w:szCs w:val="20"/>
          <w:lang w:val="ro-RO"/>
        </w:rPr>
        <w:t>utilaje cu actiune statica (cilindru cu pneuri, cilindru compresor neted, autovehicule etc.);</w:t>
      </w:r>
    </w:p>
    <w:p>
      <w:pPr>
        <w:pStyle w:val="ListParagraph"/>
        <w:numPr>
          <w:ilvl w:val="0"/>
          <w:numId w:val="42"/>
        </w:numPr>
        <w:rPr>
          <w:sz w:val="20"/>
          <w:szCs w:val="20"/>
          <w:lang w:val="ro-RO"/>
        </w:rPr>
      </w:pPr>
      <w:r>
        <w:rPr>
          <w:sz w:val="20"/>
          <w:szCs w:val="20"/>
          <w:lang w:val="ro-RO"/>
        </w:rPr>
        <w:t>utilaje cu actiune dinamica (mai mecanic, placi grele pentru compactare);</w:t>
      </w:r>
    </w:p>
    <w:p>
      <w:pPr>
        <w:pStyle w:val="ListParagraph"/>
        <w:numPr>
          <w:ilvl w:val="0"/>
          <w:numId w:val="42"/>
        </w:numPr>
        <w:rPr>
          <w:sz w:val="20"/>
          <w:szCs w:val="20"/>
          <w:lang w:val="ro-RO"/>
        </w:rPr>
      </w:pPr>
      <w:r>
        <w:rPr>
          <w:sz w:val="20"/>
          <w:szCs w:val="20"/>
          <w:lang w:val="ro-RO"/>
        </w:rPr>
        <w:t>utilaje cu actiune vibratoare (cilindre vibratoare, placi vibratoare).</w:t>
      </w:r>
    </w:p>
    <w:p>
      <w:pPr>
        <w:rPr>
          <w:sz w:val="20"/>
          <w:szCs w:val="20"/>
          <w:lang w:val="ro-RO"/>
        </w:rPr>
      </w:pPr>
      <w:r>
        <w:rPr>
          <w:sz w:val="20"/>
          <w:szCs w:val="20"/>
          <w:lang w:val="ro-RO"/>
        </w:rPr>
        <w:t>Compactarea prin vibrare este indicata mai ales pentru pamanturile necoezive. Pentru pamanturile prafoase, argiloase, utilajul cel mai indicat este cilindrul, dupa folosirea caruia suprafata se netezeste cu cilindre compresoare. De asemenea, este indicat sa se utilizeze maiurile mecanice sau placile grele pentru compactare montate la excavatoare.</w:t>
      </w:r>
    </w:p>
    <w:p>
      <w:pPr>
        <w:rPr>
          <w:sz w:val="20"/>
          <w:szCs w:val="20"/>
          <w:lang w:val="ro-RO"/>
        </w:rPr>
      </w:pPr>
      <w:r>
        <w:rPr>
          <w:sz w:val="20"/>
          <w:szCs w:val="20"/>
          <w:lang w:val="ro-RO"/>
        </w:rPr>
        <w:t>In cazul umpluturilor cu volum redus si in spatii inguste, se va utiliza compactarea manuala cu maiuri metalice, stratul de pamant inainte de compactare neputand sa depaseasca grosimea de 15 cm.</w:t>
      </w:r>
    </w:p>
    <w:p>
      <w:pPr>
        <w:rPr>
          <w:sz w:val="20"/>
          <w:szCs w:val="20"/>
          <w:lang w:val="ro-RO"/>
        </w:rPr>
      </w:pPr>
      <w:r>
        <w:rPr>
          <w:sz w:val="20"/>
          <w:szCs w:val="20"/>
          <w:lang w:val="ro-RO"/>
        </w:rPr>
        <w:t>Compactarea se efectueaza numai daca parnantul are o umiditate apropiata de umiditatea optima de compactare. Verificarea umiditatii efective a pamantului ce se compacteaza este obligatorie, ca si luarea masurilor pentru corectarea umiditatii. Daca pamantul este uscat si in bulgari mari, se va stropi in prealabil cu autocisterne sau alte mijloace adecvate. In cazurile in care pamantul are o umiditate naturala corespunzatoare (bulgarii stransi in mana se lipesc), stropirea nu mai este necesara. Daca pamantul este prea umed, compactarea nu se poate face in conditii satisfacatoare, mai ales la pamanturile argiloase, astfel ca este necesar sa se astepte uscarea lui, pana la o umiditate potrivita.</w:t>
      </w:r>
    </w:p>
    <w:p>
      <w:pPr>
        <w:rPr>
          <w:sz w:val="20"/>
          <w:szCs w:val="20"/>
          <w:lang w:val="ro-RO"/>
        </w:rPr>
      </w:pPr>
      <w:r>
        <w:rPr>
          <w:sz w:val="20"/>
          <w:szCs w:val="20"/>
          <w:lang w:val="ro-RO"/>
        </w:rPr>
        <w:t>Compactarea se realizeaza astfel incat sa respecte gradul de compactare Proctor nomal prevazut in STAS 2914-84 si conform tabelului de mai jos.</w:t>
      </w:r>
    </w:p>
    <w:tbl>
      <w:tblPr>
        <w:tblW w:w="9450" w:type="dxa"/>
        <w:tblInd w:w="40" w:type="dxa"/>
        <w:tblLayout w:type="fixed"/>
        <w:tblCellMar>
          <w:left w:w="40" w:type="dxa"/>
          <w:right w:w="40" w:type="dxa"/>
        </w:tblCellMar>
        <w:tblLook w:val="0000" w:firstRow="0" w:lastRow="0" w:firstColumn="0" w:lastColumn="0" w:noHBand="0" w:noVBand="0"/>
      </w:tblPr>
      <w:tblGrid>
        <w:gridCol w:w="3780"/>
        <w:gridCol w:w="1559"/>
        <w:gridCol w:w="1417"/>
        <w:gridCol w:w="1134"/>
        <w:gridCol w:w="1560"/>
      </w:tblGrid>
      <w:tr>
        <w:tc>
          <w:tcPr>
            <w:tcW w:w="3780" w:type="dxa"/>
            <w:vMerge w:val="restart"/>
            <w:tcBorders>
              <w:top w:val="single" w:sz="6" w:space="0" w:color="auto"/>
              <w:left w:val="single" w:sz="6" w:space="0" w:color="auto"/>
              <w:right w:val="single" w:sz="6" w:space="0" w:color="auto"/>
            </w:tcBorders>
            <w:vAlign w:val="center"/>
          </w:tcPr>
          <w:p>
            <w:pPr>
              <w:autoSpaceDE w:val="0"/>
              <w:autoSpaceDN w:val="0"/>
              <w:adjustRightInd w:val="0"/>
              <w:spacing w:after="0" w:line="360" w:lineRule="auto"/>
              <w:rPr>
                <w:rFonts w:eastAsiaTheme="minorEastAsia" w:cs="Verdana"/>
                <w:b/>
                <w:bCs/>
                <w:sz w:val="20"/>
                <w:szCs w:val="20"/>
                <w:lang w:val="ro-RO" w:eastAsia="ro-RO"/>
              </w:rPr>
            </w:pPr>
            <w:r>
              <w:rPr>
                <w:rFonts w:eastAsiaTheme="minorEastAsia" w:cs="Verdana"/>
                <w:b/>
                <w:bCs/>
                <w:sz w:val="20"/>
                <w:szCs w:val="20"/>
                <w:lang w:val="ro-RO" w:eastAsia="ro-RO"/>
              </w:rPr>
              <w:t>Zonele de terasamente</w:t>
            </w:r>
          </w:p>
          <w:p>
            <w:pPr>
              <w:autoSpaceDE w:val="0"/>
              <w:autoSpaceDN w:val="0"/>
              <w:adjustRightInd w:val="0"/>
              <w:spacing w:after="0" w:line="360" w:lineRule="auto"/>
              <w:ind w:firstLine="48"/>
              <w:rPr>
                <w:rFonts w:eastAsiaTheme="minorEastAsia" w:cs="Verdana"/>
                <w:b/>
                <w:bCs/>
                <w:sz w:val="20"/>
                <w:szCs w:val="20"/>
                <w:lang w:val="ro-RO" w:eastAsia="ro-RO"/>
              </w:rPr>
            </w:pPr>
            <w:r>
              <w:rPr>
                <w:rFonts w:eastAsiaTheme="minorEastAsia" w:cs="Verdana"/>
                <w:b/>
                <w:bCs/>
                <w:sz w:val="20"/>
                <w:szCs w:val="20"/>
                <w:lang w:val="ro-RO" w:eastAsia="ro-RO"/>
              </w:rPr>
              <w:lastRenderedPageBreak/>
              <w:t>la care se prescrie gradul de compactare</w:t>
            </w:r>
          </w:p>
        </w:tc>
        <w:tc>
          <w:tcPr>
            <w:tcW w:w="5670" w:type="dxa"/>
            <w:gridSpan w:val="4"/>
            <w:tcBorders>
              <w:top w:val="single" w:sz="6" w:space="0" w:color="auto"/>
              <w:left w:val="single" w:sz="6" w:space="0" w:color="auto"/>
              <w:bottom w:val="single" w:sz="6" w:space="0" w:color="auto"/>
              <w:right w:val="single" w:sz="6" w:space="0" w:color="auto"/>
            </w:tcBorders>
            <w:vAlign w:val="center"/>
          </w:tcPr>
          <w:p>
            <w:pPr>
              <w:autoSpaceDE w:val="0"/>
              <w:autoSpaceDN w:val="0"/>
              <w:adjustRightInd w:val="0"/>
              <w:spacing w:after="0" w:line="360" w:lineRule="auto"/>
              <w:jc w:val="center"/>
              <w:rPr>
                <w:rFonts w:eastAsiaTheme="minorEastAsia" w:cs="Verdana"/>
                <w:b/>
                <w:bCs/>
                <w:sz w:val="20"/>
                <w:szCs w:val="20"/>
                <w:lang w:val="ro-RO" w:eastAsia="ro-RO"/>
              </w:rPr>
            </w:pPr>
            <w:r>
              <w:rPr>
                <w:rFonts w:eastAsiaTheme="minorEastAsia" w:cs="Verdana"/>
                <w:b/>
                <w:bCs/>
                <w:sz w:val="20"/>
                <w:szCs w:val="20"/>
                <w:lang w:val="ro-RO" w:eastAsia="ro-RO"/>
              </w:rPr>
              <w:lastRenderedPageBreak/>
              <w:t>Pământuri</w:t>
            </w:r>
          </w:p>
        </w:tc>
      </w:tr>
      <w:tr>
        <w:tc>
          <w:tcPr>
            <w:tcW w:w="3780" w:type="dxa"/>
            <w:vMerge/>
            <w:tcBorders>
              <w:left w:val="single" w:sz="6" w:space="0" w:color="auto"/>
              <w:right w:val="single" w:sz="6" w:space="0" w:color="auto"/>
            </w:tcBorders>
            <w:vAlign w:val="center"/>
          </w:tcPr>
          <w:p>
            <w:pPr>
              <w:widowControl w:val="0"/>
              <w:autoSpaceDE w:val="0"/>
              <w:autoSpaceDN w:val="0"/>
              <w:adjustRightInd w:val="0"/>
              <w:spacing w:after="0" w:line="360" w:lineRule="auto"/>
              <w:jc w:val="left"/>
              <w:rPr>
                <w:rFonts w:eastAsiaTheme="minorEastAsia" w:cs="Verdana"/>
                <w:b/>
                <w:bCs/>
                <w:sz w:val="20"/>
                <w:szCs w:val="20"/>
                <w:lang w:val="ro-RO" w:eastAsia="ro-RO"/>
              </w:rPr>
            </w:pPr>
          </w:p>
        </w:tc>
        <w:tc>
          <w:tcPr>
            <w:tcW w:w="2976" w:type="dxa"/>
            <w:gridSpan w:val="2"/>
            <w:tcBorders>
              <w:top w:val="single" w:sz="6" w:space="0" w:color="auto"/>
              <w:left w:val="single" w:sz="6" w:space="0" w:color="auto"/>
              <w:bottom w:val="single" w:sz="6" w:space="0" w:color="auto"/>
              <w:right w:val="single" w:sz="6" w:space="0" w:color="auto"/>
            </w:tcBorders>
            <w:vAlign w:val="center"/>
          </w:tcPr>
          <w:p>
            <w:pPr>
              <w:autoSpaceDE w:val="0"/>
              <w:autoSpaceDN w:val="0"/>
              <w:adjustRightInd w:val="0"/>
              <w:spacing w:after="0" w:line="360" w:lineRule="auto"/>
              <w:jc w:val="center"/>
              <w:rPr>
                <w:rFonts w:eastAsiaTheme="minorEastAsia" w:cs="Verdana"/>
                <w:b/>
                <w:bCs/>
                <w:sz w:val="20"/>
                <w:szCs w:val="20"/>
                <w:lang w:val="ro-RO" w:eastAsia="ro-RO"/>
              </w:rPr>
            </w:pPr>
            <w:r>
              <w:rPr>
                <w:rFonts w:eastAsiaTheme="minorEastAsia" w:cs="Verdana"/>
                <w:b/>
                <w:bCs/>
                <w:sz w:val="20"/>
                <w:szCs w:val="20"/>
                <w:lang w:val="ro-RO" w:eastAsia="ro-RO"/>
              </w:rPr>
              <w:t>necoezive</w:t>
            </w:r>
          </w:p>
        </w:tc>
        <w:tc>
          <w:tcPr>
            <w:tcW w:w="2694" w:type="dxa"/>
            <w:gridSpan w:val="2"/>
            <w:tcBorders>
              <w:top w:val="single" w:sz="6" w:space="0" w:color="auto"/>
              <w:left w:val="single" w:sz="6" w:space="0" w:color="auto"/>
              <w:bottom w:val="single" w:sz="6" w:space="0" w:color="auto"/>
              <w:right w:val="single" w:sz="6" w:space="0" w:color="auto"/>
            </w:tcBorders>
            <w:vAlign w:val="center"/>
          </w:tcPr>
          <w:p>
            <w:pPr>
              <w:autoSpaceDE w:val="0"/>
              <w:autoSpaceDN w:val="0"/>
              <w:adjustRightInd w:val="0"/>
              <w:spacing w:after="0" w:line="360" w:lineRule="auto"/>
              <w:jc w:val="left"/>
              <w:rPr>
                <w:rFonts w:eastAsiaTheme="minorEastAsia" w:cs="Verdana"/>
                <w:b/>
                <w:bCs/>
                <w:sz w:val="20"/>
                <w:szCs w:val="20"/>
                <w:lang w:val="ro-RO" w:eastAsia="ro-RO"/>
              </w:rPr>
            </w:pPr>
            <w:r>
              <w:rPr>
                <w:rFonts w:eastAsiaTheme="minorEastAsia" w:cs="Verdana"/>
                <w:b/>
                <w:bCs/>
                <w:sz w:val="20"/>
                <w:szCs w:val="20"/>
                <w:lang w:val="ro-RO" w:eastAsia="ro-RO"/>
              </w:rPr>
              <w:t>coezive</w:t>
            </w:r>
          </w:p>
        </w:tc>
      </w:tr>
      <w:tr>
        <w:tc>
          <w:tcPr>
            <w:tcW w:w="3780" w:type="dxa"/>
            <w:vMerge/>
            <w:tcBorders>
              <w:left w:val="single" w:sz="6" w:space="0" w:color="auto"/>
              <w:bottom w:val="single" w:sz="6" w:space="0" w:color="auto"/>
              <w:right w:val="single" w:sz="6" w:space="0" w:color="auto"/>
            </w:tcBorders>
            <w:vAlign w:val="center"/>
          </w:tcPr>
          <w:p>
            <w:pPr>
              <w:autoSpaceDE w:val="0"/>
              <w:autoSpaceDN w:val="0"/>
              <w:adjustRightInd w:val="0"/>
              <w:spacing w:after="0" w:line="360" w:lineRule="auto"/>
              <w:jc w:val="left"/>
              <w:rPr>
                <w:rFonts w:eastAsiaTheme="minorEastAsia" w:cs="Verdana"/>
                <w:b/>
                <w:bCs/>
                <w:sz w:val="20"/>
                <w:szCs w:val="20"/>
                <w:lang w:val="ro-RO" w:eastAsia="ro-RO"/>
              </w:rPr>
            </w:pPr>
          </w:p>
        </w:tc>
        <w:tc>
          <w:tcPr>
            <w:tcW w:w="1559" w:type="dxa"/>
            <w:tcBorders>
              <w:top w:val="single" w:sz="6" w:space="0" w:color="auto"/>
              <w:left w:val="single" w:sz="6" w:space="0" w:color="auto"/>
              <w:bottom w:val="single" w:sz="6" w:space="0" w:color="auto"/>
              <w:right w:val="single" w:sz="6" w:space="0" w:color="auto"/>
            </w:tcBorders>
            <w:vAlign w:val="center"/>
          </w:tcPr>
          <w:p>
            <w:pPr>
              <w:autoSpaceDE w:val="0"/>
              <w:autoSpaceDN w:val="0"/>
              <w:adjustRightInd w:val="0"/>
              <w:spacing w:after="0" w:line="360" w:lineRule="auto"/>
              <w:jc w:val="left"/>
              <w:rPr>
                <w:rFonts w:eastAsiaTheme="minorEastAsia" w:cs="Verdana"/>
                <w:b/>
                <w:bCs/>
                <w:sz w:val="20"/>
                <w:szCs w:val="20"/>
                <w:lang w:val="ro-RO" w:eastAsia="ro-RO"/>
              </w:rPr>
            </w:pPr>
            <w:r>
              <w:rPr>
                <w:rFonts w:eastAsiaTheme="minorEastAsia" w:cs="Verdana"/>
                <w:b/>
                <w:bCs/>
                <w:sz w:val="20"/>
                <w:szCs w:val="20"/>
                <w:lang w:val="ro-RO" w:eastAsia="ro-RO"/>
              </w:rPr>
              <w:t>permanent</w:t>
            </w:r>
          </w:p>
        </w:tc>
        <w:tc>
          <w:tcPr>
            <w:tcW w:w="1417" w:type="dxa"/>
            <w:tcBorders>
              <w:top w:val="single" w:sz="6" w:space="0" w:color="auto"/>
              <w:left w:val="single" w:sz="6" w:space="0" w:color="auto"/>
              <w:bottom w:val="single" w:sz="6" w:space="0" w:color="auto"/>
              <w:right w:val="single" w:sz="6" w:space="0" w:color="auto"/>
            </w:tcBorders>
            <w:vAlign w:val="center"/>
          </w:tcPr>
          <w:p>
            <w:pPr>
              <w:autoSpaceDE w:val="0"/>
              <w:autoSpaceDN w:val="0"/>
              <w:adjustRightInd w:val="0"/>
              <w:spacing w:after="0" w:line="360" w:lineRule="auto"/>
              <w:jc w:val="left"/>
              <w:rPr>
                <w:rFonts w:eastAsiaTheme="minorEastAsia" w:cs="Verdana"/>
                <w:b/>
                <w:bCs/>
                <w:sz w:val="20"/>
                <w:szCs w:val="20"/>
                <w:lang w:val="ro-RO" w:eastAsia="ro-RO"/>
              </w:rPr>
            </w:pPr>
            <w:r>
              <w:rPr>
                <w:rFonts w:eastAsiaTheme="minorEastAsia" w:cs="Verdana"/>
                <w:b/>
                <w:bCs/>
                <w:sz w:val="20"/>
                <w:szCs w:val="20"/>
                <w:lang w:val="ro-RO" w:eastAsia="ro-RO"/>
              </w:rPr>
              <w:t>semipermane</w:t>
            </w:r>
          </w:p>
        </w:tc>
        <w:tc>
          <w:tcPr>
            <w:tcW w:w="1134" w:type="dxa"/>
            <w:tcBorders>
              <w:top w:val="single" w:sz="6" w:space="0" w:color="auto"/>
              <w:left w:val="single" w:sz="6" w:space="0" w:color="auto"/>
              <w:bottom w:val="single" w:sz="6" w:space="0" w:color="auto"/>
              <w:right w:val="single" w:sz="6" w:space="0" w:color="auto"/>
            </w:tcBorders>
            <w:vAlign w:val="center"/>
          </w:tcPr>
          <w:p>
            <w:pPr>
              <w:autoSpaceDE w:val="0"/>
              <w:autoSpaceDN w:val="0"/>
              <w:adjustRightInd w:val="0"/>
              <w:spacing w:after="0" w:line="360" w:lineRule="auto"/>
              <w:jc w:val="left"/>
              <w:rPr>
                <w:rFonts w:eastAsiaTheme="minorEastAsia" w:cs="Verdana"/>
                <w:b/>
                <w:bCs/>
                <w:sz w:val="20"/>
                <w:szCs w:val="20"/>
                <w:lang w:val="ro-RO" w:eastAsia="ro-RO"/>
              </w:rPr>
            </w:pPr>
            <w:r>
              <w:rPr>
                <w:rFonts w:eastAsiaTheme="minorEastAsia" w:cs="Verdana"/>
                <w:b/>
                <w:bCs/>
                <w:sz w:val="20"/>
                <w:szCs w:val="20"/>
                <w:lang w:val="ro-RO" w:eastAsia="ro-RO"/>
              </w:rPr>
              <w:t>permanent</w:t>
            </w:r>
          </w:p>
        </w:tc>
        <w:tc>
          <w:tcPr>
            <w:tcW w:w="1560" w:type="dxa"/>
            <w:tcBorders>
              <w:top w:val="single" w:sz="6" w:space="0" w:color="auto"/>
              <w:left w:val="single" w:sz="6" w:space="0" w:color="auto"/>
              <w:bottom w:val="single" w:sz="6" w:space="0" w:color="auto"/>
              <w:right w:val="single" w:sz="6" w:space="0" w:color="auto"/>
            </w:tcBorders>
            <w:vAlign w:val="center"/>
          </w:tcPr>
          <w:p>
            <w:pPr>
              <w:autoSpaceDE w:val="0"/>
              <w:autoSpaceDN w:val="0"/>
              <w:adjustRightInd w:val="0"/>
              <w:spacing w:after="0" w:line="360" w:lineRule="auto"/>
              <w:jc w:val="left"/>
              <w:rPr>
                <w:rFonts w:eastAsiaTheme="minorEastAsia" w:cs="Verdana"/>
                <w:b/>
                <w:bCs/>
                <w:sz w:val="20"/>
                <w:szCs w:val="20"/>
                <w:lang w:val="ro-RO" w:eastAsia="ro-RO"/>
              </w:rPr>
            </w:pPr>
            <w:r>
              <w:rPr>
                <w:rFonts w:eastAsiaTheme="minorEastAsia" w:cs="Verdana"/>
                <w:b/>
                <w:bCs/>
                <w:sz w:val="20"/>
                <w:szCs w:val="20"/>
                <w:lang w:val="ro-RO" w:eastAsia="ro-RO"/>
              </w:rPr>
              <w:t>semipermanent</w:t>
            </w:r>
          </w:p>
        </w:tc>
      </w:tr>
      <w:tr>
        <w:tc>
          <w:tcPr>
            <w:tcW w:w="3780" w:type="dxa"/>
            <w:tcBorders>
              <w:top w:val="single" w:sz="6" w:space="0" w:color="auto"/>
              <w:left w:val="single" w:sz="6" w:space="0" w:color="auto"/>
              <w:bottom w:val="single" w:sz="6" w:space="0" w:color="auto"/>
              <w:right w:val="single" w:sz="6" w:space="0" w:color="auto"/>
            </w:tcBorders>
            <w:vAlign w:val="center"/>
          </w:tcPr>
          <w:p>
            <w:pPr>
              <w:autoSpaceDE w:val="0"/>
              <w:autoSpaceDN w:val="0"/>
              <w:adjustRightInd w:val="0"/>
              <w:spacing w:after="0" w:line="360" w:lineRule="auto"/>
              <w:ind w:left="5" w:hanging="5"/>
              <w:rPr>
                <w:rFonts w:eastAsiaTheme="minorEastAsia" w:cs="Verdana"/>
                <w:sz w:val="20"/>
                <w:szCs w:val="20"/>
                <w:lang w:val="ro-RO" w:eastAsia="ro-RO"/>
              </w:rPr>
            </w:pPr>
            <w:r>
              <w:rPr>
                <w:rFonts w:eastAsiaTheme="minorEastAsia" w:cs="Verdana"/>
                <w:sz w:val="20"/>
                <w:szCs w:val="20"/>
                <w:lang w:val="ro-RO" w:eastAsia="ro-RO"/>
              </w:rPr>
              <w:t>a) primii 30cm ai terenului natural sub un rambleu cu înălţimea h de:</w:t>
            </w:r>
          </w:p>
        </w:tc>
        <w:tc>
          <w:tcPr>
            <w:tcW w:w="1559"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sz w:val="20"/>
                <w:szCs w:val="20"/>
                <w:lang w:val="ro-RO" w:eastAsia="ro-RO"/>
              </w:rPr>
            </w:pPr>
            <w:r>
              <w:rPr>
                <w:rFonts w:eastAsiaTheme="minorEastAsia" w:cs="Verdana"/>
                <w:sz w:val="20"/>
                <w:szCs w:val="20"/>
                <w:lang w:val="ro-RO" w:eastAsia="ro-RO"/>
              </w:rPr>
              <w:t>100:95</w:t>
            </w:r>
          </w:p>
        </w:tc>
        <w:tc>
          <w:tcPr>
            <w:tcW w:w="1417"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sz w:val="20"/>
                <w:szCs w:val="20"/>
                <w:lang w:val="ro-RO" w:eastAsia="ro-RO"/>
              </w:rPr>
            </w:pPr>
            <w:r>
              <w:rPr>
                <w:rFonts w:eastAsiaTheme="minorEastAsia" w:cs="Verdana"/>
                <w:sz w:val="20"/>
                <w:szCs w:val="20"/>
                <w:lang w:val="ro-RO" w:eastAsia="ro-RO"/>
              </w:rPr>
              <w:t>95:92</w:t>
            </w:r>
          </w:p>
        </w:tc>
        <w:tc>
          <w:tcPr>
            <w:tcW w:w="1134"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sz w:val="20"/>
                <w:szCs w:val="20"/>
                <w:lang w:val="ro-RO" w:eastAsia="ro-RO"/>
              </w:rPr>
            </w:pPr>
            <w:r>
              <w:rPr>
                <w:rFonts w:eastAsiaTheme="minorEastAsia" w:cs="Verdana"/>
                <w:sz w:val="20"/>
                <w:szCs w:val="20"/>
                <w:lang w:val="ro-RO" w:eastAsia="ro-RO"/>
              </w:rPr>
              <w:t>97:92</w:t>
            </w:r>
          </w:p>
        </w:tc>
        <w:tc>
          <w:tcPr>
            <w:tcW w:w="1560"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sz w:val="20"/>
                <w:szCs w:val="20"/>
                <w:lang w:val="ro-RO" w:eastAsia="ro-RO"/>
              </w:rPr>
            </w:pPr>
            <w:r>
              <w:rPr>
                <w:rFonts w:eastAsiaTheme="minorEastAsia" w:cs="Verdana"/>
                <w:sz w:val="20"/>
                <w:szCs w:val="20"/>
                <w:lang w:val="ro-RO" w:eastAsia="ro-RO"/>
              </w:rPr>
              <w:t>93:90</w:t>
            </w:r>
          </w:p>
        </w:tc>
      </w:tr>
      <w:tr>
        <w:tc>
          <w:tcPr>
            <w:tcW w:w="3780"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rPr>
                <w:rFonts w:eastAsiaTheme="minorEastAsia" w:cs="Verdana"/>
                <w:sz w:val="20"/>
                <w:szCs w:val="20"/>
                <w:lang w:val="ro-RO" w:eastAsia="ro-RO"/>
              </w:rPr>
            </w:pPr>
            <w:r>
              <w:rPr>
                <w:rFonts w:eastAsiaTheme="minorEastAsia" w:cs="Verdana"/>
                <w:sz w:val="20"/>
                <w:szCs w:val="20"/>
                <w:lang w:val="ro-RO" w:eastAsia="ro-RO"/>
              </w:rPr>
              <w:t>b) in corpul rambleelor la adancimea (h) sub patul drumului:</w:t>
            </w:r>
          </w:p>
          <w:p>
            <w:pPr>
              <w:autoSpaceDE w:val="0"/>
              <w:autoSpaceDN w:val="0"/>
              <w:adjustRightInd w:val="0"/>
              <w:spacing w:after="0" w:line="360" w:lineRule="auto"/>
              <w:rPr>
                <w:rFonts w:eastAsiaTheme="minorEastAsia" w:cs="Verdana"/>
                <w:sz w:val="20"/>
                <w:szCs w:val="20"/>
                <w:lang w:val="ro-RO" w:eastAsia="ro-RO"/>
              </w:rPr>
            </w:pPr>
            <w:r>
              <w:rPr>
                <w:rFonts w:eastAsiaTheme="minorEastAsia" w:cs="Verdana"/>
                <w:sz w:val="20"/>
                <w:szCs w:val="20"/>
                <w:lang w:val="ro-RO" w:eastAsia="ro-RO"/>
              </w:rPr>
              <w:t>h&lt;0,50m 0,5&lt;h&lt;2,00m</w:t>
            </w:r>
          </w:p>
        </w:tc>
        <w:tc>
          <w:tcPr>
            <w:tcW w:w="1559"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sz w:val="20"/>
                <w:szCs w:val="20"/>
                <w:lang w:val="ro-RO" w:eastAsia="ro-RO"/>
              </w:rPr>
            </w:pPr>
            <w:r>
              <w:rPr>
                <w:rFonts w:eastAsiaTheme="minorEastAsia" w:cs="Verdana"/>
                <w:sz w:val="20"/>
                <w:szCs w:val="20"/>
                <w:lang w:val="ro-RO" w:eastAsia="ro-RO"/>
              </w:rPr>
              <w:t>100:100:95</w:t>
            </w:r>
          </w:p>
        </w:tc>
        <w:tc>
          <w:tcPr>
            <w:tcW w:w="1417"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sz w:val="20"/>
                <w:szCs w:val="20"/>
                <w:lang w:val="ro-RO" w:eastAsia="ro-RO"/>
              </w:rPr>
            </w:pPr>
            <w:r>
              <w:rPr>
                <w:rFonts w:eastAsiaTheme="minorEastAsia" w:cs="Verdana"/>
                <w:sz w:val="20"/>
                <w:szCs w:val="20"/>
                <w:lang w:val="ro-RO" w:eastAsia="ro-RO"/>
              </w:rPr>
              <w:t>100:97:92</w:t>
            </w:r>
          </w:p>
        </w:tc>
        <w:tc>
          <w:tcPr>
            <w:tcW w:w="1134"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sz w:val="20"/>
                <w:szCs w:val="20"/>
                <w:lang w:val="ro-RO" w:eastAsia="ro-RO"/>
              </w:rPr>
            </w:pPr>
            <w:r>
              <w:rPr>
                <w:rFonts w:eastAsiaTheme="minorEastAsia" w:cs="Verdana"/>
                <w:sz w:val="20"/>
                <w:szCs w:val="20"/>
                <w:lang w:val="ro-RO" w:eastAsia="ro-RO"/>
              </w:rPr>
              <w:t>100:97:92</w:t>
            </w:r>
          </w:p>
        </w:tc>
        <w:tc>
          <w:tcPr>
            <w:tcW w:w="1560"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sz w:val="20"/>
                <w:szCs w:val="20"/>
                <w:lang w:val="ro-RO" w:eastAsia="ro-RO"/>
              </w:rPr>
            </w:pPr>
            <w:r>
              <w:rPr>
                <w:rFonts w:eastAsiaTheme="minorEastAsia" w:cs="Verdana"/>
                <w:sz w:val="20"/>
                <w:szCs w:val="20"/>
                <w:lang w:val="ro-RO" w:eastAsia="ro-RO"/>
              </w:rPr>
              <w:t>100:94:90</w:t>
            </w:r>
          </w:p>
        </w:tc>
      </w:tr>
      <w:tr>
        <w:tc>
          <w:tcPr>
            <w:tcW w:w="3780"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rPr>
                <w:rFonts w:eastAsiaTheme="minorEastAsia" w:cs="Verdana"/>
                <w:sz w:val="20"/>
                <w:szCs w:val="20"/>
                <w:lang w:val="ro-RO" w:eastAsia="ro-RO"/>
              </w:rPr>
            </w:pPr>
            <w:r>
              <w:rPr>
                <w:rFonts w:eastAsiaTheme="minorEastAsia" w:cs="Verdana"/>
                <w:sz w:val="20"/>
                <w:szCs w:val="20"/>
                <w:lang w:val="ro-RO" w:eastAsia="ro-RO"/>
              </w:rPr>
              <w:t>in deblee pe adancimea de 30 cm</w:t>
            </w:r>
          </w:p>
        </w:tc>
        <w:tc>
          <w:tcPr>
            <w:tcW w:w="1559"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sz w:val="20"/>
                <w:szCs w:val="20"/>
                <w:lang w:val="ro-RO" w:eastAsia="ro-RO"/>
              </w:rPr>
            </w:pPr>
            <w:r>
              <w:rPr>
                <w:rFonts w:eastAsiaTheme="minorEastAsia" w:cs="Verdana"/>
                <w:sz w:val="20"/>
                <w:szCs w:val="20"/>
                <w:lang w:val="ro-RO" w:eastAsia="ro-RO"/>
              </w:rPr>
              <w:t>100</w:t>
            </w:r>
          </w:p>
        </w:tc>
        <w:tc>
          <w:tcPr>
            <w:tcW w:w="1417"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sz w:val="20"/>
                <w:szCs w:val="20"/>
                <w:lang w:val="ro-RO" w:eastAsia="ro-RO"/>
              </w:rPr>
            </w:pPr>
            <w:r>
              <w:rPr>
                <w:rFonts w:eastAsiaTheme="minorEastAsia" w:cs="Verdana"/>
                <w:sz w:val="20"/>
                <w:szCs w:val="20"/>
                <w:lang w:val="ro-RO" w:eastAsia="ro-RO"/>
              </w:rPr>
              <w:t>100</w:t>
            </w:r>
          </w:p>
        </w:tc>
        <w:tc>
          <w:tcPr>
            <w:tcW w:w="1134"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sz w:val="20"/>
                <w:szCs w:val="20"/>
                <w:lang w:val="ro-RO" w:eastAsia="ro-RO"/>
              </w:rPr>
            </w:pPr>
            <w:r>
              <w:rPr>
                <w:rFonts w:eastAsiaTheme="minorEastAsia" w:cs="Verdana"/>
                <w:sz w:val="20"/>
                <w:szCs w:val="20"/>
                <w:lang w:val="ro-RO" w:eastAsia="ro-RO"/>
              </w:rPr>
              <w:t>100</w:t>
            </w:r>
          </w:p>
        </w:tc>
        <w:tc>
          <w:tcPr>
            <w:tcW w:w="1560"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sz w:val="20"/>
                <w:szCs w:val="20"/>
                <w:lang w:val="ro-RO" w:eastAsia="ro-RO"/>
              </w:rPr>
            </w:pPr>
            <w:r>
              <w:rPr>
                <w:rFonts w:eastAsiaTheme="minorEastAsia" w:cs="Verdana"/>
                <w:sz w:val="20"/>
                <w:szCs w:val="20"/>
                <w:lang w:val="ro-RO" w:eastAsia="ro-RO"/>
              </w:rPr>
              <w:t>100</w:t>
            </w:r>
          </w:p>
        </w:tc>
      </w:tr>
    </w:tbl>
    <w:p>
      <w:pPr>
        <w:ind w:firstLine="720"/>
        <w:rPr>
          <w:sz w:val="20"/>
          <w:szCs w:val="20"/>
          <w:lang w:val="ro-RO"/>
        </w:rPr>
      </w:pPr>
    </w:p>
    <w:p>
      <w:pPr>
        <w:rPr>
          <w:sz w:val="20"/>
          <w:szCs w:val="20"/>
          <w:lang w:val="ro-RO"/>
        </w:rPr>
      </w:pPr>
      <w:r>
        <w:rPr>
          <w:sz w:val="20"/>
          <w:szCs w:val="20"/>
          <w:lang w:val="ro-RO"/>
        </w:rPr>
        <w:t>Pentru solurile pietroase necoezive cu peste 50% granulatie mai mare de 20mm si la care valoarea dintre greutatea/densitatea uscata a solului compactat nu poate fi determinata, gradul de compactare 100% Proctor Normal va fi luat in considerare daca dupa un numar corespunzator de incercari determinat pe sectiunea de incercare a solului, utilajul de compactare nu lasa urme pe suprafata.</w:t>
      </w:r>
    </w:p>
    <w:p>
      <w:pPr>
        <w:rPr>
          <w:sz w:val="20"/>
          <w:szCs w:val="20"/>
          <w:lang w:val="ro-RO"/>
        </w:rPr>
      </w:pPr>
      <w:r>
        <w:rPr>
          <w:sz w:val="20"/>
          <w:szCs w:val="20"/>
          <w:lang w:val="ro-RO"/>
        </w:rPr>
        <w:t>Gradul de compactare trebuie verificat continuu de către laboratorul Antreprenorului.</w:t>
      </w:r>
    </w:p>
    <w:p>
      <w:pPr>
        <w:rPr>
          <w:sz w:val="20"/>
          <w:szCs w:val="20"/>
          <w:lang w:val="ro-RO"/>
        </w:rPr>
      </w:pPr>
      <w:r>
        <w:rPr>
          <w:sz w:val="20"/>
          <w:szCs w:val="20"/>
          <w:lang w:val="ro-RO"/>
        </w:rPr>
        <w:t>Starea rambleului este confirmata prin supravegherea dirigintelui de şantier, pe masura executiei, in urmatoarele conditii:</w:t>
      </w:r>
    </w:p>
    <w:p>
      <w:pPr>
        <w:pStyle w:val="ListParagraph"/>
        <w:numPr>
          <w:ilvl w:val="0"/>
          <w:numId w:val="42"/>
        </w:numPr>
        <w:tabs>
          <w:tab w:val="left" w:pos="988"/>
        </w:tabs>
        <w:rPr>
          <w:sz w:val="20"/>
          <w:szCs w:val="20"/>
          <w:lang w:val="ro-RO"/>
        </w:rPr>
      </w:pPr>
      <w:r>
        <w:rPr>
          <w:sz w:val="20"/>
          <w:szCs w:val="20"/>
          <w:lang w:val="ro-RO"/>
        </w:rPr>
        <w:t>controlul va fi strat dupa strat;</w:t>
      </w:r>
    </w:p>
    <w:p>
      <w:pPr>
        <w:pStyle w:val="ListParagraph"/>
        <w:numPr>
          <w:ilvl w:val="0"/>
          <w:numId w:val="42"/>
        </w:numPr>
        <w:tabs>
          <w:tab w:val="left" w:pos="988"/>
        </w:tabs>
        <w:rPr>
          <w:sz w:val="20"/>
          <w:szCs w:val="20"/>
          <w:lang w:val="ro-RO"/>
        </w:rPr>
      </w:pPr>
      <w:r>
        <w:rPr>
          <w:sz w:val="20"/>
          <w:szCs w:val="20"/>
          <w:lang w:val="ro-RO"/>
        </w:rPr>
        <w:t>se va proceda pentru fiecare strat la urmatoarele incercari cu frecventa teoretica din tabelul de mai jos.</w:t>
      </w:r>
    </w:p>
    <w:tbl>
      <w:tblPr>
        <w:tblW w:w="9773" w:type="dxa"/>
        <w:jc w:val="center"/>
        <w:tblLayout w:type="fixed"/>
        <w:tblCellMar>
          <w:left w:w="40" w:type="dxa"/>
          <w:right w:w="40" w:type="dxa"/>
        </w:tblCellMar>
        <w:tblLook w:val="0000" w:firstRow="0" w:lastRow="0" w:firstColumn="0" w:lastColumn="0" w:noHBand="0" w:noVBand="0"/>
      </w:tblPr>
      <w:tblGrid>
        <w:gridCol w:w="3820"/>
        <w:gridCol w:w="3402"/>
        <w:gridCol w:w="2551"/>
      </w:tblGrid>
      <w:tr>
        <w:trPr>
          <w:jc w:val="center"/>
        </w:trPr>
        <w:tc>
          <w:tcPr>
            <w:tcW w:w="3820"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sz w:val="20"/>
                <w:szCs w:val="20"/>
                <w:lang w:val="ro-RO" w:eastAsia="ro-RO"/>
              </w:rPr>
            </w:pPr>
            <w:r>
              <w:rPr>
                <w:rFonts w:eastAsiaTheme="minorEastAsia" w:cs="Verdana"/>
                <w:sz w:val="20"/>
                <w:szCs w:val="20"/>
                <w:lang w:val="ro-RO" w:eastAsia="ro-RO"/>
              </w:rPr>
              <w:t>Denumirea incercarii</w:t>
            </w:r>
          </w:p>
        </w:tc>
        <w:tc>
          <w:tcPr>
            <w:tcW w:w="3402"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sz w:val="20"/>
                <w:szCs w:val="20"/>
                <w:lang w:val="ro-RO" w:eastAsia="ro-RO"/>
              </w:rPr>
            </w:pPr>
            <w:r>
              <w:rPr>
                <w:rFonts w:eastAsiaTheme="minorEastAsia" w:cs="Verdana"/>
                <w:sz w:val="20"/>
                <w:szCs w:val="20"/>
                <w:lang w:val="ro-RO" w:eastAsia="ro-RO"/>
              </w:rPr>
              <w:t>Frecventa      minimala      a</w:t>
            </w:r>
          </w:p>
        </w:tc>
        <w:tc>
          <w:tcPr>
            <w:tcW w:w="2551"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sz w:val="20"/>
                <w:szCs w:val="20"/>
                <w:lang w:val="ro-RO" w:eastAsia="ro-RO"/>
              </w:rPr>
            </w:pPr>
            <w:r>
              <w:rPr>
                <w:rFonts w:eastAsiaTheme="minorEastAsia" w:cs="Verdana"/>
                <w:sz w:val="20"/>
                <w:szCs w:val="20"/>
                <w:lang w:val="ro-RO" w:eastAsia="ro-RO"/>
              </w:rPr>
              <w:t>Observatii</w:t>
            </w:r>
          </w:p>
        </w:tc>
      </w:tr>
      <w:tr>
        <w:trPr>
          <w:jc w:val="center"/>
        </w:trPr>
        <w:tc>
          <w:tcPr>
            <w:tcW w:w="3820"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sz w:val="20"/>
                <w:szCs w:val="20"/>
                <w:lang w:val="ro-RO" w:eastAsia="ro-RO"/>
              </w:rPr>
            </w:pPr>
            <w:r>
              <w:rPr>
                <w:rFonts w:eastAsiaTheme="minorEastAsia" w:cs="Verdana"/>
                <w:sz w:val="20"/>
                <w:szCs w:val="20"/>
                <w:lang w:val="ro-RO" w:eastAsia="ro-RO"/>
              </w:rPr>
              <w:t>Incercarea Proctor</w:t>
            </w:r>
          </w:p>
        </w:tc>
        <w:tc>
          <w:tcPr>
            <w:tcW w:w="3402"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sz w:val="20"/>
                <w:szCs w:val="20"/>
                <w:lang w:val="ro-RO" w:eastAsia="ro-RO"/>
              </w:rPr>
            </w:pPr>
            <w:r>
              <w:rPr>
                <w:rFonts w:eastAsiaTheme="minorEastAsia" w:cs="Verdana"/>
                <w:sz w:val="20"/>
                <w:szCs w:val="20"/>
                <w:lang w:val="ro-RO" w:eastAsia="ro-RO"/>
              </w:rPr>
              <w:t>La fiecare 5000 m</w:t>
            </w:r>
          </w:p>
        </w:tc>
        <w:tc>
          <w:tcPr>
            <w:tcW w:w="2551"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sz w:val="20"/>
                <w:szCs w:val="20"/>
                <w:lang w:val="ro-RO" w:eastAsia="ro-RO"/>
              </w:rPr>
            </w:pPr>
            <w:r>
              <w:rPr>
                <w:rFonts w:eastAsiaTheme="minorEastAsia" w:cs="Verdana"/>
                <w:sz w:val="20"/>
                <w:szCs w:val="20"/>
                <w:lang w:val="ro-RO" w:eastAsia="ro-RO"/>
              </w:rPr>
              <w:t>Pentru toate tipurile de pamant</w:t>
            </w:r>
          </w:p>
        </w:tc>
      </w:tr>
      <w:tr>
        <w:trPr>
          <w:jc w:val="center"/>
        </w:trPr>
        <w:tc>
          <w:tcPr>
            <w:tcW w:w="3820"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sz w:val="20"/>
                <w:szCs w:val="20"/>
                <w:lang w:val="ro-RO" w:eastAsia="ro-RO"/>
              </w:rPr>
            </w:pPr>
            <w:r>
              <w:rPr>
                <w:rFonts w:eastAsiaTheme="minorEastAsia" w:cs="Verdana"/>
                <w:sz w:val="20"/>
                <w:szCs w:val="20"/>
                <w:lang w:val="ro-RO" w:eastAsia="ro-RO"/>
              </w:rPr>
              <w:t>Determinarea continutului de apa</w:t>
            </w:r>
          </w:p>
        </w:tc>
        <w:tc>
          <w:tcPr>
            <w:tcW w:w="3402"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sz w:val="20"/>
                <w:szCs w:val="20"/>
                <w:lang w:val="ro-RO" w:eastAsia="ro-RO"/>
              </w:rPr>
            </w:pPr>
            <w:r>
              <w:rPr>
                <w:rFonts w:eastAsiaTheme="minorEastAsia" w:cs="Verdana"/>
                <w:sz w:val="20"/>
                <w:szCs w:val="20"/>
                <w:lang w:val="ro-RO" w:eastAsia="ro-RO"/>
              </w:rPr>
              <w:t>O incercare la fiecare250 ml</w:t>
            </w:r>
          </w:p>
        </w:tc>
        <w:tc>
          <w:tcPr>
            <w:tcW w:w="2551"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sz w:val="20"/>
                <w:szCs w:val="20"/>
                <w:lang w:val="ro-RO" w:eastAsia="ro-RO"/>
              </w:rPr>
            </w:pPr>
            <w:r>
              <w:rPr>
                <w:rFonts w:eastAsiaTheme="minorEastAsia" w:cs="Verdana"/>
                <w:sz w:val="20"/>
                <w:szCs w:val="20"/>
                <w:lang w:val="ro-RO" w:eastAsia="ro-RO"/>
              </w:rPr>
              <w:t>Pe stratul de pamant</w:t>
            </w:r>
          </w:p>
        </w:tc>
      </w:tr>
      <w:tr>
        <w:trPr>
          <w:jc w:val="center"/>
        </w:trPr>
        <w:tc>
          <w:tcPr>
            <w:tcW w:w="3820"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sz w:val="20"/>
                <w:szCs w:val="20"/>
                <w:lang w:val="ro-RO" w:eastAsia="ro-RO"/>
              </w:rPr>
            </w:pPr>
            <w:r>
              <w:rPr>
                <w:rFonts w:eastAsiaTheme="minorEastAsia" w:cs="Verdana"/>
                <w:sz w:val="20"/>
                <w:szCs w:val="20"/>
                <w:lang w:val="ro-RO" w:eastAsia="ro-RO"/>
              </w:rPr>
              <w:t>Determinarea gradului de compactare</w:t>
            </w:r>
          </w:p>
        </w:tc>
        <w:tc>
          <w:tcPr>
            <w:tcW w:w="3402"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sz w:val="20"/>
                <w:szCs w:val="20"/>
                <w:lang w:val="ro-RO" w:eastAsia="ro-RO"/>
              </w:rPr>
            </w:pPr>
            <w:r>
              <w:rPr>
                <w:rFonts w:eastAsiaTheme="minorEastAsia" w:cs="Verdana"/>
                <w:sz w:val="20"/>
                <w:szCs w:val="20"/>
                <w:lang w:val="ro-RO" w:eastAsia="ro-RO"/>
              </w:rPr>
              <w:t>Trei incercari la fiecare 250 ml</w:t>
            </w:r>
          </w:p>
        </w:tc>
        <w:tc>
          <w:tcPr>
            <w:tcW w:w="2551"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sz w:val="20"/>
                <w:szCs w:val="20"/>
                <w:lang w:val="ro-RO" w:eastAsia="ro-RO"/>
              </w:rPr>
            </w:pPr>
            <w:r>
              <w:rPr>
                <w:rFonts w:eastAsiaTheme="minorEastAsia" w:cs="Verdana"/>
                <w:sz w:val="20"/>
                <w:szCs w:val="20"/>
                <w:lang w:val="ro-RO" w:eastAsia="ro-RO"/>
              </w:rPr>
              <w:t>Pe stratul de pamant</w:t>
            </w:r>
          </w:p>
        </w:tc>
      </w:tr>
    </w:tbl>
    <w:p>
      <w:pPr>
        <w:rPr>
          <w:sz w:val="20"/>
          <w:szCs w:val="20"/>
          <w:lang w:val="ro-RO"/>
        </w:rPr>
      </w:pPr>
    </w:p>
    <w:p>
      <w:pPr>
        <w:rPr>
          <w:sz w:val="20"/>
          <w:szCs w:val="20"/>
          <w:lang w:val="ro-RO"/>
        </w:rPr>
      </w:pPr>
      <w:r>
        <w:rPr>
          <w:sz w:val="20"/>
          <w:szCs w:val="20"/>
          <w:lang w:val="ro-RO"/>
        </w:rPr>
        <w:t>Laboratorul va tine un registru in care se vor consemna toate rezultatele privind incercarea Proctor, determinarea umiditatii si a gradului de compactare realizat pe straturi si sectoare.</w:t>
      </w:r>
    </w:p>
    <w:p>
      <w:pPr>
        <w:pStyle w:val="ListParagraph"/>
        <w:numPr>
          <w:ilvl w:val="0"/>
          <w:numId w:val="41"/>
        </w:numPr>
        <w:rPr>
          <w:b/>
          <w:sz w:val="20"/>
          <w:szCs w:val="20"/>
          <w:lang w:val="ro-RO"/>
        </w:rPr>
      </w:pPr>
      <w:r>
        <w:rPr>
          <w:b/>
          <w:sz w:val="20"/>
          <w:szCs w:val="20"/>
          <w:lang w:val="ro-RO"/>
        </w:rPr>
        <w:t>Profile si taluze</w:t>
      </w:r>
    </w:p>
    <w:p>
      <w:pPr>
        <w:rPr>
          <w:sz w:val="20"/>
          <w:szCs w:val="20"/>
          <w:lang w:val="ro-RO"/>
        </w:rPr>
      </w:pPr>
      <w:r>
        <w:rPr>
          <w:sz w:val="20"/>
          <w:szCs w:val="20"/>
          <w:lang w:val="ro-RO"/>
        </w:rPr>
        <w:t>Lucrarile trebuie sa fîe executate de asa maniera incat, dupa compactare, profilele din proiect sa fie realizate cu tolerante admisibile. Profilul taluzului trebuie sa fie obtinut, in lipsa unor dispozitii contrare in specificatiile tehnice, prin metoda rambleului excedentar. Taluzul nu trebuie sa prezinte scobituri si excrescente in afara celor rezultate din dimensiunile blocurilor constitucnte ale rambleului.</w:t>
      </w:r>
    </w:p>
    <w:p>
      <w:pPr>
        <w:rPr>
          <w:sz w:val="20"/>
          <w:szCs w:val="20"/>
          <w:lang w:val="ro-RO"/>
        </w:rPr>
      </w:pPr>
      <w:r>
        <w:rPr>
          <w:sz w:val="20"/>
          <w:szCs w:val="20"/>
          <w:lang w:val="ro-RO"/>
        </w:rPr>
        <w:t>Taluzurile rambleelor asezate pe terenuri de fundatie cu capacitatea portanta corespunzatoare, vor avea inclinarea 1:1,5 pana la inaltimea maxima pe verticala - date in tabelul de mai jos.</w:t>
      </w:r>
    </w:p>
    <w:tbl>
      <w:tblPr>
        <w:tblW w:w="9631" w:type="dxa"/>
        <w:tblLayout w:type="fixed"/>
        <w:tblCellMar>
          <w:left w:w="40" w:type="dxa"/>
          <w:right w:w="40" w:type="dxa"/>
        </w:tblCellMar>
        <w:tblLook w:val="0000" w:firstRow="0" w:lastRow="0" w:firstColumn="0" w:lastColumn="0" w:noHBand="0" w:noVBand="0"/>
      </w:tblPr>
      <w:tblGrid>
        <w:gridCol w:w="5339"/>
        <w:gridCol w:w="4292"/>
      </w:tblGrid>
      <w:tr>
        <w:tc>
          <w:tcPr>
            <w:tcW w:w="5339"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b/>
                <w:bCs/>
                <w:sz w:val="20"/>
                <w:szCs w:val="20"/>
                <w:lang w:val="ro-RO" w:eastAsia="ro-RO"/>
              </w:rPr>
            </w:pPr>
            <w:r>
              <w:rPr>
                <w:rFonts w:eastAsiaTheme="minorEastAsia" w:cs="Verdana"/>
                <w:b/>
                <w:bCs/>
                <w:sz w:val="20"/>
                <w:szCs w:val="20"/>
                <w:lang w:val="ro-RO" w:eastAsia="ro-RO"/>
              </w:rPr>
              <w:t>Natura materialelor in rambleu</w:t>
            </w:r>
          </w:p>
        </w:tc>
        <w:tc>
          <w:tcPr>
            <w:tcW w:w="4292"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center"/>
              <w:rPr>
                <w:rFonts w:eastAsiaTheme="minorEastAsia" w:cs="Verdana"/>
                <w:sz w:val="20"/>
                <w:szCs w:val="20"/>
                <w:lang w:val="ro-RO" w:eastAsia="ro-RO"/>
              </w:rPr>
            </w:pPr>
            <w:r>
              <w:rPr>
                <w:rFonts w:eastAsiaTheme="minorEastAsia" w:cs="Verdana"/>
                <w:sz w:val="20"/>
                <w:szCs w:val="20"/>
                <w:lang w:val="ro-RO" w:eastAsia="ro-RO"/>
              </w:rPr>
              <w:t>H max (m)</w:t>
            </w:r>
          </w:p>
        </w:tc>
      </w:tr>
      <w:tr>
        <w:tc>
          <w:tcPr>
            <w:tcW w:w="5339"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sz w:val="20"/>
                <w:szCs w:val="20"/>
                <w:lang w:val="ro-RO" w:eastAsia="ro-RO"/>
              </w:rPr>
            </w:pPr>
            <w:r>
              <w:rPr>
                <w:rFonts w:eastAsiaTheme="minorEastAsia" w:cs="Verdana"/>
                <w:sz w:val="20"/>
                <w:szCs w:val="20"/>
                <w:lang w:val="ro-RO" w:eastAsia="ro-RO"/>
              </w:rPr>
              <w:t>Argile prafoase sau argile nisipoase</w:t>
            </w:r>
          </w:p>
        </w:tc>
        <w:tc>
          <w:tcPr>
            <w:tcW w:w="4292"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center"/>
              <w:rPr>
                <w:rFonts w:eastAsiaTheme="minorEastAsia" w:cs="Verdana"/>
                <w:sz w:val="20"/>
                <w:szCs w:val="20"/>
                <w:lang w:val="ro-RO" w:eastAsia="ro-RO"/>
              </w:rPr>
            </w:pPr>
            <w:r>
              <w:rPr>
                <w:rFonts w:eastAsiaTheme="minorEastAsia" w:cs="Verdana"/>
                <w:sz w:val="20"/>
                <w:szCs w:val="20"/>
                <w:lang w:val="ro-RO" w:eastAsia="ro-RO"/>
              </w:rPr>
              <w:t>6</w:t>
            </w:r>
          </w:p>
        </w:tc>
      </w:tr>
      <w:tr>
        <w:tc>
          <w:tcPr>
            <w:tcW w:w="5339"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sz w:val="20"/>
                <w:szCs w:val="20"/>
                <w:lang w:val="ro-RO" w:eastAsia="ro-RO"/>
              </w:rPr>
            </w:pPr>
            <w:r>
              <w:rPr>
                <w:rFonts w:eastAsiaTheme="minorEastAsia" w:cs="Verdana"/>
                <w:sz w:val="20"/>
                <w:szCs w:val="20"/>
                <w:lang w:val="ro-RO" w:eastAsia="ro-RO"/>
              </w:rPr>
              <w:t>Nisipuri argiloase sau praf argilos</w:t>
            </w:r>
          </w:p>
        </w:tc>
        <w:tc>
          <w:tcPr>
            <w:tcW w:w="4292"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center"/>
              <w:rPr>
                <w:rFonts w:eastAsiaTheme="minorEastAsia" w:cs="Verdana"/>
                <w:sz w:val="20"/>
                <w:szCs w:val="20"/>
                <w:lang w:val="ro-RO" w:eastAsia="ro-RO"/>
              </w:rPr>
            </w:pPr>
            <w:r>
              <w:rPr>
                <w:rFonts w:eastAsiaTheme="minorEastAsia" w:cs="Verdana"/>
                <w:sz w:val="20"/>
                <w:szCs w:val="20"/>
                <w:lang w:val="ro-RO" w:eastAsia="ro-RO"/>
              </w:rPr>
              <w:t>7</w:t>
            </w:r>
          </w:p>
        </w:tc>
      </w:tr>
      <w:tr>
        <w:tc>
          <w:tcPr>
            <w:tcW w:w="5339"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sz w:val="20"/>
                <w:szCs w:val="20"/>
                <w:lang w:val="ro-RO" w:eastAsia="ro-RO"/>
              </w:rPr>
            </w:pPr>
            <w:r>
              <w:rPr>
                <w:rFonts w:eastAsiaTheme="minorEastAsia" w:cs="Verdana"/>
                <w:sz w:val="20"/>
                <w:szCs w:val="20"/>
                <w:lang w:val="ro-RO" w:eastAsia="ro-RO"/>
              </w:rPr>
              <w:t>Nisipuri</w:t>
            </w:r>
          </w:p>
        </w:tc>
        <w:tc>
          <w:tcPr>
            <w:tcW w:w="4292"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center"/>
              <w:rPr>
                <w:rFonts w:eastAsiaTheme="minorEastAsia" w:cs="Verdana"/>
                <w:sz w:val="20"/>
                <w:szCs w:val="20"/>
                <w:lang w:val="ro-RO" w:eastAsia="ro-RO"/>
              </w:rPr>
            </w:pPr>
            <w:r>
              <w:rPr>
                <w:rFonts w:eastAsiaTheme="minorEastAsia" w:cs="Verdana"/>
                <w:sz w:val="20"/>
                <w:szCs w:val="20"/>
                <w:lang w:val="ro-RO" w:eastAsia="ro-RO"/>
              </w:rPr>
              <w:t>8</w:t>
            </w:r>
          </w:p>
        </w:tc>
      </w:tr>
      <w:tr>
        <w:tc>
          <w:tcPr>
            <w:tcW w:w="5339"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sz w:val="20"/>
                <w:szCs w:val="20"/>
                <w:lang w:val="ro-RO" w:eastAsia="ro-RO"/>
              </w:rPr>
            </w:pPr>
            <w:r>
              <w:rPr>
                <w:rFonts w:eastAsiaTheme="minorEastAsia" w:cs="Verdana"/>
                <w:sz w:val="20"/>
                <w:szCs w:val="20"/>
                <w:lang w:val="ro-RO" w:eastAsia="ro-RO"/>
              </w:rPr>
              <w:t>Pietrisuri sau balasturi</w:t>
            </w:r>
          </w:p>
        </w:tc>
        <w:tc>
          <w:tcPr>
            <w:tcW w:w="4292"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center"/>
              <w:rPr>
                <w:rFonts w:eastAsiaTheme="minorEastAsia" w:cs="Verdana"/>
                <w:sz w:val="20"/>
                <w:szCs w:val="20"/>
                <w:lang w:val="ro-RO" w:eastAsia="ro-RO"/>
              </w:rPr>
            </w:pPr>
            <w:r>
              <w:rPr>
                <w:rFonts w:eastAsiaTheme="minorEastAsia" w:cs="Verdana"/>
                <w:sz w:val="20"/>
                <w:szCs w:val="20"/>
                <w:lang w:val="ro-RO" w:eastAsia="ro-RO"/>
              </w:rPr>
              <w:t>10</w:t>
            </w:r>
          </w:p>
        </w:tc>
      </w:tr>
    </w:tbl>
    <w:p>
      <w:pPr>
        <w:ind w:firstLine="720"/>
        <w:rPr>
          <w:sz w:val="20"/>
          <w:szCs w:val="20"/>
          <w:lang w:val="ro-RO"/>
        </w:rPr>
      </w:pPr>
    </w:p>
    <w:p>
      <w:pPr>
        <w:rPr>
          <w:sz w:val="20"/>
          <w:szCs w:val="20"/>
          <w:lang w:val="ro-RO"/>
        </w:rPr>
      </w:pPr>
      <w:r>
        <w:rPr>
          <w:sz w:val="20"/>
          <w:szCs w:val="20"/>
          <w:lang w:val="ro-RO"/>
        </w:rPr>
        <w:lastRenderedPageBreak/>
        <w:t>In cazul rambleelor cu inaltimi pana la 12 m, inclinarea taluzurilor pe inaltime, respectiv socotite de la nivelul platformei drumului in jos, va fi de 1:1,5, iar pe restul inaltimii pana la baza rambleului inclinarea va fi 1:2 .</w:t>
      </w:r>
    </w:p>
    <w:p>
      <w:pPr>
        <w:rPr>
          <w:sz w:val="20"/>
          <w:szCs w:val="20"/>
          <w:lang w:val="ro-RO"/>
        </w:rPr>
      </w:pPr>
      <w:r>
        <w:rPr>
          <w:sz w:val="20"/>
          <w:szCs w:val="20"/>
          <w:lang w:val="ro-RO"/>
        </w:rPr>
        <w:t>In ramblee mai inalte de 12 m, precum si la cele situate in albiile majore ale raurilor, vailor si in baltile unde terenul de fundare este alcatuit din particule fine si foarte fine, inclinarea taluzurilor se va determina pe baza unui calcul de stabilitate, cu un coeficient de stabilitate de 1,3:1,5.</w:t>
      </w:r>
    </w:p>
    <w:p>
      <w:pPr>
        <w:pStyle w:val="ListParagraph"/>
        <w:numPr>
          <w:ilvl w:val="0"/>
          <w:numId w:val="41"/>
        </w:numPr>
        <w:rPr>
          <w:b/>
          <w:sz w:val="20"/>
          <w:szCs w:val="20"/>
          <w:lang w:val="ro-RO"/>
        </w:rPr>
      </w:pPr>
      <w:r>
        <w:rPr>
          <w:b/>
          <w:sz w:val="20"/>
          <w:szCs w:val="20"/>
          <w:lang w:val="ro-RO"/>
        </w:rPr>
        <w:t>Prescriptii aplicabile pamanturilor sensibile la apa</w:t>
      </w:r>
    </w:p>
    <w:p>
      <w:pPr>
        <w:rPr>
          <w:sz w:val="20"/>
          <w:szCs w:val="20"/>
          <w:lang w:val="ro-RO"/>
        </w:rPr>
      </w:pPr>
      <w:r>
        <w:rPr>
          <w:sz w:val="20"/>
          <w:szCs w:val="20"/>
          <w:lang w:val="ro-RO"/>
        </w:rPr>
        <w:t>Atunci cand la realizarea rambleelor sunt folosite pamanturi sensibile la apa si nu sunt masuri speciale in specificatiile tehnice, dirigintele de santier va putea sa prescrie:</w:t>
      </w:r>
    </w:p>
    <w:p>
      <w:pPr>
        <w:pStyle w:val="ListParagraph"/>
        <w:numPr>
          <w:ilvl w:val="0"/>
          <w:numId w:val="42"/>
        </w:numPr>
        <w:rPr>
          <w:sz w:val="20"/>
          <w:szCs w:val="20"/>
          <w:lang w:val="ro-RO"/>
        </w:rPr>
      </w:pPr>
      <w:r>
        <w:rPr>
          <w:sz w:val="20"/>
          <w:szCs w:val="20"/>
          <w:lang w:val="ro-RO"/>
        </w:rPr>
        <w:t>punerea in opera si compactarea imediata a pamantului din deblee sau din gropi de imprumut la umiditatea optima de compactare, cu luarea masurilor de prevenire a supraumezirii</w:t>
      </w:r>
    </w:p>
    <w:p>
      <w:pPr>
        <w:pStyle w:val="ListParagraph"/>
        <w:numPr>
          <w:ilvl w:val="0"/>
          <w:numId w:val="42"/>
        </w:numPr>
        <w:rPr>
          <w:sz w:val="20"/>
          <w:szCs w:val="20"/>
          <w:lang w:val="ro-RO"/>
        </w:rPr>
      </w:pPr>
      <w:r>
        <w:rPr>
          <w:sz w:val="20"/>
          <w:szCs w:val="20"/>
          <w:lang w:val="ro-RO"/>
        </w:rPr>
        <w:t>asternerea in asteptarea compactarii si scarificarii, in vederea reducerii umiditatii prin evaporare</w:t>
      </w:r>
    </w:p>
    <w:p>
      <w:pPr>
        <w:pStyle w:val="ListParagraph"/>
        <w:numPr>
          <w:ilvl w:val="0"/>
          <w:numId w:val="42"/>
        </w:numPr>
        <w:rPr>
          <w:sz w:val="20"/>
          <w:szCs w:val="20"/>
          <w:lang w:val="ro-RO"/>
        </w:rPr>
      </w:pPr>
      <w:r>
        <w:rPr>
          <w:sz w:val="20"/>
          <w:szCs w:val="20"/>
          <w:lang w:val="ro-RO"/>
        </w:rPr>
        <w:t>practicarea de drenuri deschise, in vederea reducerii umiditatii pamanturilor al caror continut excesiv de apa nu ar fi permis obtinerea unei densitati suficiente, si reluarea ulterioara a compactarii.</w:t>
      </w:r>
    </w:p>
    <w:p>
      <w:pPr>
        <w:rPr>
          <w:sz w:val="20"/>
          <w:szCs w:val="20"/>
          <w:lang w:val="ro-RO"/>
        </w:rPr>
      </w:pPr>
      <w:r>
        <w:rPr>
          <w:sz w:val="20"/>
          <w:szCs w:val="20"/>
          <w:lang w:val="ro-RO"/>
        </w:rPr>
        <w:t>Pentru aceste pamanturi, dirigintele de santier va putea impune prescriptii speciale in ceea ce priveste evacuarea apelor.</w:t>
      </w:r>
    </w:p>
    <w:p>
      <w:pPr>
        <w:pStyle w:val="ListParagraph"/>
        <w:numPr>
          <w:ilvl w:val="0"/>
          <w:numId w:val="41"/>
        </w:numPr>
        <w:rPr>
          <w:b/>
          <w:sz w:val="20"/>
          <w:szCs w:val="20"/>
          <w:lang w:val="ro-RO"/>
        </w:rPr>
      </w:pPr>
      <w:r>
        <w:rPr>
          <w:b/>
          <w:sz w:val="20"/>
          <w:szCs w:val="20"/>
          <w:lang w:val="ro-RO"/>
        </w:rPr>
        <w:t>Specificatii aplicabile rambleelor din material stancos</w:t>
      </w:r>
    </w:p>
    <w:p>
      <w:pPr>
        <w:pStyle w:val="ListParagraph"/>
        <w:numPr>
          <w:ilvl w:val="1"/>
          <w:numId w:val="43"/>
        </w:numPr>
        <w:ind w:left="1134"/>
        <w:rPr>
          <w:sz w:val="20"/>
          <w:szCs w:val="20"/>
          <w:lang w:val="ro-RO"/>
        </w:rPr>
      </w:pPr>
      <w:r>
        <w:rPr>
          <w:sz w:val="20"/>
          <w:szCs w:val="20"/>
          <w:lang w:val="ro-RO"/>
        </w:rPr>
        <w:t>Descarcarea materialului derocat in rambleu si nivelarea lui va fi organizata in asa fel incat sa se obtina un material omogen si, pe cat posibil, cu un volum minim de goluri</w:t>
      </w:r>
    </w:p>
    <w:p>
      <w:pPr>
        <w:pStyle w:val="ListParagraph"/>
        <w:numPr>
          <w:ilvl w:val="1"/>
          <w:numId w:val="43"/>
        </w:numPr>
        <w:ind w:left="1134"/>
        <w:rPr>
          <w:sz w:val="20"/>
          <w:szCs w:val="20"/>
          <w:lang w:val="ro-RO"/>
        </w:rPr>
      </w:pPr>
      <w:r>
        <w:rPr>
          <w:sz w:val="20"/>
          <w:szCs w:val="20"/>
          <w:lang w:val="ro-RO"/>
        </w:rPr>
        <w:t>Straturile elementare vor avea o grosime care va fi determinata in functie de dimensiunea materialului si de posibilitatile mijloacelor de compactare. Aceasta grosime nu va putea, in nici un caz, sa depaseasca 0,80 m in corpul rambleului. In cei 0,30 m superiori se vor elimina blocurile a caror dimensiune cea mai mare va depasi 0,20 m.</w:t>
      </w:r>
    </w:p>
    <w:p>
      <w:pPr>
        <w:pStyle w:val="ListParagraph"/>
        <w:numPr>
          <w:ilvl w:val="1"/>
          <w:numId w:val="43"/>
        </w:numPr>
        <w:ind w:left="1134"/>
        <w:rPr>
          <w:sz w:val="20"/>
          <w:szCs w:val="20"/>
          <w:lang w:val="ro-RO"/>
        </w:rPr>
      </w:pPr>
      <w:r>
        <w:rPr>
          <w:sz w:val="20"/>
          <w:szCs w:val="20"/>
          <w:lang w:val="ro-RO"/>
        </w:rPr>
        <w:t>Blocurile de stanca ale caror dimensiuni vor fi incompatibile cu dispozitiile de mai sus vor fî fractionate. Dirigintele de santier va putea aproba folosirea lor la piciorul taluzului sau depozitarea lor in depozite definitive.</w:t>
      </w:r>
    </w:p>
    <w:p>
      <w:pPr>
        <w:pStyle w:val="ListParagraph"/>
        <w:numPr>
          <w:ilvl w:val="1"/>
          <w:numId w:val="43"/>
        </w:numPr>
        <w:ind w:left="1134"/>
        <w:rPr>
          <w:sz w:val="20"/>
          <w:szCs w:val="20"/>
          <w:lang w:val="ro-RO"/>
        </w:rPr>
      </w:pPr>
      <w:r>
        <w:rPr>
          <w:sz w:val="20"/>
          <w:szCs w:val="20"/>
          <w:lang w:val="ro-RO"/>
        </w:rPr>
        <w:t>Granulozitatea diferitelor straturi constituente ale rambleelor trebuie sa fie continua. Este interzisa intercalarea straturilor de materiale fine si de straturi din materiale stancoase care prezinta un procent de goluri ridicat.</w:t>
      </w:r>
    </w:p>
    <w:p>
      <w:pPr>
        <w:pStyle w:val="ListParagraph"/>
        <w:numPr>
          <w:ilvl w:val="1"/>
          <w:numId w:val="43"/>
        </w:numPr>
        <w:ind w:left="1134"/>
        <w:rPr>
          <w:sz w:val="20"/>
          <w:szCs w:val="20"/>
          <w:lang w:val="ro-RO"/>
        </w:rPr>
      </w:pPr>
      <w:r>
        <w:rPr>
          <w:sz w:val="20"/>
          <w:szCs w:val="20"/>
          <w:lang w:val="ro-RO"/>
        </w:rPr>
        <w:t>Rambleele vor fi compactate cu cilindrii vibratori de 12-16 tone sau utilaje cu senile de cel putin 25 tone. Aceasta compactare va fi insotita de o stropire cu apa suficienta, pentru a facilita aranjarea blocurilor.</w:t>
      </w:r>
    </w:p>
    <w:p>
      <w:pPr>
        <w:pStyle w:val="ListParagraph"/>
        <w:numPr>
          <w:ilvl w:val="1"/>
          <w:numId w:val="43"/>
        </w:numPr>
        <w:ind w:left="1134"/>
        <w:rPr>
          <w:sz w:val="20"/>
          <w:szCs w:val="20"/>
          <w:lang w:val="ro-RO"/>
        </w:rPr>
      </w:pPr>
      <w:r>
        <w:rPr>
          <w:sz w:val="20"/>
          <w:szCs w:val="20"/>
          <w:lang w:val="ro-RO"/>
        </w:rPr>
        <w:t>Controlul compactarii va fi efectuat prin masurarea parametrilor Q/S, unde: Q -reprezinta volumul rambeului pus in opera intr-o zi, masurat in m3 dupa compactare; S - reprezinta suprafata lucrata intr-o zi de utilajul de compactare, deplasandu-se cu viteza stabilita in timpul experimentarii.</w:t>
      </w:r>
    </w:p>
    <w:p>
      <w:pPr>
        <w:pStyle w:val="ListParagraph"/>
        <w:numPr>
          <w:ilvl w:val="1"/>
          <w:numId w:val="43"/>
        </w:numPr>
        <w:ind w:left="1134"/>
        <w:rPr>
          <w:sz w:val="20"/>
          <w:szCs w:val="20"/>
          <w:lang w:val="ro-RO"/>
        </w:rPr>
      </w:pPr>
      <w:r>
        <w:rPr>
          <w:sz w:val="20"/>
          <w:szCs w:val="20"/>
          <w:lang w:val="ro-RO"/>
        </w:rPr>
        <w:t>Valoarea parametrilor va fi stabilita cu ajutorul unui tronson de incercare control, prin incercari cu placa, permitand sa obtina un modul al primei incercari de minim 100 bari.</w:t>
      </w:r>
    </w:p>
    <w:p>
      <w:pPr>
        <w:pStyle w:val="ListParagraph"/>
        <w:numPr>
          <w:ilvl w:val="1"/>
          <w:numId w:val="43"/>
        </w:numPr>
        <w:ind w:left="1134"/>
        <w:rPr>
          <w:sz w:val="20"/>
          <w:szCs w:val="20"/>
          <w:lang w:val="ro-RO"/>
        </w:rPr>
      </w:pPr>
      <w:r>
        <w:rPr>
          <w:sz w:val="20"/>
          <w:szCs w:val="20"/>
          <w:lang w:val="ro-RO"/>
        </w:rPr>
        <w:t>Platforma va fi nivelata admitandu-se aceleasi tolerante ca si in cazul debleelor in material stancos.</w:t>
      </w:r>
    </w:p>
    <w:p>
      <w:pPr>
        <w:pStyle w:val="ListParagraph"/>
        <w:numPr>
          <w:ilvl w:val="1"/>
          <w:numId w:val="43"/>
        </w:numPr>
        <w:ind w:left="1134"/>
        <w:rPr>
          <w:sz w:val="20"/>
          <w:szCs w:val="20"/>
          <w:lang w:val="ro-RO"/>
        </w:rPr>
      </w:pPr>
      <w:r>
        <w:rPr>
          <w:sz w:val="20"/>
          <w:szCs w:val="20"/>
          <w:lang w:val="ro-RO"/>
        </w:rPr>
        <w:t>Toleranta nivelării taluzelor neacoperite va fi astfel ca toate blocurile instabile sa fie îndepărtate prin ranguire.</w:t>
      </w:r>
    </w:p>
    <w:p>
      <w:pPr>
        <w:pStyle w:val="ListParagraph"/>
        <w:keepNext/>
        <w:numPr>
          <w:ilvl w:val="0"/>
          <w:numId w:val="41"/>
        </w:numPr>
        <w:rPr>
          <w:b/>
          <w:sz w:val="20"/>
          <w:szCs w:val="20"/>
          <w:lang w:val="ro-RO"/>
        </w:rPr>
      </w:pPr>
      <w:r>
        <w:rPr>
          <w:b/>
          <w:sz w:val="20"/>
          <w:szCs w:val="20"/>
          <w:lang w:val="ro-RO"/>
        </w:rPr>
        <w:t>Prescriptii aplicabile rambleelor nisipoase</w:t>
      </w:r>
    </w:p>
    <w:p>
      <w:pPr>
        <w:pStyle w:val="ListParagraph"/>
        <w:numPr>
          <w:ilvl w:val="1"/>
          <w:numId w:val="44"/>
        </w:numPr>
        <w:ind w:left="1134"/>
        <w:rPr>
          <w:sz w:val="20"/>
          <w:szCs w:val="20"/>
          <w:lang w:val="ro-RO"/>
        </w:rPr>
      </w:pPr>
      <w:r>
        <w:rPr>
          <w:sz w:val="20"/>
          <w:szCs w:val="20"/>
          <w:lang w:val="ro-RO"/>
        </w:rPr>
        <w:t>Rambleele din materiale nisipoase se realizeaza concomitent cu imbracarea taluzelorpentru a le proteja de eroziune. Grosimea straturilor elementare va fi cea care permite obtinerea compactarii cerute.</w:t>
      </w:r>
    </w:p>
    <w:p>
      <w:pPr>
        <w:pStyle w:val="ListParagraph"/>
        <w:numPr>
          <w:ilvl w:val="1"/>
          <w:numId w:val="44"/>
        </w:numPr>
        <w:ind w:left="1134"/>
        <w:rPr>
          <w:sz w:val="20"/>
          <w:szCs w:val="20"/>
          <w:lang w:val="ro-RO"/>
        </w:rPr>
      </w:pPr>
      <w:r>
        <w:rPr>
          <w:sz w:val="20"/>
          <w:szCs w:val="20"/>
          <w:lang w:val="ro-RO"/>
        </w:rPr>
        <w:t>Vor fi stropite pana la obtinerea unei umectari omogene a masei nisipoase pe intreaga grosime a stratului elementar.</w:t>
      </w:r>
    </w:p>
    <w:p>
      <w:pPr>
        <w:pStyle w:val="ListParagraph"/>
        <w:numPr>
          <w:ilvl w:val="0"/>
          <w:numId w:val="41"/>
        </w:numPr>
        <w:rPr>
          <w:b/>
          <w:sz w:val="20"/>
          <w:szCs w:val="20"/>
          <w:lang w:val="ro-RO"/>
        </w:rPr>
      </w:pPr>
      <w:r>
        <w:rPr>
          <w:b/>
          <w:sz w:val="20"/>
          <w:szCs w:val="20"/>
          <w:lang w:val="ro-RO"/>
        </w:rPr>
        <w:t>Prescriptii aplicabile rambleelor din spatele zidariilor</w:t>
      </w:r>
    </w:p>
    <w:p>
      <w:pPr>
        <w:pStyle w:val="ListParagraph"/>
        <w:numPr>
          <w:ilvl w:val="1"/>
          <w:numId w:val="45"/>
        </w:numPr>
        <w:ind w:left="1134"/>
        <w:rPr>
          <w:sz w:val="20"/>
          <w:szCs w:val="20"/>
          <w:lang w:val="ro-RO"/>
        </w:rPr>
      </w:pPr>
      <w:r>
        <w:rPr>
          <w:sz w:val="20"/>
          <w:szCs w:val="20"/>
          <w:lang w:val="ro-RO"/>
        </w:rPr>
        <w:lastRenderedPageBreak/>
        <w:t>In lipsa unor indicatii contrare speciale, rambleele vor fi constituite din materiale identice cu cele adoptate pentru platforma, cu exceptia materialelor stancoase. Pe o latime minima de 1 m, plecand de la zidarie, vor fi inlaturate pietrele a caror dimensiune depaseşte &gt;10 cm.</w:t>
      </w:r>
    </w:p>
    <w:p>
      <w:pPr>
        <w:pStyle w:val="ListParagraph"/>
        <w:numPr>
          <w:ilvl w:val="1"/>
          <w:numId w:val="45"/>
        </w:numPr>
        <w:ind w:left="1134"/>
        <w:rPr>
          <w:sz w:val="20"/>
          <w:szCs w:val="20"/>
          <w:lang w:val="ro-RO"/>
        </w:rPr>
      </w:pPr>
      <w:r>
        <w:rPr>
          <w:sz w:val="20"/>
          <w:szCs w:val="20"/>
          <w:lang w:val="ro-RO"/>
        </w:rPr>
        <w:t>Acestea vor fi compactate cu ajutorul utilajului, respectând integritatea lucrărilor si permiţând obţinerea gradului de compactare.</w:t>
      </w:r>
    </w:p>
    <w:p>
      <w:pPr>
        <w:pStyle w:val="ListParagraph"/>
        <w:numPr>
          <w:ilvl w:val="0"/>
          <w:numId w:val="41"/>
        </w:numPr>
        <w:rPr>
          <w:b/>
          <w:sz w:val="20"/>
          <w:szCs w:val="20"/>
          <w:lang w:val="ro-RO"/>
        </w:rPr>
      </w:pPr>
      <w:r>
        <w:rPr>
          <w:b/>
          <w:sz w:val="20"/>
          <w:szCs w:val="20"/>
          <w:lang w:val="ro-RO"/>
        </w:rPr>
        <w:t>Protecţia împotriva apelor</w:t>
      </w:r>
    </w:p>
    <w:p>
      <w:pPr>
        <w:rPr>
          <w:sz w:val="20"/>
          <w:szCs w:val="20"/>
          <w:lang w:val="ro-RO"/>
        </w:rPr>
      </w:pPr>
      <w:r>
        <w:rPr>
          <w:sz w:val="20"/>
          <w:szCs w:val="20"/>
          <w:lang w:val="ro-RO"/>
        </w:rPr>
        <w:t>Antreprenorul este obligat sa asigure protectia rambleelor contra apelor pluviale si a inundatiilor provocate de ploi a caror intensitate nu depaseste intensitatea celei mai puternice ploi inregistrate in cursul ultimilor 10 ani.</w:t>
      </w:r>
    </w:p>
    <w:p>
      <w:pPr>
        <w:rPr>
          <w:sz w:val="20"/>
          <w:szCs w:val="20"/>
          <w:lang w:val="ro-RO"/>
        </w:rPr>
      </w:pPr>
      <w:r>
        <w:rPr>
          <w:sz w:val="20"/>
          <w:szCs w:val="20"/>
          <w:lang w:val="ro-RO"/>
        </w:rPr>
        <w:t>Intensitatea precipitatiilor de care se va tine seama va fi cea furnizata de cea mai apropiata statie pluviometrica.</w:t>
      </w:r>
    </w:p>
    <w:p>
      <w:pPr>
        <w:pStyle w:val="ListParagraph"/>
        <w:numPr>
          <w:ilvl w:val="0"/>
          <w:numId w:val="41"/>
        </w:numPr>
        <w:rPr>
          <w:b/>
          <w:sz w:val="20"/>
          <w:szCs w:val="20"/>
          <w:lang w:val="ro-RO"/>
        </w:rPr>
      </w:pPr>
      <w:r>
        <w:rPr>
          <w:b/>
          <w:sz w:val="20"/>
          <w:szCs w:val="20"/>
          <w:lang w:val="ro-RO"/>
        </w:rPr>
        <w:t>Executia santurilor si a rigolelor</w:t>
      </w:r>
    </w:p>
    <w:p>
      <w:pPr>
        <w:rPr>
          <w:sz w:val="20"/>
          <w:szCs w:val="20"/>
          <w:lang w:val="ro-RO"/>
        </w:rPr>
      </w:pPr>
      <w:r>
        <w:rPr>
          <w:sz w:val="20"/>
          <w:szCs w:val="20"/>
          <w:lang w:val="ro-RO"/>
        </w:rPr>
        <w:t>Santurile si rigolele vor fi realizate conform prevederilor proiectului tehnic, respectandu-se sectiunea, cota fundului si distanta de la marginea amprizei.</w:t>
      </w:r>
    </w:p>
    <w:p>
      <w:pPr>
        <w:rPr>
          <w:sz w:val="20"/>
          <w:szCs w:val="20"/>
          <w:lang w:val="ro-RO"/>
        </w:rPr>
      </w:pPr>
      <w:r>
        <w:rPr>
          <w:sz w:val="20"/>
          <w:szCs w:val="20"/>
          <w:lang w:val="ro-RO"/>
        </w:rPr>
        <w:t>Santul sau rigola trebuie sa ramana constant paralel cu muchia taluzului. In nici un caz nu va fî tolerat ca acest paralelism sa fie intrerupt de prezenta masivului stancos. Suprafetele santului sau a rigolei trebuie sa fle plane, iar blocurile in proeminenta sa fie taiate.</w:t>
      </w:r>
    </w:p>
    <w:p>
      <w:pPr>
        <w:rPr>
          <w:sz w:val="20"/>
          <w:szCs w:val="20"/>
          <w:lang w:val="ro-RO"/>
        </w:rPr>
      </w:pPr>
      <w:r>
        <w:rPr>
          <w:sz w:val="20"/>
          <w:szCs w:val="20"/>
          <w:lang w:val="ro-RO"/>
        </w:rPr>
        <w:t>La sfarsitul execuţiei si inainte de receptia finala, santurile sau rigolele vor fî complet degajate de bulgari si de blocuri.</w:t>
      </w:r>
    </w:p>
    <w:p>
      <w:pPr>
        <w:pStyle w:val="ListParagraph"/>
        <w:numPr>
          <w:ilvl w:val="0"/>
          <w:numId w:val="41"/>
        </w:numPr>
        <w:rPr>
          <w:b/>
          <w:sz w:val="20"/>
          <w:szCs w:val="20"/>
          <w:lang w:val="ro-RO"/>
        </w:rPr>
      </w:pPr>
      <w:r>
        <w:rPr>
          <w:b/>
          <w:sz w:val="20"/>
          <w:szCs w:val="20"/>
          <w:lang w:val="ro-RO"/>
        </w:rPr>
        <w:t>Finisarea platformei</w:t>
      </w:r>
    </w:p>
    <w:p>
      <w:pPr>
        <w:rPr>
          <w:sz w:val="20"/>
          <w:szCs w:val="20"/>
          <w:lang w:val="ro-RO"/>
        </w:rPr>
      </w:pPr>
      <w:r>
        <w:rPr>
          <w:sz w:val="20"/>
          <w:szCs w:val="20"/>
          <w:lang w:val="ro-RO"/>
        </w:rPr>
        <w:t>Stratul superior al platformei va fi completat, nivelat si compactat, respectandu-se cotele in profll longitudinal si transversal, declivitatile si latimea prevazute in proiect.</w:t>
      </w:r>
    </w:p>
    <w:p>
      <w:pPr>
        <w:rPr>
          <w:sz w:val="20"/>
          <w:szCs w:val="20"/>
          <w:lang w:val="ro-RO"/>
        </w:rPr>
      </w:pPr>
      <w:r>
        <w:rPr>
          <w:sz w:val="20"/>
          <w:szCs w:val="20"/>
          <w:lang w:val="ro-RO"/>
        </w:rPr>
        <w:t>In ceea ce priveste latimea platformei si cotele de executie, abaterile limita sunt:</w:t>
      </w:r>
    </w:p>
    <w:p>
      <w:pPr>
        <w:pStyle w:val="ListParagraph"/>
        <w:numPr>
          <w:ilvl w:val="0"/>
          <w:numId w:val="46"/>
        </w:numPr>
        <w:rPr>
          <w:sz w:val="20"/>
          <w:szCs w:val="20"/>
          <w:lang w:val="ro-RO"/>
        </w:rPr>
      </w:pPr>
      <w:r>
        <w:rPr>
          <w:sz w:val="20"/>
          <w:szCs w:val="20"/>
          <w:lang w:val="ro-RO"/>
        </w:rPr>
        <w:t>la latimea platformei: +0,05 m fata de ax si +0,10 m la latimea intreaga</w:t>
      </w:r>
    </w:p>
    <w:p>
      <w:pPr>
        <w:pStyle w:val="ListParagraph"/>
        <w:numPr>
          <w:ilvl w:val="0"/>
          <w:numId w:val="46"/>
        </w:numPr>
        <w:rPr>
          <w:sz w:val="20"/>
          <w:szCs w:val="20"/>
          <w:lang w:val="ro-RO"/>
        </w:rPr>
      </w:pPr>
      <w:r>
        <w:rPr>
          <w:sz w:val="20"/>
          <w:szCs w:val="20"/>
          <w:lang w:val="ro-RO"/>
        </w:rPr>
        <w:t>la cotele proiectului: +0,025-^-0,050 m fata de cotele de nivel ale proiectului.</w:t>
      </w:r>
    </w:p>
    <w:p>
      <w:pPr>
        <w:rPr>
          <w:sz w:val="20"/>
          <w:szCs w:val="20"/>
          <w:lang w:val="ro-RO"/>
        </w:rPr>
      </w:pPr>
      <w:r>
        <w:rPr>
          <w:sz w:val="20"/>
          <w:szCs w:val="20"/>
          <w:lang w:val="ro-RO"/>
        </w:rPr>
        <w:t>Daca constructia sistemului rutier nu urmeaza imediat terasamentelor, platforma va fî nivelata transversal, urmarind profilul acoperis constituit din doi versanti inclinati cu 4% spre marginea acestora. In curbe se aplica deverul prevazut in planuri, fara sa coboare sub o panta transversala de 4%.</w:t>
      </w:r>
    </w:p>
    <w:p>
      <w:pPr>
        <w:pStyle w:val="ListParagraph"/>
        <w:numPr>
          <w:ilvl w:val="0"/>
          <w:numId w:val="41"/>
        </w:numPr>
        <w:rPr>
          <w:b/>
          <w:sz w:val="20"/>
          <w:szCs w:val="20"/>
          <w:lang w:val="ro-RO"/>
        </w:rPr>
      </w:pPr>
      <w:r>
        <w:rPr>
          <w:b/>
          <w:sz w:val="20"/>
          <w:szCs w:val="20"/>
          <w:lang w:val="ro-RO"/>
        </w:rPr>
        <w:t>Acoperirea cu pamant vegetal</w:t>
      </w:r>
    </w:p>
    <w:p>
      <w:pPr>
        <w:rPr>
          <w:sz w:val="20"/>
          <w:szCs w:val="20"/>
          <w:lang w:val="ro-RO"/>
        </w:rPr>
      </w:pPr>
      <w:r>
        <w:rPr>
          <w:sz w:val="20"/>
          <w:szCs w:val="20"/>
          <w:lang w:val="ro-RO"/>
        </w:rPr>
        <w:t>Atunci cand acoperirea trebuie sa fie aplicata pe un taluz, acesta este in prealabil taiat in trepte sau intarit cu caroiaje din brazde, nuiele sau prefabricate etc., destinate sa le fixeze. Aceste trepte sau caroiaje sunt apoi umplute cu pamant vegetal.</w:t>
      </w:r>
    </w:p>
    <w:p>
      <w:pPr>
        <w:rPr>
          <w:sz w:val="20"/>
          <w:szCs w:val="20"/>
          <w:lang w:val="ro-RO"/>
        </w:rPr>
      </w:pPr>
      <w:r>
        <w:rPr>
          <w:sz w:val="20"/>
          <w:szCs w:val="20"/>
          <w:lang w:val="ro-RO"/>
        </w:rPr>
        <w:t>Terenul vegetal trebuie faramitat, curatat cu grija de pietre, radacini sau iarba si umectat inainte de raspandire.</w:t>
      </w:r>
    </w:p>
    <w:p>
      <w:pPr>
        <w:rPr>
          <w:sz w:val="20"/>
          <w:szCs w:val="20"/>
          <w:lang w:val="ro-RO"/>
        </w:rPr>
      </w:pPr>
      <w:r>
        <w:rPr>
          <w:sz w:val="20"/>
          <w:szCs w:val="20"/>
          <w:lang w:val="ro-RO"/>
        </w:rPr>
        <w:t>Executarea lucrarilor de imbracare cu pamant vegetal este, in principiu, suspendata pe timp de ploaie.</w:t>
      </w:r>
    </w:p>
    <w:p>
      <w:pPr>
        <w:pStyle w:val="ListParagraph"/>
        <w:numPr>
          <w:ilvl w:val="0"/>
          <w:numId w:val="41"/>
        </w:numPr>
        <w:rPr>
          <w:b/>
          <w:sz w:val="20"/>
          <w:szCs w:val="20"/>
          <w:lang w:val="ro-RO"/>
        </w:rPr>
      </w:pPr>
      <w:r>
        <w:rPr>
          <w:b/>
          <w:sz w:val="20"/>
          <w:szCs w:val="20"/>
          <w:lang w:val="ro-RO"/>
        </w:rPr>
        <w:t>Drenarea apelor subterane</w:t>
      </w:r>
    </w:p>
    <w:p>
      <w:pPr>
        <w:rPr>
          <w:sz w:val="20"/>
          <w:szCs w:val="20"/>
          <w:lang w:val="ro-RO"/>
        </w:rPr>
      </w:pPr>
      <w:r>
        <w:rPr>
          <w:sz w:val="20"/>
          <w:szCs w:val="20"/>
          <w:lang w:val="ro-RO"/>
        </w:rPr>
        <w:t>Drenarea apelor subterane se face printr-o retea de drenuri, puturi si santuri prevazute in specificatiile tehnice.</w:t>
      </w:r>
    </w:p>
    <w:p>
      <w:pPr>
        <w:pStyle w:val="ListParagraph"/>
        <w:numPr>
          <w:ilvl w:val="0"/>
          <w:numId w:val="41"/>
        </w:numPr>
        <w:rPr>
          <w:b/>
          <w:sz w:val="20"/>
          <w:szCs w:val="20"/>
          <w:lang w:val="ro-RO"/>
        </w:rPr>
      </w:pPr>
      <w:r>
        <w:rPr>
          <w:b/>
          <w:sz w:val="20"/>
          <w:szCs w:val="20"/>
          <w:lang w:val="ro-RO"/>
        </w:rPr>
        <w:t>Controlul executiei lucrarilor</w:t>
      </w:r>
    </w:p>
    <w:p>
      <w:pPr>
        <w:rPr>
          <w:sz w:val="20"/>
          <w:szCs w:val="20"/>
          <w:lang w:val="ro-RO"/>
        </w:rPr>
      </w:pPr>
      <w:r>
        <w:rPr>
          <w:sz w:val="20"/>
          <w:szCs w:val="20"/>
          <w:lang w:val="ro-RO"/>
        </w:rPr>
        <w:t>Controlul calitatii lucrarilor de terasamente consta in:</w:t>
      </w:r>
    </w:p>
    <w:p>
      <w:pPr>
        <w:pStyle w:val="ListParagraph"/>
        <w:numPr>
          <w:ilvl w:val="0"/>
          <w:numId w:val="47"/>
        </w:numPr>
        <w:rPr>
          <w:sz w:val="20"/>
          <w:szCs w:val="20"/>
          <w:lang w:val="ro-RO"/>
        </w:rPr>
      </w:pPr>
      <w:r>
        <w:rPr>
          <w:sz w:val="20"/>
          <w:szCs w:val="20"/>
          <w:lang w:val="ro-RO"/>
        </w:rPr>
        <w:t>verificarea trasarii si bornarii axei si amprizei drumului;</w:t>
      </w:r>
    </w:p>
    <w:p>
      <w:pPr>
        <w:pStyle w:val="ListParagraph"/>
        <w:numPr>
          <w:ilvl w:val="0"/>
          <w:numId w:val="47"/>
        </w:numPr>
        <w:rPr>
          <w:sz w:val="20"/>
          <w:szCs w:val="20"/>
          <w:lang w:val="ro-RO"/>
        </w:rPr>
      </w:pPr>
      <w:r>
        <w:rPr>
          <w:sz w:val="20"/>
          <w:szCs w:val="20"/>
          <w:lang w:val="ro-RO"/>
        </w:rPr>
        <w:t>verificarea pregatirii terenului de fundatii</w:t>
      </w:r>
    </w:p>
    <w:p>
      <w:pPr>
        <w:pStyle w:val="ListParagraph"/>
        <w:numPr>
          <w:ilvl w:val="0"/>
          <w:numId w:val="47"/>
        </w:numPr>
        <w:rPr>
          <w:sz w:val="20"/>
          <w:szCs w:val="20"/>
          <w:lang w:val="ro-RO"/>
        </w:rPr>
      </w:pPr>
      <w:r>
        <w:rPr>
          <w:sz w:val="20"/>
          <w:szCs w:val="20"/>
          <w:lang w:val="ro-RO"/>
        </w:rPr>
        <w:t>verifîcarea calitatii si starii pamantului utilizat</w:t>
      </w:r>
    </w:p>
    <w:p>
      <w:pPr>
        <w:pStyle w:val="ListParagraph"/>
        <w:numPr>
          <w:ilvl w:val="0"/>
          <w:numId w:val="47"/>
        </w:numPr>
        <w:rPr>
          <w:sz w:val="20"/>
          <w:szCs w:val="20"/>
          <w:lang w:val="ro-RO"/>
        </w:rPr>
      </w:pPr>
      <w:r>
        <w:rPr>
          <w:sz w:val="20"/>
          <w:szCs w:val="20"/>
          <w:lang w:val="ro-RO"/>
        </w:rPr>
        <w:t>controlul grosimii straturilor asternute</w:t>
      </w:r>
    </w:p>
    <w:p>
      <w:pPr>
        <w:pStyle w:val="ListParagraph"/>
        <w:numPr>
          <w:ilvl w:val="0"/>
          <w:numId w:val="47"/>
        </w:numPr>
        <w:rPr>
          <w:sz w:val="20"/>
          <w:szCs w:val="20"/>
          <w:lang w:val="ro-RO"/>
        </w:rPr>
      </w:pPr>
      <w:r>
        <w:rPr>
          <w:sz w:val="20"/>
          <w:szCs w:val="20"/>
          <w:lang w:val="ro-RO"/>
        </w:rPr>
        <w:t>controlul compactarii terasamentelor</w:t>
      </w:r>
    </w:p>
    <w:p>
      <w:pPr>
        <w:pStyle w:val="ListParagraph"/>
        <w:numPr>
          <w:ilvl w:val="0"/>
          <w:numId w:val="47"/>
        </w:numPr>
        <w:rPr>
          <w:sz w:val="20"/>
          <w:szCs w:val="20"/>
          <w:lang w:val="ro-RO"/>
        </w:rPr>
      </w:pPr>
      <w:r>
        <w:rPr>
          <w:sz w:val="20"/>
          <w:szCs w:val="20"/>
          <w:lang w:val="ro-RO"/>
        </w:rPr>
        <w:lastRenderedPageBreak/>
        <w:t>controlul caracteristicilor platformei drumurilor.</w:t>
      </w:r>
    </w:p>
    <w:p>
      <w:pPr>
        <w:pStyle w:val="ListParagraph"/>
        <w:numPr>
          <w:ilvl w:val="0"/>
          <w:numId w:val="47"/>
        </w:numPr>
        <w:rPr>
          <w:sz w:val="20"/>
          <w:szCs w:val="20"/>
          <w:lang w:val="ro-RO"/>
        </w:rPr>
      </w:pPr>
      <w:r>
        <w:rPr>
          <w:sz w:val="20"/>
          <w:szCs w:val="20"/>
          <w:lang w:val="ro-RO"/>
        </w:rPr>
        <w:t>controlul capacitatii portante.</w:t>
      </w:r>
    </w:p>
    <w:p>
      <w:pPr>
        <w:rPr>
          <w:sz w:val="20"/>
          <w:szCs w:val="20"/>
          <w:lang w:val="ro-RO"/>
        </w:rPr>
      </w:pPr>
      <w:r>
        <w:rPr>
          <w:sz w:val="20"/>
          <w:szCs w:val="20"/>
          <w:lang w:val="ro-RO"/>
        </w:rPr>
        <w:t>Antreprenorul este obligat sa tina evidenta zilnica, in registrul de laborator, a verificarilor efectuate asupra calitatii si starii (umiditatii) pamantului pus in opera si a rezultatelor obtinute in urma incercarilor efectuate privind calitatea lucrarilor executate.</w:t>
      </w:r>
    </w:p>
    <w:p>
      <w:pPr>
        <w:pStyle w:val="ListParagraph"/>
        <w:numPr>
          <w:ilvl w:val="0"/>
          <w:numId w:val="41"/>
        </w:numPr>
        <w:rPr>
          <w:b/>
          <w:sz w:val="20"/>
          <w:szCs w:val="20"/>
          <w:lang w:val="ro-RO"/>
        </w:rPr>
      </w:pPr>
      <w:r>
        <w:rPr>
          <w:b/>
          <w:sz w:val="20"/>
          <w:szCs w:val="20"/>
          <w:lang w:val="ro-RO"/>
        </w:rPr>
        <w:t>Verificarea pregatirii terenului pentru fundatie pe sub rambleu</w:t>
      </w:r>
    </w:p>
    <w:p>
      <w:pPr>
        <w:rPr>
          <w:sz w:val="20"/>
          <w:szCs w:val="20"/>
          <w:lang w:val="ro-RO"/>
        </w:rPr>
      </w:pPr>
      <w:r>
        <w:rPr>
          <w:sz w:val="20"/>
          <w:szCs w:val="20"/>
          <w:lang w:val="ro-RO"/>
        </w:rPr>
        <w:t>Inainte de inceperea executarii umpluturilor, dupa ce s-a curatat terenul, s-a indepartat stratul vegetal si s-a compactat pamantul, se determina natura pamantului, gradul de compactare si deformabilitatea terenului de fundatie de sub rambleu.</w:t>
      </w:r>
    </w:p>
    <w:p>
      <w:pPr>
        <w:rPr>
          <w:sz w:val="20"/>
          <w:szCs w:val="20"/>
          <w:lang w:val="ro-RO"/>
        </w:rPr>
      </w:pPr>
      <w:r>
        <w:rPr>
          <w:sz w:val="20"/>
          <w:szCs w:val="20"/>
          <w:lang w:val="ro-RO"/>
        </w:rPr>
        <w:t>Verificarile efectuate se vor consemna intr-un proces verbal de verificare a calitatii lucrarilor ascunse, specifîcandu-se si eventualele remedieri necesare.</w:t>
      </w:r>
    </w:p>
    <w:p>
      <w:pPr>
        <w:rPr>
          <w:sz w:val="20"/>
          <w:szCs w:val="20"/>
          <w:lang w:val="ro-RO"/>
        </w:rPr>
      </w:pPr>
      <w:r>
        <w:rPr>
          <w:sz w:val="20"/>
          <w:szCs w:val="20"/>
          <w:lang w:val="ro-RO"/>
        </w:rPr>
        <w:t>Numarul minim de probe conform STAS 2914-84 pentru gradul de compactare este de trei incercari pentru fiecare 2000 m de suprafete compactate.</w:t>
      </w:r>
    </w:p>
    <w:p>
      <w:pPr>
        <w:rPr>
          <w:sz w:val="20"/>
          <w:szCs w:val="20"/>
          <w:lang w:val="ro-RO"/>
        </w:rPr>
      </w:pPr>
      <w:r>
        <w:rPr>
          <w:sz w:val="20"/>
          <w:szCs w:val="20"/>
          <w:lang w:val="ro-RO"/>
        </w:rPr>
        <w:t>Deformabilitatea terenului se va stabili prin masuratori cu deflectometru cu parghii, conform instructiunilor tehnice departamentale - Indicativ CD 31-94.</w:t>
      </w:r>
    </w:p>
    <w:p>
      <w:pPr>
        <w:rPr>
          <w:sz w:val="20"/>
          <w:szCs w:val="20"/>
          <w:lang w:val="ro-RO"/>
        </w:rPr>
      </w:pPr>
      <w:r>
        <w:rPr>
          <w:sz w:val="20"/>
          <w:szCs w:val="20"/>
          <w:lang w:val="ro-RO"/>
        </w:rPr>
        <w:t>Masuratorile cu deflectometru se vor executa in profile transversale amplasate la maximum 25 m unul dupa altul, in trei puncte (dreapta, ax, stanga) de pe ampriza variantelor de drum.</w:t>
      </w:r>
    </w:p>
    <w:p>
      <w:pPr>
        <w:rPr>
          <w:sz w:val="20"/>
          <w:szCs w:val="20"/>
          <w:lang w:val="ro-RO"/>
        </w:rPr>
      </w:pPr>
      <w:r>
        <w:rPr>
          <w:sz w:val="20"/>
          <w:szCs w:val="20"/>
          <w:lang w:val="ro-RO"/>
        </w:rPr>
        <w:t>Verificarea gradului de compactare a terenului se va face in corelatie cu masuratorile cu deflectometru in punctele in care rezultatele acestora atesta valori de capacitate portanta scazuta, iar daca nu corespund se continua compactarea concomitent cu alte masuri de imbunatatire a granulometriei, a umiditatii etc.</w:t>
      </w:r>
    </w:p>
    <w:p>
      <w:pPr>
        <w:rPr>
          <w:sz w:val="20"/>
          <w:szCs w:val="20"/>
          <w:u w:val="single"/>
          <w:lang w:val="ro-RO"/>
        </w:rPr>
      </w:pPr>
      <w:r>
        <w:rPr>
          <w:sz w:val="20"/>
          <w:szCs w:val="20"/>
          <w:u w:val="single"/>
          <w:lang w:val="ro-RO"/>
        </w:rPr>
        <w:t>Verificarea calitatii straturilor asternute</w:t>
      </w:r>
    </w:p>
    <w:p>
      <w:pPr>
        <w:rPr>
          <w:sz w:val="20"/>
          <w:szCs w:val="20"/>
          <w:lang w:val="ro-RO"/>
        </w:rPr>
      </w:pPr>
      <w:r>
        <w:rPr>
          <w:sz w:val="20"/>
          <w:szCs w:val="20"/>
          <w:lang w:val="ro-RO"/>
        </w:rPr>
        <w:t>Grosimea fiecarui strat de pamant asternut va fi verificata, aceasta trebuind sa corespunda grosimii stabilite pe sectorul expcrimental pentru tipul de pamant respectiv si utilajele folosite la compactare, pentru a se asigura gradul de compactare si capacitatea portanta prescrisa.</w:t>
      </w:r>
    </w:p>
    <w:p>
      <w:pPr>
        <w:rPr>
          <w:sz w:val="20"/>
          <w:szCs w:val="20"/>
          <w:lang w:val="ro-RO"/>
        </w:rPr>
      </w:pPr>
      <w:r>
        <w:rPr>
          <w:sz w:val="20"/>
          <w:szCs w:val="20"/>
          <w:lang w:val="ro-RO"/>
        </w:rPr>
        <w:t>Determinarile pentru verificarea gradului de compactare se fac pentru fiecare strat de pamant pus in opera.</w:t>
      </w:r>
    </w:p>
    <w:p>
      <w:pPr>
        <w:rPr>
          <w:sz w:val="20"/>
          <w:szCs w:val="20"/>
          <w:lang w:val="ro-RO"/>
        </w:rPr>
      </w:pPr>
      <w:r>
        <w:rPr>
          <w:sz w:val="20"/>
          <w:szCs w:val="20"/>
          <w:lang w:val="ro-RO"/>
        </w:rPr>
        <w:t>In cazul pamanturilor coezive, se vor preleva cate trei probe de la suprafata, mijlocul si de la baza stratului, atunci cand acesta are grosimi mai mari de 25 cm, si numai de la suprafata si baza stratului, atunci cand grosimea este mai mica de 25 cm.</w:t>
      </w:r>
    </w:p>
    <w:p>
      <w:pPr>
        <w:rPr>
          <w:sz w:val="20"/>
          <w:szCs w:val="20"/>
          <w:lang w:val="ro-RO"/>
        </w:rPr>
      </w:pPr>
      <w:r>
        <w:rPr>
          <w:sz w:val="20"/>
          <w:szCs w:val="20"/>
          <w:lang w:val="ro-RO"/>
        </w:rPr>
        <w:t>Verificarea gradului de compactare se face prin compararea densitatii in stare uscata a acestor probe, cu densitatea in stare maxima stabilita prin incercarea Proctor Normal STAS 1913/13¬83.</w:t>
      </w:r>
    </w:p>
    <w:p>
      <w:pPr>
        <w:rPr>
          <w:sz w:val="20"/>
          <w:szCs w:val="20"/>
          <w:lang w:val="ro-RO"/>
        </w:rPr>
      </w:pPr>
      <w:r>
        <w:rPr>
          <w:sz w:val="20"/>
          <w:szCs w:val="20"/>
          <w:lang w:val="ro-RO"/>
        </w:rPr>
        <w:t>Deformabilitatea platformei drumului este stabilita prin masuratori cu deflectometrul cu parghie. La nivelul platformei (patului) se considera realizata capacitatea portanta necesara daca deformatia elastica corespunzatoare sub sarcina osiei etalon de 91 KN are valori mai mari decat cea admisa conform tabelului de mai jos.</w:t>
      </w:r>
    </w:p>
    <w:tbl>
      <w:tblPr>
        <w:tblW w:w="9631" w:type="dxa"/>
        <w:jc w:val="center"/>
        <w:tblLayout w:type="fixed"/>
        <w:tblCellMar>
          <w:left w:w="40" w:type="dxa"/>
          <w:right w:w="40" w:type="dxa"/>
        </w:tblCellMar>
        <w:tblLook w:val="0000" w:firstRow="0" w:lastRow="0" w:firstColumn="0" w:lastColumn="0" w:noHBand="0" w:noVBand="0"/>
      </w:tblPr>
      <w:tblGrid>
        <w:gridCol w:w="6088"/>
        <w:gridCol w:w="3543"/>
      </w:tblGrid>
      <w:tr>
        <w:trPr>
          <w:jc w:val="center"/>
        </w:trPr>
        <w:tc>
          <w:tcPr>
            <w:tcW w:w="6088"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b/>
                <w:bCs/>
                <w:sz w:val="20"/>
                <w:szCs w:val="20"/>
                <w:lang w:val="ro-RO" w:eastAsia="ro-RO"/>
              </w:rPr>
            </w:pPr>
            <w:r>
              <w:rPr>
                <w:rFonts w:eastAsiaTheme="minorEastAsia" w:cs="Verdana"/>
                <w:b/>
                <w:bCs/>
                <w:sz w:val="20"/>
                <w:szCs w:val="20"/>
                <w:lang w:val="ro-RO" w:eastAsia="ro-RO"/>
              </w:rPr>
              <w:t>Tipul de pamant, conform STAS</w:t>
            </w:r>
            <w:r>
              <w:rPr>
                <w:rFonts w:eastAsiaTheme="minorEastAsia" w:cs="Verdana"/>
                <w:sz w:val="20"/>
                <w:szCs w:val="20"/>
                <w:lang w:val="ro-RO" w:eastAsia="ro-RO"/>
              </w:rPr>
              <w:t xml:space="preserve"> </w:t>
            </w:r>
            <w:r>
              <w:rPr>
                <w:rFonts w:eastAsiaTheme="minorEastAsia" w:cs="Verdana"/>
                <w:b/>
                <w:bCs/>
                <w:sz w:val="20"/>
                <w:szCs w:val="20"/>
                <w:lang w:val="ro-RO" w:eastAsia="ro-RO"/>
              </w:rPr>
              <w:t>1243-88</w:t>
            </w:r>
          </w:p>
        </w:tc>
        <w:tc>
          <w:tcPr>
            <w:tcW w:w="3543"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ind w:left="5" w:hanging="5"/>
              <w:jc w:val="left"/>
              <w:rPr>
                <w:rFonts w:eastAsiaTheme="minorEastAsia" w:cs="Verdana"/>
                <w:b/>
                <w:bCs/>
                <w:sz w:val="20"/>
                <w:szCs w:val="20"/>
                <w:lang w:val="ro-RO" w:eastAsia="ro-RO"/>
              </w:rPr>
            </w:pPr>
            <w:r>
              <w:rPr>
                <w:rFonts w:eastAsiaTheme="minorEastAsia" w:cs="Verdana"/>
                <w:b/>
                <w:bCs/>
                <w:sz w:val="20"/>
                <w:szCs w:val="20"/>
                <w:lang w:val="ro-RO" w:eastAsia="ro-RO"/>
              </w:rPr>
              <w:t>Valoarea admisibila a deformatiei elastice 1/100 mm</w:t>
            </w:r>
          </w:p>
        </w:tc>
      </w:tr>
      <w:tr>
        <w:trPr>
          <w:jc w:val="center"/>
        </w:trPr>
        <w:tc>
          <w:tcPr>
            <w:tcW w:w="6088"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sz w:val="20"/>
                <w:szCs w:val="20"/>
                <w:lang w:val="ro-RO" w:eastAsia="ro-RO"/>
              </w:rPr>
            </w:pPr>
            <w:r>
              <w:rPr>
                <w:rFonts w:eastAsiaTheme="minorEastAsia" w:cs="Verdana"/>
                <w:sz w:val="20"/>
                <w:szCs w:val="20"/>
                <w:lang w:val="ro-RO" w:eastAsia="ro-RO"/>
              </w:rPr>
              <w:t>Nisip prafos, nisip argilos</w:t>
            </w:r>
          </w:p>
        </w:tc>
        <w:tc>
          <w:tcPr>
            <w:tcW w:w="3543"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sz w:val="20"/>
                <w:szCs w:val="20"/>
                <w:lang w:val="ro-RO" w:eastAsia="ro-RO"/>
              </w:rPr>
            </w:pPr>
            <w:r>
              <w:rPr>
                <w:rFonts w:eastAsiaTheme="minorEastAsia" w:cs="Verdana"/>
                <w:sz w:val="20"/>
                <w:szCs w:val="20"/>
                <w:lang w:val="ro-RO" w:eastAsia="ro-RO"/>
              </w:rPr>
              <w:t>350</w:t>
            </w:r>
          </w:p>
        </w:tc>
      </w:tr>
      <w:tr>
        <w:trPr>
          <w:jc w:val="center"/>
        </w:trPr>
        <w:tc>
          <w:tcPr>
            <w:tcW w:w="6088"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sz w:val="20"/>
                <w:szCs w:val="20"/>
                <w:lang w:val="ro-RO" w:eastAsia="ro-RO"/>
              </w:rPr>
            </w:pPr>
            <w:r>
              <w:rPr>
                <w:rFonts w:eastAsiaTheme="minorEastAsia" w:cs="Verdana"/>
                <w:sz w:val="20"/>
                <w:szCs w:val="20"/>
                <w:lang w:val="ro-RO" w:eastAsia="ro-RO"/>
              </w:rPr>
              <w:t>Praf nisipos, praf argilos, praf argilos-nisipos, praf</w:t>
            </w:r>
          </w:p>
        </w:tc>
        <w:tc>
          <w:tcPr>
            <w:tcW w:w="3543"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sz w:val="20"/>
                <w:szCs w:val="20"/>
                <w:lang w:val="ro-RO" w:eastAsia="ro-RO"/>
              </w:rPr>
            </w:pPr>
            <w:r>
              <w:rPr>
                <w:rFonts w:eastAsiaTheme="minorEastAsia" w:cs="Verdana"/>
                <w:sz w:val="20"/>
                <w:szCs w:val="20"/>
                <w:lang w:val="ro-RO" w:eastAsia="ro-RO"/>
              </w:rPr>
              <w:t>400</w:t>
            </w:r>
          </w:p>
        </w:tc>
      </w:tr>
      <w:tr>
        <w:trPr>
          <w:jc w:val="center"/>
        </w:trPr>
        <w:tc>
          <w:tcPr>
            <w:tcW w:w="6088"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ind w:left="10" w:hanging="10"/>
              <w:jc w:val="left"/>
              <w:rPr>
                <w:rFonts w:eastAsiaTheme="minorEastAsia" w:cs="Verdana"/>
                <w:sz w:val="20"/>
                <w:szCs w:val="20"/>
                <w:lang w:val="ro-RO" w:eastAsia="ro-RO"/>
              </w:rPr>
            </w:pPr>
            <w:r>
              <w:rPr>
                <w:rFonts w:eastAsiaTheme="minorEastAsia" w:cs="Verdana"/>
                <w:sz w:val="20"/>
                <w:szCs w:val="20"/>
                <w:lang w:val="ro-RO" w:eastAsia="ro-RO"/>
              </w:rPr>
              <w:t>Argila prafoasa, argila nisipoasa, argila prafoasa-nisipoasa, argila</w:t>
            </w:r>
          </w:p>
        </w:tc>
        <w:tc>
          <w:tcPr>
            <w:tcW w:w="3543" w:type="dxa"/>
            <w:tcBorders>
              <w:top w:val="single" w:sz="6" w:space="0" w:color="auto"/>
              <w:left w:val="single" w:sz="6" w:space="0" w:color="auto"/>
              <w:bottom w:val="single" w:sz="6" w:space="0" w:color="auto"/>
              <w:right w:val="single" w:sz="6" w:space="0" w:color="auto"/>
            </w:tcBorders>
          </w:tcPr>
          <w:p>
            <w:pPr>
              <w:autoSpaceDE w:val="0"/>
              <w:autoSpaceDN w:val="0"/>
              <w:adjustRightInd w:val="0"/>
              <w:spacing w:after="0" w:line="360" w:lineRule="auto"/>
              <w:jc w:val="left"/>
              <w:rPr>
                <w:rFonts w:eastAsiaTheme="minorEastAsia" w:cs="Verdana"/>
                <w:sz w:val="20"/>
                <w:szCs w:val="20"/>
                <w:lang w:val="ro-RO" w:eastAsia="ro-RO"/>
              </w:rPr>
            </w:pPr>
            <w:r>
              <w:rPr>
                <w:rFonts w:eastAsiaTheme="minorEastAsia" w:cs="Verdana"/>
                <w:sz w:val="20"/>
                <w:szCs w:val="20"/>
                <w:lang w:val="ro-RO" w:eastAsia="ro-RO"/>
              </w:rPr>
              <w:t>450</w:t>
            </w:r>
          </w:p>
        </w:tc>
      </w:tr>
    </w:tbl>
    <w:p>
      <w:pPr>
        <w:ind w:firstLine="720"/>
        <w:rPr>
          <w:sz w:val="20"/>
          <w:szCs w:val="20"/>
          <w:lang w:val="ro-RO"/>
        </w:rPr>
      </w:pPr>
    </w:p>
    <w:p>
      <w:pPr>
        <w:pStyle w:val="Heading4"/>
        <w:rPr>
          <w:sz w:val="20"/>
          <w:szCs w:val="20"/>
          <w:lang w:val="ro-RO"/>
        </w:rPr>
      </w:pPr>
      <w:r>
        <w:rPr>
          <w:sz w:val="20"/>
          <w:szCs w:val="20"/>
          <w:lang w:val="ro-RO"/>
        </w:rPr>
        <w:lastRenderedPageBreak/>
        <w:t>2.2.8.3 Receptia lucrarilor</w:t>
      </w:r>
    </w:p>
    <w:p>
      <w:pPr>
        <w:rPr>
          <w:sz w:val="20"/>
          <w:szCs w:val="20"/>
          <w:lang w:val="ro-RO"/>
        </w:rPr>
      </w:pPr>
      <w:r>
        <w:rPr>
          <w:sz w:val="20"/>
          <w:szCs w:val="20"/>
          <w:lang w:val="ro-RO"/>
        </w:rPr>
        <w:t>Lucrarile de terasamente vor fi supuse unor receptii pe parcursul executiei (receptii pe faze de executie), unei receptii la terminarea terasamentelor si unei receptii fînale.</w:t>
      </w:r>
    </w:p>
    <w:p>
      <w:pPr>
        <w:pStyle w:val="ListParagraph"/>
        <w:numPr>
          <w:ilvl w:val="0"/>
          <w:numId w:val="41"/>
        </w:numPr>
        <w:rPr>
          <w:b/>
          <w:sz w:val="20"/>
          <w:szCs w:val="20"/>
          <w:lang w:val="ro-RO"/>
        </w:rPr>
      </w:pPr>
      <w:r>
        <w:rPr>
          <w:b/>
          <w:sz w:val="20"/>
          <w:szCs w:val="20"/>
          <w:lang w:val="ro-RO"/>
        </w:rPr>
        <w:t>Receptia pe faze de executie</w:t>
      </w:r>
    </w:p>
    <w:p>
      <w:pPr>
        <w:rPr>
          <w:sz w:val="20"/>
          <w:szCs w:val="20"/>
          <w:lang w:val="ro-RO"/>
        </w:rPr>
      </w:pPr>
      <w:r>
        <w:rPr>
          <w:sz w:val="20"/>
          <w:szCs w:val="20"/>
          <w:lang w:val="ro-RO"/>
        </w:rPr>
        <w:t>In cazul receptiei pe faze (de lucrari ascunse), se va verifica daca partea de lucrari ce se receptioneaza a fost executată conform proiectului si atesta conditiile impuse de specifîcatiile tehnice.</w:t>
      </w:r>
    </w:p>
    <w:p>
      <w:pPr>
        <w:rPr>
          <w:sz w:val="20"/>
          <w:szCs w:val="20"/>
          <w:lang w:val="ro-RO"/>
        </w:rPr>
      </w:pPr>
      <w:r>
        <w:rPr>
          <w:sz w:val="20"/>
          <w:szCs w:val="20"/>
          <w:lang w:val="ro-RO"/>
        </w:rPr>
        <w:t>In urma verificarilor se incheie proces verbal de receptie pe faze, in care se confîrma posibilitatea trecerii la faza imediat urmatoare.</w:t>
      </w:r>
    </w:p>
    <w:p>
      <w:pPr>
        <w:rPr>
          <w:sz w:val="20"/>
          <w:szCs w:val="20"/>
          <w:lang w:val="ro-RO"/>
        </w:rPr>
      </w:pPr>
      <w:r>
        <w:rPr>
          <w:sz w:val="20"/>
          <w:szCs w:val="20"/>
          <w:lang w:val="ro-RO"/>
        </w:rPr>
        <w:t>Receptia pe faze se va face in mod obligatoriu la urmatoarele momente ale lucrarii:</w:t>
      </w:r>
    </w:p>
    <w:p>
      <w:pPr>
        <w:pStyle w:val="ListParagraph"/>
        <w:numPr>
          <w:ilvl w:val="0"/>
          <w:numId w:val="47"/>
        </w:numPr>
        <w:rPr>
          <w:sz w:val="20"/>
          <w:szCs w:val="20"/>
          <w:lang w:val="ro-RO"/>
        </w:rPr>
      </w:pPr>
      <w:r>
        <w:rPr>
          <w:sz w:val="20"/>
          <w:szCs w:val="20"/>
          <w:lang w:val="ro-RO"/>
        </w:rPr>
        <w:t>trasarea si sablonarea lucrarilor pregatitoare, inclusiv decaparea stratului vegetal</w:t>
      </w:r>
    </w:p>
    <w:p>
      <w:pPr>
        <w:pStyle w:val="ListParagraph"/>
        <w:numPr>
          <w:ilvl w:val="0"/>
          <w:numId w:val="47"/>
        </w:numPr>
        <w:rPr>
          <w:sz w:val="20"/>
          <w:szCs w:val="20"/>
          <w:lang w:val="ro-RO"/>
        </w:rPr>
      </w:pPr>
      <w:r>
        <w:rPr>
          <w:sz w:val="20"/>
          <w:szCs w:val="20"/>
          <w:lang w:val="ro-RO"/>
        </w:rPr>
        <w:t>pregatirea terenului de fundatie de sub ramblee</w:t>
      </w:r>
    </w:p>
    <w:p>
      <w:pPr>
        <w:pStyle w:val="ListParagraph"/>
        <w:numPr>
          <w:ilvl w:val="0"/>
          <w:numId w:val="47"/>
        </w:numPr>
        <w:rPr>
          <w:sz w:val="20"/>
          <w:szCs w:val="20"/>
          <w:lang w:val="ro-RO"/>
        </w:rPr>
      </w:pPr>
      <w:r>
        <w:rPr>
          <w:sz w:val="20"/>
          <w:szCs w:val="20"/>
          <w:lang w:val="ro-RO"/>
        </w:rPr>
        <w:t>terminarea terasamentelor la nivelul patului drumului. Lucrarile nu se vor receptiona daca:</w:t>
      </w:r>
    </w:p>
    <w:p>
      <w:pPr>
        <w:pStyle w:val="ListParagraph"/>
        <w:numPr>
          <w:ilvl w:val="0"/>
          <w:numId w:val="47"/>
        </w:numPr>
        <w:rPr>
          <w:sz w:val="20"/>
          <w:szCs w:val="20"/>
          <w:lang w:val="ro-RO"/>
        </w:rPr>
      </w:pPr>
      <w:r>
        <w:rPr>
          <w:sz w:val="20"/>
          <w:szCs w:val="20"/>
          <w:lang w:val="ro-RO"/>
        </w:rPr>
        <w:t>nu sunt realizate cotele si dimensiunile prevazute in proiect</w:t>
      </w:r>
    </w:p>
    <w:p>
      <w:pPr>
        <w:pStyle w:val="ListParagraph"/>
        <w:numPr>
          <w:ilvl w:val="0"/>
          <w:numId w:val="47"/>
        </w:numPr>
        <w:rPr>
          <w:sz w:val="20"/>
          <w:szCs w:val="20"/>
          <w:lang w:val="ro-RO"/>
        </w:rPr>
      </w:pPr>
      <w:r>
        <w:rPr>
          <w:sz w:val="20"/>
          <w:szCs w:val="20"/>
          <w:lang w:val="ro-RO"/>
        </w:rPr>
        <w:t>nu este realizat gradul de compactare la nivelul patului drumului, cat si pe fiecare strat in parte (atestate de procesele verbale de receptie pe faze)</w:t>
      </w:r>
    </w:p>
    <w:p>
      <w:pPr>
        <w:pStyle w:val="ListParagraph"/>
        <w:numPr>
          <w:ilvl w:val="0"/>
          <w:numId w:val="47"/>
        </w:numPr>
        <w:rPr>
          <w:sz w:val="20"/>
          <w:szCs w:val="20"/>
          <w:lang w:val="ro-RO"/>
        </w:rPr>
      </w:pPr>
      <w:r>
        <w:rPr>
          <w:sz w:val="20"/>
          <w:szCs w:val="20"/>
          <w:lang w:val="ro-RO"/>
        </w:rPr>
        <w:t>lucrarile de scurgere a apelor sunt necorespunzătoare sau nu s-au respectat pantele transversale si pe suprafaţa platformei se observa fenomene de instabilitate, inceputuri de crapaturi in corpul terasamentelor etc.</w:t>
      </w:r>
    </w:p>
    <w:p>
      <w:pPr>
        <w:pStyle w:val="ListParagraph"/>
        <w:numPr>
          <w:ilvl w:val="0"/>
          <w:numId w:val="47"/>
        </w:numPr>
        <w:rPr>
          <w:sz w:val="20"/>
          <w:szCs w:val="20"/>
          <w:lang w:val="ro-RO"/>
        </w:rPr>
      </w:pPr>
      <w:r>
        <w:rPr>
          <w:sz w:val="20"/>
          <w:szCs w:val="20"/>
          <w:lang w:val="ro-RO"/>
        </w:rPr>
        <w:t>nu este asigurata capacitatea portanta la nivelul patului drumului.</w:t>
      </w:r>
    </w:p>
    <w:p>
      <w:pPr>
        <w:pStyle w:val="ListParagraph"/>
        <w:numPr>
          <w:ilvl w:val="0"/>
          <w:numId w:val="41"/>
        </w:numPr>
        <w:rPr>
          <w:b/>
          <w:sz w:val="20"/>
          <w:szCs w:val="20"/>
          <w:lang w:val="ro-RO"/>
        </w:rPr>
      </w:pPr>
      <w:r>
        <w:rPr>
          <w:b/>
          <w:sz w:val="20"/>
          <w:szCs w:val="20"/>
          <w:lang w:val="ro-RO"/>
        </w:rPr>
        <w:t>Receptia la terminarea lucrarilor</w:t>
      </w:r>
    </w:p>
    <w:p>
      <w:pPr>
        <w:rPr>
          <w:sz w:val="20"/>
          <w:szCs w:val="20"/>
          <w:lang w:val="ro-RO"/>
        </w:rPr>
      </w:pPr>
      <w:r>
        <w:rPr>
          <w:sz w:val="20"/>
          <w:szCs w:val="20"/>
          <w:lang w:val="ro-RO"/>
        </w:rPr>
        <w:t>Receptia la terminarea terasamentelor se efectueaza odata cu receptia sectorului de drum terminat, verificandu-se:</w:t>
      </w:r>
    </w:p>
    <w:p>
      <w:pPr>
        <w:pStyle w:val="ListParagraph"/>
        <w:numPr>
          <w:ilvl w:val="0"/>
          <w:numId w:val="47"/>
        </w:numPr>
        <w:rPr>
          <w:sz w:val="20"/>
          <w:szCs w:val="20"/>
          <w:lang w:val="ro-RO"/>
        </w:rPr>
      </w:pPr>
      <w:r>
        <w:rPr>
          <w:sz w:val="20"/>
          <w:szCs w:val="20"/>
          <w:lang w:val="ro-RO"/>
        </w:rPr>
        <w:t>concordanta lucrarilor cu prevederile specifîcatiilor si ale proiectului tehnic de executie -natura pamantului din corpul drumului si din terenul de sub rambleu, concordanta gradului de compactare si a capacitatii portante realizate, cu prevederile specifîcatiei tehnice</w:t>
      </w:r>
    </w:p>
    <w:p>
      <w:pPr>
        <w:pStyle w:val="ListParagraph"/>
        <w:numPr>
          <w:ilvl w:val="0"/>
          <w:numId w:val="47"/>
        </w:numPr>
        <w:rPr>
          <w:sz w:val="20"/>
          <w:szCs w:val="20"/>
          <w:lang w:val="ro-RO"/>
        </w:rPr>
      </w:pPr>
      <w:r>
        <w:rPr>
          <w:sz w:val="20"/>
          <w:szCs w:val="20"/>
          <w:lang w:val="ro-RO"/>
        </w:rPr>
        <w:t xml:space="preserve">starea de stabilitate, indepartarea apelor, starea taluzurilor. </w:t>
      </w:r>
    </w:p>
    <w:p>
      <w:pPr>
        <w:rPr>
          <w:sz w:val="20"/>
          <w:szCs w:val="20"/>
          <w:lang w:val="ro-RO"/>
        </w:rPr>
      </w:pPr>
      <w:r>
        <w:rPr>
          <w:sz w:val="20"/>
          <w:szCs w:val="20"/>
          <w:lang w:val="ro-RO"/>
        </w:rPr>
        <w:t>Defectiunile se vor consemna si se va stabili un termen de remediere a acestora.</w:t>
      </w:r>
    </w:p>
    <w:p>
      <w:pPr>
        <w:pStyle w:val="ListParagraph"/>
        <w:numPr>
          <w:ilvl w:val="0"/>
          <w:numId w:val="41"/>
        </w:numPr>
        <w:rPr>
          <w:b/>
          <w:sz w:val="20"/>
          <w:szCs w:val="20"/>
          <w:lang w:val="ro-RO"/>
        </w:rPr>
      </w:pPr>
      <w:r>
        <w:rPr>
          <w:b/>
          <w:sz w:val="20"/>
          <w:szCs w:val="20"/>
          <w:lang w:val="ro-RO"/>
        </w:rPr>
        <w:t>Receptia finala</w:t>
      </w:r>
    </w:p>
    <w:p>
      <w:pPr>
        <w:rPr>
          <w:sz w:val="20"/>
          <w:szCs w:val="20"/>
          <w:lang w:val="ro-RO"/>
        </w:rPr>
      </w:pPr>
      <w:r>
        <w:rPr>
          <w:sz w:val="20"/>
          <w:szCs w:val="20"/>
          <w:lang w:val="ro-RO"/>
        </w:rPr>
        <w:t>La recepţia finala a lucrării se va consemna modul in care s-au comportat terasamentele in perioada de garanţie, precum şi daca acestea au fost întreţinute corespunzător.</w:t>
      </w:r>
    </w:p>
    <w:p>
      <w:pPr>
        <w:pStyle w:val="Heading3"/>
        <w:rPr>
          <w:sz w:val="20"/>
          <w:szCs w:val="20"/>
          <w:lang w:val="ro-RO"/>
        </w:rPr>
      </w:pPr>
      <w:bookmarkStart w:id="37" w:name="_Toc227161512"/>
      <w:r>
        <w:rPr>
          <w:sz w:val="20"/>
          <w:szCs w:val="20"/>
          <w:lang w:val="ro-RO"/>
        </w:rPr>
        <w:t>2.2.9 Cerinte privind lucrarile de executie a retelelor de alimentare cu apa</w:t>
      </w:r>
      <w:bookmarkEnd w:id="37"/>
      <w:r>
        <w:rPr>
          <w:sz w:val="20"/>
          <w:szCs w:val="20"/>
          <w:lang w:val="ro-RO"/>
        </w:rPr>
        <w:t xml:space="preserve"> </w:t>
      </w:r>
    </w:p>
    <w:p>
      <w:pPr>
        <w:pStyle w:val="Heading4"/>
        <w:rPr>
          <w:sz w:val="20"/>
          <w:szCs w:val="20"/>
          <w:lang w:val="ro-RO"/>
        </w:rPr>
      </w:pPr>
      <w:r>
        <w:rPr>
          <w:sz w:val="20"/>
          <w:szCs w:val="20"/>
          <w:lang w:val="ro-RO"/>
        </w:rPr>
        <w:t>2.2.9.1 Condiţii prealabile</w:t>
      </w:r>
    </w:p>
    <w:p>
      <w:pPr>
        <w:pStyle w:val="ListParagraph"/>
        <w:numPr>
          <w:ilvl w:val="0"/>
          <w:numId w:val="47"/>
        </w:numPr>
        <w:rPr>
          <w:sz w:val="20"/>
          <w:szCs w:val="20"/>
          <w:lang w:val="ro-RO"/>
        </w:rPr>
      </w:pPr>
      <w:r>
        <w:rPr>
          <w:sz w:val="20"/>
          <w:szCs w:val="20"/>
          <w:lang w:val="ro-RO"/>
        </w:rPr>
        <w:t>Existenta autorizaţiei de construcţie</w:t>
      </w:r>
    </w:p>
    <w:p>
      <w:pPr>
        <w:pStyle w:val="ListParagraph"/>
        <w:numPr>
          <w:ilvl w:val="0"/>
          <w:numId w:val="47"/>
        </w:numPr>
        <w:rPr>
          <w:sz w:val="20"/>
          <w:szCs w:val="20"/>
          <w:lang w:val="ro-RO"/>
        </w:rPr>
      </w:pPr>
      <w:r>
        <w:rPr>
          <w:sz w:val="20"/>
          <w:szCs w:val="20"/>
          <w:lang w:val="ro-RO"/>
        </w:rPr>
        <w:t>Preluarea amplasamentului lucrării liber de orice sarcina</w:t>
      </w:r>
    </w:p>
    <w:p>
      <w:pPr>
        <w:pStyle w:val="ListParagraph"/>
        <w:numPr>
          <w:ilvl w:val="0"/>
          <w:numId w:val="47"/>
        </w:numPr>
        <w:rPr>
          <w:sz w:val="20"/>
          <w:szCs w:val="20"/>
          <w:lang w:val="ro-RO"/>
        </w:rPr>
      </w:pPr>
      <w:r>
        <w:rPr>
          <w:sz w:val="20"/>
          <w:szCs w:val="20"/>
          <w:lang w:val="ro-RO"/>
        </w:rPr>
        <w:t>Existenta P.V. de identificare a reţelelor de gospodarii subterane ce interesează traseul canalizării si modul de protecţie prevăzut sau de refacere.</w:t>
      </w:r>
    </w:p>
    <w:p>
      <w:pPr>
        <w:pStyle w:val="ListParagraph"/>
        <w:numPr>
          <w:ilvl w:val="0"/>
          <w:numId w:val="41"/>
        </w:numPr>
        <w:rPr>
          <w:b/>
          <w:sz w:val="20"/>
          <w:szCs w:val="20"/>
          <w:lang w:val="ro-RO"/>
        </w:rPr>
      </w:pPr>
      <w:r>
        <w:rPr>
          <w:b/>
          <w:sz w:val="20"/>
          <w:szCs w:val="20"/>
          <w:lang w:val="ro-RO"/>
        </w:rPr>
        <w:t>Manipulare si transport</w:t>
      </w:r>
    </w:p>
    <w:p>
      <w:pPr>
        <w:rPr>
          <w:sz w:val="20"/>
          <w:szCs w:val="20"/>
          <w:lang w:val="ro-RO"/>
        </w:rPr>
      </w:pPr>
      <w:r>
        <w:rPr>
          <w:sz w:val="20"/>
          <w:szCs w:val="20"/>
          <w:lang w:val="ro-RO"/>
        </w:rPr>
        <w:t>Transportul, manipularea si depozitarea conductelor si a accesoriilor pentru imbinare se va face cu vehicule adecvate, incarcate si descarcate sub supraveghere atenta. Pe durata transportului, conductele nu vor depasi lungimea vehiculului cu mai mult de 0,6 m si in acest caz vor fi legate intre ele, pentru a elimina balansarea lor. Incarcaturile de conducte nu vor depasi inaltimea de depozitare de 2 m.</w:t>
      </w:r>
    </w:p>
    <w:p>
      <w:pPr>
        <w:rPr>
          <w:sz w:val="20"/>
          <w:szCs w:val="20"/>
          <w:lang w:val="ro-RO"/>
        </w:rPr>
      </w:pPr>
      <w:r>
        <w:rPr>
          <w:sz w:val="20"/>
          <w:szCs w:val="20"/>
          <w:lang w:val="ro-RO"/>
        </w:rPr>
        <w:t>Pe durata depozitarii si transportului, conductele vor avea suport continuu pe cat este posibil si se va evita deteriorarea prin contactul cu obiecte ascutite, cuie etc. Târârea conductelor pe sol nu este permisa.</w:t>
      </w:r>
    </w:p>
    <w:p>
      <w:pPr>
        <w:rPr>
          <w:sz w:val="20"/>
          <w:szCs w:val="20"/>
          <w:lang w:val="ro-RO"/>
        </w:rPr>
      </w:pPr>
      <w:r>
        <w:rPr>
          <w:sz w:val="20"/>
          <w:szCs w:val="20"/>
          <w:lang w:val="ro-RO"/>
        </w:rPr>
        <w:t>Manipularea tevilor se poate face manual, atunci când dimensiunile tevilor si greutatea lor o permit, sau cu ajutorul utilajelor de ridicat (incarcator cu furca, macara, etc.).</w:t>
      </w:r>
    </w:p>
    <w:p>
      <w:pPr>
        <w:rPr>
          <w:sz w:val="20"/>
          <w:szCs w:val="20"/>
          <w:lang w:val="ro-RO"/>
        </w:rPr>
      </w:pPr>
      <w:r>
        <w:rPr>
          <w:sz w:val="20"/>
          <w:szCs w:val="20"/>
          <w:lang w:val="ro-RO"/>
        </w:rPr>
        <w:lastRenderedPageBreak/>
        <w:t>Pentru evitarea deteriorarii tevilor in cazul manipularii cu ajutorul utilajelor, cablul (lantul) de ridicat de la utilaj va fi obligatoriu prevazut cu o banda de cauciuc sau pasla, care sa protejeze tevile.</w:t>
      </w:r>
    </w:p>
    <w:p>
      <w:pPr>
        <w:pStyle w:val="ListParagraph"/>
        <w:numPr>
          <w:ilvl w:val="0"/>
          <w:numId w:val="41"/>
        </w:numPr>
        <w:rPr>
          <w:b/>
          <w:sz w:val="20"/>
          <w:szCs w:val="20"/>
          <w:lang w:val="ro-RO"/>
        </w:rPr>
      </w:pPr>
      <w:r>
        <w:rPr>
          <w:b/>
          <w:sz w:val="20"/>
          <w:szCs w:val="20"/>
          <w:lang w:val="ro-RO"/>
        </w:rPr>
        <w:t>Pozarea conductelor</w:t>
      </w:r>
    </w:p>
    <w:p>
      <w:pPr>
        <w:rPr>
          <w:sz w:val="20"/>
          <w:szCs w:val="20"/>
          <w:lang w:val="ro-RO"/>
        </w:rPr>
      </w:pPr>
      <w:r>
        <w:rPr>
          <w:sz w:val="20"/>
          <w:szCs w:val="20"/>
          <w:lang w:val="ro-RO"/>
        </w:rPr>
        <w:t>Tehnica montarii in santuri deschise a conductelor din polietilena de inalta densitate comporta urmatoarele faze si operatiuni:</w:t>
      </w:r>
    </w:p>
    <w:p>
      <w:pPr>
        <w:pStyle w:val="ListParagraph"/>
        <w:numPr>
          <w:ilvl w:val="0"/>
          <w:numId w:val="47"/>
        </w:numPr>
        <w:rPr>
          <w:sz w:val="20"/>
          <w:szCs w:val="20"/>
          <w:lang w:val="ro-RO"/>
        </w:rPr>
      </w:pPr>
      <w:r>
        <w:rPr>
          <w:sz w:val="20"/>
          <w:szCs w:val="20"/>
          <w:lang w:val="ro-RO"/>
        </w:rPr>
        <w:t>intocmirea documentatiei de aprobare, receptia, sortarea si transportul tevilor si a celorlalte materiale legate de executia lucrarilor. In cazul in care nu exista spatiu de depozitare, se vor aduce din depozitul de santier atatea conducte cate sunt necesare pentru o zi de lucru;</w:t>
      </w:r>
    </w:p>
    <w:p>
      <w:pPr>
        <w:pStyle w:val="ListParagraph"/>
        <w:numPr>
          <w:ilvl w:val="0"/>
          <w:numId w:val="47"/>
        </w:numPr>
        <w:rPr>
          <w:sz w:val="20"/>
          <w:szCs w:val="20"/>
          <w:lang w:val="ro-RO"/>
        </w:rPr>
      </w:pPr>
      <w:r>
        <w:rPr>
          <w:sz w:val="20"/>
          <w:szCs w:val="20"/>
          <w:lang w:val="ro-RO"/>
        </w:rPr>
        <w:t>pregatirea patului de pozare din nisip a tuburilor;</w:t>
      </w:r>
    </w:p>
    <w:p>
      <w:pPr>
        <w:pStyle w:val="ListParagraph"/>
        <w:numPr>
          <w:ilvl w:val="0"/>
          <w:numId w:val="47"/>
        </w:numPr>
        <w:rPr>
          <w:sz w:val="20"/>
          <w:szCs w:val="20"/>
          <w:lang w:val="ro-RO"/>
        </w:rPr>
      </w:pPr>
      <w:r>
        <w:rPr>
          <w:sz w:val="20"/>
          <w:szCs w:val="20"/>
          <w:lang w:val="ro-RO"/>
        </w:rPr>
        <w:t>lansarea cu atentie, cu utilaje specializate, a tuburilor si fitingurilor, etc. necesare;</w:t>
      </w:r>
    </w:p>
    <w:p>
      <w:pPr>
        <w:pStyle w:val="ListParagraph"/>
        <w:numPr>
          <w:ilvl w:val="0"/>
          <w:numId w:val="41"/>
        </w:numPr>
        <w:rPr>
          <w:b/>
          <w:sz w:val="20"/>
          <w:szCs w:val="20"/>
          <w:lang w:val="ro-RO"/>
        </w:rPr>
      </w:pPr>
      <w:r>
        <w:rPr>
          <w:b/>
          <w:sz w:val="20"/>
          <w:szCs w:val="20"/>
          <w:lang w:val="ro-RO"/>
        </w:rPr>
        <w:t>Imbinarea conductelor</w:t>
      </w:r>
    </w:p>
    <w:p>
      <w:pPr>
        <w:rPr>
          <w:sz w:val="20"/>
          <w:szCs w:val="20"/>
          <w:lang w:val="ro-RO"/>
        </w:rPr>
      </w:pPr>
      <w:r>
        <w:rPr>
          <w:sz w:val="20"/>
          <w:szCs w:val="20"/>
          <w:lang w:val="ro-RO"/>
        </w:rPr>
        <w:t>Imbinarea conductelor de apa se va realiza prin sudura cap la cap, pentru imbinarile conductelor de acelasi tip si aceeasi grosime a peretelui. Pentru imbinari intre conducte de polietilena de acelasi tip, dar cu diametre si grosimi ale peretelui diferite, se va utiliza imbinarea prin electrofuziune, cu ajutorul mansoanelor electrosudabile.</w:t>
      </w:r>
    </w:p>
    <w:p>
      <w:pPr>
        <w:rPr>
          <w:sz w:val="20"/>
          <w:szCs w:val="20"/>
          <w:lang w:val="ro-RO"/>
        </w:rPr>
      </w:pPr>
      <w:r>
        <w:rPr>
          <w:sz w:val="20"/>
          <w:szCs w:val="20"/>
          <w:lang w:val="ro-RO"/>
        </w:rPr>
        <w:t>Etapele procedurii de sudare cap la cap sunt prezentate mai jos:</w:t>
      </w:r>
    </w:p>
    <w:p>
      <w:pPr>
        <w:pStyle w:val="ListParagraph"/>
        <w:numPr>
          <w:ilvl w:val="0"/>
          <w:numId w:val="47"/>
        </w:numPr>
        <w:rPr>
          <w:sz w:val="20"/>
          <w:szCs w:val="20"/>
          <w:lang w:val="ro-RO"/>
        </w:rPr>
      </w:pPr>
      <w:r>
        <w:rPr>
          <w:sz w:val="20"/>
          <w:szCs w:val="20"/>
          <w:lang w:val="ro-RO"/>
        </w:rPr>
        <w:t>Se verifica daca echipamentul este complet, curat, fara defectiuni si in stare de functionare.</w:t>
      </w:r>
    </w:p>
    <w:p>
      <w:pPr>
        <w:pStyle w:val="ListParagraph"/>
        <w:numPr>
          <w:ilvl w:val="0"/>
          <w:numId w:val="47"/>
        </w:numPr>
        <w:rPr>
          <w:sz w:val="20"/>
          <w:szCs w:val="20"/>
          <w:lang w:val="ro-RO"/>
        </w:rPr>
      </w:pPr>
      <w:r>
        <w:rPr>
          <w:sz w:val="20"/>
          <w:szCs w:val="20"/>
          <w:lang w:val="ro-RO"/>
        </w:rPr>
        <w:t>Prima sudura va fi una de incercare. Pentru diametre mai mari de 180 mm se executa doua suduri de incercare. Astfel se asigura faptul ca placa de incalzire este curata.</w:t>
      </w:r>
    </w:p>
    <w:p>
      <w:pPr>
        <w:pStyle w:val="ListParagraph"/>
        <w:numPr>
          <w:ilvl w:val="0"/>
          <w:numId w:val="47"/>
        </w:numPr>
        <w:rPr>
          <w:sz w:val="20"/>
          <w:szCs w:val="20"/>
          <w:lang w:val="ro-RO"/>
        </w:rPr>
      </w:pPr>
      <w:r>
        <w:rPr>
          <w:sz w:val="20"/>
          <w:szCs w:val="20"/>
          <w:lang w:val="ro-RO"/>
        </w:rPr>
        <w:t>Se verifica daca tuburile (sau tubul si fitingul) ce urmeaza sa fie asamblate au acelasi diametru interior, presiune de calcul si sunt realizate din acelasi material.</w:t>
      </w:r>
    </w:p>
    <w:p>
      <w:pPr>
        <w:pStyle w:val="ListParagraph"/>
        <w:numPr>
          <w:ilvl w:val="0"/>
          <w:numId w:val="47"/>
        </w:numPr>
        <w:rPr>
          <w:sz w:val="20"/>
          <w:szCs w:val="20"/>
          <w:lang w:val="ro-RO"/>
        </w:rPr>
      </w:pPr>
      <w:r>
        <w:rPr>
          <w:sz w:val="20"/>
          <w:szCs w:val="20"/>
          <w:lang w:val="ro-RO"/>
        </w:rPr>
        <w:t>Se curata tuburile (sau tubul si fitingul ) care urmeaza sa fie asamblate.</w:t>
      </w:r>
    </w:p>
    <w:p>
      <w:pPr>
        <w:pStyle w:val="ListParagraph"/>
        <w:numPr>
          <w:ilvl w:val="0"/>
          <w:numId w:val="47"/>
        </w:numPr>
        <w:rPr>
          <w:sz w:val="20"/>
          <w:szCs w:val="20"/>
          <w:lang w:val="ro-RO"/>
        </w:rPr>
      </w:pPr>
      <w:r>
        <w:rPr>
          <w:sz w:val="20"/>
          <w:szCs w:val="20"/>
          <w:lang w:val="ro-RO"/>
        </w:rPr>
        <w:t>Se separa complet colierele de fixare si se pozitioneaza echipamentul de taiere.</w:t>
      </w:r>
    </w:p>
    <w:p>
      <w:pPr>
        <w:pStyle w:val="ListParagraph"/>
        <w:numPr>
          <w:ilvl w:val="0"/>
          <w:numId w:val="47"/>
        </w:numPr>
        <w:rPr>
          <w:sz w:val="20"/>
          <w:szCs w:val="20"/>
          <w:lang w:val="ro-RO"/>
        </w:rPr>
      </w:pPr>
      <w:r>
        <w:rPr>
          <w:sz w:val="20"/>
          <w:szCs w:val="20"/>
          <w:lang w:val="ro-RO"/>
        </w:rPr>
        <w:t>Se pozitioneaza tuburile (sau tubul si fitingul) chiar in dreptul lamei echipamentului de taiere si se strang colierele de fixare.</w:t>
      </w:r>
    </w:p>
    <w:p>
      <w:pPr>
        <w:pStyle w:val="ListParagraph"/>
        <w:numPr>
          <w:ilvl w:val="0"/>
          <w:numId w:val="47"/>
        </w:numPr>
        <w:rPr>
          <w:sz w:val="20"/>
          <w:szCs w:val="20"/>
          <w:lang w:val="ro-RO"/>
        </w:rPr>
      </w:pPr>
      <w:r>
        <w:rPr>
          <w:sz w:val="20"/>
          <w:szCs w:val="20"/>
          <w:lang w:val="ro-RO"/>
        </w:rPr>
        <w:t>Se pune in functiune echipamentul de taiere si se preseaza capetele tuburilor (sau ale tubului si fitingul) contra lamei dispozitivului, pana ce extruziunea incepe sa se detaseze continuu din ambele componente de asamblat.</w:t>
      </w:r>
    </w:p>
    <w:p>
      <w:pPr>
        <w:pStyle w:val="ListParagraph"/>
        <w:numPr>
          <w:ilvl w:val="0"/>
          <w:numId w:val="47"/>
        </w:numPr>
        <w:rPr>
          <w:sz w:val="20"/>
          <w:szCs w:val="20"/>
          <w:lang w:val="ro-RO"/>
        </w:rPr>
      </w:pPr>
      <w:r>
        <w:rPr>
          <w:sz w:val="20"/>
          <w:szCs w:val="20"/>
          <w:lang w:val="ro-RO"/>
        </w:rPr>
        <w:t>Se continua taierea, pe masura ce tuburile (sau tubul si armatura) se separa. Se opreste echipamentul de taiere si se indeparteaza, dupa ce lamele de taiere s-au oprit.</w:t>
      </w:r>
    </w:p>
    <w:p>
      <w:pPr>
        <w:pStyle w:val="ListParagraph"/>
        <w:numPr>
          <w:ilvl w:val="0"/>
          <w:numId w:val="47"/>
        </w:numPr>
        <w:rPr>
          <w:sz w:val="20"/>
          <w:szCs w:val="20"/>
          <w:lang w:val="ro-RO"/>
        </w:rPr>
      </w:pPr>
      <w:r>
        <w:rPr>
          <w:sz w:val="20"/>
          <w:szCs w:val="20"/>
          <w:lang w:val="ro-RO"/>
        </w:rPr>
        <w:t>Se indeparteaza bavurile. Nu se ating capetele tuburilor (sau ale tubului si fitingului). Se verifica daca diferentele sunt in limite acceptabile.</w:t>
      </w:r>
    </w:p>
    <w:p>
      <w:pPr>
        <w:pStyle w:val="ListParagraph"/>
        <w:numPr>
          <w:ilvl w:val="0"/>
          <w:numId w:val="47"/>
        </w:numPr>
        <w:rPr>
          <w:sz w:val="20"/>
          <w:szCs w:val="20"/>
          <w:lang w:val="ro-RO"/>
        </w:rPr>
      </w:pPr>
      <w:r>
        <w:rPr>
          <w:sz w:val="20"/>
          <w:szCs w:val="20"/>
          <w:lang w:val="ro-RO"/>
        </w:rPr>
        <w:t>Se aduc in contact capetele tuburilor (sau ale tubului si fitingului) si se verifica daca intre ele nu este un interstitiu vizibil. Piesele se reajusteaza, daca este necesar. Se verifica daca diferentele sunt in limite acceptabile.</w:t>
      </w:r>
    </w:p>
    <w:p>
      <w:pPr>
        <w:pStyle w:val="ListParagraph"/>
        <w:numPr>
          <w:ilvl w:val="0"/>
          <w:numId w:val="47"/>
        </w:numPr>
        <w:rPr>
          <w:sz w:val="20"/>
          <w:szCs w:val="20"/>
          <w:lang w:val="ro-RO"/>
        </w:rPr>
      </w:pPr>
      <w:r>
        <w:rPr>
          <w:sz w:val="20"/>
          <w:szCs w:val="20"/>
          <w:lang w:val="ro-RO"/>
        </w:rPr>
        <w:t>Se verifica nivelul combustibilului in generatorul electric. Capetele sunt in contact strans (fara joc).</w:t>
      </w:r>
    </w:p>
    <w:p>
      <w:pPr>
        <w:pStyle w:val="ListParagraph"/>
        <w:numPr>
          <w:ilvl w:val="0"/>
          <w:numId w:val="47"/>
        </w:numPr>
        <w:rPr>
          <w:sz w:val="20"/>
          <w:szCs w:val="20"/>
          <w:lang w:val="ro-RO"/>
        </w:rPr>
      </w:pPr>
      <w:r>
        <w:rPr>
          <w:sz w:val="20"/>
          <w:szCs w:val="20"/>
          <w:lang w:val="ro-RO"/>
        </w:rPr>
        <w:t>Se pune in functiune generatorul si se asteapta ca placa de incalzire sa ajunga la temperatura de operare.</w:t>
      </w:r>
    </w:p>
    <w:p>
      <w:pPr>
        <w:pStyle w:val="ListParagraph"/>
        <w:numPr>
          <w:ilvl w:val="0"/>
          <w:numId w:val="47"/>
        </w:numPr>
        <w:rPr>
          <w:sz w:val="20"/>
          <w:szCs w:val="20"/>
          <w:lang w:val="ro-RO"/>
        </w:rPr>
      </w:pPr>
      <w:r>
        <w:rPr>
          <w:sz w:val="20"/>
          <w:szCs w:val="20"/>
          <w:lang w:val="ro-RO"/>
        </w:rPr>
        <w:t>Se selecteaza regimul adecvat de crestere a presiunii de sudare. Se preseaza piesele contra placii de incalzire, utilizand acest nivel de presiune.</w:t>
      </w:r>
    </w:p>
    <w:p>
      <w:pPr>
        <w:pStyle w:val="ListParagraph"/>
        <w:numPr>
          <w:ilvl w:val="0"/>
          <w:numId w:val="47"/>
        </w:numPr>
        <w:rPr>
          <w:sz w:val="20"/>
          <w:szCs w:val="20"/>
          <w:lang w:val="ro-RO"/>
        </w:rPr>
      </w:pPr>
      <w:r>
        <w:rPr>
          <w:sz w:val="20"/>
          <w:szCs w:val="20"/>
          <w:lang w:val="ro-RO"/>
        </w:rPr>
        <w:t>Se verifica dimensiunea initiala a bordurii de sudat.</w:t>
      </w:r>
    </w:p>
    <w:p>
      <w:pPr>
        <w:pStyle w:val="ListParagraph"/>
        <w:numPr>
          <w:ilvl w:val="0"/>
          <w:numId w:val="47"/>
        </w:numPr>
        <w:rPr>
          <w:sz w:val="20"/>
          <w:szCs w:val="20"/>
          <w:lang w:val="ro-RO"/>
        </w:rPr>
      </w:pPr>
      <w:r>
        <w:rPr>
          <w:sz w:val="20"/>
          <w:szCs w:val="20"/>
          <w:lang w:val="ro-RO"/>
        </w:rPr>
        <w:t>Dupa bordurarea initiala, presiunea din sistem trebuie adusa la nivelul corespunzator termofuziunii. Capetele tuburilor (sau ale tubului si fitingului) trebuie sa ramana in contact cu placa de incalzire pe o durata corespunzatoare timpului de termofuziune.</w:t>
      </w:r>
    </w:p>
    <w:p>
      <w:pPr>
        <w:pStyle w:val="ListParagraph"/>
        <w:numPr>
          <w:ilvl w:val="0"/>
          <w:numId w:val="47"/>
        </w:numPr>
        <w:rPr>
          <w:sz w:val="20"/>
          <w:szCs w:val="20"/>
          <w:lang w:val="ro-RO"/>
        </w:rPr>
      </w:pPr>
      <w:r>
        <w:rPr>
          <w:sz w:val="20"/>
          <w:szCs w:val="20"/>
          <w:lang w:val="ro-RO"/>
        </w:rPr>
        <w:t>Se deschid colierele, se indeparteaza placa de incalzire si se verifica daca pe ea a ramas material topit. Daca se constata existenta acestuia, nu se efectueaza imbinarea.</w:t>
      </w:r>
    </w:p>
    <w:p>
      <w:pPr>
        <w:pStyle w:val="ListParagraph"/>
        <w:numPr>
          <w:ilvl w:val="0"/>
          <w:numId w:val="47"/>
        </w:numPr>
        <w:rPr>
          <w:sz w:val="20"/>
          <w:szCs w:val="20"/>
          <w:lang w:val="ro-RO"/>
        </w:rPr>
      </w:pPr>
      <w:r>
        <w:rPr>
          <w:sz w:val="20"/>
          <w:szCs w:val="20"/>
          <w:lang w:val="ro-RO"/>
        </w:rPr>
        <w:lastRenderedPageBreak/>
        <w:t>Daca placa de incalzire este curata, cele doua capete se aduc imediat in contact, timp de 10 secunde, printr-o miscare lina. Materialul topit trebuie sa se ruleze in mod uniform inapoi, fata de linia de contact.</w:t>
      </w:r>
    </w:p>
    <w:p>
      <w:pPr>
        <w:pStyle w:val="ListParagraph"/>
        <w:numPr>
          <w:ilvl w:val="0"/>
          <w:numId w:val="47"/>
        </w:numPr>
        <w:rPr>
          <w:sz w:val="20"/>
          <w:szCs w:val="20"/>
          <w:lang w:val="ro-RO"/>
        </w:rPr>
      </w:pPr>
      <w:r>
        <w:rPr>
          <w:sz w:val="20"/>
          <w:szCs w:val="20"/>
          <w:lang w:val="ro-RO"/>
        </w:rPr>
        <w:t>Se lasa imbinarea sa se raceasca pe durata specificata, mentinand-o in tot acest timp la presiunea de racire.</w:t>
      </w:r>
    </w:p>
    <w:p>
      <w:pPr>
        <w:pStyle w:val="ListParagraph"/>
        <w:numPr>
          <w:ilvl w:val="0"/>
          <w:numId w:val="47"/>
        </w:numPr>
        <w:rPr>
          <w:sz w:val="20"/>
          <w:szCs w:val="20"/>
          <w:lang w:val="ro-RO"/>
        </w:rPr>
      </w:pPr>
      <w:r>
        <w:rPr>
          <w:sz w:val="20"/>
          <w:szCs w:val="20"/>
          <w:lang w:val="ro-RO"/>
        </w:rPr>
        <w:t>Dupa racire (temperatura sudurii trebuie sa fie mai mica de 40°C), se desfac colierele'</w:t>
      </w:r>
    </w:p>
    <w:p>
      <w:pPr>
        <w:pStyle w:val="ListParagraph"/>
        <w:numPr>
          <w:ilvl w:val="0"/>
          <w:numId w:val="47"/>
        </w:numPr>
        <w:rPr>
          <w:sz w:val="20"/>
          <w:szCs w:val="20"/>
          <w:lang w:val="ro-RO"/>
        </w:rPr>
      </w:pPr>
      <w:r>
        <w:rPr>
          <w:sz w:val="20"/>
          <w:szCs w:val="20"/>
          <w:lang w:val="ro-RO"/>
        </w:rPr>
        <w:t>Se scot din coliere tuburile asamblate.</w:t>
      </w:r>
    </w:p>
    <w:p>
      <w:pPr>
        <w:pStyle w:val="ListParagraph"/>
        <w:numPr>
          <w:ilvl w:val="0"/>
          <w:numId w:val="47"/>
        </w:numPr>
        <w:rPr>
          <w:sz w:val="20"/>
          <w:szCs w:val="20"/>
          <w:lang w:val="ro-RO"/>
        </w:rPr>
      </w:pPr>
      <w:r>
        <w:rPr>
          <w:sz w:val="20"/>
          <w:szCs w:val="20"/>
          <w:lang w:val="ro-RO"/>
        </w:rPr>
        <w:t>Se verifica imbinarea.</w:t>
      </w:r>
    </w:p>
    <w:p>
      <w:pPr>
        <w:pStyle w:val="ListParagraph"/>
        <w:numPr>
          <w:ilvl w:val="0"/>
          <w:numId w:val="47"/>
        </w:numPr>
        <w:rPr>
          <w:sz w:val="20"/>
          <w:szCs w:val="20"/>
          <w:lang w:val="ro-RO"/>
        </w:rPr>
      </w:pPr>
      <w:r>
        <w:rPr>
          <w:sz w:val="20"/>
          <w:szCs w:val="20"/>
          <w:lang w:val="ro-RO"/>
        </w:rPr>
        <w:t>Daca este necesar, dupa racire se indeparteaza materialul in exces.</w:t>
      </w:r>
    </w:p>
    <w:p>
      <w:pPr>
        <w:pStyle w:val="ListParagraph"/>
        <w:numPr>
          <w:ilvl w:val="0"/>
          <w:numId w:val="47"/>
        </w:numPr>
        <w:rPr>
          <w:sz w:val="20"/>
          <w:szCs w:val="20"/>
          <w:lang w:val="ro-RO"/>
        </w:rPr>
      </w:pPr>
      <w:r>
        <w:rPr>
          <w:sz w:val="20"/>
          <w:szCs w:val="20"/>
          <w:lang w:val="ro-RO"/>
        </w:rPr>
        <w:t xml:space="preserve">Se indeparteaza orice impuritate de pe fetele de incalzire. </w:t>
      </w:r>
    </w:p>
    <w:p>
      <w:pPr>
        <w:rPr>
          <w:sz w:val="20"/>
          <w:szCs w:val="20"/>
          <w:lang w:val="ro-RO"/>
        </w:rPr>
      </w:pPr>
      <w:r>
        <w:rPr>
          <w:sz w:val="20"/>
          <w:szCs w:val="20"/>
          <w:lang w:val="ro-RO"/>
        </w:rPr>
        <w:t>Etapele sudurii prin electrofuziune sunt prezentate mai jos:</w:t>
      </w:r>
    </w:p>
    <w:p>
      <w:pPr>
        <w:pStyle w:val="ListParagraph"/>
        <w:numPr>
          <w:ilvl w:val="0"/>
          <w:numId w:val="47"/>
        </w:numPr>
        <w:rPr>
          <w:sz w:val="20"/>
          <w:szCs w:val="20"/>
          <w:lang w:val="ro-RO"/>
        </w:rPr>
      </w:pPr>
      <w:r>
        <w:rPr>
          <w:sz w:val="20"/>
          <w:szCs w:val="20"/>
          <w:lang w:val="ro-RO"/>
        </w:rPr>
        <w:t>Stabilirea reperelor de prelucrare</w:t>
      </w:r>
    </w:p>
    <w:p>
      <w:pPr>
        <w:pStyle w:val="ListParagraph"/>
        <w:numPr>
          <w:ilvl w:val="0"/>
          <w:numId w:val="48"/>
        </w:numPr>
        <w:ind w:left="1985"/>
        <w:rPr>
          <w:sz w:val="20"/>
          <w:szCs w:val="20"/>
          <w:lang w:val="ro-RO"/>
        </w:rPr>
      </w:pPr>
      <w:r>
        <w:rPr>
          <w:sz w:val="20"/>
          <w:szCs w:val="20"/>
          <w:lang w:val="ro-RO"/>
        </w:rPr>
        <w:t>Se indreapta prin taiere capetele de conducta, in vederea imbinarii;</w:t>
      </w:r>
    </w:p>
    <w:p>
      <w:pPr>
        <w:pStyle w:val="ListParagraph"/>
        <w:numPr>
          <w:ilvl w:val="0"/>
          <w:numId w:val="48"/>
        </w:numPr>
        <w:ind w:left="1985"/>
        <w:rPr>
          <w:sz w:val="20"/>
          <w:szCs w:val="20"/>
          <w:lang w:val="ro-RO"/>
        </w:rPr>
      </w:pPr>
      <w:r>
        <w:rPr>
          <w:sz w:val="20"/>
          <w:szCs w:val="20"/>
          <w:lang w:val="ro-RO"/>
        </w:rPr>
        <w:t>Se curata capetele tubului pe o portiune de aprox. 500 mm, folosind o carpa curata;</w:t>
      </w:r>
    </w:p>
    <w:p>
      <w:pPr>
        <w:pStyle w:val="ListParagraph"/>
        <w:numPr>
          <w:ilvl w:val="0"/>
          <w:numId w:val="48"/>
        </w:numPr>
        <w:ind w:left="1985"/>
        <w:rPr>
          <w:sz w:val="20"/>
          <w:szCs w:val="20"/>
          <w:lang w:val="ro-RO"/>
        </w:rPr>
      </w:pPr>
      <w:r>
        <w:rPr>
          <w:sz w:val="20"/>
          <w:szCs w:val="20"/>
          <w:lang w:val="ro-RO"/>
        </w:rPr>
        <w:t>Se marcheaza zona de pe care stratul oxidat de suprafata trebuie inlaturat, prin plasarea mansonului necesar fixarii de-a lungul capatului de tub unde va avea loc imbinarea. Se traseaza o linie in jurul circumferintei, la o distanta adecvata de capatul tubului, folosind un marker potrivit. In acest stadiu, nu se scoate inca mansonul din ambalaj.</w:t>
      </w:r>
    </w:p>
    <w:p>
      <w:pPr>
        <w:pStyle w:val="ListParagraph"/>
        <w:numPr>
          <w:ilvl w:val="0"/>
          <w:numId w:val="47"/>
        </w:numPr>
        <w:rPr>
          <w:sz w:val="20"/>
          <w:szCs w:val="20"/>
          <w:lang w:val="ro-RO"/>
        </w:rPr>
      </w:pPr>
      <w:r>
        <w:rPr>
          <w:sz w:val="20"/>
          <w:szCs w:val="20"/>
          <w:lang w:val="ro-RO"/>
        </w:rPr>
        <w:t>Pregatirea capetelor conductelor</w:t>
      </w:r>
    </w:p>
    <w:p>
      <w:pPr>
        <w:pStyle w:val="ListParagraph"/>
        <w:numPr>
          <w:ilvl w:val="0"/>
          <w:numId w:val="48"/>
        </w:numPr>
        <w:ind w:left="1985"/>
        <w:rPr>
          <w:sz w:val="20"/>
          <w:szCs w:val="20"/>
          <w:lang w:val="ro-RO"/>
        </w:rPr>
      </w:pPr>
      <w:r>
        <w:rPr>
          <w:sz w:val="20"/>
          <w:szCs w:val="20"/>
          <w:lang w:val="ro-RO"/>
        </w:rPr>
        <w:t>Cu ajutorul unui dispozitiv de aschiere mecanic, se indeparteaza in mod uniform materialul aflat in exces fata de adancimea de insertie, de pe suprafata identificata a tubului, pana la o adancime de 0,2 - 0,4 mm.</w:t>
      </w:r>
    </w:p>
    <w:p>
      <w:pPr>
        <w:pStyle w:val="ListParagraph"/>
        <w:numPr>
          <w:ilvl w:val="0"/>
          <w:numId w:val="48"/>
        </w:numPr>
        <w:ind w:left="1985"/>
        <w:rPr>
          <w:sz w:val="20"/>
          <w:szCs w:val="20"/>
          <w:lang w:val="ro-RO"/>
        </w:rPr>
      </w:pPr>
      <w:r>
        <w:rPr>
          <w:sz w:val="20"/>
          <w:szCs w:val="20"/>
          <w:lang w:val="ro-RO"/>
        </w:rPr>
        <w:t>Se asigura faptul ca tot materialul de polietilena in exces a fost indepartat.</w:t>
      </w:r>
    </w:p>
    <w:p>
      <w:pPr>
        <w:pStyle w:val="ListParagraph"/>
        <w:numPr>
          <w:ilvl w:val="0"/>
          <w:numId w:val="48"/>
        </w:numPr>
        <w:ind w:left="1985"/>
        <w:rPr>
          <w:sz w:val="20"/>
          <w:szCs w:val="20"/>
          <w:lang w:val="ro-RO"/>
        </w:rPr>
      </w:pPr>
      <w:r>
        <w:rPr>
          <w:sz w:val="20"/>
          <w:szCs w:val="20"/>
          <w:lang w:val="ro-RO"/>
        </w:rPr>
        <w:t>Nu se ating suprafetele aschiate</w:t>
      </w:r>
    </w:p>
    <w:p>
      <w:pPr>
        <w:pStyle w:val="ListParagraph"/>
        <w:numPr>
          <w:ilvl w:val="0"/>
          <w:numId w:val="48"/>
        </w:numPr>
        <w:ind w:left="1985"/>
        <w:rPr>
          <w:sz w:val="20"/>
          <w:szCs w:val="20"/>
          <w:lang w:val="ro-RO"/>
        </w:rPr>
      </w:pPr>
      <w:r>
        <w:rPr>
          <w:sz w:val="20"/>
          <w:szCs w:val="20"/>
          <w:lang w:val="ro-RO"/>
        </w:rPr>
        <w:t>Cu ajutorul unei oglinzi, se verifica daca si suprafetele inferioare de la extremitatea tubului fix au fost aschiate complet.</w:t>
      </w:r>
    </w:p>
    <w:p>
      <w:pPr>
        <w:pStyle w:val="ListParagraph"/>
        <w:numPr>
          <w:ilvl w:val="0"/>
          <w:numId w:val="47"/>
        </w:numPr>
        <w:rPr>
          <w:sz w:val="20"/>
          <w:szCs w:val="20"/>
          <w:lang w:val="ro-RO"/>
        </w:rPr>
      </w:pPr>
      <w:r>
        <w:rPr>
          <w:sz w:val="20"/>
          <w:szCs w:val="20"/>
          <w:lang w:val="ro-RO"/>
        </w:rPr>
        <w:t>Alinierea conductelor de imbinat</w:t>
      </w:r>
    </w:p>
    <w:p>
      <w:pPr>
        <w:pStyle w:val="ListParagraph"/>
        <w:numPr>
          <w:ilvl w:val="0"/>
          <w:numId w:val="48"/>
        </w:numPr>
        <w:ind w:left="1985"/>
        <w:rPr>
          <w:sz w:val="20"/>
          <w:szCs w:val="20"/>
          <w:lang w:val="ro-RO"/>
        </w:rPr>
      </w:pPr>
      <w:r>
        <w:rPr>
          <w:sz w:val="20"/>
          <w:szCs w:val="20"/>
          <w:lang w:val="ro-RO"/>
        </w:rPr>
        <w:t>Se scoate mansonul electrosudabil din ambalaj si se verifica eticheta, ca asigurare a faptului ca a fost aleasa dimensiunea corecta;</w:t>
      </w:r>
    </w:p>
    <w:p>
      <w:pPr>
        <w:pStyle w:val="ListParagraph"/>
        <w:numPr>
          <w:ilvl w:val="0"/>
          <w:numId w:val="48"/>
        </w:numPr>
        <w:ind w:left="1985"/>
        <w:rPr>
          <w:sz w:val="20"/>
          <w:szCs w:val="20"/>
          <w:lang w:val="ro-RO"/>
        </w:rPr>
      </w:pPr>
      <w:r>
        <w:rPr>
          <w:sz w:val="20"/>
          <w:szCs w:val="20"/>
          <w:lang w:val="ro-RO"/>
        </w:rPr>
        <w:t>Se potriveste acesta pe extremitatea tubului mobil. Se marcheaza pe tub adancimea de penetrare, cu capatul tubului aliniat la semnul de mijloc;</w:t>
      </w:r>
    </w:p>
    <w:p>
      <w:pPr>
        <w:pStyle w:val="ListParagraph"/>
        <w:numPr>
          <w:ilvl w:val="0"/>
          <w:numId w:val="48"/>
        </w:numPr>
        <w:ind w:left="1985"/>
        <w:rPr>
          <w:sz w:val="20"/>
          <w:szCs w:val="20"/>
          <w:lang w:val="ro-RO"/>
        </w:rPr>
      </w:pPr>
      <w:r>
        <w:rPr>
          <w:sz w:val="20"/>
          <w:szCs w:val="20"/>
          <w:lang w:val="ro-RO"/>
        </w:rPr>
        <w:t>Se pozitioneaza din nou pe extremitatea tubului fix. Se marcheaza pe tub adancimea de penetrare, cu capatul tubului aliniat la semnul de mijloc.</w:t>
      </w:r>
    </w:p>
    <w:p>
      <w:pPr>
        <w:pStyle w:val="ListParagraph"/>
        <w:numPr>
          <w:ilvl w:val="0"/>
          <w:numId w:val="48"/>
        </w:numPr>
        <w:ind w:left="1985"/>
        <w:rPr>
          <w:sz w:val="20"/>
          <w:szCs w:val="20"/>
          <w:lang w:val="ro-RO"/>
        </w:rPr>
      </w:pPr>
      <w:r>
        <w:rPr>
          <w:sz w:val="20"/>
          <w:szCs w:val="20"/>
          <w:lang w:val="ro-RO"/>
        </w:rPr>
        <w:t>Se pozitioneaza, fara a o strange, clema de fixare, pe tubul fix;</w:t>
      </w:r>
    </w:p>
    <w:p>
      <w:pPr>
        <w:pStyle w:val="ListParagraph"/>
        <w:numPr>
          <w:ilvl w:val="0"/>
          <w:numId w:val="48"/>
        </w:numPr>
        <w:ind w:left="1985"/>
        <w:rPr>
          <w:sz w:val="20"/>
          <w:szCs w:val="20"/>
          <w:lang w:val="ro-RO"/>
        </w:rPr>
      </w:pPr>
      <w:r>
        <w:rPr>
          <w:sz w:val="20"/>
          <w:szCs w:val="20"/>
          <w:lang w:val="ro-RO"/>
        </w:rPr>
        <w:t>Se pozitioneaza tubul mobil in dispozitivul de cuplare;</w:t>
      </w:r>
    </w:p>
    <w:p>
      <w:pPr>
        <w:pStyle w:val="ListParagraph"/>
        <w:numPr>
          <w:ilvl w:val="0"/>
          <w:numId w:val="48"/>
        </w:numPr>
        <w:ind w:left="1985"/>
        <w:rPr>
          <w:sz w:val="20"/>
          <w:szCs w:val="20"/>
          <w:lang w:val="ro-RO"/>
        </w:rPr>
      </w:pPr>
      <w:r>
        <w:rPr>
          <w:sz w:val="20"/>
          <w:szCs w:val="20"/>
          <w:lang w:val="ro-RO"/>
        </w:rPr>
        <w:t>Dupa ce se verifica faptul ca dispozitivul de cuplare este centrat cu clema de fixare si ca tuburile sunt introduse in dispozitiv cu adancimea de penetrare, se strange clema complet.</w:t>
      </w:r>
    </w:p>
    <w:p>
      <w:pPr>
        <w:pStyle w:val="ListParagraph"/>
        <w:numPr>
          <w:ilvl w:val="0"/>
          <w:numId w:val="48"/>
        </w:numPr>
        <w:ind w:left="1985"/>
        <w:rPr>
          <w:sz w:val="20"/>
          <w:szCs w:val="20"/>
          <w:lang w:val="ro-RO"/>
        </w:rPr>
      </w:pPr>
      <w:r>
        <w:rPr>
          <w:sz w:val="20"/>
          <w:szCs w:val="20"/>
          <w:lang w:val="ro-RO"/>
        </w:rPr>
        <w:t>Se roteste usor dispozitivul de cuplare, pentru a verifica daca tuburile sunt corect aliniate.</w:t>
      </w:r>
    </w:p>
    <w:p>
      <w:pPr>
        <w:pStyle w:val="ListParagraph"/>
        <w:numPr>
          <w:ilvl w:val="0"/>
          <w:numId w:val="47"/>
        </w:numPr>
        <w:rPr>
          <w:sz w:val="20"/>
          <w:szCs w:val="20"/>
          <w:lang w:val="ro-RO"/>
        </w:rPr>
      </w:pPr>
      <w:r>
        <w:rPr>
          <w:sz w:val="20"/>
          <w:szCs w:val="20"/>
          <w:lang w:val="ro-RO"/>
        </w:rPr>
        <w:t>Procesul de electrofuziune</w:t>
      </w:r>
    </w:p>
    <w:p>
      <w:pPr>
        <w:pStyle w:val="ListParagraph"/>
        <w:numPr>
          <w:ilvl w:val="0"/>
          <w:numId w:val="48"/>
        </w:numPr>
        <w:ind w:left="1985"/>
        <w:rPr>
          <w:sz w:val="20"/>
          <w:szCs w:val="20"/>
          <w:lang w:val="ro-RO"/>
        </w:rPr>
      </w:pPr>
      <w:r>
        <w:rPr>
          <w:sz w:val="20"/>
          <w:szCs w:val="20"/>
          <w:lang w:val="ro-RO"/>
        </w:rPr>
        <w:t>Se verifica daca exista suficient combustibil in generator, pentru intreaga perioada de fuziune. Se verifica dispozitivul de control si cablurile, pentru a nu prezenta defectiuni.</w:t>
      </w:r>
    </w:p>
    <w:p>
      <w:pPr>
        <w:pStyle w:val="ListParagraph"/>
        <w:numPr>
          <w:ilvl w:val="0"/>
          <w:numId w:val="48"/>
        </w:numPr>
        <w:ind w:left="1985"/>
        <w:rPr>
          <w:sz w:val="20"/>
          <w:szCs w:val="20"/>
          <w:lang w:val="ro-RO"/>
        </w:rPr>
      </w:pPr>
      <w:r>
        <w:rPr>
          <w:sz w:val="20"/>
          <w:szCs w:val="20"/>
          <w:lang w:val="ro-RO"/>
        </w:rPr>
        <w:t>Se indeparteaza capacele terminalelor electrice de pe dispzitivul de cuplare;</w:t>
      </w:r>
    </w:p>
    <w:p>
      <w:pPr>
        <w:pStyle w:val="ListParagraph"/>
        <w:numPr>
          <w:ilvl w:val="0"/>
          <w:numId w:val="48"/>
        </w:numPr>
        <w:ind w:left="1985"/>
        <w:rPr>
          <w:sz w:val="20"/>
          <w:szCs w:val="20"/>
          <w:lang w:val="ro-RO"/>
        </w:rPr>
      </w:pPr>
      <w:r>
        <w:rPr>
          <w:sz w:val="20"/>
          <w:szCs w:val="20"/>
          <w:lang w:val="ro-RO"/>
        </w:rPr>
        <w:t>Se conecteaza cablurile generatorului la bornele dispozitivului de cuplare.</w:t>
      </w:r>
    </w:p>
    <w:p>
      <w:pPr>
        <w:pStyle w:val="ListParagraph"/>
        <w:numPr>
          <w:ilvl w:val="0"/>
          <w:numId w:val="48"/>
        </w:numPr>
        <w:ind w:left="1985"/>
        <w:rPr>
          <w:sz w:val="20"/>
          <w:szCs w:val="20"/>
          <w:lang w:val="ro-RO"/>
        </w:rPr>
      </w:pPr>
      <w:r>
        <w:rPr>
          <w:sz w:val="20"/>
          <w:szCs w:val="20"/>
          <w:lang w:val="ro-RO"/>
        </w:rPr>
        <w:t>Se verifica timpul de fuziune indicat pe eticheta si se introduce in timer-ul dispozitivului de control.</w:t>
      </w:r>
    </w:p>
    <w:p>
      <w:pPr>
        <w:pStyle w:val="ListParagraph"/>
        <w:numPr>
          <w:ilvl w:val="0"/>
          <w:numId w:val="48"/>
        </w:numPr>
        <w:ind w:left="1985"/>
        <w:rPr>
          <w:sz w:val="20"/>
          <w:szCs w:val="20"/>
          <w:lang w:val="ro-RO"/>
        </w:rPr>
      </w:pPr>
      <w:r>
        <w:rPr>
          <w:sz w:val="20"/>
          <w:szCs w:val="20"/>
          <w:lang w:val="ro-RO"/>
        </w:rPr>
        <w:t>Se apasa butonul de pornire al dispozitivului de control si se asigura faptul ca ciclul de fuziune este parcurs in intregime.</w:t>
      </w:r>
    </w:p>
    <w:p>
      <w:pPr>
        <w:pStyle w:val="ListParagraph"/>
        <w:numPr>
          <w:ilvl w:val="0"/>
          <w:numId w:val="48"/>
        </w:numPr>
        <w:ind w:left="1985"/>
        <w:rPr>
          <w:sz w:val="20"/>
          <w:szCs w:val="20"/>
          <w:lang w:val="ro-RO"/>
        </w:rPr>
      </w:pPr>
      <w:r>
        <w:rPr>
          <w:sz w:val="20"/>
          <w:szCs w:val="20"/>
          <w:lang w:val="ro-RO"/>
        </w:rPr>
        <w:t>La sfarsitul ciclului de incalzire, indicatorii de topire trebuie sa aiba o valoare crescuta. Daca nu se constata nici o modificare vizibila a acestora, imbinarea trebuie taiata si se va executa o noua imbinare.</w:t>
      </w:r>
    </w:p>
    <w:p>
      <w:pPr>
        <w:pStyle w:val="ListParagraph"/>
        <w:numPr>
          <w:ilvl w:val="0"/>
          <w:numId w:val="48"/>
        </w:numPr>
        <w:ind w:left="1985"/>
        <w:rPr>
          <w:sz w:val="20"/>
          <w:szCs w:val="20"/>
          <w:lang w:val="ro-RO"/>
        </w:rPr>
      </w:pPr>
      <w:r>
        <w:rPr>
          <w:sz w:val="20"/>
          <w:szCs w:val="20"/>
          <w:lang w:val="ro-RO"/>
        </w:rPr>
        <w:lastRenderedPageBreak/>
        <w:t>Se asteapta ca ansamblul sa se raceasca, respectandu-se timpul de racire indicat pe eticheta.</w:t>
      </w:r>
    </w:p>
    <w:p>
      <w:pPr>
        <w:pStyle w:val="ListParagraph"/>
        <w:numPr>
          <w:ilvl w:val="0"/>
          <w:numId w:val="48"/>
        </w:numPr>
        <w:ind w:left="1985"/>
        <w:rPr>
          <w:sz w:val="20"/>
          <w:szCs w:val="20"/>
          <w:lang w:val="ro-RO"/>
        </w:rPr>
      </w:pPr>
      <w:r>
        <w:rPr>
          <w:sz w:val="20"/>
          <w:szCs w:val="20"/>
          <w:lang w:val="ro-RO"/>
        </w:rPr>
        <w:t>Se indeparteaza cablurile si clemele de fixare.</w:t>
      </w:r>
    </w:p>
    <w:p>
      <w:pPr>
        <w:pStyle w:val="ListParagraph"/>
        <w:ind w:left="851"/>
        <w:rPr>
          <w:sz w:val="20"/>
          <w:szCs w:val="20"/>
          <w:lang w:val="ro-RO"/>
        </w:rPr>
      </w:pPr>
    </w:p>
    <w:p>
      <w:pPr>
        <w:pStyle w:val="ListParagraph"/>
        <w:keepNext/>
        <w:numPr>
          <w:ilvl w:val="0"/>
          <w:numId w:val="41"/>
        </w:numPr>
        <w:rPr>
          <w:b/>
          <w:sz w:val="20"/>
          <w:szCs w:val="20"/>
          <w:lang w:val="ro-RO"/>
        </w:rPr>
      </w:pPr>
      <w:r>
        <w:rPr>
          <w:b/>
          <w:sz w:val="20"/>
          <w:szCs w:val="20"/>
          <w:lang w:val="ro-RO"/>
        </w:rPr>
        <w:t>Marcaje aferente retelelor de apa</w:t>
      </w:r>
    </w:p>
    <w:p>
      <w:pPr>
        <w:rPr>
          <w:sz w:val="20"/>
          <w:szCs w:val="20"/>
          <w:lang w:val="ro-RO"/>
        </w:rPr>
      </w:pPr>
      <w:r>
        <w:rPr>
          <w:sz w:val="20"/>
          <w:szCs w:val="20"/>
          <w:lang w:val="ro-RO"/>
        </w:rPr>
        <w:t>Traseul conductei va fi materializat prin montarea unei bande avertizoare din PEID cu fir trasor, de culoare albastra, asa cum este evidentiat in piesele desenate. Firul trasor va fi montat între PE și stratul de PP.</w:t>
      </w:r>
    </w:p>
    <w:p>
      <w:pPr>
        <w:pStyle w:val="ListParagraph"/>
        <w:numPr>
          <w:ilvl w:val="0"/>
          <w:numId w:val="41"/>
        </w:numPr>
        <w:rPr>
          <w:b/>
          <w:sz w:val="20"/>
          <w:szCs w:val="20"/>
          <w:lang w:val="ro-RO"/>
        </w:rPr>
      </w:pPr>
      <w:r>
        <w:rPr>
          <w:b/>
          <w:sz w:val="20"/>
          <w:szCs w:val="20"/>
          <w:lang w:val="ro-RO"/>
        </w:rPr>
        <w:t>Constructii auxiliare retea(camine)</w:t>
      </w:r>
    </w:p>
    <w:p>
      <w:pPr>
        <w:rPr>
          <w:sz w:val="20"/>
          <w:szCs w:val="20"/>
          <w:lang w:val="ro-RO"/>
        </w:rPr>
      </w:pPr>
      <w:r>
        <w:rPr>
          <w:sz w:val="20"/>
          <w:szCs w:val="20"/>
          <w:lang w:val="ro-RO"/>
        </w:rPr>
        <w:t>Pe conductele de distributie se vor prevedea urmatoarele tipuri de camine:</w:t>
      </w:r>
    </w:p>
    <w:p>
      <w:pPr>
        <w:pStyle w:val="ListParagraph"/>
        <w:numPr>
          <w:ilvl w:val="0"/>
          <w:numId w:val="47"/>
        </w:numPr>
        <w:rPr>
          <w:sz w:val="20"/>
          <w:szCs w:val="20"/>
          <w:lang w:val="ro-RO"/>
        </w:rPr>
      </w:pPr>
      <w:r>
        <w:rPr>
          <w:sz w:val="20"/>
          <w:szCs w:val="20"/>
          <w:lang w:val="ro-RO"/>
        </w:rPr>
        <w:t>camine de golire care se amplaseaza in punctele cele mai joase ale tronsoanelor de conducta, pentru a da posibilitatea golirii complete a acestora sau la subtraversarile cu foraj;</w:t>
      </w:r>
    </w:p>
    <w:p>
      <w:pPr>
        <w:pStyle w:val="ListParagraph"/>
        <w:numPr>
          <w:ilvl w:val="0"/>
          <w:numId w:val="47"/>
        </w:numPr>
        <w:rPr>
          <w:sz w:val="20"/>
          <w:szCs w:val="20"/>
          <w:lang w:val="ro-RO"/>
        </w:rPr>
      </w:pPr>
      <w:r>
        <w:rPr>
          <w:sz w:val="20"/>
          <w:szCs w:val="20"/>
          <w:lang w:val="ro-RO"/>
        </w:rPr>
        <w:t>camine cu vane de linie, amplasate la intersectii pentru izolarea tronsoanelor componente;</w:t>
      </w:r>
    </w:p>
    <w:p>
      <w:pPr>
        <w:pStyle w:val="ListParagraph"/>
        <w:numPr>
          <w:ilvl w:val="0"/>
          <w:numId w:val="47"/>
        </w:numPr>
        <w:rPr>
          <w:sz w:val="20"/>
          <w:szCs w:val="20"/>
          <w:lang w:val="ro-RO"/>
        </w:rPr>
      </w:pPr>
      <w:r>
        <w:rPr>
          <w:sz w:val="20"/>
          <w:szCs w:val="20"/>
          <w:lang w:val="ro-RO"/>
        </w:rPr>
        <w:t>camine de aerisire se amplaseaza in punctele inalte ale ale tronsoanelor de conducta pentru a da posibilitatea aerisirii acesteia.</w:t>
      </w:r>
    </w:p>
    <w:p>
      <w:pPr>
        <w:rPr>
          <w:sz w:val="20"/>
          <w:szCs w:val="20"/>
          <w:lang w:val="ro-RO"/>
        </w:rPr>
      </w:pPr>
      <w:r>
        <w:rPr>
          <w:sz w:val="20"/>
          <w:szCs w:val="20"/>
          <w:lang w:val="ro-RO"/>
        </w:rPr>
        <w:t>Caminele de vane din cadrul proiectului vor fi proiectate in detaliu de catre Antreprenor, pe baza echipamentelor si tehnologiilor proprii.</w:t>
      </w:r>
    </w:p>
    <w:p>
      <w:pPr>
        <w:rPr>
          <w:sz w:val="20"/>
          <w:szCs w:val="20"/>
          <w:lang w:val="ro-RO"/>
        </w:rPr>
      </w:pPr>
      <w:r>
        <w:rPr>
          <w:sz w:val="20"/>
          <w:szCs w:val="20"/>
          <w:lang w:val="ro-RO"/>
        </w:rPr>
        <w:t>Căminele sunt construcţii subterane rectangulare din beton armat monolit şi au destinaţii diverse, impuse de procesul tehnologic pentru care au fost proiectate. Dimensiunile lor în plan şi pe verticală au fost stabilite în funcţie de echipamentele pe care le adăpostesc, de adâncimile la care se află conductele ce le intersectează, de condiţiile de acces în interior şi de operare/intervenţie.</w:t>
      </w:r>
    </w:p>
    <w:p>
      <w:pPr>
        <w:rPr>
          <w:sz w:val="20"/>
          <w:szCs w:val="20"/>
          <w:lang w:val="ro-RO"/>
        </w:rPr>
      </w:pPr>
      <w:r>
        <w:rPr>
          <w:sz w:val="20"/>
          <w:szCs w:val="20"/>
          <w:lang w:val="ro-RO"/>
        </w:rPr>
        <w:t>Coborârea în cămin se va face prin golul de acces, pe trepte din oţel galvanizat fixate cu dibluri conexpand în peretele cabinei. Capacele golurilor vor fi prevăzute cu sistem mecanic de protectie anti-efracţie.</w:t>
      </w:r>
    </w:p>
    <w:p>
      <w:pPr>
        <w:rPr>
          <w:sz w:val="20"/>
          <w:szCs w:val="20"/>
          <w:lang w:val="ro-RO"/>
        </w:rPr>
      </w:pPr>
      <w:r>
        <w:rPr>
          <w:sz w:val="20"/>
          <w:szCs w:val="20"/>
          <w:lang w:val="ro-RO"/>
        </w:rPr>
        <w:t>Fiecare cămin va fi prevăzut pe fund cu başă pentru colectarea eventualelor scurgeri de apă accidentale sau a apei rezultate din golirea reţelei, în cazul căminelor cu această destinaţie. Dimensiunile başei, atât in plan cât şi ca adâncime, va fi adaptată atât in funcţie de rolul căminului (başa va fi mai adâncă în cazul caminelor de golire) cât şi a modului de evacuare a apei (dimensiunea în plan a başei va fi mai mare dacă va fi utilizată o pompă submersibilă).</w:t>
      </w:r>
    </w:p>
    <w:p>
      <w:pPr>
        <w:rPr>
          <w:sz w:val="20"/>
          <w:szCs w:val="20"/>
          <w:lang w:val="ro-RO"/>
        </w:rPr>
      </w:pPr>
      <w:r>
        <w:rPr>
          <w:sz w:val="20"/>
          <w:szCs w:val="20"/>
          <w:lang w:val="ro-RO"/>
        </w:rPr>
        <w:t>Clasa, permeabilitatea şi celelalte caracteristici ale betonului, precum şi acoperirea cu beton a armăturii vor fi astfel alese încât să nu fie necesară tencuirea la interior şi exterior a pereţilor şi nici aplicarea de alte materiale hidroizolante de genul membranelor termosudabile sau spoirii cu bitum.</w:t>
      </w:r>
    </w:p>
    <w:p>
      <w:pPr>
        <w:rPr>
          <w:sz w:val="20"/>
          <w:szCs w:val="20"/>
          <w:lang w:val="ro-RO"/>
        </w:rPr>
      </w:pPr>
      <w:r>
        <w:rPr>
          <w:sz w:val="20"/>
          <w:szCs w:val="20"/>
          <w:lang w:val="ro-RO"/>
        </w:rPr>
        <w:t>Capacele caminelor de vane vor fi din fonta/PEID/compozit, cu deschidere utila de 800mm. Capacele caminelor vor fi inscriptionate cu: APA.</w:t>
      </w:r>
    </w:p>
    <w:p>
      <w:pPr>
        <w:pStyle w:val="Heading3"/>
        <w:rPr>
          <w:sz w:val="20"/>
          <w:szCs w:val="20"/>
          <w:lang w:val="ro-RO"/>
        </w:rPr>
      </w:pPr>
      <w:bookmarkStart w:id="38" w:name="_Toc227161513"/>
      <w:r>
        <w:rPr>
          <w:sz w:val="20"/>
          <w:szCs w:val="20"/>
          <w:lang w:val="ro-RO"/>
        </w:rPr>
        <w:t>2.2.10 Cerinte privind lucrarile de executie a retelelor de canalizare menajera si pluviala</w:t>
      </w:r>
      <w:bookmarkEnd w:id="38"/>
    </w:p>
    <w:p>
      <w:pPr>
        <w:pStyle w:val="Heading4"/>
        <w:rPr>
          <w:sz w:val="20"/>
          <w:szCs w:val="20"/>
          <w:lang w:val="ro-RO"/>
        </w:rPr>
      </w:pPr>
      <w:r>
        <w:rPr>
          <w:sz w:val="20"/>
          <w:szCs w:val="20"/>
          <w:lang w:val="ro-RO"/>
        </w:rPr>
        <w:t>2.2.10.1 Condiţii prealabile</w:t>
      </w:r>
    </w:p>
    <w:p>
      <w:pPr>
        <w:pStyle w:val="ListParagraph"/>
        <w:numPr>
          <w:ilvl w:val="0"/>
          <w:numId w:val="47"/>
        </w:numPr>
        <w:rPr>
          <w:sz w:val="20"/>
          <w:szCs w:val="20"/>
          <w:lang w:val="ro-RO"/>
        </w:rPr>
      </w:pPr>
      <w:r>
        <w:rPr>
          <w:sz w:val="20"/>
          <w:szCs w:val="20"/>
          <w:lang w:val="ro-RO"/>
        </w:rPr>
        <w:t>Existenta autorizaţiei de construcţie</w:t>
      </w:r>
    </w:p>
    <w:p>
      <w:pPr>
        <w:pStyle w:val="ListParagraph"/>
        <w:numPr>
          <w:ilvl w:val="0"/>
          <w:numId w:val="47"/>
        </w:numPr>
        <w:rPr>
          <w:sz w:val="20"/>
          <w:szCs w:val="20"/>
          <w:lang w:val="ro-RO"/>
        </w:rPr>
      </w:pPr>
      <w:r>
        <w:rPr>
          <w:sz w:val="20"/>
          <w:szCs w:val="20"/>
          <w:lang w:val="ro-RO"/>
        </w:rPr>
        <w:t>Preluarea amplasamentului lucrării liber de orice sarcina</w:t>
      </w:r>
    </w:p>
    <w:p>
      <w:pPr>
        <w:pStyle w:val="ListParagraph"/>
        <w:numPr>
          <w:ilvl w:val="0"/>
          <w:numId w:val="47"/>
        </w:numPr>
        <w:rPr>
          <w:sz w:val="20"/>
          <w:szCs w:val="20"/>
          <w:lang w:val="ro-RO"/>
        </w:rPr>
      </w:pPr>
      <w:r>
        <w:rPr>
          <w:sz w:val="20"/>
          <w:szCs w:val="20"/>
          <w:lang w:val="ro-RO"/>
        </w:rPr>
        <w:t>Existenta P.V. de identificare a reţelelor de gospodarii subterane ce interesează traseul canalizării si modul de protecţie prevăzut sau de refacere.</w:t>
      </w:r>
    </w:p>
    <w:p>
      <w:pPr>
        <w:pStyle w:val="Heading4"/>
        <w:rPr>
          <w:sz w:val="20"/>
          <w:szCs w:val="20"/>
          <w:lang w:val="ro-RO"/>
        </w:rPr>
      </w:pPr>
      <w:r>
        <w:rPr>
          <w:sz w:val="20"/>
          <w:szCs w:val="20"/>
          <w:lang w:val="ro-RO"/>
        </w:rPr>
        <w:t>2.2.10.2 Realizarea canalizării</w:t>
      </w:r>
    </w:p>
    <w:p>
      <w:pPr>
        <w:rPr>
          <w:sz w:val="20"/>
          <w:szCs w:val="20"/>
          <w:lang w:val="ro-RO"/>
        </w:rPr>
      </w:pPr>
      <w:r>
        <w:rPr>
          <w:sz w:val="20"/>
          <w:szCs w:val="20"/>
          <w:lang w:val="ro-RO"/>
        </w:rPr>
        <w:t>Execuţia lucrărilor va începe din aval, începând cu căminul de vizitare din amonte de căminul de vizitare existent al colectorului menajer in care se va face debuşarea canalului proiectat.</w:t>
      </w:r>
    </w:p>
    <w:p>
      <w:pPr>
        <w:rPr>
          <w:sz w:val="20"/>
          <w:szCs w:val="20"/>
          <w:lang w:val="ro-RO"/>
        </w:rPr>
      </w:pPr>
      <w:r>
        <w:rPr>
          <w:sz w:val="20"/>
          <w:szCs w:val="20"/>
          <w:lang w:val="ro-RO"/>
        </w:rPr>
        <w:t>Lucrările de săpătura, umplutura, completări etc. se vor executa manual 30% si mecanizat 70%.</w:t>
      </w:r>
    </w:p>
    <w:p>
      <w:pPr>
        <w:rPr>
          <w:sz w:val="20"/>
          <w:szCs w:val="20"/>
          <w:lang w:val="ro-RO"/>
        </w:rPr>
      </w:pPr>
      <w:r>
        <w:rPr>
          <w:sz w:val="20"/>
          <w:szCs w:val="20"/>
          <w:lang w:val="ro-RO"/>
        </w:rPr>
        <w:lastRenderedPageBreak/>
        <w:t>Înainte de trasarea axei canalului se vor efectua săpături de sondaje executate manual, pentru depistarea exacta a gospodăriilor subterane.</w:t>
      </w:r>
    </w:p>
    <w:p>
      <w:pPr>
        <w:rPr>
          <w:sz w:val="20"/>
          <w:szCs w:val="20"/>
          <w:lang w:val="ro-RO"/>
        </w:rPr>
      </w:pPr>
      <w:r>
        <w:rPr>
          <w:sz w:val="20"/>
          <w:szCs w:val="20"/>
          <w:lang w:val="ro-RO"/>
        </w:rPr>
        <w:t>Sondajele se vor efectua la maxim 50 m distanta unul de altul si in dreptul fiecarui camin de vizitare.</w:t>
      </w:r>
    </w:p>
    <w:p>
      <w:pPr>
        <w:rPr>
          <w:sz w:val="20"/>
          <w:szCs w:val="20"/>
          <w:lang w:val="ro-RO"/>
        </w:rPr>
      </w:pPr>
      <w:r>
        <w:rPr>
          <w:sz w:val="20"/>
          <w:szCs w:val="20"/>
          <w:lang w:val="ro-RO"/>
        </w:rPr>
        <w:t>După depistarea tuturor reţelelor subterane, se va trece la trasarea conductei de canalizare, avându-se in vedere planul coordonator de reţele din documentaţia desenata.</w:t>
      </w:r>
    </w:p>
    <w:p>
      <w:pPr>
        <w:rPr>
          <w:sz w:val="20"/>
          <w:szCs w:val="20"/>
          <w:lang w:val="ro-RO"/>
        </w:rPr>
      </w:pPr>
      <w:r>
        <w:rPr>
          <w:sz w:val="20"/>
          <w:szCs w:val="20"/>
          <w:lang w:val="ro-RO"/>
        </w:rPr>
        <w:t>Lucrările de săpătura se vor face manual 30% si mecanizat 70%, cu taluzuri verticale sprijinite cu dulapi metalici de inventar, pentru evitarea surpărilor taluzurilor.</w:t>
      </w:r>
    </w:p>
    <w:p>
      <w:pPr>
        <w:rPr>
          <w:sz w:val="20"/>
          <w:szCs w:val="20"/>
          <w:lang w:val="ro-RO"/>
        </w:rPr>
      </w:pPr>
      <w:r>
        <w:rPr>
          <w:sz w:val="20"/>
          <w:szCs w:val="20"/>
          <w:lang w:val="ro-RO"/>
        </w:rPr>
        <w:t>Pentru stabilirea cotelor săpăturii se vor folosi rigle cu teu si nivelmentul.</w:t>
      </w:r>
    </w:p>
    <w:p>
      <w:pPr>
        <w:rPr>
          <w:sz w:val="20"/>
          <w:szCs w:val="20"/>
          <w:lang w:val="ro-RO"/>
        </w:rPr>
      </w:pPr>
      <w:r>
        <w:rPr>
          <w:sz w:val="20"/>
          <w:szCs w:val="20"/>
          <w:lang w:val="ro-RO"/>
        </w:rPr>
        <w:t>Aşternerea patului de nisip pentru pozare se va face cu lopata. Se va da o deosebita atenţie la realizarea pante de montaj a tuburilor de beton pentru realizarea scurgerii gravitaţionale a apei in canal si a autocurăţirii acestuia.</w:t>
      </w:r>
    </w:p>
    <w:p>
      <w:pPr>
        <w:rPr>
          <w:sz w:val="20"/>
          <w:szCs w:val="20"/>
          <w:lang w:val="ro-RO"/>
        </w:rPr>
      </w:pPr>
      <w:r>
        <w:rPr>
          <w:sz w:val="20"/>
          <w:szCs w:val="20"/>
          <w:lang w:val="ro-RO"/>
        </w:rPr>
        <w:t>Se executa lucrările de betonare in fundaţiile căminelor de vizitare.</w:t>
      </w:r>
    </w:p>
    <w:p>
      <w:pPr>
        <w:pStyle w:val="ListParagraph"/>
        <w:numPr>
          <w:ilvl w:val="0"/>
          <w:numId w:val="41"/>
        </w:numPr>
        <w:rPr>
          <w:b/>
          <w:sz w:val="20"/>
          <w:szCs w:val="20"/>
          <w:lang w:val="ro-RO"/>
        </w:rPr>
      </w:pPr>
      <w:r>
        <w:rPr>
          <w:b/>
          <w:sz w:val="20"/>
          <w:szCs w:val="20"/>
          <w:lang w:val="ro-RO"/>
        </w:rPr>
        <w:t>Montarea tuburilor din beton simplu</w:t>
      </w:r>
    </w:p>
    <w:p>
      <w:pPr>
        <w:rPr>
          <w:sz w:val="20"/>
          <w:szCs w:val="20"/>
          <w:lang w:val="ro-RO"/>
        </w:rPr>
      </w:pPr>
      <w:r>
        <w:rPr>
          <w:sz w:val="20"/>
          <w:szCs w:val="20"/>
          <w:lang w:val="ro-RO"/>
        </w:rPr>
        <w:t>Conductele de canalizare se vor amplasa pe teren public sau vor urmari trama stradala. Pozarea in plan orizontal se va face in axul drumului sau de o parte si de alta a drumului, pe trotuar, in functie de situatia din teren, fiind prinse in proiect toate lucrarile de refacere a carosabilului.</w:t>
      </w:r>
    </w:p>
    <w:p>
      <w:pPr>
        <w:rPr>
          <w:sz w:val="20"/>
          <w:szCs w:val="20"/>
          <w:lang w:val="ro-RO"/>
        </w:rPr>
      </w:pPr>
      <w:r>
        <w:rPr>
          <w:sz w:val="20"/>
          <w:szCs w:val="20"/>
          <w:lang w:val="ro-RO"/>
        </w:rPr>
        <w:t>Latimea sapaturii va fi cuprinsa intre 0,9 m si 1,5 m, cu 30 cm intre conducta si peretele sapaturii, astfel incat sa se faca o imbinare comoda a conductei. Antreprenorul are dreptul sa adapteze latimea transeii la utilajele si tehnologia de executie adoptate. Conducta va fi asezata pe un pat de nisip de de minim 10 cm si deasupra generatoarei superioare a conductei va fi asezat un strat de pana la 30 cm de nisip. Umplutura va fi compactata manual pana la 30 cm deasupra stratului de nisip si apoi mecanic pe restul inaltimii. Deasupra conductelor s-a propus amplasarea benzilor de semnalizare pentru depistarea traseului conductelor pe perioada exploatarii.</w:t>
      </w:r>
    </w:p>
    <w:p>
      <w:pPr>
        <w:rPr>
          <w:sz w:val="20"/>
          <w:szCs w:val="20"/>
          <w:lang w:val="ro-RO"/>
        </w:rPr>
      </w:pPr>
      <w:r>
        <w:rPr>
          <w:sz w:val="20"/>
          <w:szCs w:val="20"/>
          <w:lang w:val="ro-RO"/>
        </w:rPr>
        <w:t>Racordarea retelei de canalizare proiectate la canalul colector existent se va realiza la o cota peste cota radierului, la nivelul superior al canalului existent - conectarea la colectoarele existente se va realiza la creastă.</w:t>
      </w:r>
    </w:p>
    <w:p>
      <w:pPr>
        <w:rPr>
          <w:sz w:val="20"/>
          <w:szCs w:val="20"/>
          <w:lang w:val="ro-RO"/>
        </w:rPr>
      </w:pPr>
      <w:r>
        <w:rPr>
          <w:sz w:val="20"/>
          <w:szCs w:val="20"/>
          <w:lang w:val="ro-RO"/>
        </w:rPr>
        <w:t>Imbinarile conductelor vor asigura o perfecta etanseitate, precum si posibilitatea preluarii tuturor eforturilor statice si dinamice.</w:t>
      </w:r>
    </w:p>
    <w:p>
      <w:pPr>
        <w:rPr>
          <w:sz w:val="20"/>
          <w:szCs w:val="20"/>
          <w:lang w:val="ro-RO"/>
        </w:rPr>
      </w:pPr>
      <w:r>
        <w:rPr>
          <w:sz w:val="20"/>
          <w:szCs w:val="20"/>
          <w:lang w:val="ro-RO"/>
        </w:rPr>
        <w:t>Conectarea conductelor de PVC la caminele de vizitare se face prin intermediul unor garnituri speciale de cauciuc.</w:t>
      </w:r>
    </w:p>
    <w:p>
      <w:pPr>
        <w:pStyle w:val="ListParagraph"/>
        <w:numPr>
          <w:ilvl w:val="0"/>
          <w:numId w:val="41"/>
        </w:numPr>
        <w:rPr>
          <w:b/>
          <w:sz w:val="20"/>
          <w:szCs w:val="20"/>
          <w:lang w:val="ro-RO"/>
        </w:rPr>
      </w:pPr>
      <w:r>
        <w:rPr>
          <w:b/>
          <w:sz w:val="20"/>
          <w:szCs w:val="20"/>
          <w:lang w:val="ro-RO"/>
        </w:rPr>
        <w:t>Marcaje pentru conducta</w:t>
      </w:r>
    </w:p>
    <w:p>
      <w:pPr>
        <w:rPr>
          <w:sz w:val="20"/>
          <w:szCs w:val="20"/>
          <w:lang w:val="ro-RO"/>
        </w:rPr>
      </w:pPr>
      <w:r>
        <w:rPr>
          <w:sz w:val="20"/>
          <w:szCs w:val="20"/>
          <w:lang w:val="ro-RO"/>
        </w:rPr>
        <w:t>Deasupra stratului de nisip acoperitor se va aseza o banda din material plastic de culoare portocalie cu inscriptia - ATENTIE! CONDUCTA CANALIZARE.</w:t>
      </w:r>
    </w:p>
    <w:p>
      <w:pPr>
        <w:pStyle w:val="ListParagraph"/>
        <w:numPr>
          <w:ilvl w:val="0"/>
          <w:numId w:val="41"/>
        </w:numPr>
        <w:rPr>
          <w:b/>
          <w:sz w:val="20"/>
          <w:szCs w:val="20"/>
          <w:lang w:val="ro-RO"/>
        </w:rPr>
      </w:pPr>
      <w:r>
        <w:rPr>
          <w:b/>
          <w:sz w:val="20"/>
          <w:szCs w:val="20"/>
          <w:lang w:val="ro-RO"/>
        </w:rPr>
        <w:t>Executarea căminelor de vizitare</w:t>
      </w:r>
    </w:p>
    <w:p>
      <w:pPr>
        <w:pStyle w:val="ListParagraph"/>
        <w:numPr>
          <w:ilvl w:val="0"/>
          <w:numId w:val="49"/>
        </w:numPr>
        <w:rPr>
          <w:sz w:val="20"/>
          <w:szCs w:val="20"/>
          <w:lang w:val="ro-RO"/>
        </w:rPr>
      </w:pPr>
      <w:r>
        <w:rPr>
          <w:sz w:val="20"/>
          <w:szCs w:val="20"/>
          <w:lang w:val="ro-RO"/>
        </w:rPr>
        <w:t>Inainte de montarea tuburilor de canal se vor turna fundatiile caminelor de vizitare. După turnarea fundatiilor se va executa rigola caminului, aceasta avand diametrul egal cu cel al tubului. Căminele se vor amplasa suprapuse canalului, incluzând astfel secţiunea transversala a canalului.</w:t>
      </w:r>
    </w:p>
    <w:p>
      <w:pPr>
        <w:pStyle w:val="ListParagraph"/>
        <w:numPr>
          <w:ilvl w:val="0"/>
          <w:numId w:val="49"/>
        </w:numPr>
        <w:rPr>
          <w:sz w:val="20"/>
          <w:szCs w:val="20"/>
          <w:lang w:val="ro-RO"/>
        </w:rPr>
      </w:pPr>
      <w:r>
        <w:rPr>
          <w:sz w:val="20"/>
          <w:szCs w:val="20"/>
          <w:lang w:val="ro-RO"/>
        </w:rPr>
        <w:t>Îmbinările dintre tuburile prefabricate pentru cămine se vor monolitiza cu mortar de ciment şi se vor rostui pentru a obţine o suprafaţa interioara neteda a acestuia.</w:t>
      </w:r>
    </w:p>
    <w:p>
      <w:pPr>
        <w:pStyle w:val="ListParagraph"/>
        <w:numPr>
          <w:ilvl w:val="0"/>
          <w:numId w:val="49"/>
        </w:numPr>
        <w:rPr>
          <w:sz w:val="20"/>
          <w:szCs w:val="20"/>
          <w:lang w:val="ro-RO"/>
        </w:rPr>
      </w:pPr>
      <w:r>
        <w:rPr>
          <w:sz w:val="20"/>
          <w:szCs w:val="20"/>
          <w:lang w:val="ro-RO"/>
        </w:rPr>
        <w:t>Rigola căminului se va sclivisi la interior cu mortar de ciment.</w:t>
      </w:r>
    </w:p>
    <w:p>
      <w:pPr>
        <w:pStyle w:val="ListParagraph"/>
        <w:numPr>
          <w:ilvl w:val="0"/>
          <w:numId w:val="49"/>
        </w:numPr>
        <w:rPr>
          <w:sz w:val="20"/>
          <w:szCs w:val="20"/>
          <w:lang w:val="ro-RO"/>
        </w:rPr>
      </w:pPr>
      <w:r>
        <w:rPr>
          <w:sz w:val="20"/>
          <w:szCs w:val="20"/>
          <w:lang w:val="ro-RO"/>
        </w:rPr>
        <w:t>Montarea ramei capacului se va face cu mortar M 100-T.</w:t>
      </w:r>
    </w:p>
    <w:p>
      <w:pPr>
        <w:pStyle w:val="ListParagraph"/>
        <w:numPr>
          <w:ilvl w:val="0"/>
          <w:numId w:val="49"/>
        </w:numPr>
        <w:rPr>
          <w:sz w:val="20"/>
          <w:szCs w:val="20"/>
          <w:lang w:val="ro-RO"/>
        </w:rPr>
      </w:pPr>
      <w:r>
        <w:rPr>
          <w:sz w:val="20"/>
          <w:szCs w:val="20"/>
          <w:lang w:val="ro-RO"/>
        </w:rPr>
        <w:t>La distanta de 50 cm de capete se va monta prima treapta din otel O20 mm a scării de acces.</w:t>
      </w:r>
    </w:p>
    <w:p>
      <w:pPr>
        <w:pStyle w:val="ListParagraph"/>
        <w:numPr>
          <w:ilvl w:val="0"/>
          <w:numId w:val="49"/>
        </w:numPr>
        <w:rPr>
          <w:sz w:val="20"/>
          <w:szCs w:val="20"/>
          <w:lang w:val="ro-RO"/>
        </w:rPr>
      </w:pPr>
      <w:r>
        <w:rPr>
          <w:sz w:val="20"/>
          <w:szCs w:val="20"/>
          <w:lang w:val="ro-RO"/>
        </w:rPr>
        <w:t>Ultima treaptă se va monta la maximum 30 cm deasupra scării de acces.</w:t>
      </w:r>
    </w:p>
    <w:p>
      <w:pPr>
        <w:pStyle w:val="ListParagraph"/>
        <w:numPr>
          <w:ilvl w:val="0"/>
          <w:numId w:val="49"/>
        </w:numPr>
        <w:rPr>
          <w:sz w:val="20"/>
          <w:szCs w:val="20"/>
          <w:lang w:val="ro-RO"/>
        </w:rPr>
      </w:pPr>
      <w:r>
        <w:rPr>
          <w:sz w:val="20"/>
          <w:szCs w:val="20"/>
          <w:lang w:val="ro-RO"/>
        </w:rPr>
        <w:t>Treptele din otel se vor proteja anticoroziv prin vopsire.</w:t>
      </w:r>
    </w:p>
    <w:p>
      <w:pPr>
        <w:pStyle w:val="ListParagraph"/>
        <w:numPr>
          <w:ilvl w:val="0"/>
          <w:numId w:val="41"/>
        </w:numPr>
        <w:rPr>
          <w:b/>
          <w:sz w:val="20"/>
          <w:szCs w:val="20"/>
          <w:lang w:val="ro-RO"/>
        </w:rPr>
      </w:pPr>
      <w:r>
        <w:rPr>
          <w:b/>
          <w:sz w:val="20"/>
          <w:szCs w:val="20"/>
          <w:lang w:val="ro-RO"/>
        </w:rPr>
        <w:t>Executarea umpluturilor</w:t>
      </w:r>
    </w:p>
    <w:p>
      <w:pPr>
        <w:rPr>
          <w:sz w:val="20"/>
          <w:szCs w:val="20"/>
          <w:lang w:val="ro-RO"/>
        </w:rPr>
      </w:pPr>
      <w:r>
        <w:rPr>
          <w:sz w:val="20"/>
          <w:szCs w:val="20"/>
          <w:lang w:val="ro-RO"/>
        </w:rPr>
        <w:lastRenderedPageBreak/>
        <w:t>Umplerea tranşeelor se va face după un control al cotelor de montaj, verificarea calităţii lucrărilor si după executarea primei probe de etanşeitate.</w:t>
      </w:r>
    </w:p>
    <w:p>
      <w:pPr>
        <w:rPr>
          <w:sz w:val="20"/>
          <w:szCs w:val="20"/>
          <w:lang w:val="ro-RO"/>
        </w:rPr>
      </w:pPr>
      <w:r>
        <w:rPr>
          <w:sz w:val="20"/>
          <w:szCs w:val="20"/>
          <w:lang w:val="ro-RO"/>
        </w:rPr>
        <w:t>Umplutura se începe cu 3 - 4 straturi a cate 10 cm grosime de pământ afânat cu care se va compacta separat fiecare strat cu deosebita grija, pentru a proteja tuburile.</w:t>
      </w:r>
    </w:p>
    <w:p>
      <w:pPr>
        <w:rPr>
          <w:sz w:val="20"/>
          <w:szCs w:val="20"/>
          <w:lang w:val="ro-RO"/>
        </w:rPr>
      </w:pPr>
      <w:r>
        <w:rPr>
          <w:sz w:val="20"/>
          <w:szCs w:val="20"/>
          <w:lang w:val="ro-RO"/>
        </w:rPr>
        <w:t>Resturile umpluturilor se vor face in straturi de 20 - 30 cm grosime, compactându-se fiecare strat separat.</w:t>
      </w:r>
    </w:p>
    <w:p>
      <w:pPr>
        <w:rPr>
          <w:sz w:val="20"/>
          <w:szCs w:val="20"/>
          <w:lang w:val="ro-RO"/>
        </w:rPr>
      </w:pPr>
      <w:r>
        <w:rPr>
          <w:sz w:val="20"/>
          <w:szCs w:val="20"/>
          <w:lang w:val="ro-RO"/>
        </w:rPr>
        <w:t>Pe parcursul umplerii tranşeelor se vor scoate elementele de metal ale sprijinirilor taluzurilor. Umpluturile se vor executa pana la cota inferioara fundaţiei drumului.</w:t>
      </w:r>
    </w:p>
    <w:p>
      <w:pPr>
        <w:rPr>
          <w:sz w:val="20"/>
          <w:szCs w:val="20"/>
          <w:lang w:val="ro-RO"/>
        </w:rPr>
      </w:pPr>
      <w:r>
        <w:rPr>
          <w:sz w:val="20"/>
          <w:szCs w:val="20"/>
          <w:lang w:val="ro-RO"/>
        </w:rPr>
        <w:t>Pământul excedentar rămas pe marginea tranşeei se va transporta intr-un loc stabilit de autorităţile competente.</w:t>
      </w:r>
    </w:p>
    <w:p>
      <w:pPr>
        <w:rPr>
          <w:sz w:val="20"/>
          <w:szCs w:val="20"/>
          <w:lang w:val="ro-RO"/>
        </w:rPr>
      </w:pPr>
      <w:r>
        <w:rPr>
          <w:sz w:val="20"/>
          <w:szCs w:val="20"/>
          <w:lang w:val="ro-RO"/>
        </w:rPr>
        <w:t>Lucrarea se va încheia prin refacerea structurii drumului pe porţiunea desfăşurata pentru executarea canalului.</w:t>
      </w:r>
    </w:p>
    <w:p>
      <w:pPr>
        <w:rPr>
          <w:sz w:val="20"/>
          <w:szCs w:val="20"/>
          <w:lang w:val="ro-RO"/>
        </w:rPr>
      </w:pPr>
      <w:r>
        <w:rPr>
          <w:sz w:val="20"/>
          <w:szCs w:val="20"/>
          <w:lang w:val="ro-RO"/>
        </w:rPr>
        <w:t>Pentru refacerile pavajelor, in general se va folosi materialul rezultat din desfaceri, iar in cazul insuficientei acestuia, se vor folosi si materiale noi.</w:t>
      </w:r>
    </w:p>
    <w:p>
      <w:pPr>
        <w:rPr>
          <w:sz w:val="20"/>
          <w:szCs w:val="20"/>
          <w:lang w:val="ro-RO"/>
        </w:rPr>
      </w:pPr>
      <w:r>
        <w:rPr>
          <w:sz w:val="20"/>
          <w:szCs w:val="20"/>
          <w:lang w:val="ro-RO"/>
        </w:rPr>
        <w:t>Suprafaţa drumurilor se va reface in stare iniţiala a acestuia.</w:t>
      </w:r>
    </w:p>
    <w:p>
      <w:pPr>
        <w:pStyle w:val="ListParagraph"/>
        <w:numPr>
          <w:ilvl w:val="0"/>
          <w:numId w:val="50"/>
        </w:numPr>
        <w:rPr>
          <w:b/>
          <w:sz w:val="20"/>
          <w:szCs w:val="20"/>
          <w:lang w:val="ro-RO"/>
        </w:rPr>
      </w:pPr>
      <w:r>
        <w:rPr>
          <w:b/>
          <w:sz w:val="20"/>
          <w:szCs w:val="20"/>
          <w:lang w:val="ro-RO"/>
        </w:rPr>
        <w:t>Pompele</w:t>
      </w:r>
    </w:p>
    <w:p>
      <w:pPr>
        <w:rPr>
          <w:sz w:val="20"/>
          <w:szCs w:val="20"/>
          <w:lang w:val="ro-RO"/>
        </w:rPr>
      </w:pPr>
      <w:r>
        <w:rPr>
          <w:sz w:val="20"/>
          <w:szCs w:val="20"/>
          <w:lang w:val="ro-RO"/>
        </w:rPr>
        <w:t>Fiecare statie de pompare noua se va echipa cu 2 pompe (1A+1R) și tocător, submersibilie dedicate pentru vehiculare apa uzata. Pompele submersibile vor avea gradul de protectie IP68 si vor fi prevazute cu manta pentru instalare in mediu uscat. Aceasta transmite caldura de la motor catre lichidul vehiculat, prin intermediul flansei de legatura, asigurand o functionare optima fara supraincalzirea motorului.</w:t>
      </w:r>
    </w:p>
    <w:p>
      <w:pPr>
        <w:rPr>
          <w:sz w:val="20"/>
          <w:szCs w:val="20"/>
          <w:lang w:val="ro-RO"/>
        </w:rPr>
      </w:pPr>
      <w:r>
        <w:rPr>
          <w:sz w:val="20"/>
          <w:szCs w:val="20"/>
          <w:lang w:val="ro-RO"/>
        </w:rPr>
        <w:t>Pompele de apa uzata vor avea in componenta urmatoarele caracteristici si dotari minime:</w:t>
      </w:r>
    </w:p>
    <w:p>
      <w:pPr>
        <w:pStyle w:val="ListParagraph"/>
        <w:numPr>
          <w:ilvl w:val="0"/>
          <w:numId w:val="49"/>
        </w:numPr>
        <w:rPr>
          <w:sz w:val="20"/>
          <w:szCs w:val="20"/>
          <w:lang w:val="ro-RO"/>
        </w:rPr>
      </w:pPr>
      <w:r>
        <w:rPr>
          <w:sz w:val="20"/>
          <w:szCs w:val="20"/>
          <w:lang w:val="ro-RO"/>
        </w:rPr>
        <w:t>Suport pentru instalare verticala/orizontala</w:t>
      </w:r>
    </w:p>
    <w:p>
      <w:pPr>
        <w:pStyle w:val="ListParagraph"/>
        <w:numPr>
          <w:ilvl w:val="0"/>
          <w:numId w:val="49"/>
        </w:numPr>
        <w:rPr>
          <w:sz w:val="20"/>
          <w:szCs w:val="20"/>
          <w:lang w:val="ro-RO"/>
        </w:rPr>
      </w:pPr>
      <w:r>
        <w:rPr>
          <w:sz w:val="20"/>
          <w:szCs w:val="20"/>
          <w:lang w:val="ro-RO"/>
        </w:rPr>
        <w:t>Rotor si carcasa pompei din fonta</w:t>
      </w:r>
    </w:p>
    <w:p>
      <w:pPr>
        <w:pStyle w:val="ListParagraph"/>
        <w:numPr>
          <w:ilvl w:val="0"/>
          <w:numId w:val="49"/>
        </w:numPr>
        <w:rPr>
          <w:sz w:val="20"/>
          <w:szCs w:val="20"/>
          <w:lang w:val="ro-RO"/>
        </w:rPr>
      </w:pPr>
      <w:r>
        <w:rPr>
          <w:sz w:val="20"/>
          <w:szCs w:val="20"/>
          <w:lang w:val="ro-RO"/>
        </w:rPr>
        <w:t>Manta de racire pentru instalare uscata</w:t>
      </w:r>
    </w:p>
    <w:p>
      <w:pPr>
        <w:pStyle w:val="ListParagraph"/>
        <w:numPr>
          <w:ilvl w:val="0"/>
          <w:numId w:val="49"/>
        </w:numPr>
        <w:rPr>
          <w:sz w:val="20"/>
          <w:szCs w:val="20"/>
          <w:lang w:val="ro-RO"/>
        </w:rPr>
      </w:pPr>
      <w:r>
        <w:rPr>
          <w:sz w:val="20"/>
          <w:szCs w:val="20"/>
          <w:lang w:val="ro-RO"/>
        </w:rPr>
        <w:t>Senzori de temperatura, umiditate, apa in ulei (functie de puterea pompelor)</w:t>
      </w:r>
    </w:p>
    <w:p>
      <w:pPr>
        <w:rPr>
          <w:sz w:val="20"/>
          <w:szCs w:val="20"/>
          <w:lang w:val="ro-RO"/>
        </w:rPr>
      </w:pPr>
      <w:r>
        <w:rPr>
          <w:sz w:val="20"/>
          <w:szCs w:val="20"/>
          <w:lang w:val="ro-RO"/>
        </w:rPr>
        <w:t>Cerintele privind specificatiile sunt prezentate in fisele tehnice aferente statiilor de pompare apa uzata.</w:t>
      </w:r>
    </w:p>
    <w:p>
      <w:pPr>
        <w:pStyle w:val="ListParagraph"/>
        <w:numPr>
          <w:ilvl w:val="0"/>
          <w:numId w:val="50"/>
        </w:numPr>
        <w:rPr>
          <w:b/>
          <w:sz w:val="20"/>
          <w:szCs w:val="20"/>
          <w:lang w:val="ro-RO"/>
        </w:rPr>
      </w:pPr>
      <w:r>
        <w:rPr>
          <w:b/>
          <w:sz w:val="20"/>
          <w:szCs w:val="20"/>
          <w:lang w:val="ro-RO"/>
        </w:rPr>
        <w:t>Construcţie statie de pompare</w:t>
      </w:r>
    </w:p>
    <w:p>
      <w:pPr>
        <w:rPr>
          <w:sz w:val="20"/>
          <w:szCs w:val="20"/>
          <w:lang w:val="ro-RO"/>
        </w:rPr>
      </w:pPr>
      <w:r>
        <w:rPr>
          <w:sz w:val="20"/>
          <w:szCs w:val="20"/>
          <w:lang w:val="ro-RO"/>
        </w:rPr>
        <w:t>Staţiile de pompare pot fi prefabricate din structura din rasini ransforsate cu fibra de sticla GRP (PAFS), beton compatibile pentru instalarea în solul specific investittiei. Întreaga staţia de pompe va fi realizata conform proiectului detaliat întocmit de către Antreprenor.</w:t>
      </w:r>
    </w:p>
    <w:p>
      <w:pPr>
        <w:rPr>
          <w:sz w:val="20"/>
          <w:szCs w:val="20"/>
          <w:lang w:val="ro-RO"/>
        </w:rPr>
      </w:pPr>
      <w:r>
        <w:rPr>
          <w:sz w:val="20"/>
          <w:szCs w:val="20"/>
          <w:lang w:val="ro-RO"/>
        </w:rPr>
        <w:t>Acestea vor fi sub forma de bazin circular îngropat.</w:t>
      </w:r>
    </w:p>
    <w:p>
      <w:pPr>
        <w:rPr>
          <w:sz w:val="20"/>
          <w:szCs w:val="20"/>
          <w:lang w:val="ro-RO"/>
        </w:rPr>
      </w:pPr>
      <w:r>
        <w:rPr>
          <w:sz w:val="20"/>
          <w:szCs w:val="20"/>
          <w:lang w:val="ro-RO"/>
        </w:rPr>
        <w:t>Ansamblul statiei de pompare: cheson, pompe, tocător, tablou de automatizare vor fi furnizate de un singur producator, va transmite la SCADA iar volumul din cheson va fi verificat cu traductor ultrasunet și debitmetru pe refulare montate pe conductă.</w:t>
      </w:r>
    </w:p>
    <w:p>
      <w:pPr>
        <w:pStyle w:val="ListParagraph"/>
        <w:numPr>
          <w:ilvl w:val="0"/>
          <w:numId w:val="49"/>
        </w:numPr>
        <w:rPr>
          <w:sz w:val="20"/>
          <w:szCs w:val="20"/>
          <w:lang w:val="ro-RO"/>
        </w:rPr>
      </w:pPr>
      <w:r>
        <w:rPr>
          <w:sz w:val="20"/>
          <w:szCs w:val="20"/>
          <w:lang w:val="ro-RO"/>
        </w:rPr>
        <w:t>Fundaţia structurii va fi realizata conform proiectului de fundaţii al Antreprenorului.</w:t>
      </w:r>
    </w:p>
    <w:p>
      <w:pPr>
        <w:pStyle w:val="ListParagraph"/>
        <w:numPr>
          <w:ilvl w:val="0"/>
          <w:numId w:val="49"/>
        </w:numPr>
        <w:rPr>
          <w:sz w:val="20"/>
          <w:szCs w:val="20"/>
          <w:lang w:val="ro-RO"/>
        </w:rPr>
      </w:pPr>
      <w:r>
        <w:rPr>
          <w:sz w:val="20"/>
          <w:szCs w:val="20"/>
          <w:lang w:val="ro-RO"/>
        </w:rPr>
        <w:t>Fundarea si montarea pompelor se va face ţinând cont de detaliile puse la dispoziţie de către furnizorul pompelor selecţionat de către Antreprenor.</w:t>
      </w:r>
    </w:p>
    <w:p>
      <w:pPr>
        <w:pStyle w:val="ListParagraph"/>
        <w:numPr>
          <w:ilvl w:val="0"/>
          <w:numId w:val="49"/>
        </w:numPr>
        <w:rPr>
          <w:sz w:val="20"/>
          <w:szCs w:val="20"/>
          <w:lang w:val="ro-RO"/>
        </w:rPr>
      </w:pPr>
      <w:r>
        <w:rPr>
          <w:sz w:val="20"/>
          <w:szCs w:val="20"/>
          <w:lang w:val="ro-RO"/>
        </w:rPr>
        <w:t>Lucrările de construcţie vor începe cu lucrările de epuizment pentru scăderea nivelului apei subterane la minim 0,50 m sub nivelul fundaţiei, daca este cazul.</w:t>
      </w:r>
    </w:p>
    <w:p>
      <w:pPr>
        <w:rPr>
          <w:sz w:val="20"/>
          <w:szCs w:val="20"/>
          <w:lang w:val="ro-RO"/>
        </w:rPr>
      </w:pPr>
      <w:r>
        <w:rPr>
          <w:sz w:val="20"/>
          <w:szCs w:val="20"/>
          <w:lang w:val="ro-RO"/>
        </w:rPr>
        <w:t>Pentru accesul in bazin se prevăd chepenguri din confecţii metalice, securizate împotriva intruziunii.</w:t>
      </w:r>
    </w:p>
    <w:p>
      <w:pPr>
        <w:rPr>
          <w:sz w:val="20"/>
          <w:szCs w:val="20"/>
          <w:lang w:val="ro-RO"/>
        </w:rPr>
      </w:pPr>
      <w:r>
        <w:rPr>
          <w:sz w:val="20"/>
          <w:szCs w:val="20"/>
          <w:lang w:val="ro-RO"/>
        </w:rPr>
        <w:t>Pentru asigurarea ventilării naturale se vor prevedea tubulaturi din inox. Accesul la instalaţiile hidraulice, mecanice precum si la utilajele de pompare se va face prin intermediul scărilor din inox si a unei platforme intermediare in cazul statiilor de pompare cu o adancime mai mare de 4m.</w:t>
      </w:r>
    </w:p>
    <w:p>
      <w:pPr>
        <w:rPr>
          <w:sz w:val="20"/>
          <w:szCs w:val="20"/>
          <w:lang w:val="ro-RO"/>
        </w:rPr>
      </w:pPr>
      <w:r>
        <w:rPr>
          <w:sz w:val="20"/>
          <w:szCs w:val="20"/>
          <w:lang w:val="ro-RO"/>
        </w:rPr>
        <w:lastRenderedPageBreak/>
        <w:t>Staţiile de pompare vor fi fabricate si livrate monobloc.</w:t>
      </w:r>
    </w:p>
    <w:p>
      <w:pPr>
        <w:rPr>
          <w:sz w:val="20"/>
          <w:szCs w:val="20"/>
          <w:lang w:val="ro-RO"/>
        </w:rPr>
      </w:pPr>
      <w:r>
        <w:rPr>
          <w:sz w:val="20"/>
          <w:szCs w:val="20"/>
          <w:lang w:val="ro-RO"/>
        </w:rPr>
        <w:t>Pentru a nu permite accesul materiilor grosiere in incinta statiei de pompare apa uzata se va prevedea un tocator sau un gratar tip cos, in functie de debitul afluent si tipul statiei de pompare: monobloc sau din doua unitati.</w:t>
      </w:r>
    </w:p>
    <w:p>
      <w:pPr>
        <w:pStyle w:val="ListParagraph"/>
        <w:numPr>
          <w:ilvl w:val="0"/>
          <w:numId w:val="50"/>
        </w:numPr>
        <w:rPr>
          <w:b/>
          <w:sz w:val="20"/>
          <w:szCs w:val="20"/>
          <w:lang w:val="ro-RO"/>
        </w:rPr>
      </w:pPr>
      <w:r>
        <w:rPr>
          <w:b/>
          <w:sz w:val="20"/>
          <w:szCs w:val="20"/>
          <w:lang w:val="ro-RO"/>
        </w:rPr>
        <w:t>Verificări in vederea recepţiei</w:t>
      </w:r>
    </w:p>
    <w:p>
      <w:pPr>
        <w:pStyle w:val="ListParagraph"/>
        <w:numPr>
          <w:ilvl w:val="0"/>
          <w:numId w:val="51"/>
        </w:numPr>
        <w:rPr>
          <w:sz w:val="20"/>
          <w:szCs w:val="20"/>
          <w:lang w:val="ro-RO"/>
        </w:rPr>
      </w:pPr>
      <w:r>
        <w:rPr>
          <w:sz w:val="20"/>
          <w:szCs w:val="20"/>
          <w:lang w:val="ro-RO"/>
        </w:rPr>
        <w:t>verificarea aspectului si a stării generale</w:t>
      </w:r>
    </w:p>
    <w:p>
      <w:pPr>
        <w:pStyle w:val="ListParagraph"/>
        <w:numPr>
          <w:ilvl w:val="0"/>
          <w:numId w:val="51"/>
        </w:numPr>
        <w:rPr>
          <w:sz w:val="20"/>
          <w:szCs w:val="20"/>
          <w:lang w:val="ro-RO"/>
        </w:rPr>
      </w:pPr>
      <w:r>
        <w:rPr>
          <w:sz w:val="20"/>
          <w:szCs w:val="20"/>
          <w:lang w:val="ro-RO"/>
        </w:rPr>
        <w:t>verificările geometrice (cote, dimensiuni, pante de montaj)</w:t>
      </w:r>
    </w:p>
    <w:p>
      <w:pPr>
        <w:pStyle w:val="ListParagraph"/>
        <w:numPr>
          <w:ilvl w:val="0"/>
          <w:numId w:val="51"/>
        </w:numPr>
        <w:rPr>
          <w:sz w:val="20"/>
          <w:szCs w:val="20"/>
          <w:lang w:val="ro-RO"/>
        </w:rPr>
      </w:pPr>
      <w:r>
        <w:rPr>
          <w:sz w:val="20"/>
          <w:szCs w:val="20"/>
          <w:lang w:val="ro-RO"/>
        </w:rPr>
        <w:t>probe de etanşeitate ale canalelor</w:t>
      </w:r>
    </w:p>
    <w:p>
      <w:pPr>
        <w:pStyle w:val="ListParagraph"/>
        <w:numPr>
          <w:ilvl w:val="0"/>
          <w:numId w:val="51"/>
        </w:numPr>
        <w:rPr>
          <w:sz w:val="20"/>
          <w:szCs w:val="20"/>
          <w:lang w:val="ro-RO"/>
        </w:rPr>
      </w:pPr>
      <w:r>
        <w:rPr>
          <w:sz w:val="20"/>
          <w:szCs w:val="20"/>
          <w:lang w:val="ro-RO"/>
        </w:rPr>
        <w:t xml:space="preserve">probele de etanşeitate si de presiune a conductelor de refulare. </w:t>
      </w:r>
    </w:p>
    <w:p>
      <w:pPr>
        <w:pStyle w:val="Heading4"/>
        <w:rPr>
          <w:sz w:val="20"/>
          <w:szCs w:val="20"/>
          <w:lang w:val="ro-RO"/>
        </w:rPr>
      </w:pPr>
      <w:r>
        <w:rPr>
          <w:sz w:val="20"/>
          <w:szCs w:val="20"/>
          <w:lang w:val="ro-RO"/>
        </w:rPr>
        <w:t>2.2.10.3 Controlul calitatii şi receptia lucrarilor</w:t>
      </w:r>
    </w:p>
    <w:p>
      <w:pPr>
        <w:rPr>
          <w:sz w:val="20"/>
          <w:szCs w:val="20"/>
          <w:lang w:val="ro-RO"/>
        </w:rPr>
      </w:pPr>
    </w:p>
    <w:p>
      <w:pPr>
        <w:pStyle w:val="ListParagraph"/>
        <w:numPr>
          <w:ilvl w:val="0"/>
          <w:numId w:val="50"/>
        </w:numPr>
        <w:rPr>
          <w:b/>
          <w:sz w:val="20"/>
          <w:szCs w:val="20"/>
          <w:lang w:val="ro-RO"/>
        </w:rPr>
      </w:pPr>
      <w:r>
        <w:rPr>
          <w:b/>
          <w:sz w:val="20"/>
          <w:szCs w:val="20"/>
          <w:lang w:val="ro-RO"/>
        </w:rPr>
        <w:t>Prevederi generale</w:t>
      </w:r>
    </w:p>
    <w:p>
      <w:pPr>
        <w:rPr>
          <w:sz w:val="20"/>
          <w:szCs w:val="20"/>
          <w:lang w:val="ro-RO"/>
        </w:rPr>
      </w:pPr>
      <w:r>
        <w:rPr>
          <w:sz w:val="20"/>
          <w:szCs w:val="20"/>
          <w:lang w:val="ro-RO"/>
        </w:rPr>
        <w:t>Controlul calităţii lucrărilor se efectuează pe parcursul execuţiei lucrărilor, de către conducătorul tehnic al lucrării si de către controlorul CTC. Lucrările care devin ascunse se verifica de către dirigintele de şantier, rezultatele verificărilor consemnându-se in procese verbale de recepţie calitativa.</w:t>
      </w:r>
    </w:p>
    <w:p>
      <w:pPr>
        <w:rPr>
          <w:sz w:val="20"/>
          <w:szCs w:val="20"/>
          <w:lang w:val="ro-RO"/>
        </w:rPr>
      </w:pPr>
      <w:r>
        <w:rPr>
          <w:sz w:val="20"/>
          <w:szCs w:val="20"/>
          <w:lang w:val="ro-RO"/>
        </w:rPr>
        <w:t>Toate materialele si semifabricatele care intra In componenta instalaţiei vor fi introduse in lucrare numai daca în prealabil:</w:t>
      </w:r>
    </w:p>
    <w:p>
      <w:pPr>
        <w:pStyle w:val="ListParagraph"/>
        <w:numPr>
          <w:ilvl w:val="0"/>
          <w:numId w:val="51"/>
        </w:numPr>
        <w:rPr>
          <w:sz w:val="20"/>
          <w:szCs w:val="20"/>
          <w:lang w:val="ro-RO"/>
        </w:rPr>
      </w:pPr>
      <w:r>
        <w:rPr>
          <w:sz w:val="20"/>
          <w:szCs w:val="20"/>
          <w:lang w:val="ro-RO"/>
        </w:rPr>
        <w:t>conducătorul tehnic al lucrării a verificat ca au fost livrate cu certificat de calitate, care sa confirme fără dubiu ca materialele sunt corespunzătoare normelor respective şi prevederilor proiectului; înlocuiri de materiale nu sunt permise decât cu acordul scris al beneficiarului si proiectantului;</w:t>
      </w:r>
    </w:p>
    <w:p>
      <w:pPr>
        <w:pStyle w:val="ListParagraph"/>
        <w:numPr>
          <w:ilvl w:val="0"/>
          <w:numId w:val="51"/>
        </w:numPr>
        <w:rPr>
          <w:sz w:val="20"/>
          <w:szCs w:val="20"/>
          <w:lang w:val="ro-RO"/>
        </w:rPr>
      </w:pPr>
      <w:r>
        <w:rPr>
          <w:sz w:val="20"/>
          <w:szCs w:val="20"/>
          <w:lang w:val="ro-RO"/>
        </w:rPr>
        <w:t>materialele au fost recepţionate, depozitate, conservate şi manipulate conform procedurilor aprobate;</w:t>
      </w:r>
    </w:p>
    <w:p>
      <w:pPr>
        <w:pStyle w:val="ListParagraph"/>
        <w:numPr>
          <w:ilvl w:val="0"/>
          <w:numId w:val="51"/>
        </w:numPr>
        <w:rPr>
          <w:sz w:val="20"/>
          <w:szCs w:val="20"/>
          <w:lang w:val="ro-RO"/>
        </w:rPr>
      </w:pPr>
      <w:r>
        <w:rPr>
          <w:sz w:val="20"/>
          <w:szCs w:val="20"/>
          <w:lang w:val="ro-RO"/>
        </w:rPr>
        <w:t>materialele folosite au fost verificate înainte de punerea in opera prin măsurarea dimensiunilor geometrice, etc. in conformitate cu prevederile standardelor, normelor de produs, neputând fi utilizate daca prezintă abateri peste cele admisibile.</w:t>
      </w:r>
    </w:p>
    <w:p>
      <w:pPr>
        <w:rPr>
          <w:sz w:val="20"/>
          <w:szCs w:val="20"/>
          <w:lang w:val="ro-RO"/>
        </w:rPr>
      </w:pPr>
      <w:r>
        <w:rPr>
          <w:sz w:val="20"/>
          <w:szCs w:val="20"/>
          <w:lang w:val="ro-RO"/>
        </w:rPr>
        <w:t>Materialele, semifabricatele si prefabricate recepţionate în şantier se înscriu in Registrul pentru recepţia calitativa a materialelor, prefabricatelor si elementelor de construcţii - instalaţii înainte de introducerea acestora in lucrare.</w:t>
      </w:r>
    </w:p>
    <w:p>
      <w:pPr>
        <w:rPr>
          <w:sz w:val="20"/>
          <w:szCs w:val="20"/>
          <w:lang w:val="ro-RO"/>
        </w:rPr>
      </w:pPr>
      <w:r>
        <w:rPr>
          <w:sz w:val="20"/>
          <w:szCs w:val="20"/>
          <w:lang w:val="ro-RO"/>
        </w:rPr>
        <w:t>Recepţionarea lucrărilor de reţele de canalizare este precedata de controlul riguros al acestora:</w:t>
      </w:r>
    </w:p>
    <w:p>
      <w:pPr>
        <w:pStyle w:val="ListParagraph"/>
        <w:numPr>
          <w:ilvl w:val="0"/>
          <w:numId w:val="51"/>
        </w:numPr>
        <w:rPr>
          <w:sz w:val="20"/>
          <w:szCs w:val="20"/>
          <w:lang w:val="ro-RO"/>
        </w:rPr>
      </w:pPr>
      <w:r>
        <w:rPr>
          <w:sz w:val="20"/>
          <w:szCs w:val="20"/>
          <w:lang w:val="ro-RO"/>
        </w:rPr>
        <w:t>verificarea tranşeelor şi a patului conductelor</w:t>
      </w:r>
    </w:p>
    <w:p>
      <w:pPr>
        <w:pStyle w:val="ListParagraph"/>
        <w:numPr>
          <w:ilvl w:val="0"/>
          <w:numId w:val="51"/>
        </w:numPr>
        <w:rPr>
          <w:sz w:val="20"/>
          <w:szCs w:val="20"/>
          <w:lang w:val="ro-RO"/>
        </w:rPr>
      </w:pPr>
      <w:r>
        <w:rPr>
          <w:sz w:val="20"/>
          <w:szCs w:val="20"/>
          <w:lang w:val="ro-RO"/>
        </w:rPr>
        <w:t>verificarea la presiune</w:t>
      </w:r>
    </w:p>
    <w:p>
      <w:pPr>
        <w:pStyle w:val="ListParagraph"/>
        <w:numPr>
          <w:ilvl w:val="0"/>
          <w:numId w:val="51"/>
        </w:numPr>
        <w:rPr>
          <w:sz w:val="20"/>
          <w:szCs w:val="20"/>
          <w:lang w:val="ro-RO"/>
        </w:rPr>
      </w:pPr>
      <w:r>
        <w:rPr>
          <w:sz w:val="20"/>
          <w:szCs w:val="20"/>
          <w:lang w:val="ro-RO"/>
        </w:rPr>
        <w:t>verificarea armaturilor</w:t>
      </w:r>
    </w:p>
    <w:p>
      <w:pPr>
        <w:pStyle w:val="ListParagraph"/>
        <w:numPr>
          <w:ilvl w:val="0"/>
          <w:numId w:val="51"/>
        </w:numPr>
        <w:rPr>
          <w:sz w:val="20"/>
          <w:szCs w:val="20"/>
          <w:lang w:val="ro-RO"/>
        </w:rPr>
      </w:pPr>
      <w:r>
        <w:rPr>
          <w:sz w:val="20"/>
          <w:szCs w:val="20"/>
          <w:lang w:val="ro-RO"/>
        </w:rPr>
        <w:t>verificarea umpluturilor si pavajelor refăcute. Etapele de realizare a recepţiei sunt:</w:t>
      </w:r>
    </w:p>
    <w:p>
      <w:pPr>
        <w:pStyle w:val="ListParagraph"/>
        <w:numPr>
          <w:ilvl w:val="0"/>
          <w:numId w:val="51"/>
        </w:numPr>
        <w:rPr>
          <w:sz w:val="20"/>
          <w:szCs w:val="20"/>
          <w:lang w:val="ro-RO"/>
        </w:rPr>
      </w:pPr>
      <w:r>
        <w:rPr>
          <w:sz w:val="20"/>
          <w:szCs w:val="20"/>
          <w:lang w:val="ro-RO"/>
        </w:rPr>
        <w:t>recepţia la terminarea lucrărilor prevăzute in proiect</w:t>
      </w:r>
    </w:p>
    <w:p>
      <w:pPr>
        <w:pStyle w:val="ListParagraph"/>
        <w:numPr>
          <w:ilvl w:val="0"/>
          <w:numId w:val="51"/>
        </w:numPr>
        <w:rPr>
          <w:sz w:val="20"/>
          <w:szCs w:val="20"/>
          <w:lang w:val="ro-RO"/>
        </w:rPr>
      </w:pPr>
      <w:r>
        <w:rPr>
          <w:sz w:val="20"/>
          <w:szCs w:val="20"/>
          <w:lang w:val="ro-RO"/>
        </w:rPr>
        <w:t>recepţia finală - după expirarea perioadei de garanţie prevăzute in proiect</w:t>
      </w:r>
    </w:p>
    <w:p>
      <w:pPr>
        <w:rPr>
          <w:sz w:val="20"/>
          <w:szCs w:val="20"/>
          <w:lang w:val="ro-RO"/>
        </w:rPr>
      </w:pPr>
      <w:r>
        <w:rPr>
          <w:sz w:val="20"/>
          <w:szCs w:val="20"/>
          <w:lang w:val="ro-RO"/>
        </w:rPr>
        <w:t>Se va verifica la fata locului corespondenta execuţiei cu prevederile proiectului tehnic si ale prescripţiilor tehnice aferente, in ceea ce priveşte amplasamentul, traseul, caracteristicile si dimensiunile diferitelor părţi ale reţelei si vecinatatea cu alte retele de utilitati.</w:t>
      </w:r>
    </w:p>
    <w:p>
      <w:pPr>
        <w:rPr>
          <w:sz w:val="20"/>
          <w:szCs w:val="20"/>
          <w:lang w:val="ro-RO"/>
        </w:rPr>
      </w:pPr>
      <w:r>
        <w:rPr>
          <w:sz w:val="20"/>
          <w:szCs w:val="20"/>
          <w:lang w:val="ro-RO"/>
        </w:rPr>
        <w:t>Verificările si probele reţelelor de canalizare se fac de către conducătorul tehnic al lucrării si dirigintele de şantier si se consemnează in procese verbale de probe.</w:t>
      </w:r>
    </w:p>
    <w:p>
      <w:pPr>
        <w:pStyle w:val="ListParagraph"/>
        <w:numPr>
          <w:ilvl w:val="0"/>
          <w:numId w:val="50"/>
        </w:numPr>
        <w:rPr>
          <w:b/>
          <w:sz w:val="20"/>
          <w:szCs w:val="20"/>
          <w:lang w:val="ro-RO"/>
        </w:rPr>
      </w:pPr>
      <w:r>
        <w:rPr>
          <w:b/>
          <w:sz w:val="20"/>
          <w:szCs w:val="20"/>
          <w:lang w:val="ro-RO"/>
        </w:rPr>
        <w:t>Lucrări, verificări şi probe in vederea punerii in funcţiune</w:t>
      </w:r>
    </w:p>
    <w:p>
      <w:pPr>
        <w:rPr>
          <w:sz w:val="20"/>
          <w:szCs w:val="20"/>
          <w:lang w:val="ro-RO"/>
        </w:rPr>
      </w:pPr>
      <w:r>
        <w:rPr>
          <w:sz w:val="20"/>
          <w:szCs w:val="20"/>
          <w:lang w:val="ro-RO"/>
        </w:rPr>
        <w:t>După verificarea probei de etanşeitate se efectuează următoarele operaţii:</w:t>
      </w:r>
    </w:p>
    <w:p>
      <w:pPr>
        <w:pStyle w:val="ListParagraph"/>
        <w:numPr>
          <w:ilvl w:val="0"/>
          <w:numId w:val="51"/>
        </w:numPr>
        <w:rPr>
          <w:sz w:val="20"/>
          <w:szCs w:val="20"/>
          <w:lang w:val="ro-RO"/>
        </w:rPr>
      </w:pPr>
      <w:r>
        <w:rPr>
          <w:sz w:val="20"/>
          <w:szCs w:val="20"/>
          <w:lang w:val="ro-RO"/>
        </w:rPr>
        <w:t>Întocmirea procesului verbal al probei de presiune</w:t>
      </w:r>
    </w:p>
    <w:p>
      <w:pPr>
        <w:pStyle w:val="ListParagraph"/>
        <w:numPr>
          <w:ilvl w:val="0"/>
          <w:numId w:val="51"/>
        </w:numPr>
        <w:rPr>
          <w:sz w:val="20"/>
          <w:szCs w:val="20"/>
          <w:lang w:val="ro-RO"/>
        </w:rPr>
      </w:pPr>
      <w:r>
        <w:rPr>
          <w:sz w:val="20"/>
          <w:szCs w:val="20"/>
          <w:lang w:val="ro-RO"/>
        </w:rPr>
        <w:t>Umplerea şanţului in zona îmbinărilor</w:t>
      </w:r>
    </w:p>
    <w:p>
      <w:pPr>
        <w:pStyle w:val="ListParagraph"/>
        <w:numPr>
          <w:ilvl w:val="0"/>
          <w:numId w:val="51"/>
        </w:numPr>
        <w:rPr>
          <w:sz w:val="20"/>
          <w:szCs w:val="20"/>
          <w:lang w:val="ro-RO"/>
        </w:rPr>
      </w:pPr>
      <w:r>
        <w:rPr>
          <w:sz w:val="20"/>
          <w:szCs w:val="20"/>
          <w:lang w:val="ro-RO"/>
        </w:rPr>
        <w:t>Umplerea completa şi compactarea şanţului, cu verificarea gradului de compactare</w:t>
      </w:r>
    </w:p>
    <w:p>
      <w:pPr>
        <w:pStyle w:val="ListParagraph"/>
        <w:numPr>
          <w:ilvl w:val="0"/>
          <w:numId w:val="51"/>
        </w:numPr>
        <w:rPr>
          <w:sz w:val="20"/>
          <w:szCs w:val="20"/>
          <w:lang w:val="ro-RO"/>
        </w:rPr>
      </w:pPr>
      <w:r>
        <w:rPr>
          <w:sz w:val="20"/>
          <w:szCs w:val="20"/>
          <w:lang w:val="ro-RO"/>
        </w:rPr>
        <w:t>Refacerea parţilor carosabile, a trotuarelor si spatiilor verzi</w:t>
      </w:r>
    </w:p>
    <w:p>
      <w:pPr>
        <w:pStyle w:val="ListParagraph"/>
        <w:numPr>
          <w:ilvl w:val="0"/>
          <w:numId w:val="51"/>
        </w:numPr>
        <w:rPr>
          <w:sz w:val="20"/>
          <w:szCs w:val="20"/>
          <w:lang w:val="ro-RO"/>
        </w:rPr>
      </w:pPr>
      <w:r>
        <w:rPr>
          <w:sz w:val="20"/>
          <w:szCs w:val="20"/>
          <w:lang w:val="ro-RO"/>
        </w:rPr>
        <w:lastRenderedPageBreak/>
        <w:t>Executarea marcajului reţelei de canalizare</w:t>
      </w:r>
    </w:p>
    <w:p>
      <w:pPr>
        <w:pStyle w:val="ListParagraph"/>
        <w:numPr>
          <w:ilvl w:val="0"/>
          <w:numId w:val="51"/>
        </w:numPr>
        <w:rPr>
          <w:sz w:val="20"/>
          <w:szCs w:val="20"/>
          <w:lang w:val="ro-RO"/>
        </w:rPr>
      </w:pPr>
      <w:r>
        <w:rPr>
          <w:sz w:val="20"/>
          <w:szCs w:val="20"/>
          <w:lang w:val="ro-RO"/>
        </w:rPr>
        <w:t>Ridicarea topografica detaliata a conductei (plan şi profil în lungime), cu precizarea robinetelor îngropate, a căminelor etc.</w:t>
      </w:r>
    </w:p>
    <w:p>
      <w:pPr>
        <w:pStyle w:val="ListParagraph"/>
        <w:numPr>
          <w:ilvl w:val="0"/>
          <w:numId w:val="50"/>
        </w:numPr>
        <w:rPr>
          <w:b/>
          <w:sz w:val="20"/>
          <w:szCs w:val="20"/>
          <w:lang w:val="ro-RO"/>
        </w:rPr>
      </w:pPr>
      <w:r>
        <w:rPr>
          <w:b/>
          <w:sz w:val="20"/>
          <w:szCs w:val="20"/>
          <w:lang w:val="ro-RO"/>
        </w:rPr>
        <w:t>Punerea în funcţiune de către unitatea de exploatare a reţelei, asistata de Antreprenor</w:t>
      </w:r>
    </w:p>
    <w:p>
      <w:pPr>
        <w:rPr>
          <w:sz w:val="20"/>
          <w:szCs w:val="20"/>
          <w:u w:val="single"/>
          <w:lang w:val="ro-RO"/>
        </w:rPr>
      </w:pPr>
      <w:r>
        <w:rPr>
          <w:sz w:val="20"/>
          <w:szCs w:val="20"/>
          <w:u w:val="single"/>
          <w:lang w:val="ro-RO"/>
        </w:rPr>
        <w:t>Recepţia lucrărilor</w:t>
      </w:r>
    </w:p>
    <w:p>
      <w:pPr>
        <w:rPr>
          <w:sz w:val="20"/>
          <w:szCs w:val="20"/>
          <w:lang w:val="ro-RO"/>
        </w:rPr>
      </w:pPr>
      <w:r>
        <w:rPr>
          <w:sz w:val="20"/>
          <w:szCs w:val="20"/>
          <w:lang w:val="ro-RO"/>
        </w:rPr>
        <w:t>Recepţia lucrărilor se face In doua faze:</w:t>
      </w:r>
    </w:p>
    <w:p>
      <w:pPr>
        <w:pStyle w:val="ListParagraph"/>
        <w:numPr>
          <w:ilvl w:val="0"/>
          <w:numId w:val="51"/>
        </w:numPr>
        <w:rPr>
          <w:sz w:val="20"/>
          <w:szCs w:val="20"/>
          <w:lang w:val="ro-RO"/>
        </w:rPr>
      </w:pPr>
      <w:r>
        <w:rPr>
          <w:sz w:val="20"/>
          <w:szCs w:val="20"/>
          <w:lang w:val="ro-RO"/>
        </w:rPr>
        <w:t>recepţia la terminarea lucrărilor prevăzute In contract</w:t>
      </w:r>
    </w:p>
    <w:p>
      <w:pPr>
        <w:pStyle w:val="ListParagraph"/>
        <w:numPr>
          <w:ilvl w:val="0"/>
          <w:numId w:val="51"/>
        </w:numPr>
        <w:rPr>
          <w:sz w:val="20"/>
          <w:szCs w:val="20"/>
          <w:lang w:val="ro-RO"/>
        </w:rPr>
      </w:pPr>
      <w:r>
        <w:rPr>
          <w:sz w:val="20"/>
          <w:szCs w:val="20"/>
          <w:lang w:val="ro-RO"/>
        </w:rPr>
        <w:t>recepţia finala după expirarea perioadei de garanţie prevăzute in proiect.</w:t>
      </w:r>
    </w:p>
    <w:p>
      <w:pPr>
        <w:rPr>
          <w:sz w:val="20"/>
          <w:szCs w:val="20"/>
          <w:lang w:val="ro-RO"/>
        </w:rPr>
      </w:pPr>
      <w:r>
        <w:rPr>
          <w:sz w:val="20"/>
          <w:szCs w:val="20"/>
          <w:lang w:val="ro-RO"/>
        </w:rPr>
        <w:t>Recepţia lucrărilor se face conform Legii nr. 10/1995, Regulamentului de recepţie a lucrărilor de construcţii şi instalaţii aferente acestora, aprobat prin HG nr. 343/2017, respectiv Regulamentului de recepţie a lucrărilor de montaj utilaje, echipamente, instalaţii tehnologice şi a punerii în funcţiune a capacităţilor de producţie, aprobat prin HG nr. 51/1996, si se refera la urmatoarele documente:</w:t>
      </w:r>
    </w:p>
    <w:p>
      <w:pPr>
        <w:pStyle w:val="ListParagraph"/>
        <w:numPr>
          <w:ilvl w:val="0"/>
          <w:numId w:val="51"/>
        </w:numPr>
        <w:rPr>
          <w:sz w:val="20"/>
          <w:szCs w:val="20"/>
          <w:lang w:val="ro-RO"/>
        </w:rPr>
      </w:pPr>
      <w:r>
        <w:rPr>
          <w:sz w:val="20"/>
          <w:szCs w:val="20"/>
          <w:lang w:val="ro-RO"/>
        </w:rPr>
        <w:t>Cartea tehnica a construcţiei</w:t>
      </w:r>
    </w:p>
    <w:p>
      <w:pPr>
        <w:pStyle w:val="ListParagraph"/>
        <w:numPr>
          <w:ilvl w:val="0"/>
          <w:numId w:val="51"/>
        </w:numPr>
        <w:rPr>
          <w:sz w:val="20"/>
          <w:szCs w:val="20"/>
          <w:lang w:val="ro-RO"/>
        </w:rPr>
      </w:pPr>
      <w:r>
        <w:rPr>
          <w:sz w:val="20"/>
          <w:szCs w:val="20"/>
          <w:lang w:val="ro-RO"/>
        </w:rPr>
        <w:t>Proiectul tehnic de execuţie</w:t>
      </w:r>
    </w:p>
    <w:p>
      <w:pPr>
        <w:pStyle w:val="ListParagraph"/>
        <w:numPr>
          <w:ilvl w:val="0"/>
          <w:numId w:val="51"/>
        </w:numPr>
        <w:rPr>
          <w:sz w:val="20"/>
          <w:szCs w:val="20"/>
          <w:lang w:val="ro-RO"/>
        </w:rPr>
      </w:pPr>
      <w:r>
        <w:rPr>
          <w:sz w:val="20"/>
          <w:szCs w:val="20"/>
          <w:lang w:val="ro-RO"/>
        </w:rPr>
        <w:t>Documentatia post-executie</w:t>
      </w:r>
    </w:p>
    <w:p>
      <w:pPr>
        <w:pStyle w:val="ListParagraph"/>
        <w:numPr>
          <w:ilvl w:val="0"/>
          <w:numId w:val="51"/>
        </w:numPr>
        <w:rPr>
          <w:sz w:val="20"/>
          <w:szCs w:val="20"/>
          <w:lang w:val="ro-RO"/>
        </w:rPr>
      </w:pPr>
      <w:r>
        <w:rPr>
          <w:sz w:val="20"/>
          <w:szCs w:val="20"/>
          <w:lang w:val="ro-RO"/>
        </w:rPr>
        <w:t>Registrul pentru recepţia calitativa a materialelor (conducte, armaturi, aparate)</w:t>
      </w:r>
    </w:p>
    <w:p>
      <w:pPr>
        <w:pStyle w:val="ListParagraph"/>
        <w:numPr>
          <w:ilvl w:val="0"/>
          <w:numId w:val="51"/>
        </w:numPr>
        <w:rPr>
          <w:sz w:val="20"/>
          <w:szCs w:val="20"/>
          <w:lang w:val="ro-RO"/>
        </w:rPr>
      </w:pPr>
      <w:r>
        <w:rPr>
          <w:sz w:val="20"/>
          <w:szCs w:val="20"/>
          <w:lang w:val="ro-RO"/>
        </w:rPr>
        <w:t>Proces-verbal de recepţie calitativa la terminarea lucrărilor</w:t>
      </w:r>
    </w:p>
    <w:p>
      <w:pPr>
        <w:pStyle w:val="ListParagraph"/>
        <w:numPr>
          <w:ilvl w:val="0"/>
          <w:numId w:val="51"/>
        </w:numPr>
        <w:rPr>
          <w:sz w:val="20"/>
          <w:szCs w:val="20"/>
          <w:lang w:val="ro-RO"/>
        </w:rPr>
      </w:pPr>
      <w:r>
        <w:rPr>
          <w:sz w:val="20"/>
          <w:szCs w:val="20"/>
          <w:lang w:val="ro-RO"/>
        </w:rPr>
        <w:t>Proces verbal de recepţie finala</w:t>
      </w:r>
    </w:p>
    <w:p>
      <w:pPr>
        <w:pStyle w:val="ListParagraph"/>
        <w:numPr>
          <w:ilvl w:val="0"/>
          <w:numId w:val="51"/>
        </w:numPr>
        <w:rPr>
          <w:sz w:val="20"/>
          <w:szCs w:val="20"/>
          <w:lang w:val="ro-RO"/>
        </w:rPr>
      </w:pPr>
      <w:r>
        <w:rPr>
          <w:sz w:val="20"/>
          <w:szCs w:val="20"/>
          <w:lang w:val="ro-RO"/>
        </w:rPr>
        <w:t>Proces verbal pentru proba de presiune</w:t>
      </w:r>
    </w:p>
    <w:p>
      <w:pPr>
        <w:rPr>
          <w:sz w:val="20"/>
          <w:szCs w:val="20"/>
          <w:lang w:val="ro-RO"/>
        </w:rPr>
      </w:pPr>
    </w:p>
    <w:p>
      <w:pPr>
        <w:pStyle w:val="Heading3"/>
        <w:rPr>
          <w:sz w:val="20"/>
          <w:szCs w:val="20"/>
          <w:lang w:val="ro-RO"/>
        </w:rPr>
      </w:pPr>
      <w:bookmarkStart w:id="39" w:name="_Toc227161514"/>
      <w:r>
        <w:rPr>
          <w:sz w:val="20"/>
          <w:szCs w:val="20"/>
          <w:lang w:val="ro-RO"/>
        </w:rPr>
        <w:t>2.2.11 Cerinte privind lucrarile de executie a retelelor electrice de iluminat si de forta</w:t>
      </w:r>
      <w:bookmarkEnd w:id="39"/>
    </w:p>
    <w:p>
      <w:pPr>
        <w:pStyle w:val="Heading4"/>
        <w:rPr>
          <w:sz w:val="20"/>
          <w:szCs w:val="20"/>
          <w:lang w:val="ro-RO"/>
        </w:rPr>
      </w:pPr>
      <w:r>
        <w:rPr>
          <w:sz w:val="20"/>
          <w:szCs w:val="20"/>
          <w:lang w:val="ro-RO"/>
        </w:rPr>
        <w:t>2.2.11.1 Generalitati</w:t>
      </w:r>
    </w:p>
    <w:p>
      <w:pPr>
        <w:rPr>
          <w:sz w:val="20"/>
          <w:szCs w:val="20"/>
          <w:lang w:val="ro-RO"/>
        </w:rPr>
      </w:pPr>
      <w:r>
        <w:rPr>
          <w:sz w:val="20"/>
          <w:szCs w:val="20"/>
          <w:lang w:val="ro-RO"/>
        </w:rPr>
        <w:t>Transformatoarele de putere utilizate în posturile de transformare vor fi de tip uscat sau imersate în ulei, racite natural ori fortat. Vor fi construite si testate conform ultimelor standarde. Transformatoarele vor fi dimensionate pentru operare continua la valoare nominala maxima, în conditiile de ambient specificate. Factorul de încarcare al transformatorului va fi considerat ca fiind 70-80% din conditiile de operare normale.</w:t>
      </w:r>
    </w:p>
    <w:p>
      <w:pPr>
        <w:rPr>
          <w:sz w:val="20"/>
          <w:szCs w:val="20"/>
          <w:lang w:val="ro-RO"/>
        </w:rPr>
      </w:pPr>
      <w:r>
        <w:rPr>
          <w:sz w:val="20"/>
          <w:szCs w:val="20"/>
          <w:lang w:val="ro-RO"/>
        </w:rPr>
        <w:t>Transformatoarele vor trebui sa functioneze corespunzator, cuplate fiind la o retea de alimentare cu urmatorii parametri:</w:t>
      </w:r>
    </w:p>
    <w:p>
      <w:pPr>
        <w:ind w:firstLine="720"/>
        <w:rPr>
          <w:sz w:val="20"/>
          <w:szCs w:val="20"/>
          <w:lang w:val="ro-RO"/>
        </w:rPr>
      </w:pPr>
      <w:r>
        <w:rPr>
          <w:sz w:val="20"/>
          <w:szCs w:val="20"/>
          <w:lang w:val="ro-RO"/>
        </w:rPr>
        <w:t>(a)</w:t>
      </w:r>
      <w:r>
        <w:rPr>
          <w:sz w:val="20"/>
          <w:szCs w:val="20"/>
          <w:lang w:val="ro-RO"/>
        </w:rPr>
        <w:tab/>
        <w:t>Variatii de tensiune: ± 6 % din valoarea efectiva nominala a tensiunii;</w:t>
      </w:r>
    </w:p>
    <w:p>
      <w:pPr>
        <w:ind w:firstLine="720"/>
        <w:rPr>
          <w:sz w:val="20"/>
          <w:szCs w:val="20"/>
          <w:lang w:val="ro-RO"/>
        </w:rPr>
      </w:pPr>
      <w:r>
        <w:rPr>
          <w:sz w:val="20"/>
          <w:szCs w:val="20"/>
          <w:lang w:val="ro-RO"/>
        </w:rPr>
        <w:t>(b)</w:t>
      </w:r>
      <w:r>
        <w:rPr>
          <w:sz w:val="20"/>
          <w:szCs w:val="20"/>
          <w:lang w:val="ro-RO"/>
        </w:rPr>
        <w:tab/>
        <w:t>Variatii de frecventa: ± 2,5 % din valoarea nominala a frecventei.</w:t>
      </w:r>
    </w:p>
    <w:p>
      <w:pPr>
        <w:rPr>
          <w:sz w:val="20"/>
          <w:szCs w:val="20"/>
          <w:lang w:val="ro-RO"/>
        </w:rPr>
      </w:pPr>
      <w:r>
        <w:rPr>
          <w:sz w:val="20"/>
          <w:szCs w:val="20"/>
          <w:lang w:val="ro-RO"/>
        </w:rPr>
        <w:t>Transformatoarele vor fi de tipul agreat si instalate pentru a fi utilizate în retelele de distributie a distribuitorului local de energie electrica. Transformatoarele vor fi din gama standardizata de produse ale fabricantului si vor fi capabile sa furnizeze puterea de iesire nominala în conditiile climatice extreme corespunzatoare zonei de amplasare a acestora.</w:t>
      </w:r>
    </w:p>
    <w:p>
      <w:pPr>
        <w:pStyle w:val="ListParagraph"/>
        <w:numPr>
          <w:ilvl w:val="0"/>
          <w:numId w:val="50"/>
        </w:numPr>
        <w:rPr>
          <w:b/>
          <w:sz w:val="20"/>
          <w:szCs w:val="20"/>
          <w:lang w:val="ro-RO"/>
        </w:rPr>
      </w:pPr>
      <w:r>
        <w:rPr>
          <w:b/>
          <w:sz w:val="20"/>
          <w:szCs w:val="20"/>
          <w:lang w:val="ro-RO"/>
        </w:rPr>
        <w:t>Izolatori</w:t>
      </w:r>
    </w:p>
    <w:p>
      <w:pPr>
        <w:rPr>
          <w:sz w:val="20"/>
          <w:szCs w:val="20"/>
          <w:lang w:val="ro-RO"/>
        </w:rPr>
      </w:pPr>
      <w:r>
        <w:rPr>
          <w:sz w:val="20"/>
          <w:szCs w:val="20"/>
          <w:lang w:val="ro-RO"/>
        </w:rPr>
        <w:t>Izolatorii din portelan vor trebui sa îndeplineasca cerintele ultimelor standarde corespunzatoare. Portelanul pentru izolare va trebui sa îndeplineasca cerintele ultimelor standarde. Fiecare izolator din portelan va trebui sa aiba marca constructorului si seria de identificare, care vor fi aplicate înainte de ardere. Suprafata de stingere a arcului electric a tuturor izolatorilor din portelan va fi ingrijita si fara impuritati.</w:t>
      </w:r>
    </w:p>
    <w:p>
      <w:pPr>
        <w:pStyle w:val="ListParagraph"/>
        <w:numPr>
          <w:ilvl w:val="0"/>
          <w:numId w:val="50"/>
        </w:numPr>
        <w:rPr>
          <w:b/>
          <w:sz w:val="20"/>
          <w:szCs w:val="20"/>
          <w:lang w:val="ro-RO"/>
        </w:rPr>
      </w:pPr>
      <w:r>
        <w:rPr>
          <w:b/>
          <w:sz w:val="20"/>
          <w:szCs w:val="20"/>
          <w:lang w:val="ro-RO"/>
        </w:rPr>
        <w:t>Configuratia conexiunilor</w:t>
      </w:r>
    </w:p>
    <w:p>
      <w:pPr>
        <w:rPr>
          <w:sz w:val="20"/>
          <w:szCs w:val="20"/>
          <w:lang w:val="ro-RO"/>
        </w:rPr>
      </w:pPr>
      <w:r>
        <w:rPr>
          <w:sz w:val="20"/>
          <w:szCs w:val="20"/>
          <w:lang w:val="ro-RO"/>
        </w:rPr>
        <w:t>Cu exceptia situatiei când se precizeaza altfel, grupa de conexiuni a transformatorului va fi Dy11. Punctul central al conexiunii în stea a înfasurarii trifazate de joasa tensiune va fi conectat la instalatia exterioara de legare la pamânt.</w:t>
      </w:r>
    </w:p>
    <w:p>
      <w:pPr>
        <w:pStyle w:val="ListParagraph"/>
        <w:numPr>
          <w:ilvl w:val="0"/>
          <w:numId w:val="50"/>
        </w:numPr>
        <w:rPr>
          <w:b/>
          <w:sz w:val="20"/>
          <w:szCs w:val="20"/>
          <w:lang w:val="ro-RO"/>
        </w:rPr>
      </w:pPr>
      <w:r>
        <w:rPr>
          <w:b/>
          <w:sz w:val="20"/>
          <w:szCs w:val="20"/>
          <w:lang w:val="ro-RO"/>
        </w:rPr>
        <w:t>Uleiul izolator</w:t>
      </w:r>
    </w:p>
    <w:p>
      <w:pPr>
        <w:rPr>
          <w:sz w:val="20"/>
          <w:szCs w:val="20"/>
          <w:lang w:val="ro-RO"/>
        </w:rPr>
      </w:pPr>
      <w:r>
        <w:rPr>
          <w:sz w:val="20"/>
          <w:szCs w:val="20"/>
          <w:lang w:val="ro-RO"/>
        </w:rPr>
        <w:lastRenderedPageBreak/>
        <w:t>Uleiul izolator va trebui sa îndeplineasca ultimele cerinte ale standardelor. Uleiul izolator va fi prevazut de catre Antreprenor pentru toate echipamentele electrice umplute cu ulei si un plus de 10% va fi prevazut pentru completarea conservatoarelor de ulei.</w:t>
      </w:r>
    </w:p>
    <w:p>
      <w:pPr>
        <w:rPr>
          <w:sz w:val="20"/>
          <w:szCs w:val="20"/>
          <w:lang w:val="ro-RO"/>
        </w:rPr>
      </w:pPr>
      <w:r>
        <w:rPr>
          <w:sz w:val="20"/>
          <w:szCs w:val="20"/>
          <w:lang w:val="ro-RO"/>
        </w:rPr>
        <w:t>Se vor asigura urmatoarele protectii:</w:t>
      </w:r>
    </w:p>
    <w:p>
      <w:pPr>
        <w:pStyle w:val="ListParagraph"/>
        <w:numPr>
          <w:ilvl w:val="2"/>
          <w:numId w:val="52"/>
        </w:numPr>
        <w:ind w:left="284" w:firstLine="0"/>
        <w:rPr>
          <w:sz w:val="20"/>
          <w:szCs w:val="20"/>
          <w:lang w:val="ro-RO"/>
        </w:rPr>
      </w:pPr>
      <w:r>
        <w:rPr>
          <w:sz w:val="20"/>
          <w:szCs w:val="20"/>
          <w:lang w:val="ro-RO"/>
        </w:rPr>
        <w:t>Protectie la defect de punere limitata la pamânt - punctul central al conexiunii în stea a înfasurarii trifazate secundare va fi cuplat la instalatia exterioara de legare la pamânt printr-o piesa de conexiune demontabila cu izolatie în aer, care sa permita instalarea unui transformator de curent. Piesa de conexiune si transformatorul de curent vor fi instalate într-o incinta (cutie) adecvata, dotata cu usa de acces si placa cu presetupe demontabila.</w:t>
      </w:r>
    </w:p>
    <w:p>
      <w:pPr>
        <w:pStyle w:val="ListParagraph"/>
        <w:numPr>
          <w:ilvl w:val="2"/>
          <w:numId w:val="52"/>
        </w:numPr>
        <w:ind w:left="284" w:firstLine="0"/>
        <w:rPr>
          <w:sz w:val="20"/>
          <w:szCs w:val="20"/>
          <w:lang w:val="ro-RO"/>
        </w:rPr>
      </w:pPr>
      <w:r>
        <w:rPr>
          <w:sz w:val="20"/>
          <w:szCs w:val="20"/>
          <w:lang w:val="ro-RO"/>
        </w:rPr>
        <w:t>Supapa de suprapresiune - transformatoarele etanse vor fi prevazute cu o supapa cu arc resetabila si reglabila, actionata de suprapresiunea din cuva transformatorului. Deschiderea supapei va determina actionarea unui întreruptor/ comutator resetabil manual care, la rândul sau, va da un semnal de decuplare a alimentarii transformatorului si va declansa o alarma.</w:t>
      </w:r>
    </w:p>
    <w:p>
      <w:pPr>
        <w:pStyle w:val="ListParagraph"/>
        <w:numPr>
          <w:ilvl w:val="2"/>
          <w:numId w:val="52"/>
        </w:numPr>
        <w:ind w:left="284" w:firstLine="0"/>
        <w:rPr>
          <w:sz w:val="20"/>
          <w:szCs w:val="20"/>
          <w:lang w:val="ro-RO"/>
        </w:rPr>
      </w:pPr>
      <w:r>
        <w:rPr>
          <w:sz w:val="20"/>
          <w:szCs w:val="20"/>
          <w:lang w:val="ro-RO"/>
        </w:rPr>
        <w:t>Protectia la supratemperatura a înfasurarilor - va fi realizata prin intermediul un termometru cu scala gradata, destinat sa indice temperatura înfasurarilor si prevazut cu doua contacte reglabile menite sa declanseze o alarma la distanta si sa declanseze întreruptorul de medie tensiune. Anclansarea alarmei si a declansarii ei va fi indicata de catre un releu cu stegulet mecanic de memorare, resetabil manual, instalat pe tabloul (celula) întreruptorului de medie tensiune respectiv.</w:t>
      </w:r>
    </w:p>
    <w:p>
      <w:pPr>
        <w:pStyle w:val="ListParagraph"/>
        <w:ind w:left="284"/>
        <w:rPr>
          <w:sz w:val="20"/>
          <w:szCs w:val="20"/>
          <w:lang w:val="ro-RO"/>
        </w:rPr>
      </w:pPr>
    </w:p>
    <w:p>
      <w:pPr>
        <w:pStyle w:val="ListParagraph"/>
        <w:numPr>
          <w:ilvl w:val="0"/>
          <w:numId w:val="50"/>
        </w:numPr>
        <w:rPr>
          <w:b/>
          <w:sz w:val="20"/>
          <w:szCs w:val="20"/>
          <w:lang w:val="ro-RO"/>
        </w:rPr>
      </w:pPr>
      <w:r>
        <w:rPr>
          <w:b/>
          <w:sz w:val="20"/>
          <w:szCs w:val="20"/>
          <w:lang w:val="ro-RO"/>
        </w:rPr>
        <w:t>Cerinte suplimentare</w:t>
      </w:r>
    </w:p>
    <w:p>
      <w:pPr>
        <w:rPr>
          <w:sz w:val="20"/>
          <w:szCs w:val="20"/>
          <w:lang w:val="ro-RO"/>
        </w:rPr>
      </w:pPr>
      <w:r>
        <w:rPr>
          <w:sz w:val="20"/>
          <w:szCs w:val="20"/>
          <w:lang w:val="ro-RO"/>
        </w:rPr>
        <w:t>Transformatoarele de putere vor mai fi prevazute cu:</w:t>
      </w:r>
    </w:p>
    <w:p>
      <w:pPr>
        <w:pStyle w:val="ListParagraph"/>
        <w:numPr>
          <w:ilvl w:val="2"/>
          <w:numId w:val="53"/>
        </w:numPr>
        <w:ind w:left="851" w:firstLine="0"/>
        <w:rPr>
          <w:sz w:val="20"/>
          <w:szCs w:val="20"/>
          <w:lang w:val="ro-RO"/>
        </w:rPr>
      </w:pPr>
      <w:r>
        <w:rPr>
          <w:sz w:val="20"/>
          <w:szCs w:val="20"/>
          <w:lang w:val="ro-RO"/>
        </w:rPr>
        <w:t>placa inscriptionata cu parametrii si grupa de conexiuni a transformatorului;</w:t>
      </w:r>
    </w:p>
    <w:p>
      <w:pPr>
        <w:pStyle w:val="ListParagraph"/>
        <w:numPr>
          <w:ilvl w:val="2"/>
          <w:numId w:val="53"/>
        </w:numPr>
        <w:ind w:left="851" w:firstLine="0"/>
        <w:rPr>
          <w:sz w:val="20"/>
          <w:szCs w:val="20"/>
          <w:lang w:val="ro-RO"/>
        </w:rPr>
      </w:pPr>
      <w:r>
        <w:rPr>
          <w:sz w:val="20"/>
          <w:szCs w:val="20"/>
          <w:lang w:val="ro-RO"/>
        </w:rPr>
        <w:t>terminal filetat de legare la pamânt, de cel putin 12 mm diametru, prevazut cu piulite si saibe din alama;</w:t>
      </w:r>
    </w:p>
    <w:p>
      <w:pPr>
        <w:pStyle w:val="ListParagraph"/>
        <w:numPr>
          <w:ilvl w:val="2"/>
          <w:numId w:val="53"/>
        </w:numPr>
        <w:ind w:left="851" w:firstLine="0"/>
        <w:rPr>
          <w:sz w:val="20"/>
          <w:szCs w:val="20"/>
          <w:lang w:val="ro-RO"/>
        </w:rPr>
      </w:pPr>
      <w:r>
        <w:rPr>
          <w:sz w:val="20"/>
          <w:szCs w:val="20"/>
          <w:lang w:val="ro-RO"/>
        </w:rPr>
        <w:t>orificiu pentru umplere cu ulei, prevazut cu dop;</w:t>
      </w:r>
    </w:p>
    <w:p>
      <w:pPr>
        <w:pStyle w:val="ListParagraph"/>
        <w:numPr>
          <w:ilvl w:val="2"/>
          <w:numId w:val="53"/>
        </w:numPr>
        <w:ind w:left="851" w:firstLine="0"/>
        <w:rPr>
          <w:sz w:val="20"/>
          <w:szCs w:val="20"/>
          <w:lang w:val="ro-RO"/>
        </w:rPr>
      </w:pPr>
      <w:r>
        <w:rPr>
          <w:sz w:val="20"/>
          <w:szCs w:val="20"/>
          <w:lang w:val="ro-RO"/>
        </w:rPr>
        <w:t>indicator de nivel din sticla;</w:t>
      </w:r>
    </w:p>
    <w:p>
      <w:pPr>
        <w:pStyle w:val="ListParagraph"/>
        <w:numPr>
          <w:ilvl w:val="2"/>
          <w:numId w:val="53"/>
        </w:numPr>
        <w:ind w:left="851" w:firstLine="0"/>
        <w:rPr>
          <w:sz w:val="20"/>
          <w:szCs w:val="20"/>
          <w:lang w:val="ro-RO"/>
        </w:rPr>
      </w:pPr>
      <w:r>
        <w:rPr>
          <w:sz w:val="20"/>
          <w:szCs w:val="20"/>
          <w:lang w:val="ro-RO"/>
        </w:rPr>
        <w:t>robinet de golire, cu blind si tablita de avertizare;</w:t>
      </w:r>
    </w:p>
    <w:p>
      <w:pPr>
        <w:pStyle w:val="ListParagraph"/>
        <w:numPr>
          <w:ilvl w:val="2"/>
          <w:numId w:val="53"/>
        </w:numPr>
        <w:ind w:left="851" w:firstLine="0"/>
        <w:rPr>
          <w:sz w:val="20"/>
          <w:szCs w:val="20"/>
          <w:lang w:val="ro-RO"/>
        </w:rPr>
      </w:pPr>
      <w:r>
        <w:rPr>
          <w:sz w:val="20"/>
          <w:szCs w:val="20"/>
          <w:lang w:val="ro-RO"/>
        </w:rPr>
        <w:t>indicator temperatura a uleiului si întreruptor/ comutator;</w:t>
      </w:r>
    </w:p>
    <w:p>
      <w:pPr>
        <w:pStyle w:val="ListParagraph"/>
        <w:numPr>
          <w:ilvl w:val="2"/>
          <w:numId w:val="53"/>
        </w:numPr>
        <w:ind w:left="851" w:firstLine="0"/>
        <w:rPr>
          <w:sz w:val="20"/>
          <w:szCs w:val="20"/>
          <w:lang w:val="ro-RO"/>
        </w:rPr>
      </w:pPr>
      <w:r>
        <w:rPr>
          <w:sz w:val="20"/>
          <w:szCs w:val="20"/>
          <w:lang w:val="ro-RO"/>
        </w:rPr>
        <w:t>cutii pentru terminalele (bornele) de jT si MT, dimensionate corespunzator în functie de cablurile utilizate. Pentru conductoare individuale vor fi prevazute presetupe din materiale nemagnetice. Conexiunile vor fi realizate cu ansambluri filetate, fie în cutiile pentru terminale, fie în cutii separate, pentru ca testarea cablurilor sa poata fi facuta fara demontarea acestora.</w:t>
      </w:r>
    </w:p>
    <w:p>
      <w:pPr>
        <w:rPr>
          <w:sz w:val="20"/>
          <w:szCs w:val="20"/>
          <w:lang w:val="ro-RO"/>
        </w:rPr>
      </w:pPr>
      <w:r>
        <w:rPr>
          <w:sz w:val="20"/>
          <w:szCs w:val="20"/>
          <w:lang w:val="ro-RO"/>
        </w:rPr>
        <w:t>Transformatoarele vor fi însotite de certificate de teste tip.</w:t>
      </w:r>
    </w:p>
    <w:p>
      <w:pPr>
        <w:pStyle w:val="ListParagraph"/>
        <w:numPr>
          <w:ilvl w:val="0"/>
          <w:numId w:val="50"/>
        </w:numPr>
        <w:rPr>
          <w:b/>
          <w:sz w:val="20"/>
          <w:szCs w:val="20"/>
          <w:lang w:val="ro-RO"/>
        </w:rPr>
      </w:pPr>
      <w:r>
        <w:rPr>
          <w:b/>
          <w:sz w:val="20"/>
          <w:szCs w:val="20"/>
          <w:lang w:val="ro-RO"/>
        </w:rPr>
        <w:t>Instalare</w:t>
      </w:r>
    </w:p>
    <w:p>
      <w:pPr>
        <w:rPr>
          <w:sz w:val="20"/>
          <w:szCs w:val="20"/>
          <w:lang w:val="ro-RO"/>
        </w:rPr>
      </w:pPr>
      <w:r>
        <w:rPr>
          <w:sz w:val="20"/>
          <w:szCs w:val="20"/>
          <w:lang w:val="ro-RO"/>
        </w:rPr>
        <w:t>Transformatoarele vor fi instalate în incinte separate, ventilate în mod adecvat pentru o functionare continua a transformatorului la sarcina nominala în conditii de temperatura maxima. Incinta va fi echipata cu o basa pentru uleiul scurs accidental.</w:t>
      </w:r>
    </w:p>
    <w:p>
      <w:pPr>
        <w:pStyle w:val="Heading4"/>
        <w:rPr>
          <w:sz w:val="20"/>
          <w:szCs w:val="20"/>
          <w:lang w:val="ro-RO"/>
        </w:rPr>
      </w:pPr>
      <w:r>
        <w:rPr>
          <w:sz w:val="20"/>
          <w:szCs w:val="20"/>
          <w:lang w:val="ro-RO"/>
        </w:rPr>
        <w:t>2.2.11.2 Aparatajul de medie tensiune (mt)</w:t>
      </w:r>
    </w:p>
    <w:p>
      <w:pPr>
        <w:pStyle w:val="ListParagraph"/>
        <w:numPr>
          <w:ilvl w:val="0"/>
          <w:numId w:val="50"/>
        </w:numPr>
        <w:rPr>
          <w:b/>
          <w:sz w:val="20"/>
          <w:szCs w:val="20"/>
          <w:lang w:val="ro-RO"/>
        </w:rPr>
      </w:pPr>
      <w:r>
        <w:rPr>
          <w:b/>
          <w:sz w:val="20"/>
          <w:szCs w:val="20"/>
          <w:lang w:val="ro-RO"/>
        </w:rPr>
        <w:t>Generalitati</w:t>
      </w:r>
    </w:p>
    <w:p>
      <w:pPr>
        <w:rPr>
          <w:sz w:val="20"/>
          <w:szCs w:val="20"/>
          <w:lang w:val="ro-RO"/>
        </w:rPr>
      </w:pPr>
      <w:r>
        <w:rPr>
          <w:sz w:val="20"/>
          <w:szCs w:val="20"/>
          <w:lang w:val="ro-RO"/>
        </w:rPr>
        <w:t>Aceasta sectiune acopera cerintele standard pentru aparatajul de medie tensiune (MT) de interior care functioneaza la tensiuni de pâna la 20 kV inclusiv. Aceasta include aparatajul de distributie si sistemele auxiliare. Tablourile speciale vor fi alcatuite din dulapuri standard, asa cum sunt descrise în aceasta sectiune, alese sa furnizeze functiile si valorile nominale solicitate pentru aplicatia particulara respectiva.</w:t>
      </w:r>
    </w:p>
    <w:p>
      <w:pPr>
        <w:pStyle w:val="ListParagraph"/>
        <w:numPr>
          <w:ilvl w:val="0"/>
          <w:numId w:val="50"/>
        </w:numPr>
        <w:rPr>
          <w:b/>
          <w:sz w:val="20"/>
          <w:szCs w:val="20"/>
          <w:lang w:val="ro-RO"/>
        </w:rPr>
      </w:pPr>
      <w:r>
        <w:rPr>
          <w:b/>
          <w:sz w:val="20"/>
          <w:szCs w:val="20"/>
          <w:lang w:val="ro-RO"/>
        </w:rPr>
        <w:t>Standarde</w:t>
      </w:r>
    </w:p>
    <w:p>
      <w:pPr>
        <w:rPr>
          <w:sz w:val="20"/>
          <w:szCs w:val="20"/>
          <w:lang w:val="ro-RO"/>
        </w:rPr>
      </w:pPr>
      <w:r>
        <w:rPr>
          <w:sz w:val="20"/>
          <w:szCs w:val="20"/>
          <w:lang w:val="ro-RO"/>
        </w:rPr>
        <w:t>Aparatajul detaliat în cadrul acestei Specificatii va fi produs si testat în conformitate cu cele mai noi revizii ale seriei de standarde SR EN 62271 si ale standardului SR EN 60470. Ele vor trebui sa fie agreate de furnizorul local de energie electrica.</w:t>
      </w:r>
    </w:p>
    <w:p>
      <w:pPr>
        <w:pStyle w:val="ListParagraph"/>
        <w:numPr>
          <w:ilvl w:val="0"/>
          <w:numId w:val="50"/>
        </w:numPr>
        <w:rPr>
          <w:b/>
          <w:sz w:val="20"/>
          <w:szCs w:val="20"/>
          <w:lang w:val="ro-RO"/>
        </w:rPr>
      </w:pPr>
      <w:r>
        <w:rPr>
          <w:b/>
          <w:sz w:val="20"/>
          <w:szCs w:val="20"/>
          <w:lang w:val="ro-RO"/>
        </w:rPr>
        <w:t>Generalitati</w:t>
      </w:r>
    </w:p>
    <w:p>
      <w:pPr>
        <w:rPr>
          <w:sz w:val="20"/>
          <w:szCs w:val="20"/>
          <w:lang w:val="ro-RO"/>
        </w:rPr>
      </w:pPr>
      <w:r>
        <w:rPr>
          <w:sz w:val="20"/>
          <w:szCs w:val="20"/>
          <w:lang w:val="ro-RO"/>
        </w:rPr>
        <w:lastRenderedPageBreak/>
        <w:t>Celulele vor fi cu montaj pe pardoseala, complet închise si blindate, cu intrarea cablurilor pe la partea inferioara. Accesul pentru exploatare si întretinere se va face numai prin partea frontala. Accesul prin partea din spate se va face numai pentru instalare, cablare sau reparatii capitale. Compartimentele vor fi extensibile la ambele capete. Daca pentru constituirea unui tablou sunt asamblate mai multe module, acestea vor fi alese din aceeasi gama de înaltime. Vopseaua de finisare va fi cea standard a producatorului.</w:t>
      </w:r>
    </w:p>
    <w:p>
      <w:pPr>
        <w:pStyle w:val="ListParagraph"/>
        <w:numPr>
          <w:ilvl w:val="0"/>
          <w:numId w:val="50"/>
        </w:numPr>
        <w:rPr>
          <w:b/>
          <w:sz w:val="20"/>
          <w:szCs w:val="20"/>
          <w:lang w:val="ro-RO"/>
        </w:rPr>
      </w:pPr>
      <w:r>
        <w:rPr>
          <w:b/>
          <w:sz w:val="20"/>
          <w:szCs w:val="20"/>
          <w:lang w:val="ro-RO"/>
        </w:rPr>
        <w:t>Gradul de protectie</w:t>
      </w:r>
    </w:p>
    <w:p>
      <w:pPr>
        <w:rPr>
          <w:sz w:val="20"/>
          <w:szCs w:val="20"/>
          <w:lang w:val="ro-RO"/>
        </w:rPr>
      </w:pPr>
      <w:r>
        <w:rPr>
          <w:sz w:val="20"/>
          <w:szCs w:val="20"/>
          <w:lang w:val="ro-RO"/>
        </w:rPr>
        <w:t>Gradul de protectie minim al ansamblurilor de celule va fi IP4X, asa cum este definit în SR EN 60529 SR EN 60529 (CEI 529), si IP3X pentru compartimentele interne.</w:t>
      </w:r>
    </w:p>
    <w:p>
      <w:pPr>
        <w:pStyle w:val="ListParagraph"/>
        <w:numPr>
          <w:ilvl w:val="0"/>
          <w:numId w:val="50"/>
        </w:numPr>
        <w:rPr>
          <w:b/>
          <w:sz w:val="20"/>
          <w:szCs w:val="20"/>
          <w:lang w:val="ro-RO"/>
        </w:rPr>
      </w:pPr>
      <w:r>
        <w:rPr>
          <w:b/>
          <w:sz w:val="20"/>
          <w:szCs w:val="20"/>
          <w:lang w:val="ro-RO"/>
        </w:rPr>
        <w:t>Panouri mobile de siguranta</w:t>
      </w:r>
    </w:p>
    <w:p>
      <w:pPr>
        <w:rPr>
          <w:sz w:val="20"/>
          <w:szCs w:val="20"/>
          <w:lang w:val="ro-RO"/>
        </w:rPr>
      </w:pPr>
      <w:r>
        <w:rPr>
          <w:sz w:val="20"/>
          <w:szCs w:val="20"/>
          <w:lang w:val="ro-RO"/>
        </w:rPr>
        <w:t>Celulele vor fi echipate cu capace metalice de siguranta prevazute cu facilitati de blocare, pentru ecranarea barelor de distributie aflate sub tensiune atunci când un întreruptor, transformator sunt debrosate. Obloanele vor fi etichetate, indicând daca acestea acopera bare de distributie sau circuite.</w:t>
      </w:r>
    </w:p>
    <w:p>
      <w:pPr>
        <w:pStyle w:val="ListParagraph"/>
        <w:numPr>
          <w:ilvl w:val="0"/>
          <w:numId w:val="50"/>
        </w:numPr>
        <w:rPr>
          <w:b/>
          <w:sz w:val="20"/>
          <w:szCs w:val="20"/>
          <w:lang w:val="ro-RO"/>
        </w:rPr>
      </w:pPr>
      <w:r>
        <w:rPr>
          <w:b/>
          <w:sz w:val="20"/>
          <w:szCs w:val="20"/>
          <w:lang w:val="ro-RO"/>
        </w:rPr>
        <w:t>Barele de distributie si conexiunile acestora</w:t>
      </w:r>
    </w:p>
    <w:p>
      <w:pPr>
        <w:rPr>
          <w:sz w:val="20"/>
          <w:szCs w:val="20"/>
          <w:lang w:val="ro-RO"/>
        </w:rPr>
      </w:pPr>
      <w:r>
        <w:rPr>
          <w:sz w:val="20"/>
          <w:szCs w:val="20"/>
          <w:lang w:val="ro-RO"/>
        </w:rPr>
        <w:t>Barele de distributie si conexiunile acestora vor fi produse din cupru de înalta conductivitate, vor avea sectiunea transversala constanta în cadrul aceluiasi tablou si vor fi capabile sa suporte valorile curentului de defect (scurtcircuit) proiectat.</w:t>
      </w:r>
    </w:p>
    <w:p>
      <w:pPr>
        <w:rPr>
          <w:sz w:val="20"/>
          <w:szCs w:val="20"/>
          <w:lang w:val="ro-RO"/>
        </w:rPr>
      </w:pPr>
      <w:r>
        <w:rPr>
          <w:sz w:val="20"/>
          <w:szCs w:val="20"/>
          <w:lang w:val="ro-RO"/>
        </w:rPr>
        <w:t>Barele de distributie si conexiunile acestora vor fi încapsulate în rasina si incluse într-un compartiment izolat în aer. Accesul la compartiment va fi realizat prin intermediul unor capace detasabile din tabla de otel, fixate cu suruburi si piulite si prevazute cu etichete de avertizare "MEDIE TENSIUNE".</w:t>
      </w:r>
    </w:p>
    <w:p>
      <w:pPr>
        <w:rPr>
          <w:sz w:val="20"/>
          <w:szCs w:val="20"/>
          <w:lang w:val="ro-RO"/>
        </w:rPr>
      </w:pPr>
      <w:r>
        <w:rPr>
          <w:sz w:val="20"/>
          <w:szCs w:val="20"/>
          <w:lang w:val="ro-RO"/>
        </w:rPr>
        <w:t>Îmbinarile barelor de distributie vor fi cositorite (stanate), asamblate cu suruburi si izolate cu mansoane turnate corespunzatoare, umplute cu rasina sau cu capace de îmbinare preformate.</w:t>
      </w:r>
    </w:p>
    <w:p>
      <w:pPr>
        <w:pStyle w:val="Heading4"/>
        <w:rPr>
          <w:sz w:val="20"/>
          <w:szCs w:val="20"/>
          <w:lang w:val="ro-RO"/>
        </w:rPr>
      </w:pPr>
      <w:r>
        <w:rPr>
          <w:sz w:val="20"/>
          <w:szCs w:val="20"/>
          <w:lang w:val="ro-RO"/>
        </w:rPr>
        <w:t>2.2.11.3 Intreruptoare automate de putere</w:t>
      </w:r>
    </w:p>
    <w:p>
      <w:pPr>
        <w:pStyle w:val="ListParagraph"/>
        <w:numPr>
          <w:ilvl w:val="0"/>
          <w:numId w:val="50"/>
        </w:numPr>
        <w:rPr>
          <w:b/>
          <w:sz w:val="20"/>
          <w:szCs w:val="20"/>
          <w:lang w:val="ro-RO"/>
        </w:rPr>
      </w:pPr>
      <w:r>
        <w:rPr>
          <w:b/>
          <w:sz w:val="20"/>
          <w:szCs w:val="20"/>
          <w:lang w:val="ro-RO"/>
        </w:rPr>
        <w:t>Generalitati</w:t>
      </w:r>
    </w:p>
    <w:p>
      <w:pPr>
        <w:rPr>
          <w:sz w:val="20"/>
          <w:szCs w:val="20"/>
          <w:lang w:val="ro-RO"/>
        </w:rPr>
      </w:pPr>
      <w:r>
        <w:rPr>
          <w:sz w:val="20"/>
          <w:szCs w:val="20"/>
          <w:lang w:val="ro-RO"/>
        </w:rPr>
        <w:t>Fiecare întreruptor automat de putere va fi alcatuit din întreruptoare, mecanisme de actionare, contacte auxiliare si conectori de MT. Întreruptoarele automate de putere cu aceiasi parametri nominali amplasati în acelasi tablou vor fi interschimbabili.</w:t>
      </w:r>
    </w:p>
    <w:p>
      <w:pPr>
        <w:rPr>
          <w:sz w:val="20"/>
          <w:szCs w:val="20"/>
          <w:lang w:val="ro-RO"/>
        </w:rPr>
      </w:pPr>
      <w:r>
        <w:rPr>
          <w:sz w:val="20"/>
          <w:szCs w:val="20"/>
          <w:lang w:val="ro-RO"/>
        </w:rPr>
        <w:t>Întreruptoarele automate de putere vor fi cu mediu de stingere a arcului electric în hexafluorura de sulf (SF6) sau vid, dupa cum este specificat. Echipamentul va îndeplini ultimele cerinte ale standardelor si va fi adaptat conditiilor ambientale specificate. Întreruptoarele de circuit vor fi capabile sa declanseze în orice conditii defavorabile aparute în sistem, fara sa aduca prejudicii ale echipamentelor sau personalului. Întreruptoarele de circuit de acelasi model si caracteristici vor fi interschimbabile.</w:t>
      </w:r>
    </w:p>
    <w:p>
      <w:pPr>
        <w:rPr>
          <w:sz w:val="20"/>
          <w:szCs w:val="20"/>
          <w:lang w:val="ro-RO"/>
        </w:rPr>
      </w:pPr>
      <w:r>
        <w:rPr>
          <w:sz w:val="20"/>
          <w:szCs w:val="20"/>
          <w:lang w:val="ro-RO"/>
        </w:rPr>
        <w:t>Toate întreruptoarele de circuit vor fi prevazute cu încuietori, pentru a preveni:</w:t>
      </w:r>
    </w:p>
    <w:p>
      <w:pPr>
        <w:pStyle w:val="ListParagraph"/>
        <w:numPr>
          <w:ilvl w:val="2"/>
          <w:numId w:val="54"/>
        </w:numPr>
        <w:ind w:left="709" w:firstLine="0"/>
        <w:rPr>
          <w:sz w:val="20"/>
          <w:szCs w:val="20"/>
          <w:lang w:val="ro-RO"/>
        </w:rPr>
      </w:pPr>
      <w:r>
        <w:rPr>
          <w:sz w:val="20"/>
          <w:szCs w:val="20"/>
          <w:lang w:val="ro-RO"/>
        </w:rPr>
        <w:t>Întreruptorul de circuit nu poate fi deplasat din pozitii le de lucru sau pus la pamânt atâta timp cât este închis. Tentativele de scoatere a întreruptorului de circuit închis nu vor cauza operatiunea de declansare;</w:t>
      </w:r>
    </w:p>
    <w:p>
      <w:pPr>
        <w:pStyle w:val="ListParagraph"/>
        <w:numPr>
          <w:ilvl w:val="2"/>
          <w:numId w:val="54"/>
        </w:numPr>
        <w:ind w:left="709" w:firstLine="0"/>
        <w:rPr>
          <w:sz w:val="20"/>
          <w:szCs w:val="20"/>
          <w:lang w:val="ro-RO"/>
        </w:rPr>
      </w:pPr>
      <w:r>
        <w:rPr>
          <w:sz w:val="20"/>
          <w:szCs w:val="20"/>
          <w:lang w:val="ro-RO"/>
        </w:rPr>
        <w:t>Întreruptorul de circuit va putea fi pus în pozitiile: operare, împamântare sau izolare;</w:t>
      </w:r>
    </w:p>
    <w:p>
      <w:pPr>
        <w:pStyle w:val="ListParagraph"/>
        <w:numPr>
          <w:ilvl w:val="2"/>
          <w:numId w:val="54"/>
        </w:numPr>
        <w:ind w:left="709" w:firstLine="0"/>
        <w:rPr>
          <w:sz w:val="20"/>
          <w:szCs w:val="20"/>
          <w:lang w:val="ro-RO"/>
        </w:rPr>
      </w:pPr>
      <w:r>
        <w:rPr>
          <w:sz w:val="20"/>
          <w:szCs w:val="20"/>
          <w:lang w:val="ro-RO"/>
        </w:rPr>
        <w:t>Întreruptorul de circuit nu poate fi închis în pozitia de operare fara închiderea circuitelor auxiliare dintre portiunile fixe si în miscare;</w:t>
      </w:r>
    </w:p>
    <w:p>
      <w:pPr>
        <w:pStyle w:val="ListParagraph"/>
        <w:numPr>
          <w:ilvl w:val="2"/>
          <w:numId w:val="54"/>
        </w:numPr>
        <w:ind w:left="709" w:firstLine="0"/>
        <w:rPr>
          <w:sz w:val="20"/>
          <w:szCs w:val="20"/>
          <w:lang w:val="ro-RO"/>
        </w:rPr>
      </w:pPr>
      <w:r>
        <w:rPr>
          <w:sz w:val="20"/>
          <w:szCs w:val="20"/>
          <w:lang w:val="ro-RO"/>
        </w:rPr>
        <w:t>Atunci când întreruptorul de circuit este închis în pozitia la pamânt, declansarea poate fi efectuata prin dispozitivele manuale ale mecanismului de operare.</w:t>
      </w:r>
    </w:p>
    <w:p>
      <w:pPr>
        <w:rPr>
          <w:sz w:val="20"/>
          <w:szCs w:val="20"/>
          <w:lang w:val="ro-RO"/>
        </w:rPr>
      </w:pPr>
      <w:r>
        <w:rPr>
          <w:sz w:val="20"/>
          <w:szCs w:val="20"/>
          <w:lang w:val="ro-RO"/>
        </w:rPr>
        <w:t>Atunci când mecanismul de zavorâre este actionat, declansarea unui întreruptor de circuit închis nu va fi efectuata pâna când nu se va îndeparta mecanismul de închidere.</w:t>
      </w:r>
    </w:p>
    <w:p>
      <w:pPr>
        <w:rPr>
          <w:sz w:val="20"/>
          <w:szCs w:val="20"/>
          <w:lang w:val="ro-RO"/>
        </w:rPr>
      </w:pPr>
      <w:r>
        <w:rPr>
          <w:sz w:val="20"/>
          <w:szCs w:val="20"/>
          <w:lang w:val="ro-RO"/>
        </w:rPr>
        <w:t>Selectarea oricarui circuit sau a barei de transport va fi posibila doar dupa ce întreruptorul de circuit va fi complet izolat.</w:t>
      </w:r>
    </w:p>
    <w:p>
      <w:pPr>
        <w:rPr>
          <w:sz w:val="20"/>
          <w:szCs w:val="20"/>
          <w:lang w:val="ro-RO"/>
        </w:rPr>
      </w:pPr>
      <w:r>
        <w:rPr>
          <w:sz w:val="20"/>
          <w:szCs w:val="20"/>
          <w:lang w:val="ro-RO"/>
        </w:rPr>
        <w:lastRenderedPageBreak/>
        <w:t>Mijloacele mecanice de blocare ramân operative atunci când întreruptorul de circuit este în oricare din pozitiile de împamântare.</w:t>
      </w:r>
    </w:p>
    <w:p>
      <w:pPr>
        <w:rPr>
          <w:sz w:val="20"/>
          <w:szCs w:val="20"/>
          <w:lang w:val="ro-RO"/>
        </w:rPr>
      </w:pPr>
      <w:r>
        <w:rPr>
          <w:sz w:val="20"/>
          <w:szCs w:val="20"/>
          <w:lang w:val="ro-RO"/>
        </w:rPr>
        <w:t>Pe toate întreruptoarele de circuit de alimentare sau plecare vor fi prevazute facilitati de legare la pamânt a circuitelor. Pe cel putin un panou al întreruptoarelor de circuit, în oricare sectiune a barei de transport, vor fi prevazute mijloace pentru legarea la pamânt.</w:t>
      </w:r>
    </w:p>
    <w:p>
      <w:pPr>
        <w:rPr>
          <w:sz w:val="20"/>
          <w:szCs w:val="20"/>
          <w:lang w:val="ro-RO"/>
        </w:rPr>
      </w:pPr>
      <w:r>
        <w:rPr>
          <w:sz w:val="20"/>
          <w:szCs w:val="20"/>
          <w:lang w:val="ro-RO"/>
        </w:rPr>
        <w:t>Obturatoarele barelor de transport vor fi colorate în rosu si inscriptionate „Bare transport" cu litere albe. Obturatoarele de circuit vor fi colorate în galben.</w:t>
      </w:r>
    </w:p>
    <w:p>
      <w:pPr>
        <w:rPr>
          <w:sz w:val="20"/>
          <w:szCs w:val="20"/>
          <w:lang w:val="ro-RO"/>
        </w:rPr>
      </w:pPr>
      <w:r>
        <w:rPr>
          <w:sz w:val="20"/>
          <w:szCs w:val="20"/>
          <w:lang w:val="ro-RO"/>
        </w:rPr>
        <w:t>Obturatoarele din zona unitatii barelor vor fi colorate în rosu si inscriptionate cu o sageata de culoare alba ce indica directia sectiunii barelor înspre care sunt legate contactele.</w:t>
      </w:r>
    </w:p>
    <w:p>
      <w:pPr>
        <w:rPr>
          <w:sz w:val="20"/>
          <w:szCs w:val="20"/>
          <w:lang w:val="ro-RO"/>
        </w:rPr>
      </w:pPr>
      <w:r>
        <w:rPr>
          <w:sz w:val="20"/>
          <w:szCs w:val="20"/>
          <w:lang w:val="ro-RO"/>
        </w:rPr>
        <w:t>Sigurantele fuzibile vor fi de tip cu percutor, iar performantele lor vor fi conforme cu cele mai noi revizii a standardelor SR EN 60282-1 si SR EN 60644 si vor fi adecvate pentru pornirea motoarelor. Percutorul va fi actionat (ejectat) în exteriorul capatului sigurantei atunci când elementul fuzibil se topeste si va actiona un întreruptor/ comutator în circuitul de comanda al contactorului pentru a-l deschide. Întreruperea unui circuit dintr-un demaror, prin topirea oricarei sigurante fuzibile, va produce o indicatie vizuala pe panoul frontal al dulapului (celulei) si va oferi un semnal fara tensiune (voltage free) pentru indicare la distanta.</w:t>
      </w:r>
    </w:p>
    <w:p>
      <w:pPr>
        <w:rPr>
          <w:sz w:val="20"/>
          <w:szCs w:val="20"/>
          <w:lang w:val="ro-RO"/>
        </w:rPr>
      </w:pPr>
      <w:r>
        <w:rPr>
          <w:sz w:val="20"/>
          <w:szCs w:val="20"/>
          <w:lang w:val="ro-RO"/>
        </w:rPr>
        <w:t>Contactoarele vor fi adecvate pentru pornire în montaj direct la tensiunea retelei a motoarelor asincrone cu rotorul în scurtcircuit (în colivie) si vor fi selectate pentru a îndeplini urmatoarele conditii operationale:</w:t>
      </w:r>
    </w:p>
    <w:p>
      <w:pPr>
        <w:ind w:firstLine="720"/>
        <w:rPr>
          <w:sz w:val="20"/>
          <w:szCs w:val="20"/>
          <w:lang w:val="ro-RO"/>
        </w:rPr>
      </w:pPr>
      <w:r>
        <w:rPr>
          <w:sz w:val="20"/>
          <w:szCs w:val="20"/>
          <w:lang w:val="ro-RO"/>
        </w:rPr>
        <w:t>(a)</w:t>
      </w:r>
      <w:r>
        <w:rPr>
          <w:sz w:val="20"/>
          <w:szCs w:val="20"/>
          <w:lang w:val="ro-RO"/>
        </w:rPr>
        <w:tab/>
        <w:t>regim de functionare - neîntrerupt;</w:t>
      </w:r>
    </w:p>
    <w:p>
      <w:pPr>
        <w:ind w:firstLine="720"/>
        <w:rPr>
          <w:sz w:val="20"/>
          <w:szCs w:val="20"/>
          <w:lang w:val="ro-RO"/>
        </w:rPr>
      </w:pPr>
      <w:r>
        <w:rPr>
          <w:sz w:val="20"/>
          <w:szCs w:val="20"/>
          <w:lang w:val="ro-RO"/>
        </w:rPr>
        <w:t>(b)</w:t>
      </w:r>
      <w:r>
        <w:rPr>
          <w:sz w:val="20"/>
          <w:szCs w:val="20"/>
          <w:lang w:val="ro-RO"/>
        </w:rPr>
        <w:tab/>
        <w:t>durata de viata - peste 500.000 cicluri;</w:t>
      </w:r>
    </w:p>
    <w:p>
      <w:pPr>
        <w:ind w:firstLine="720"/>
        <w:rPr>
          <w:sz w:val="20"/>
          <w:szCs w:val="20"/>
          <w:lang w:val="ro-RO"/>
        </w:rPr>
      </w:pPr>
      <w:r>
        <w:rPr>
          <w:sz w:val="20"/>
          <w:szCs w:val="20"/>
          <w:lang w:val="ro-RO"/>
        </w:rPr>
        <w:t>(c)</w:t>
      </w:r>
      <w:r>
        <w:rPr>
          <w:sz w:val="20"/>
          <w:szCs w:val="20"/>
          <w:lang w:val="ro-RO"/>
        </w:rPr>
        <w:tab/>
        <w:t>categoria de utilizare - AC4. </w:t>
      </w:r>
    </w:p>
    <w:p>
      <w:pPr>
        <w:rPr>
          <w:sz w:val="20"/>
          <w:szCs w:val="20"/>
          <w:lang w:val="ro-RO"/>
        </w:rPr>
      </w:pPr>
      <w:r>
        <w:rPr>
          <w:sz w:val="20"/>
          <w:szCs w:val="20"/>
          <w:lang w:val="ro-RO"/>
        </w:rPr>
        <w:t>Demaroarele vor fi prevazute cu mijloace de separare fata de barele de distributie. Pentru asigurarea functionarii separatoarelor exclusiv fara sarcina, vor fi prevazute interblocari mecanice-electrice. Separatoarele vor fi prevazute cu facilitati de zavorâre în pozitia deschis.</w:t>
      </w:r>
    </w:p>
    <w:p>
      <w:pPr>
        <w:pStyle w:val="Heading4"/>
        <w:rPr>
          <w:sz w:val="20"/>
          <w:szCs w:val="20"/>
          <w:lang w:val="ro-RO"/>
        </w:rPr>
      </w:pPr>
      <w:r>
        <w:rPr>
          <w:sz w:val="20"/>
          <w:szCs w:val="20"/>
          <w:lang w:val="ro-RO"/>
        </w:rPr>
        <w:t>2.2.11.4 Cablare</w:t>
      </w:r>
    </w:p>
    <w:p>
      <w:pPr>
        <w:pStyle w:val="ListParagraph"/>
        <w:numPr>
          <w:ilvl w:val="0"/>
          <w:numId w:val="50"/>
        </w:numPr>
        <w:rPr>
          <w:b/>
          <w:sz w:val="20"/>
          <w:szCs w:val="20"/>
          <w:lang w:val="ro-RO"/>
        </w:rPr>
      </w:pPr>
      <w:r>
        <w:rPr>
          <w:b/>
          <w:sz w:val="20"/>
          <w:szCs w:val="20"/>
          <w:lang w:val="ro-RO"/>
        </w:rPr>
        <w:t>Generalitati</w:t>
      </w:r>
    </w:p>
    <w:p>
      <w:pPr>
        <w:rPr>
          <w:sz w:val="20"/>
          <w:szCs w:val="20"/>
          <w:lang w:val="ro-RO"/>
        </w:rPr>
      </w:pPr>
      <w:r>
        <w:rPr>
          <w:sz w:val="20"/>
          <w:szCs w:val="20"/>
          <w:lang w:val="ro-RO"/>
        </w:rPr>
        <w:t>Cablurile si conductorii vor fi obligatoriu din cupru si vor fi furnizate de catre un producator aprobat si unde va fi posibil se va folosi un singur producator pentru toate cablurile si conductorii. Fiecare tambur sau colac de cabluri va fi însotit de un certificat referitor la numele fabricantului, caracteristicile cablului, rezultate si date ale testelor. Cablurile fabricate cu mai mult de 12 luni înainte de furnizare nu vor fi acceptate. Toate cablurile vor fi furnizate cu terminatii de cablu etanse. În cazul în care cablul este taiat de pe un tambur, ambele capete vor fi imediat etanseizate, pentru a preveni intrarea umezelii. Cablurile nu vor fi transportate spre santier în colaci desfacuti, dar un numar de cabluri de lungime mica pot fi trasportate cu acelasi tambur. Antreprenorul va fi responsabil în totalitate de achizitionarea si/sau costurile tuturor tamburilor de cabluri.</w:t>
      </w:r>
    </w:p>
    <w:p>
      <w:pPr>
        <w:rPr>
          <w:sz w:val="20"/>
          <w:szCs w:val="20"/>
          <w:lang w:val="ro-RO"/>
        </w:rPr>
      </w:pPr>
      <w:r>
        <w:rPr>
          <w:sz w:val="20"/>
          <w:szCs w:val="20"/>
          <w:lang w:val="ro-RO"/>
        </w:rPr>
        <w:t>Antreprenorul va înainta un plan al cablurilor, referitor la: aprobare, dimensiuni detaliate, marimi, lungimi, metode de instalare si functionare ale tuturor cablurilor individuale.</w:t>
      </w:r>
    </w:p>
    <w:p>
      <w:pPr>
        <w:rPr>
          <w:sz w:val="20"/>
          <w:szCs w:val="20"/>
          <w:lang w:val="ro-RO"/>
        </w:rPr>
      </w:pPr>
      <w:r>
        <w:rPr>
          <w:sz w:val="20"/>
          <w:szCs w:val="20"/>
          <w:lang w:val="ro-RO"/>
        </w:rPr>
        <w:t>Cablurile si conductoarele vor fi adecvate clasei de curent transportate în conditii normale si scurtcircuit la tensiunile specificate. Când se calculeaza clasa si sectiunea transversala a cablurisi conductoarelor, urmatorii factori vor fi luati în considerare:</w:t>
      </w:r>
    </w:p>
    <w:p>
      <w:pPr>
        <w:pStyle w:val="ListParagraph"/>
        <w:numPr>
          <w:ilvl w:val="2"/>
          <w:numId w:val="55"/>
        </w:numPr>
        <w:ind w:left="567"/>
        <w:rPr>
          <w:sz w:val="20"/>
          <w:szCs w:val="20"/>
          <w:lang w:val="ro-RO"/>
        </w:rPr>
      </w:pPr>
      <w:r>
        <w:rPr>
          <w:sz w:val="20"/>
          <w:szCs w:val="20"/>
          <w:lang w:val="ro-RO"/>
        </w:rPr>
        <w:t>Caderea de tensiune maxima admisa la pornire si în functionarea de durata;</w:t>
      </w:r>
    </w:p>
    <w:p>
      <w:pPr>
        <w:pStyle w:val="ListParagraph"/>
        <w:numPr>
          <w:ilvl w:val="2"/>
          <w:numId w:val="55"/>
        </w:numPr>
        <w:ind w:left="567"/>
        <w:rPr>
          <w:sz w:val="20"/>
          <w:szCs w:val="20"/>
          <w:lang w:val="ro-RO"/>
        </w:rPr>
      </w:pPr>
      <w:r>
        <w:rPr>
          <w:sz w:val="20"/>
          <w:szCs w:val="20"/>
          <w:lang w:val="ro-RO"/>
        </w:rPr>
        <w:t>Densitatea de curent pentru regimul nominal si la pornire;</w:t>
      </w:r>
    </w:p>
    <w:p>
      <w:pPr>
        <w:pStyle w:val="ListParagraph"/>
        <w:numPr>
          <w:ilvl w:val="2"/>
          <w:numId w:val="55"/>
        </w:numPr>
        <w:ind w:left="567"/>
        <w:rPr>
          <w:sz w:val="20"/>
          <w:szCs w:val="20"/>
          <w:lang w:val="ro-RO"/>
        </w:rPr>
      </w:pPr>
      <w:r>
        <w:rPr>
          <w:sz w:val="20"/>
          <w:szCs w:val="20"/>
          <w:lang w:val="ro-RO"/>
        </w:rPr>
        <w:t>Tipul si amplitudinea suprasarcinii;</w:t>
      </w:r>
    </w:p>
    <w:p>
      <w:pPr>
        <w:pStyle w:val="ListParagraph"/>
        <w:numPr>
          <w:ilvl w:val="2"/>
          <w:numId w:val="55"/>
        </w:numPr>
        <w:ind w:left="567"/>
        <w:rPr>
          <w:sz w:val="20"/>
          <w:szCs w:val="20"/>
          <w:lang w:val="ro-RO"/>
        </w:rPr>
      </w:pPr>
      <w:r>
        <w:rPr>
          <w:sz w:val="20"/>
          <w:szCs w:val="20"/>
          <w:lang w:val="ro-RO"/>
        </w:rPr>
        <w:t>Nivelul si durata scurtcircuitului functie de releele protectiei circuitului si a sigurantelor;</w:t>
      </w:r>
    </w:p>
    <w:p>
      <w:pPr>
        <w:pStyle w:val="ListParagraph"/>
        <w:numPr>
          <w:ilvl w:val="2"/>
          <w:numId w:val="55"/>
        </w:numPr>
        <w:ind w:left="567"/>
        <w:rPr>
          <w:sz w:val="20"/>
          <w:szCs w:val="20"/>
          <w:lang w:val="ro-RO"/>
        </w:rPr>
      </w:pPr>
      <w:r>
        <w:rPr>
          <w:sz w:val="20"/>
          <w:szCs w:val="20"/>
          <w:lang w:val="ro-RO"/>
        </w:rPr>
        <w:t>Setarea la supracurent a releelor;</w:t>
      </w:r>
    </w:p>
    <w:p>
      <w:pPr>
        <w:pStyle w:val="ListParagraph"/>
        <w:numPr>
          <w:ilvl w:val="2"/>
          <w:numId w:val="55"/>
        </w:numPr>
        <w:ind w:left="567"/>
        <w:rPr>
          <w:sz w:val="20"/>
          <w:szCs w:val="20"/>
          <w:lang w:val="ro-RO"/>
        </w:rPr>
      </w:pPr>
      <w:r>
        <w:rPr>
          <w:sz w:val="20"/>
          <w:szCs w:val="20"/>
          <w:lang w:val="ro-RO"/>
        </w:rPr>
        <w:t>Lungimea traseului, tipul de pozare, numarul de cabluri, temperatura ambientala.</w:t>
      </w:r>
    </w:p>
    <w:p>
      <w:pPr>
        <w:rPr>
          <w:sz w:val="20"/>
          <w:szCs w:val="20"/>
          <w:lang w:val="ro-RO"/>
        </w:rPr>
      </w:pPr>
      <w:r>
        <w:rPr>
          <w:sz w:val="20"/>
          <w:szCs w:val="20"/>
          <w:lang w:val="ro-RO"/>
        </w:rPr>
        <w:t xml:space="preserve">Cablurile care vor îndeplini cerintele standardelor BS, IEC sau ale standardelor echivalente aprobate, vor fi acceptate, dovedind ca toate cablurile furnizate pentru o tensiune de operare </w:t>
      </w:r>
      <w:r>
        <w:rPr>
          <w:sz w:val="20"/>
          <w:szCs w:val="20"/>
          <w:lang w:val="ro-RO"/>
        </w:rPr>
        <w:lastRenderedPageBreak/>
        <w:t>specifica sunt supuse aceluiasi standard national. Fiecare cablu va fi în concordanta cu standardul conform aplicatiei. Standardele specificate în urmatoarele clauze vor indica tipul de cablu ce trebuie folosit în proiectare. În cazul în care Antreprenorul doreste sa foloseasca cabluri supuse unui standard alternativ, atunci vor fi înaintate Supervizorului pentru aprobare detalii ale capacitatii de transport, factorii de subregim etc.</w:t>
      </w:r>
    </w:p>
    <w:p>
      <w:pPr>
        <w:pStyle w:val="ListParagraph"/>
        <w:numPr>
          <w:ilvl w:val="0"/>
          <w:numId w:val="50"/>
        </w:numPr>
        <w:rPr>
          <w:b/>
          <w:sz w:val="20"/>
          <w:szCs w:val="20"/>
          <w:lang w:val="ro-RO"/>
        </w:rPr>
      </w:pPr>
      <w:r>
        <w:rPr>
          <w:b/>
          <w:sz w:val="20"/>
          <w:szCs w:val="20"/>
          <w:lang w:val="ro-RO"/>
        </w:rPr>
        <w:t>Cabluri de medie si joasa tensiune</w:t>
      </w:r>
    </w:p>
    <w:p>
      <w:pPr>
        <w:rPr>
          <w:sz w:val="20"/>
          <w:szCs w:val="20"/>
          <w:lang w:val="ro-RO"/>
        </w:rPr>
      </w:pPr>
      <w:r>
        <w:rPr>
          <w:sz w:val="20"/>
          <w:szCs w:val="20"/>
          <w:lang w:val="ro-RO"/>
        </w:rPr>
        <w:t>Cablurile vor fi conforme cu ultimele standarde: XLPE/ SWA/ PVC - articulatie densitate joasa, izolatie polietilena, conductor de cupru multifilar, stratificatie PVC extrudat, armatura de fire din otel galvanizat sau manta de otel, manta totala din PVC negru inhibitor de flacara, valabile pentru a fi folosite la sistemul de legare la pamânt pentru tensiunea specifica de 0.6/1kV si pâna la 1.9/3.3kV, dupa cum e specificat. Temperatura conductorului nu va creste peste 250°C în cazul operarii continue.</w:t>
      </w:r>
    </w:p>
    <w:p>
      <w:pPr>
        <w:rPr>
          <w:sz w:val="20"/>
          <w:szCs w:val="20"/>
          <w:lang w:val="ro-RO"/>
        </w:rPr>
      </w:pPr>
      <w:r>
        <w:rPr>
          <w:sz w:val="20"/>
          <w:szCs w:val="20"/>
          <w:lang w:val="ro-RO"/>
        </w:rPr>
        <w:t>Cablurile vor fi conforme cu ultimele standarde: PVC/ SWA/ PVC - izolatie PVC, stratificatie PVC extrudat, armatura din fire de otel galvanizat sau manta de otel, manta totala din PVC negru inhibitor de flacara, valabile pentru a fi folosite la sistemul de legare la pamânt pentru tensiune specifica de 0.6/1kV. Temperatura conductorului nu va creste peste 70°C în cazul operacontinue.</w:t>
      </w:r>
    </w:p>
    <w:p>
      <w:pPr>
        <w:pStyle w:val="ListParagraph"/>
        <w:keepNext/>
        <w:numPr>
          <w:ilvl w:val="0"/>
          <w:numId w:val="50"/>
        </w:numPr>
        <w:rPr>
          <w:b/>
          <w:sz w:val="20"/>
          <w:szCs w:val="20"/>
          <w:lang w:val="ro-RO"/>
        </w:rPr>
      </w:pPr>
      <w:r>
        <w:rPr>
          <w:b/>
          <w:sz w:val="20"/>
          <w:szCs w:val="20"/>
          <w:lang w:val="ro-RO"/>
        </w:rPr>
        <w:t>Cabluri flexibile</w:t>
      </w:r>
    </w:p>
    <w:p>
      <w:pPr>
        <w:rPr>
          <w:sz w:val="20"/>
          <w:szCs w:val="20"/>
          <w:lang w:val="ro-RO"/>
        </w:rPr>
      </w:pPr>
      <w:r>
        <w:rPr>
          <w:sz w:val="20"/>
          <w:szCs w:val="20"/>
          <w:lang w:val="ro-RO"/>
        </w:rPr>
        <w:t>Se vor utiliza pentru conectarea echipamentelor si aparatelor mobile. Cablurile vor fi cu manta de PVC, conductor de cupru multifilar izolat PVC, normat pentru 300/500V, în conformitate cu ultimele standarde.</w:t>
      </w:r>
    </w:p>
    <w:p>
      <w:pPr>
        <w:pStyle w:val="ListParagraph"/>
        <w:numPr>
          <w:ilvl w:val="0"/>
          <w:numId w:val="50"/>
        </w:numPr>
        <w:rPr>
          <w:b/>
          <w:sz w:val="20"/>
          <w:szCs w:val="20"/>
          <w:lang w:val="ro-RO"/>
        </w:rPr>
      </w:pPr>
      <w:r>
        <w:rPr>
          <w:b/>
          <w:sz w:val="20"/>
          <w:szCs w:val="20"/>
          <w:lang w:val="ro-RO"/>
        </w:rPr>
        <w:t>Cabluri pentru aparatura de masurare si control</w:t>
      </w:r>
    </w:p>
    <w:p>
      <w:pPr>
        <w:rPr>
          <w:sz w:val="20"/>
          <w:szCs w:val="20"/>
          <w:lang w:val="ro-RO"/>
        </w:rPr>
      </w:pPr>
      <w:r>
        <w:rPr>
          <w:sz w:val="20"/>
          <w:szCs w:val="20"/>
          <w:lang w:val="ro-RO"/>
        </w:rPr>
        <w:t>Cablurile de semnal analog vor fi izolate cu polietilena sau PVC, pozate în pereche, torsadate cu ecranari individuale sau colective, izolare cu PVC extrudat, armatura din fire de cupru si manta exterioara din PVC. Conductoarele cablurilor vor fi din cupru multifilar.</w:t>
      </w:r>
    </w:p>
    <w:p>
      <w:pPr>
        <w:rPr>
          <w:sz w:val="20"/>
          <w:szCs w:val="20"/>
          <w:lang w:val="ro-RO"/>
        </w:rPr>
      </w:pPr>
      <w:r>
        <w:rPr>
          <w:sz w:val="20"/>
          <w:szCs w:val="20"/>
          <w:lang w:val="ro-RO"/>
        </w:rPr>
        <w:t>Cablurile vor fi normate pentru 300/500V si vor îndeplini ultimele cerinte ale standardelor. Cabluri cu ecranare colectiva vor fi permise pentru folosirea în cazurile în care semnalul de transport are un nivel înalt (ex: 4-20mA) si traseul nu este mai lung de 30m. În cazurile în care traseul este mai lung de 30m sau semnalul este de nivel scazut, cablurile vor avea deopotriva ecranari individuale si colective sau vor fi cabluri speciale pentru instrumentatie.</w:t>
      </w:r>
    </w:p>
    <w:p>
      <w:pPr>
        <w:rPr>
          <w:sz w:val="20"/>
          <w:szCs w:val="20"/>
          <w:lang w:val="ro-RO"/>
        </w:rPr>
      </w:pPr>
      <w:r>
        <w:rPr>
          <w:sz w:val="20"/>
          <w:szCs w:val="20"/>
          <w:lang w:val="ro-RO"/>
        </w:rPr>
        <w:t>Pentru semnalele analogice, în cazurile în care semnalul nu are o tensiune mai mare de 24V si curentul maxim ce circula prin bucla este de 20mA, pot fi folosite cabluri de tip analog.</w:t>
      </w:r>
    </w:p>
    <w:p>
      <w:pPr>
        <w:pStyle w:val="Heading4"/>
        <w:rPr>
          <w:sz w:val="20"/>
          <w:szCs w:val="20"/>
          <w:lang w:val="ro-RO"/>
        </w:rPr>
      </w:pPr>
      <w:r>
        <w:rPr>
          <w:sz w:val="20"/>
          <w:szCs w:val="20"/>
          <w:lang w:val="ro-RO"/>
        </w:rPr>
        <w:t>2.2.11.5 Instalare</w:t>
      </w:r>
    </w:p>
    <w:p>
      <w:pPr>
        <w:pStyle w:val="ListParagraph"/>
        <w:numPr>
          <w:ilvl w:val="0"/>
          <w:numId w:val="50"/>
        </w:numPr>
        <w:rPr>
          <w:b/>
          <w:sz w:val="20"/>
          <w:szCs w:val="20"/>
          <w:lang w:val="ro-RO"/>
        </w:rPr>
      </w:pPr>
      <w:r>
        <w:rPr>
          <w:b/>
          <w:sz w:val="20"/>
          <w:szCs w:val="20"/>
          <w:lang w:val="ro-RO"/>
        </w:rPr>
        <w:t>Generalitati</w:t>
      </w:r>
    </w:p>
    <w:p>
      <w:pPr>
        <w:rPr>
          <w:sz w:val="20"/>
          <w:szCs w:val="20"/>
          <w:lang w:val="ro-RO"/>
        </w:rPr>
      </w:pPr>
      <w:r>
        <w:rPr>
          <w:sz w:val="20"/>
          <w:szCs w:val="20"/>
          <w:lang w:val="ro-RO"/>
        </w:rPr>
        <w:t>Cablurile cu manta din PVC si armatura metalica de otel pot fi instalate în toate amplasamentele, inclusiv sa fie îngropate direct în pamânt, protejate în conducte subterane sau montate direct la suprafata ori în canale de cabluri neacoperite.</w:t>
      </w:r>
    </w:p>
    <w:p>
      <w:pPr>
        <w:rPr>
          <w:sz w:val="20"/>
          <w:szCs w:val="20"/>
          <w:lang w:val="ro-RO"/>
        </w:rPr>
      </w:pPr>
      <w:r>
        <w:rPr>
          <w:sz w:val="20"/>
          <w:szCs w:val="20"/>
          <w:lang w:val="ro-RO"/>
        </w:rPr>
        <w:t>Firele simplu izolate fara manta vor fi instalate doar în conducte de protectie de otel zincat sau canale de cabluri. Cablurile cu manta, dar fara nici o forma de armatura, vor fi instalate doar în amplasamente protejate interioare, cum ar fi treceri prin pardoseala, conducte sau trasee de cabluri si scari acoperite.</w:t>
      </w:r>
    </w:p>
    <w:p>
      <w:pPr>
        <w:rPr>
          <w:sz w:val="20"/>
          <w:szCs w:val="20"/>
          <w:lang w:val="ro-RO"/>
        </w:rPr>
      </w:pPr>
      <w:r>
        <w:rPr>
          <w:sz w:val="20"/>
          <w:szCs w:val="20"/>
          <w:lang w:val="ro-RO"/>
        </w:rPr>
        <w:t>Cablurile cu conductor simplu nu vor fi folosite decât daca este absolut necesar (de ex: cablurile de alimentare de la transformatoare la tabloul general de distributie sau de la generatorul de avarie la tabloul general de distributie). Acolo unde metoda de instalare necesita armarea, cablul va fi de tipul ne-magnetic, format din fire sau fâsii de aluminiu. Nici un cablu cu conductor simplu nu va fi îngropat direct în pamânt.</w:t>
      </w:r>
    </w:p>
    <w:p>
      <w:pPr>
        <w:rPr>
          <w:sz w:val="20"/>
          <w:szCs w:val="20"/>
          <w:lang w:val="ro-RO"/>
        </w:rPr>
      </w:pPr>
      <w:r>
        <w:rPr>
          <w:sz w:val="20"/>
          <w:szCs w:val="20"/>
          <w:lang w:val="ro-RO"/>
        </w:rPr>
        <w:t>În situatia în care vor fi pozate mai multe cabluri în acelasi canal, sant sau conducta, se va ţine cont de încalzirea lor, deci implicit de încarcarea maxima de curent. Intersectiile vor trebui evitate pe cât de mult posibil. Cablurile de curenti mari si tensiuni peste 24V (de ex: cele care transporta mai mult de 50A), si cablurile de semnalizare vor fi pozate separat, pentru a minimaliza interferentele cu respectarea normativelor I7-2011 si I18.</w:t>
      </w:r>
    </w:p>
    <w:p>
      <w:pPr>
        <w:rPr>
          <w:sz w:val="20"/>
          <w:szCs w:val="20"/>
          <w:lang w:val="ro-RO"/>
        </w:rPr>
      </w:pPr>
      <w:r>
        <w:rPr>
          <w:sz w:val="20"/>
          <w:szCs w:val="20"/>
          <w:lang w:val="ro-RO"/>
        </w:rPr>
        <w:lastRenderedPageBreak/>
        <w:t>Accesul cablurilor într-un echipament se va face prin acelasi loc, preferabil din aceeasi directie.</w:t>
      </w:r>
    </w:p>
    <w:p>
      <w:pPr>
        <w:rPr>
          <w:sz w:val="20"/>
          <w:szCs w:val="20"/>
          <w:lang w:val="ro-RO"/>
        </w:rPr>
      </w:pPr>
      <w:r>
        <w:rPr>
          <w:sz w:val="20"/>
          <w:szCs w:val="20"/>
          <w:lang w:val="ro-RO"/>
        </w:rPr>
        <w:t>Nu se admit intrari/ plecari la acelasi tablou electric si pe sus si pe jos, ci numai printr-un singur loc.</w:t>
      </w:r>
    </w:p>
    <w:p>
      <w:pPr>
        <w:rPr>
          <w:sz w:val="20"/>
          <w:szCs w:val="20"/>
          <w:lang w:val="ro-RO"/>
        </w:rPr>
      </w:pPr>
      <w:r>
        <w:rPr>
          <w:sz w:val="20"/>
          <w:szCs w:val="20"/>
          <w:lang w:val="ro-RO"/>
        </w:rPr>
        <w:t>La pozare, cablurile vor fi complete cu toate accesoriile, suporti, scoabe, cleme, canale, scari, suruburi, piulite, saibe, pachete, piese de trecere, nisip, capace de beton, banda de marcat si etichete de marcat traseul.</w:t>
      </w:r>
    </w:p>
    <w:p>
      <w:pPr>
        <w:rPr>
          <w:sz w:val="20"/>
          <w:szCs w:val="20"/>
          <w:lang w:val="ro-RO"/>
        </w:rPr>
      </w:pPr>
      <w:r>
        <w:rPr>
          <w:sz w:val="20"/>
          <w:szCs w:val="20"/>
          <w:lang w:val="ro-RO"/>
        </w:rPr>
        <w:t>Pentru semnalizarea traseului subteran se va utiliza o banda de marcat ce va fi plasata în pamânt, deasupra cablurilor pozate direct pe pamânt sau în conducte. Banda va avea latimea de 150mm si se va amplasa la 0,3m de suprafata terenului.</w:t>
      </w:r>
    </w:p>
    <w:p>
      <w:pPr>
        <w:rPr>
          <w:sz w:val="20"/>
          <w:szCs w:val="20"/>
          <w:lang w:val="ro-RO"/>
        </w:rPr>
      </w:pPr>
      <w:r>
        <w:rPr>
          <w:sz w:val="20"/>
          <w:szCs w:val="20"/>
          <w:lang w:val="ro-RO"/>
        </w:rPr>
        <w:t>Se vor evita prelungirile cablurilor, iar acolo unde este cazul vor fi instalate mufe de prelungire cu aprobarea primita de la Supervizor. În cazul montarii cablurilor pe trasee expuse actiunii razelor solare, se vor utiliza cabluri cu învelis rezistent la intemperii și se vor monta în tubulaturi speciale cu posibilitatea de desfacere a acestora în cazul în care se dorește branșarea altor cabluri în cele existente pozate. Această protecție specială din PE permite racordarea punctuală a cablurilor.</w:t>
      </w:r>
    </w:p>
    <w:p>
      <w:pPr>
        <w:rPr>
          <w:sz w:val="20"/>
          <w:szCs w:val="20"/>
          <w:lang w:val="ro-RO"/>
        </w:rPr>
      </w:pPr>
      <w:r>
        <w:rPr>
          <w:sz w:val="20"/>
          <w:szCs w:val="20"/>
          <w:lang w:val="ro-RO"/>
        </w:rPr>
        <w:t>Cablurile electrice  de OS se vor proteja în conducte din PEHd cu posibilitate de racordare ulterioară a altor cabluri.</w:t>
      </w:r>
    </w:p>
    <w:p>
      <w:pPr>
        <w:rPr>
          <w:sz w:val="20"/>
          <w:szCs w:val="20"/>
          <w:lang w:val="ro-RO"/>
        </w:rPr>
      </w:pPr>
      <w:r>
        <w:rPr>
          <w:sz w:val="20"/>
          <w:szCs w:val="20"/>
          <w:lang w:val="ro-RO"/>
        </w:rPr>
        <w:t>În cazurile în care nu se poate evita, cablurile care vor fi instalate în zone cu expunere directă la soare vor fi protejate cu capace, pentru a evita încalzirea lor. Metodele de realizare a capacelor pentru umbra vor fi construite dupa aprobarea Supervizorului.</w:t>
      </w:r>
    </w:p>
    <w:p>
      <w:pPr>
        <w:rPr>
          <w:sz w:val="20"/>
          <w:szCs w:val="20"/>
          <w:lang w:val="ro-RO"/>
        </w:rPr>
      </w:pPr>
      <w:r>
        <w:rPr>
          <w:sz w:val="20"/>
          <w:szCs w:val="20"/>
          <w:lang w:val="ro-RO"/>
        </w:rPr>
        <w:t>Traseele de cabluri interioare vor fi realizate cu cabluri de cupru izolate în PVC, instalate aparent sau în canale ce vor fi fixate de perete sau structurile metalice.</w:t>
      </w:r>
    </w:p>
    <w:p>
      <w:pPr>
        <w:rPr>
          <w:sz w:val="20"/>
          <w:szCs w:val="20"/>
          <w:lang w:val="ro-RO"/>
        </w:rPr>
      </w:pPr>
      <w:r>
        <w:rPr>
          <w:sz w:val="20"/>
          <w:szCs w:val="20"/>
          <w:lang w:val="ro-RO"/>
        </w:rPr>
        <w:t>Pentru instalatiile de iluminat, dimensiunea conductorului de cupru nu va fi mai mica de 1,5 mm, iar pentru circuitele de priza, dimensiunea conductorului de cupru nu va fi mai mica de 2,5 mm.</w:t>
      </w:r>
    </w:p>
    <w:p>
      <w:pPr>
        <w:rPr>
          <w:sz w:val="20"/>
          <w:szCs w:val="20"/>
          <w:u w:val="single"/>
          <w:lang w:val="ro-RO"/>
        </w:rPr>
      </w:pPr>
      <w:r>
        <w:rPr>
          <w:sz w:val="20"/>
          <w:szCs w:val="20"/>
          <w:u w:val="single"/>
          <w:lang w:val="ro-RO"/>
        </w:rPr>
        <w:t>Suporturile de cablu</w:t>
      </w:r>
    </w:p>
    <w:p>
      <w:pPr>
        <w:rPr>
          <w:sz w:val="20"/>
          <w:szCs w:val="20"/>
          <w:lang w:val="ro-RO"/>
        </w:rPr>
      </w:pPr>
      <w:r>
        <w:rPr>
          <w:sz w:val="20"/>
          <w:szCs w:val="20"/>
          <w:lang w:val="ro-RO"/>
        </w:rPr>
        <w:t>Jgheaburile (paturile) de cabluri vor fi sprijinite la intervale prevazute în normativul I7-2011. Clemele de prindere a cablurilor vor fi instalate la distantele recomandate de catre producator. Traseele singulare de cabluri armate cu izolatie si manta din PVC vor fi sprijinite numai cu coliere din PVC. Traseele multiple de cabluri armate cu izolatie si manta din PVC vor fi fixate în jgheaburi sau paturi de cabluri sprijinite cu elemente de reazem din metal galvanizat la cald.</w:t>
      </w:r>
    </w:p>
    <w:p>
      <w:pPr>
        <w:rPr>
          <w:sz w:val="20"/>
          <w:szCs w:val="20"/>
          <w:lang w:val="ro-RO"/>
        </w:rPr>
      </w:pPr>
      <w:r>
        <w:rPr>
          <w:sz w:val="20"/>
          <w:szCs w:val="20"/>
          <w:lang w:val="ro-RO"/>
        </w:rPr>
        <w:t>Cablurile izolate cu PVC, dar nearmate, vor fi instalate în tuburi/ tevi de protectie sau în canale/ jgheaburi de cabluri.</w:t>
      </w:r>
    </w:p>
    <w:p>
      <w:pPr>
        <w:pStyle w:val="ListParagraph"/>
        <w:numPr>
          <w:ilvl w:val="0"/>
          <w:numId w:val="50"/>
        </w:numPr>
        <w:rPr>
          <w:b/>
          <w:sz w:val="20"/>
          <w:szCs w:val="20"/>
          <w:lang w:val="ro-RO"/>
        </w:rPr>
      </w:pPr>
      <w:r>
        <w:rPr>
          <w:b/>
          <w:sz w:val="20"/>
          <w:szCs w:val="20"/>
          <w:lang w:val="ro-RO"/>
        </w:rPr>
        <w:t>Canale si jgheaburi de cabluri</w:t>
      </w:r>
    </w:p>
    <w:p>
      <w:pPr>
        <w:rPr>
          <w:sz w:val="20"/>
          <w:szCs w:val="20"/>
          <w:lang w:val="ro-RO"/>
        </w:rPr>
      </w:pPr>
      <w:r>
        <w:rPr>
          <w:sz w:val="20"/>
          <w:szCs w:val="20"/>
          <w:lang w:val="ro-RO"/>
        </w:rPr>
        <w:t>Jgheaburile de cabluri vor fi confectionate din profile metalice perforate, realizate din otel moale galvanizat la cald si vor avea margini dublu îndoite. Jgheaburile (paturile) de cabluri vor fi dimensionate astfel încât sa permita adaugarea ulterioara a unui numar suplimentar de cabluri egal cu 25% din cele care vor fi pozate conform conditiilor contractuale.</w:t>
      </w:r>
    </w:p>
    <w:p>
      <w:pPr>
        <w:rPr>
          <w:sz w:val="20"/>
          <w:szCs w:val="20"/>
          <w:lang w:val="ro-RO"/>
        </w:rPr>
      </w:pPr>
      <w:r>
        <w:rPr>
          <w:sz w:val="20"/>
          <w:szCs w:val="20"/>
          <w:lang w:val="ro-RO"/>
        </w:rPr>
        <w:t>Jgheaburile (paturile) de cabluri vor fi instalate pe suporti zincati la cald adecvati (console) în conformitate cu specificatiile producatorului acestora sau produsi de catre acesta. În spatele jgheaburilor (paturilor) de cabluri distanta minima va fi de cel putin 25 mm si va fi adecvata pentru a permite fixarea cablurilor cu coliere din PVC. În zona rosturilor de dilatare ale constructiei, continuitatea mecanica a jgheabului (patului) de cabluri va fi întrerupta, iar continuitatea electrica va fi asigurata prin intermediul unui conductor electric flexibil multifilar.</w:t>
      </w:r>
    </w:p>
    <w:p>
      <w:pPr>
        <w:rPr>
          <w:sz w:val="20"/>
          <w:szCs w:val="20"/>
          <w:lang w:val="ro-RO"/>
        </w:rPr>
      </w:pPr>
      <w:r>
        <w:rPr>
          <w:sz w:val="20"/>
          <w:szCs w:val="20"/>
          <w:lang w:val="ro-RO"/>
        </w:rPr>
        <w:t>Jgheaburile de cabluri vor fi manufacturate fie din otel moale, fie din plastic si vor fi conforme cu SR EN 50085 si SR EN 61537. Jgheaburile (paturile) de cabluri vor fi confectionate din otel moale.</w:t>
      </w:r>
    </w:p>
    <w:p>
      <w:pPr>
        <w:rPr>
          <w:sz w:val="20"/>
          <w:szCs w:val="20"/>
          <w:lang w:val="ro-RO"/>
        </w:rPr>
      </w:pPr>
      <w:r>
        <w:rPr>
          <w:sz w:val="20"/>
          <w:szCs w:val="20"/>
          <w:lang w:val="ro-RO"/>
        </w:rPr>
        <w:t xml:space="preserve">Canalele de cabluri si jgheaburile (paturile) de cabluri confectionate din otel moale vor fi galvanizate obligatoriu la cald (baie de zinc topit) . În orice loc unde, în urma unor interventii cum ar fi operatiile de debitare, gaurire sau sudare, acoperirea galvanica a jgheabului (patului) de cabluri este deteriorata, ea va trebui refacuta si adusa la starea initiala cu vopsea sau spray </w:t>
      </w:r>
      <w:r>
        <w:rPr>
          <w:sz w:val="20"/>
          <w:szCs w:val="20"/>
          <w:lang w:val="ro-RO"/>
        </w:rPr>
        <w:lastRenderedPageBreak/>
        <w:t>de vopsea pe baza de zinc. Numarul de cabluri pozate în jgheaburi (paturi) va fi cel recomandat de standardul IEC 60364, iar factorul de umplere nu va depasi 45%.</w:t>
      </w:r>
    </w:p>
    <w:p>
      <w:pPr>
        <w:rPr>
          <w:sz w:val="20"/>
          <w:szCs w:val="20"/>
          <w:lang w:val="ro-RO"/>
        </w:rPr>
      </w:pPr>
      <w:r>
        <w:rPr>
          <w:sz w:val="20"/>
          <w:szCs w:val="20"/>
          <w:lang w:val="ro-RO"/>
        </w:rPr>
        <w:t>Pozarea jgheaburilor de cabluri si a paturilor de cabluri, precum si instalarea cablurilor în sau pe acestea vor fi efectuate folosind doar accesoriile si elementele de îmbinare/fixare aprobate de catre producatorul canalelor si jgheaburilor (paturilor). Aceste accesorii, precum si elementele de îmbinare/fixare vor fi fie produse din materiale rezistente la coroziune, vopsite sau tratate în mod adecvat pentru a le face rezistente la coroziune.</w:t>
      </w:r>
    </w:p>
    <w:p>
      <w:pPr>
        <w:rPr>
          <w:sz w:val="20"/>
          <w:szCs w:val="20"/>
          <w:lang w:val="ro-RO"/>
        </w:rPr>
      </w:pPr>
      <w:r>
        <w:rPr>
          <w:sz w:val="20"/>
          <w:szCs w:val="20"/>
          <w:lang w:val="ro-RO"/>
        </w:rPr>
        <w:t>Toate conexiunile si îmbinarile traseelor de canale si jgheaburi (paturi) de cabluri vor fi prevazute cu legaturi electrice realizate cu conductoare multifilare, cu rol de a asigura continuitatea electrica a legarii la pamânt a canalelor si jgheaburilor (paturilor) de cabluri.</w:t>
      </w:r>
    </w:p>
    <w:p>
      <w:pPr>
        <w:pStyle w:val="ListParagraph"/>
        <w:numPr>
          <w:ilvl w:val="0"/>
          <w:numId w:val="50"/>
        </w:numPr>
        <w:rPr>
          <w:b/>
          <w:sz w:val="20"/>
          <w:szCs w:val="20"/>
          <w:lang w:val="ro-RO"/>
        </w:rPr>
      </w:pPr>
      <w:r>
        <w:rPr>
          <w:b/>
          <w:sz w:val="20"/>
          <w:szCs w:val="20"/>
          <w:lang w:val="ro-RO"/>
        </w:rPr>
        <w:t>Sisteme de tuburi</w:t>
      </w:r>
    </w:p>
    <w:p>
      <w:pPr>
        <w:rPr>
          <w:sz w:val="20"/>
          <w:szCs w:val="20"/>
          <w:lang w:val="ro-RO"/>
        </w:rPr>
      </w:pPr>
      <w:r>
        <w:rPr>
          <w:sz w:val="20"/>
          <w:szCs w:val="20"/>
          <w:lang w:val="ro-RO"/>
        </w:rPr>
        <w:t>Montarea tuburilor se va face astfel încât sa nu fie posibila patrunderea apei sau colectarea apei de condensatie în interiorul lor. În situatii speciale (I7-2011) se monteaza cu panta de 0,5 .... 1 % între doua doze.</w:t>
      </w:r>
    </w:p>
    <w:p>
      <w:pPr>
        <w:rPr>
          <w:sz w:val="20"/>
          <w:szCs w:val="20"/>
          <w:lang w:val="ro-RO"/>
        </w:rPr>
      </w:pPr>
      <w:r>
        <w:rPr>
          <w:sz w:val="20"/>
          <w:szCs w:val="20"/>
          <w:lang w:val="ro-RO"/>
        </w:rPr>
        <w:t>Tuburile se vor monta pe trasee orizontale sau verticale. Exceptii se admit numai în cazurile în care acest lucru nu este posibil.</w:t>
      </w:r>
    </w:p>
    <w:p>
      <w:pPr>
        <w:rPr>
          <w:sz w:val="20"/>
          <w:szCs w:val="20"/>
          <w:lang w:val="ro-RO"/>
        </w:rPr>
      </w:pPr>
      <w:r>
        <w:rPr>
          <w:sz w:val="20"/>
          <w:szCs w:val="20"/>
          <w:lang w:val="ro-RO"/>
        </w:rPr>
        <w:t>Tuburile (tevile) de protectie a cablurilor pentru instalatiile interioare si exterioare vor fi realizate fie din policlorura de vinil neplastifiata (uPVC) de tip greu, ce vor fi asamblate cu adezivi pe baza de solventi, fie din otel moale galvanizat la cald conform cu EN 60439-1 clasa 4, ce vor fi asamblate prin intermediul unor racorduri (mufe) filetate. În orice loc unde, în urma unor interventii cum ar fi operatiile de debitare, gaurire sau sudare, acoperirea galvanica este deteriorata, ea va trebui refacuta si adusa la starea initiala.</w:t>
      </w:r>
    </w:p>
    <w:p>
      <w:pPr>
        <w:rPr>
          <w:sz w:val="20"/>
          <w:szCs w:val="20"/>
          <w:lang w:val="ro-RO"/>
        </w:rPr>
      </w:pPr>
      <w:r>
        <w:rPr>
          <w:sz w:val="20"/>
          <w:szCs w:val="20"/>
          <w:lang w:val="ro-RO"/>
        </w:rPr>
        <w:t>Sistemele de tuburi (tevi) de protectie a cablurilor vor fi conforme, dupa caz, cu EN 61386 si SR EN 50086-1, iar numarul de cabluri instalate nu-l va depasi pe cel recomandat în IEC 60364.</w:t>
      </w:r>
    </w:p>
    <w:p>
      <w:pPr>
        <w:rPr>
          <w:sz w:val="20"/>
          <w:szCs w:val="20"/>
          <w:lang w:val="ro-RO"/>
        </w:rPr>
      </w:pPr>
      <w:r>
        <w:rPr>
          <w:sz w:val="20"/>
          <w:szCs w:val="20"/>
          <w:lang w:val="ro-RO"/>
        </w:rPr>
        <w:t>Nu se vor folosi tuburi (tevi) cu diametrul mai mic de 20 mm. Elementele de îmbinare/fixare si accesoriile sistemelor de tuburi (tevi) de protectie a cablurilor vor fi produse fie din materiale rezistente la coroziune, fie vopsite sau tratate în mod adecvat pentru a le face rezistente la coroziune.</w:t>
      </w:r>
    </w:p>
    <w:p>
      <w:pPr>
        <w:rPr>
          <w:sz w:val="20"/>
          <w:szCs w:val="20"/>
          <w:lang w:val="ro-RO"/>
        </w:rPr>
      </w:pPr>
      <w:r>
        <w:rPr>
          <w:sz w:val="20"/>
          <w:szCs w:val="20"/>
          <w:lang w:val="ro-RO"/>
        </w:rPr>
        <w:t>Nu se permit nici un fel de înnadiri în interiorul tuburilor (tevilor). Cablurile si conductoarele pozate în tuburi (tevi) vor fi continue între capetele tubului. Dozele de derivatie si tragere vor fi amplasate astfel încât între doua doze consecutive sa nu existe mai mult de doua elemente de schimbare a directiei (coturi) sau echivalentul acestora, sau o distanta mai mare de 9 metri una fata de cealalta.</w:t>
      </w:r>
    </w:p>
    <w:p>
      <w:pPr>
        <w:rPr>
          <w:sz w:val="20"/>
          <w:szCs w:val="20"/>
          <w:lang w:val="ro-RO"/>
        </w:rPr>
      </w:pPr>
      <w:r>
        <w:rPr>
          <w:sz w:val="20"/>
          <w:szCs w:val="20"/>
          <w:lang w:val="ro-RO"/>
        </w:rPr>
        <w:t>La montarea tuburilor se vor prevedea elemente de fixare conform normativului I7-2011. Montarea accesoriilor se va face respectând normativul I7-2011. Daca se utilizeaza tuburi (tevi) metalice flexibile, acestea vor fi din otel zincat cu manta exterioara din PVC si vor fi prevazute cu piese de capat si racord corespunzatoare. Separat, în tub se pozeaza si un conductor din cupru cositorit (stanat), conectat la ambele capete la instalatia de legare la pamânt.</w:t>
      </w:r>
    </w:p>
    <w:p>
      <w:pPr>
        <w:rPr>
          <w:sz w:val="20"/>
          <w:szCs w:val="20"/>
          <w:lang w:val="ro-RO"/>
        </w:rPr>
      </w:pPr>
      <w:r>
        <w:rPr>
          <w:sz w:val="20"/>
          <w:szCs w:val="20"/>
          <w:lang w:val="ro-RO"/>
        </w:rPr>
        <w:t>Atunci când tuburile (tevile) de protectie a cablurilor se termina în tablouri de distributie, dulapuri, cutii de comanda sau alte echipamente care nu sunt prevazute cu racord filetat, tuburilor li se vor adapta mufe filetate din bronz (alama), prevazute cu garnitura de etansare.</w:t>
      </w:r>
    </w:p>
    <w:p>
      <w:pPr>
        <w:rPr>
          <w:sz w:val="20"/>
          <w:szCs w:val="20"/>
          <w:lang w:val="ro-RO"/>
        </w:rPr>
      </w:pPr>
      <w:r>
        <w:rPr>
          <w:sz w:val="20"/>
          <w:szCs w:val="20"/>
          <w:lang w:val="ro-RO"/>
        </w:rPr>
        <w:t>În zona rosturilor de dilatare ale constructiei, tuburile (tevile) de protectie a cablurilor vor fi îmbinate prin intermediul unor elemente expandabile. În zona de îmbinare a tuburilor (tevilor) vor fi prevazute, de asemenea, cutii de vizitare în ambele parti.</w:t>
      </w:r>
    </w:p>
    <w:p>
      <w:pPr>
        <w:rPr>
          <w:sz w:val="20"/>
          <w:szCs w:val="20"/>
          <w:lang w:val="ro-RO"/>
        </w:rPr>
      </w:pPr>
      <w:r>
        <w:rPr>
          <w:sz w:val="20"/>
          <w:szCs w:val="20"/>
          <w:lang w:val="ro-RO"/>
        </w:rPr>
        <w:t>Daca distanta de la suprafata dozelor la suprafata peretelui sau tavanului finisat depaseste 6,5mm, vor fi prevazute inele de extensie.</w:t>
      </w:r>
    </w:p>
    <w:p>
      <w:pPr>
        <w:rPr>
          <w:sz w:val="20"/>
          <w:szCs w:val="20"/>
          <w:lang w:val="ro-RO"/>
        </w:rPr>
      </w:pPr>
      <w:r>
        <w:rPr>
          <w:sz w:val="20"/>
          <w:szCs w:val="20"/>
          <w:lang w:val="ro-RO"/>
        </w:rPr>
        <w:t>Dozele de derivatie si tragere pentru tuburi (tevi) vor fi fixate de elementele de structura prin intermediul a cel putin doua suruburi în mod independent de sistemul de tuburi (tevi). Se vor utiliza suruburi cu acoperire galvanica rezistenta la coroziune sau de alama.</w:t>
      </w:r>
    </w:p>
    <w:p>
      <w:pPr>
        <w:rPr>
          <w:sz w:val="20"/>
          <w:szCs w:val="20"/>
          <w:lang w:val="ro-RO"/>
        </w:rPr>
      </w:pPr>
      <w:r>
        <w:rPr>
          <w:sz w:val="20"/>
          <w:szCs w:val="20"/>
          <w:lang w:val="ro-RO"/>
        </w:rPr>
        <w:lastRenderedPageBreak/>
        <w:t>Elementele de sustinere (suportii) tuburilor (tevilor) vor fi prevazute la distanta de 300 mm fata de dozele de derivatie si tragere si la distanta de 1 metru unul de celalalt pe traseele rectilinii continue.</w:t>
      </w:r>
    </w:p>
    <w:p>
      <w:pPr>
        <w:rPr>
          <w:sz w:val="20"/>
          <w:szCs w:val="20"/>
          <w:lang w:val="ro-RO"/>
        </w:rPr>
      </w:pPr>
      <w:r>
        <w:rPr>
          <w:sz w:val="20"/>
          <w:szCs w:val="20"/>
          <w:lang w:val="ro-RO"/>
        </w:rPr>
        <w:t>În situatia în care tuburile (tevile) urmeaza sa fie montate îngropat în elementele de constructie, adâncimea canalului practicat trebuie sa fie astfel încât sa permita aplicarea unui strat de tencuiala sau alt finisaj de cel putin 6 mm peste acestea.</w:t>
      </w:r>
    </w:p>
    <w:p>
      <w:pPr>
        <w:rPr>
          <w:sz w:val="20"/>
          <w:szCs w:val="20"/>
          <w:lang w:val="ro-RO"/>
        </w:rPr>
      </w:pPr>
      <w:r>
        <w:rPr>
          <w:sz w:val="20"/>
          <w:szCs w:val="20"/>
          <w:lang w:val="ro-RO"/>
        </w:rPr>
        <w:t>Conductoarele si cablurile vor fi pozate în tuburi numai când temperatura ambientala a înregistrat continuu valori de peste 5° C timp de 24 ore.</w:t>
      </w:r>
    </w:p>
    <w:p>
      <w:pPr>
        <w:rPr>
          <w:sz w:val="20"/>
          <w:szCs w:val="20"/>
          <w:lang w:val="ro-RO"/>
        </w:rPr>
      </w:pPr>
      <w:r>
        <w:rPr>
          <w:sz w:val="20"/>
          <w:szCs w:val="20"/>
          <w:lang w:val="ro-RO"/>
        </w:rPr>
        <w:t>În principiu, cablarea subcircuitelor finale va fi realizata în bucla, cu efectuarea tuturor conexiunilor în comutatoarele/ întreruptoarele principale, în tablourile de distributie, în corpurile de iluminat si în dozele de distributie.</w:t>
      </w:r>
    </w:p>
    <w:p>
      <w:pPr>
        <w:rPr>
          <w:sz w:val="20"/>
          <w:szCs w:val="20"/>
          <w:lang w:val="ro-RO"/>
        </w:rPr>
      </w:pPr>
      <w:r>
        <w:rPr>
          <w:sz w:val="20"/>
          <w:szCs w:val="20"/>
          <w:lang w:val="ro-RO"/>
        </w:rPr>
        <w:t>Conductoarele de faza si neutre ale circuitelor individuale vor fi pozate în acelasi canal (tub profilat). Fitingurile tuburilor (canalelor profilate) vor avea aceeasi culoare cu cea a a tuburilor (canalelor profilate).</w:t>
      </w:r>
    </w:p>
    <w:p>
      <w:pPr>
        <w:rPr>
          <w:sz w:val="20"/>
          <w:szCs w:val="20"/>
          <w:lang w:val="ro-RO"/>
        </w:rPr>
      </w:pPr>
      <w:r>
        <w:rPr>
          <w:sz w:val="20"/>
          <w:szCs w:val="20"/>
          <w:lang w:val="ro-RO"/>
        </w:rPr>
        <w:t>Nu este admisa utilizarea coturilor de inspectie, a elementelor de racordare si a teurilor ca elemente de configurare a traseelor tuburilor (tevilor).</w:t>
      </w:r>
    </w:p>
    <w:p>
      <w:pPr>
        <w:rPr>
          <w:sz w:val="20"/>
          <w:szCs w:val="20"/>
          <w:lang w:val="ro-RO"/>
        </w:rPr>
      </w:pPr>
      <w:r>
        <w:rPr>
          <w:sz w:val="20"/>
          <w:szCs w:val="20"/>
          <w:lang w:val="ro-RO"/>
        </w:rPr>
        <w:t>Executarea legaturilor electrice se va face respectând prevederile normativului I7-2011. Mufele si dopurile de blindare vor fi confectionate din alama. Fitingurile tuburilor (tevilor) montate îngropat vor fi prevazute cu capace de acoperire.</w:t>
      </w:r>
    </w:p>
    <w:p>
      <w:pPr>
        <w:rPr>
          <w:sz w:val="20"/>
          <w:szCs w:val="20"/>
          <w:lang w:val="ro-RO"/>
        </w:rPr>
      </w:pPr>
      <w:r>
        <w:rPr>
          <w:sz w:val="20"/>
          <w:szCs w:val="20"/>
          <w:lang w:val="ro-RO"/>
        </w:rPr>
        <w:t>Reteaua de tuburi (canale profilate) va avea, obligatoriu, continuitate electrica si mecanica. Montajul tuburilor (canalelor profilate) se va face astfel încât, dupa finalizarea acestuia (adica atunci când finisajele peretilor, tavanelor si pardoselilor au fost încheiate), operatiile de cablare electrica sa poata fi efectuate comod.</w:t>
      </w:r>
    </w:p>
    <w:p>
      <w:pPr>
        <w:rPr>
          <w:sz w:val="20"/>
          <w:szCs w:val="20"/>
          <w:lang w:val="ro-RO"/>
        </w:rPr>
      </w:pPr>
      <w:r>
        <w:rPr>
          <w:sz w:val="20"/>
          <w:szCs w:val="20"/>
          <w:lang w:val="ro-RO"/>
        </w:rPr>
        <w:t>Trasee oblice (înclinate) vor fi adoptate doar atunci când acestea sunt paralele cu anumite elemente particulare ale constructiei.</w:t>
      </w:r>
    </w:p>
    <w:p>
      <w:pPr>
        <w:rPr>
          <w:sz w:val="20"/>
          <w:szCs w:val="20"/>
          <w:lang w:val="ro-RO"/>
        </w:rPr>
      </w:pPr>
      <w:r>
        <w:rPr>
          <w:sz w:val="20"/>
          <w:szCs w:val="20"/>
          <w:lang w:val="ro-RO"/>
        </w:rPr>
        <w:t>Tuburile (tevile) vor fi montate îngrijit, într-o dispunere simetrica, cu trasee orizontale sau verticale.</w:t>
      </w:r>
    </w:p>
    <w:p>
      <w:pPr>
        <w:rPr>
          <w:sz w:val="20"/>
          <w:szCs w:val="20"/>
          <w:lang w:val="ro-RO"/>
        </w:rPr>
      </w:pPr>
      <w:r>
        <w:rPr>
          <w:sz w:val="20"/>
          <w:szCs w:val="20"/>
          <w:lang w:val="ro-RO"/>
        </w:rPr>
        <w:t>Tuburile (canalele profilate) vor fi amplasate la o distanta de cel putin 150 mm de conductele de apa sau ale altor utilitati. Traseele tuburilor (canalelor profilate) vor fi configurate astfel încât apa provenita prin condensare sa se poata acumula în zonele joase ale traseelor, de unde aceasta sa poata fi evacuata prin întermediul unui stut de drenare.</w:t>
      </w:r>
    </w:p>
    <w:p>
      <w:pPr>
        <w:rPr>
          <w:sz w:val="20"/>
          <w:szCs w:val="20"/>
          <w:lang w:val="ro-RO"/>
        </w:rPr>
      </w:pPr>
      <w:r>
        <w:rPr>
          <w:sz w:val="20"/>
          <w:szCs w:val="20"/>
          <w:lang w:val="ro-RO"/>
        </w:rPr>
        <w:t>Toate curburile tuburilor (canalelor profilate) metalice se vor executa pe masini speciale, utilizând profile de formare adecvate. Razele de curbura nu vor fi mai mici decât triplul diametrului exterior al tubului.</w:t>
      </w:r>
    </w:p>
    <w:p>
      <w:pPr>
        <w:rPr>
          <w:sz w:val="20"/>
          <w:szCs w:val="20"/>
          <w:lang w:val="ro-RO"/>
        </w:rPr>
      </w:pPr>
      <w:r>
        <w:rPr>
          <w:sz w:val="20"/>
          <w:szCs w:val="20"/>
          <w:lang w:val="ro-RO"/>
        </w:rPr>
        <w:t>În situatiile în care, în urma unor interventii cum ar fi operatiile de prelucrare sau montaj, acoperirea galvanica a tuburilor (canalelor profilate) metalice este deteriorata, aceasta va trebui refacuta cu grund de zinc si vopsea de aluminiu si adusa, astfel, la starea initiala.</w:t>
      </w:r>
    </w:p>
    <w:p>
      <w:pPr>
        <w:rPr>
          <w:sz w:val="20"/>
          <w:szCs w:val="20"/>
          <w:lang w:val="ro-RO"/>
        </w:rPr>
      </w:pPr>
      <w:r>
        <w:rPr>
          <w:sz w:val="20"/>
          <w:szCs w:val="20"/>
          <w:lang w:val="ro-RO"/>
        </w:rPr>
        <w:t>Toate filetele expuse vor fi tratate într-o maniera asemanatoare, etanseitatea îmbinarilor filetate fiind asigurata ca si în cazul îmbinarilor conductelor de apa.</w:t>
      </w:r>
    </w:p>
    <w:p>
      <w:pPr>
        <w:rPr>
          <w:sz w:val="20"/>
          <w:szCs w:val="20"/>
          <w:lang w:val="ro-RO"/>
        </w:rPr>
      </w:pPr>
      <w:r>
        <w:rPr>
          <w:sz w:val="20"/>
          <w:szCs w:val="20"/>
          <w:lang w:val="ro-RO"/>
        </w:rPr>
        <w:t>Toate capetele tuburilor (tevilor) vor fi debavurate (alezate) si suprafata interioara a tuburilor (tevilor) si fitingurilor va fi neteda. Tuburile (tevile) încastrate în beton vor fi pozitionate în "axa neutra".</w:t>
      </w:r>
    </w:p>
    <w:p>
      <w:pPr>
        <w:rPr>
          <w:sz w:val="20"/>
          <w:szCs w:val="20"/>
          <w:lang w:val="ro-RO"/>
        </w:rPr>
      </w:pPr>
      <w:r>
        <w:rPr>
          <w:sz w:val="20"/>
          <w:szCs w:val="20"/>
          <w:lang w:val="ro-RO"/>
        </w:rPr>
        <w:t>Conductele metalice îngropate în pamânt vor fi preizolate cu bandaj realizat cu banda bituminoasa suprapusa (la jumatate din latime) sau echivalent. Bandajul va depasi cu 150 mm punctul unde conducta paraseste pamântul.</w:t>
      </w:r>
    </w:p>
    <w:p>
      <w:pPr>
        <w:rPr>
          <w:sz w:val="20"/>
          <w:szCs w:val="20"/>
          <w:lang w:val="ro-RO"/>
        </w:rPr>
      </w:pPr>
      <w:r>
        <w:rPr>
          <w:sz w:val="20"/>
          <w:szCs w:val="20"/>
          <w:lang w:val="ro-RO"/>
        </w:rPr>
        <w:t>Tuburile metalice îngropate în pamânt cu rol de protectie a cablurilor nu vor fi utilizate ca electrozi orizontali pentru prizele de pamânt.</w:t>
      </w:r>
    </w:p>
    <w:p>
      <w:pPr>
        <w:rPr>
          <w:sz w:val="20"/>
          <w:szCs w:val="20"/>
          <w:lang w:val="ro-RO"/>
        </w:rPr>
      </w:pPr>
      <w:r>
        <w:rPr>
          <w:sz w:val="20"/>
          <w:szCs w:val="20"/>
          <w:lang w:val="ro-RO"/>
        </w:rPr>
        <w:t>Nu se vor utiliza grasimi, pulberi sau alti lubrifianti în scopul facilitarii operatiilor de pozare/ tragere a conductoarelor si cablurilor, fara acordul prealabil scris al Supervizorului.</w:t>
      </w:r>
    </w:p>
    <w:p>
      <w:pPr>
        <w:rPr>
          <w:sz w:val="20"/>
          <w:szCs w:val="20"/>
          <w:lang w:val="ro-RO"/>
        </w:rPr>
      </w:pPr>
      <w:r>
        <w:rPr>
          <w:sz w:val="20"/>
          <w:szCs w:val="20"/>
          <w:lang w:val="ro-RO"/>
        </w:rPr>
        <w:lastRenderedPageBreak/>
        <w:t>Pentru conectarea tuburilor fixe la echipamente care vibreaza în decursul functionarii normale se vor utiliza tuburi flexibile.</w:t>
      </w:r>
    </w:p>
    <w:p>
      <w:pPr>
        <w:pStyle w:val="ListParagraph"/>
        <w:numPr>
          <w:ilvl w:val="0"/>
          <w:numId w:val="50"/>
        </w:numPr>
        <w:rPr>
          <w:b/>
          <w:sz w:val="20"/>
          <w:szCs w:val="20"/>
          <w:lang w:val="ro-RO"/>
        </w:rPr>
      </w:pPr>
      <w:r>
        <w:rPr>
          <w:b/>
          <w:sz w:val="20"/>
          <w:szCs w:val="20"/>
          <w:lang w:val="ro-RO"/>
        </w:rPr>
        <w:t>Echipamente electrice exterioare</w:t>
      </w:r>
    </w:p>
    <w:p>
      <w:pPr>
        <w:rPr>
          <w:sz w:val="20"/>
          <w:szCs w:val="20"/>
          <w:lang w:val="ro-RO"/>
        </w:rPr>
      </w:pPr>
      <w:r>
        <w:rPr>
          <w:sz w:val="20"/>
          <w:szCs w:val="20"/>
          <w:lang w:val="ro-RO"/>
        </w:rPr>
        <w:t>Pentru echipamentele electrice exterioare, gradul de protectie mecanica minim va fi IP55. Toate intrarile de cabluri se vor face pe la partea inferioara a echipamentelor. Echipamentele vor fi prevazute cu copertine (acoperisuri) ale caror stresini sa depaseasca marginile echipamentelor, împiedicând, astfel, ca apa de ploaie sa se prelinga pe peretii laterali ai echipamentelor.</w:t>
      </w:r>
    </w:p>
    <w:p>
      <w:pPr>
        <w:pStyle w:val="ListParagraph"/>
        <w:numPr>
          <w:ilvl w:val="0"/>
          <w:numId w:val="50"/>
        </w:numPr>
        <w:rPr>
          <w:b/>
          <w:sz w:val="20"/>
          <w:szCs w:val="20"/>
          <w:lang w:val="ro-RO"/>
        </w:rPr>
      </w:pPr>
      <w:r>
        <w:rPr>
          <w:b/>
          <w:sz w:val="20"/>
          <w:szCs w:val="20"/>
          <w:lang w:val="ro-RO"/>
        </w:rPr>
        <w:t>Prize de alimentare cu energie electrica</w:t>
      </w:r>
    </w:p>
    <w:p>
      <w:pPr>
        <w:rPr>
          <w:sz w:val="20"/>
          <w:szCs w:val="20"/>
          <w:lang w:val="ro-RO"/>
        </w:rPr>
      </w:pPr>
      <w:r>
        <w:rPr>
          <w:sz w:val="20"/>
          <w:szCs w:val="20"/>
          <w:lang w:val="ro-RO"/>
        </w:rPr>
        <w:t>Prizele de alimentare cu energie electrica amplasate în exterior, în ateliere, cladiri ale statiei si din zonele platformelor de lucru se vor conforma cu CEE 17, IEC 309, SR EN 60309-2 si vor fi prevazute cu carcase pentru montaj aparent, dupa cum urmeaza:</w:t>
      </w:r>
    </w:p>
    <w:p>
      <w:pPr>
        <w:ind w:firstLine="720"/>
        <w:rPr>
          <w:sz w:val="20"/>
          <w:szCs w:val="20"/>
          <w:lang w:val="ro-RO"/>
        </w:rPr>
      </w:pPr>
      <w:r>
        <w:rPr>
          <w:sz w:val="20"/>
          <w:szCs w:val="20"/>
          <w:lang w:val="ro-RO"/>
        </w:rPr>
        <w:t>(a)</w:t>
      </w:r>
      <w:r>
        <w:rPr>
          <w:sz w:val="20"/>
          <w:szCs w:val="20"/>
          <w:lang w:val="ro-RO"/>
        </w:rPr>
        <w:tab/>
        <w:t>Prizele pentru 400V vor fi cu 5 poli: 3F+N + PE (3 faze + neutru + neutru de protectie) prevazute cu un comutator pornit/ oprit interblocat cu fisa (steckerul) prizei si cu un dispozitiv de protectie diferentiala tetrapolar de 30 mA;</w:t>
      </w:r>
    </w:p>
    <w:p>
      <w:pPr>
        <w:ind w:firstLine="720"/>
        <w:rPr>
          <w:sz w:val="20"/>
          <w:szCs w:val="20"/>
          <w:lang w:val="ro-RO"/>
        </w:rPr>
      </w:pPr>
      <w:r>
        <w:rPr>
          <w:sz w:val="20"/>
          <w:szCs w:val="20"/>
          <w:lang w:val="ro-RO"/>
        </w:rPr>
        <w:t>(b)</w:t>
      </w:r>
      <w:r>
        <w:rPr>
          <w:sz w:val="20"/>
          <w:szCs w:val="20"/>
          <w:lang w:val="ro-RO"/>
        </w:rPr>
        <w:tab/>
        <w:t>Prizele pentru 240V vor fi cu 3 poli: 1F+N+PE (1 faza + neutru + neutru de protectie) prevazute cu un comutator pornit/ oprit interblocat cu fisa (steckerul) prizei si cu un dispozitiv de protectie diferentiala tripolara de 30 mA;</w:t>
      </w:r>
    </w:p>
    <w:p>
      <w:pPr>
        <w:ind w:firstLine="720"/>
        <w:rPr>
          <w:sz w:val="20"/>
          <w:szCs w:val="20"/>
          <w:lang w:val="ro-RO"/>
        </w:rPr>
      </w:pPr>
      <w:r>
        <w:rPr>
          <w:sz w:val="20"/>
          <w:szCs w:val="20"/>
          <w:lang w:val="ro-RO"/>
        </w:rPr>
        <w:t>(c)</w:t>
      </w:r>
      <w:r>
        <w:rPr>
          <w:sz w:val="20"/>
          <w:szCs w:val="20"/>
          <w:lang w:val="ro-RO"/>
        </w:rPr>
        <w:tab/>
        <w:t>Prizele de 24V vor fi cu 3 poli: 1F+N+PE (1 faza + neutru + neutru de protectie); Pentru fiecare priza va fi furnizat un stecher corespunzator.</w:t>
      </w:r>
    </w:p>
    <w:p>
      <w:pPr>
        <w:rPr>
          <w:sz w:val="20"/>
          <w:szCs w:val="20"/>
          <w:lang w:val="ro-RO"/>
        </w:rPr>
      </w:pPr>
      <w:r>
        <w:rPr>
          <w:sz w:val="20"/>
          <w:szCs w:val="20"/>
          <w:lang w:val="ro-RO"/>
        </w:rPr>
        <w:t>Circuitele pentru prizele de 24Vca din care se alimenteaza lampile portabile se vor alimenta printr-un transformator de separatie 230/ 24Vca. Conexiunile la bornele secundare ale transformatorului vor fi echipate cu sigurante fuzibile.</w:t>
      </w:r>
    </w:p>
    <w:p>
      <w:pPr>
        <w:pStyle w:val="ListParagraph"/>
        <w:numPr>
          <w:ilvl w:val="0"/>
          <w:numId w:val="50"/>
        </w:numPr>
        <w:rPr>
          <w:b/>
          <w:sz w:val="20"/>
          <w:szCs w:val="20"/>
          <w:lang w:val="ro-RO"/>
        </w:rPr>
      </w:pPr>
      <w:r>
        <w:rPr>
          <w:b/>
          <w:sz w:val="20"/>
          <w:szCs w:val="20"/>
          <w:lang w:val="ro-RO"/>
        </w:rPr>
        <w:t>Tablouri de distributie</w:t>
      </w:r>
    </w:p>
    <w:p>
      <w:pPr>
        <w:rPr>
          <w:sz w:val="20"/>
          <w:szCs w:val="20"/>
          <w:lang w:val="ro-RO"/>
        </w:rPr>
      </w:pPr>
      <w:r>
        <w:rPr>
          <w:sz w:val="20"/>
          <w:szCs w:val="20"/>
          <w:lang w:val="ro-RO"/>
        </w:rPr>
        <w:t>Tablourile electrice vor fi executate de furnizori specializati si autorizati si vor fi conforme cu SR EN60439. Elementele cu care acestea sunt echipate vor fi conforme, la rândul lor, cu cele mai noi revizii ale standarde corespunzatoare (de exemplu, separatoarele cu sigurante vor fi conforme cu SR EN 60947-3, disjunctoarele magnetotermice cu SR EN 60898, etc.). Suporturile sigurantelor fuzibile vor fi usor detasabile, pentru a facilita cablarea. Va fi prevazut un numar de minim doua circuite de rezerva.</w:t>
      </w:r>
    </w:p>
    <w:p>
      <w:pPr>
        <w:rPr>
          <w:sz w:val="20"/>
          <w:szCs w:val="20"/>
          <w:lang w:val="ro-RO"/>
        </w:rPr>
      </w:pPr>
      <w:r>
        <w:rPr>
          <w:sz w:val="20"/>
          <w:szCs w:val="20"/>
          <w:lang w:val="ro-RO"/>
        </w:rPr>
        <w:t>Componentele metalice din interiorul tablourilor de distributie care se afla sub tensiune în functionarea normala vor fi complet izolate fata de carcasa.</w:t>
      </w:r>
    </w:p>
    <w:p>
      <w:pPr>
        <w:rPr>
          <w:sz w:val="20"/>
          <w:szCs w:val="20"/>
          <w:lang w:val="ro-RO"/>
        </w:rPr>
      </w:pPr>
      <w:r>
        <w:rPr>
          <w:sz w:val="20"/>
          <w:szCs w:val="20"/>
          <w:lang w:val="ro-RO"/>
        </w:rPr>
        <w:t>Bara de legare la pamânt va avea cel putin un punct de conexiune pentru fiecare circuit de distributie a unitatii (de exemplu, o unitate cu trei circuite 3F+N va avea 9 puncte de conexiune la bara de legare la pamânt).</w:t>
      </w:r>
    </w:p>
    <w:p>
      <w:pPr>
        <w:rPr>
          <w:sz w:val="20"/>
          <w:szCs w:val="20"/>
          <w:lang w:val="ro-RO"/>
        </w:rPr>
      </w:pPr>
      <w:r>
        <w:rPr>
          <w:sz w:val="20"/>
          <w:szCs w:val="20"/>
          <w:lang w:val="ro-RO"/>
        </w:rPr>
        <w:t>Tablourile de distributie vor fi prevazute cu seturi complete de sigurante fuzibile sau disjunctoare magnetotermice. Tablourile vor fi livrate cu schema electrica desfasurata (schema de uzinare) a tabloului respectiv, tiparita pe un material neinflamabil.</w:t>
      </w:r>
    </w:p>
    <w:p>
      <w:pPr>
        <w:rPr>
          <w:sz w:val="20"/>
          <w:szCs w:val="20"/>
          <w:lang w:val="ro-RO"/>
        </w:rPr>
      </w:pPr>
      <w:r>
        <w:rPr>
          <w:sz w:val="20"/>
          <w:szCs w:val="20"/>
          <w:lang w:val="ro-RO"/>
        </w:rPr>
        <w:t>Circuitul de alimentare generala pentru tabloul de distributie va fi prevazut cu un disjunctor sauseparator dimensionat corespunzator. Fiecare circuit de iluminat si prize va fi prevazut cu un dispozitiv de protectie diferentiala (la un curent rezidual de 30 mA).</w:t>
      </w:r>
    </w:p>
    <w:p>
      <w:pPr>
        <w:pStyle w:val="ListParagraph"/>
        <w:numPr>
          <w:ilvl w:val="0"/>
          <w:numId w:val="50"/>
        </w:numPr>
        <w:rPr>
          <w:b/>
          <w:sz w:val="20"/>
          <w:szCs w:val="20"/>
          <w:lang w:val="ro-RO"/>
        </w:rPr>
      </w:pPr>
      <w:r>
        <w:rPr>
          <w:b/>
          <w:sz w:val="20"/>
          <w:szCs w:val="20"/>
          <w:lang w:val="ro-RO"/>
        </w:rPr>
        <w:t>Protectii si finisaje</w:t>
      </w:r>
    </w:p>
    <w:p>
      <w:pPr>
        <w:rPr>
          <w:sz w:val="20"/>
          <w:szCs w:val="20"/>
          <w:lang w:val="ro-RO"/>
        </w:rPr>
      </w:pPr>
      <w:r>
        <w:rPr>
          <w:sz w:val="20"/>
          <w:szCs w:val="20"/>
          <w:lang w:val="ro-RO"/>
        </w:rPr>
        <w:t>Materialele si componentele metalice din instalatie vor fi protejate în mod adecvat împotriva coroziunii. Cu exceptia cazurilor justificate pentru care acest lucru nu este posibil, toate structurile metalice vor fi galvanizate la cald. Orice deteriorare a suprafetei galvanizate va fi imediat remediata. Toate organele de asamblare cum sunt suruburile, piulitele si saibele, vor fi din metale rezistente la coroziune sau vor fi tratate astfel încât sa reziste la coroziune.</w:t>
      </w:r>
    </w:p>
    <w:p>
      <w:pPr>
        <w:pStyle w:val="Heading4"/>
        <w:rPr>
          <w:sz w:val="20"/>
          <w:szCs w:val="20"/>
          <w:lang w:val="ro-RO"/>
        </w:rPr>
      </w:pPr>
      <w:r>
        <w:rPr>
          <w:sz w:val="20"/>
          <w:szCs w:val="20"/>
          <w:lang w:val="ro-RO"/>
        </w:rPr>
        <w:t>2.2.11.6 Instalatii de iluminat</w:t>
      </w:r>
    </w:p>
    <w:p>
      <w:pPr>
        <w:pStyle w:val="ListParagraph"/>
        <w:numPr>
          <w:ilvl w:val="0"/>
          <w:numId w:val="50"/>
        </w:numPr>
        <w:rPr>
          <w:b/>
          <w:sz w:val="20"/>
          <w:szCs w:val="20"/>
          <w:lang w:val="ro-RO"/>
        </w:rPr>
      </w:pPr>
      <w:r>
        <w:rPr>
          <w:b/>
          <w:sz w:val="20"/>
          <w:szCs w:val="20"/>
          <w:lang w:val="ro-RO"/>
        </w:rPr>
        <w:t>Generalitati</w:t>
      </w:r>
    </w:p>
    <w:p>
      <w:pPr>
        <w:rPr>
          <w:sz w:val="20"/>
          <w:szCs w:val="20"/>
          <w:lang w:val="ro-RO"/>
        </w:rPr>
      </w:pPr>
      <w:r>
        <w:rPr>
          <w:sz w:val="20"/>
          <w:szCs w:val="20"/>
          <w:lang w:val="ro-RO"/>
        </w:rPr>
        <w:lastRenderedPageBreak/>
        <w:t>Antreprenorul va proiecta si executa instalatiile de iluminat în toata zona santierului în conformitate cu cerintele descrise în cele ce urmeaza. Instalatiile de iluminat vor asigura un nivel de iluminare suficient pentru accesul, întretinerea, exploatarea si functionarea corecta a instalatiilor în fiecare zona.</w:t>
      </w:r>
    </w:p>
    <w:p>
      <w:pPr>
        <w:rPr>
          <w:sz w:val="20"/>
          <w:szCs w:val="20"/>
          <w:lang w:val="ro-RO"/>
        </w:rPr>
      </w:pPr>
      <w:r>
        <w:rPr>
          <w:sz w:val="20"/>
          <w:szCs w:val="20"/>
          <w:lang w:val="ro-RO"/>
        </w:rPr>
        <w:t>Suportii corpurilor de iluminat, cutiile de conectare si celelalte parti ale lampilor vor trebui sa fie construite la timp pentru a respecta programul constructiei cladirii. Articolele de sticlarie, dispozitivele refractive, abajururile, lampile si tuburile nu vor fi montate pâna când nu sunt încheiate toate lucrarile constructiei.</w:t>
      </w:r>
    </w:p>
    <w:p>
      <w:pPr>
        <w:pStyle w:val="ListParagraph"/>
        <w:numPr>
          <w:ilvl w:val="0"/>
          <w:numId w:val="50"/>
        </w:numPr>
        <w:rPr>
          <w:b/>
          <w:sz w:val="20"/>
          <w:szCs w:val="20"/>
          <w:lang w:val="ro-RO"/>
        </w:rPr>
      </w:pPr>
      <w:r>
        <w:rPr>
          <w:b/>
          <w:sz w:val="20"/>
          <w:szCs w:val="20"/>
          <w:lang w:val="ro-RO"/>
        </w:rPr>
        <w:t>Corpuri de iluminat cu lampi fluorescente</w:t>
      </w:r>
    </w:p>
    <w:p>
      <w:pPr>
        <w:rPr>
          <w:sz w:val="20"/>
          <w:szCs w:val="20"/>
          <w:lang w:val="ro-RO"/>
        </w:rPr>
      </w:pPr>
      <w:r>
        <w:rPr>
          <w:sz w:val="20"/>
          <w:szCs w:val="20"/>
          <w:lang w:val="ro-RO"/>
        </w:rPr>
        <w:t>Componentele refractare vor fi din material GRP (poliester armat cu fibra de sticla) sau acril extrudat inhibitor de flacara. Vor fi de tip semitransparent sau prismatic, conform specificatiei. O garnitura va fi prevazuta între dispozitivul refractiv si corp, pentru a forma o etanseizare efectiva. Lampile vor fi conforme ultimelor standarde. Daca nu este altfel specificat, lampile vor fi colorate „alb" pentru folosinta industriala. Capetele lampilor vor fi de tip bi-poli. Durata de viata minim garantata va fi de 10.000 ore.</w:t>
      </w:r>
    </w:p>
    <w:p>
      <w:pPr>
        <w:rPr>
          <w:sz w:val="20"/>
          <w:szCs w:val="20"/>
          <w:lang w:val="ro-RO"/>
        </w:rPr>
      </w:pPr>
      <w:r>
        <w:rPr>
          <w:sz w:val="20"/>
          <w:szCs w:val="20"/>
          <w:lang w:val="ro-RO"/>
        </w:rPr>
        <w:t>Lampile cu fise metalice (MCFE/U) vor fi folosite în lampi cu sticla armata cu poliester sau în zonele în care structura metalica nu este încastrata în lampa 20 mm.</w:t>
      </w:r>
    </w:p>
    <w:p>
      <w:pPr>
        <w:pStyle w:val="ListParagraph"/>
        <w:numPr>
          <w:ilvl w:val="0"/>
          <w:numId w:val="50"/>
        </w:numPr>
        <w:rPr>
          <w:b/>
          <w:sz w:val="20"/>
          <w:szCs w:val="20"/>
          <w:lang w:val="ro-RO"/>
        </w:rPr>
      </w:pPr>
      <w:r>
        <w:rPr>
          <w:b/>
          <w:sz w:val="20"/>
          <w:szCs w:val="20"/>
          <w:lang w:val="ro-RO"/>
        </w:rPr>
        <w:t>Corpuri de iluminat lampi incandescente</w:t>
      </w:r>
    </w:p>
    <w:p>
      <w:pPr>
        <w:rPr>
          <w:sz w:val="20"/>
          <w:szCs w:val="20"/>
          <w:lang w:val="ro-RO"/>
        </w:rPr>
      </w:pPr>
      <w:r>
        <w:rPr>
          <w:sz w:val="20"/>
          <w:szCs w:val="20"/>
          <w:lang w:val="ro-RO"/>
        </w:rPr>
        <w:t>Corpurile de iluminat vor fi construite dintr-un reflector din aliaj de aluminiu si o carcasa cu goluri de ventilatie adecvate, pozitie reglabila, un corp de lampa BS din portelan va fi încorporat, un cablu rezistent la încalzire pre-cablat.</w:t>
      </w:r>
    </w:p>
    <w:p>
      <w:pPr>
        <w:rPr>
          <w:sz w:val="20"/>
          <w:szCs w:val="20"/>
          <w:lang w:val="ro-RO"/>
        </w:rPr>
      </w:pPr>
      <w:r>
        <w:rPr>
          <w:sz w:val="20"/>
          <w:szCs w:val="20"/>
          <w:lang w:val="ro-RO"/>
        </w:rPr>
        <w:t>Suprafata corpurilor de iluminat incandescente va fi de tip sticla alba opal, potrivite pentru montarea pe perete sau tavan. Lampile incandescente vor fi conforme ultimelor standarde. Lampile pentru serviciu general vor avea un singur filament de pâna la 150W. Lampa va avea un soclu tip baioneta si va avea o manta de sticla mata.</w:t>
      </w:r>
    </w:p>
    <w:p>
      <w:pPr>
        <w:rPr>
          <w:sz w:val="20"/>
          <w:szCs w:val="20"/>
          <w:lang w:val="ro-RO"/>
        </w:rPr>
      </w:pPr>
      <w:r>
        <w:rPr>
          <w:sz w:val="20"/>
          <w:szCs w:val="20"/>
          <w:lang w:val="ro-RO"/>
        </w:rPr>
        <w:t>Lampile de serviciu general folosite la iluminatul de urgenta sau iluminatul de operare la tensiuni diferite de tensiunea normala principala, vor fi prevazute cu un soclu cu filet Edison. Lampile normate pentru 300W si mai mult vor avea cap filetat tip Goliath Edison.</w:t>
      </w:r>
    </w:p>
    <w:p>
      <w:pPr>
        <w:pStyle w:val="ListParagraph"/>
        <w:numPr>
          <w:ilvl w:val="0"/>
          <w:numId w:val="50"/>
        </w:numPr>
        <w:rPr>
          <w:b/>
          <w:sz w:val="20"/>
          <w:szCs w:val="20"/>
          <w:lang w:val="ro-RO"/>
        </w:rPr>
      </w:pPr>
      <w:r>
        <w:rPr>
          <w:b/>
          <w:sz w:val="20"/>
          <w:szCs w:val="20"/>
          <w:lang w:val="ro-RO"/>
        </w:rPr>
        <w:t>Corpuri de iluminat pentru iluminatul de urgenta</w:t>
      </w:r>
    </w:p>
    <w:p>
      <w:pPr>
        <w:rPr>
          <w:sz w:val="20"/>
          <w:szCs w:val="20"/>
          <w:lang w:val="ro-RO"/>
        </w:rPr>
      </w:pPr>
      <w:r>
        <w:rPr>
          <w:sz w:val="20"/>
          <w:szCs w:val="20"/>
          <w:lang w:val="ro-RO"/>
        </w:rPr>
        <w:t>Corpurile de iluminat de urgenta vor fi de tip autonom, conform specificatiei. Lampile vor fi functiona automat, asigurând iluminare instantanee în cazul unei avarii principale. Capacitatea acumulatorilor va fi suficienta pentru functionarea tuturor lampilor conectate la sistemul de iluminare de urgenta pentru o perioada de 3 ore.</w:t>
      </w:r>
    </w:p>
    <w:p>
      <w:pPr>
        <w:pStyle w:val="ListParagraph"/>
        <w:numPr>
          <w:ilvl w:val="0"/>
          <w:numId w:val="56"/>
        </w:numPr>
        <w:rPr>
          <w:b/>
          <w:sz w:val="20"/>
          <w:szCs w:val="20"/>
          <w:lang w:val="ro-RO"/>
        </w:rPr>
      </w:pPr>
      <w:r>
        <w:rPr>
          <w:b/>
          <w:sz w:val="20"/>
          <w:szCs w:val="20"/>
          <w:lang w:val="ro-RO"/>
        </w:rPr>
        <w:t>Corpuri de iluminat exterioare</w:t>
      </w:r>
    </w:p>
    <w:p>
      <w:pPr>
        <w:rPr>
          <w:sz w:val="20"/>
          <w:szCs w:val="20"/>
          <w:lang w:val="ro-RO"/>
        </w:rPr>
      </w:pPr>
      <w:r>
        <w:rPr>
          <w:sz w:val="20"/>
          <w:szCs w:val="20"/>
          <w:lang w:val="ro-RO"/>
        </w:rPr>
        <w:t>Toate corpurile de iluminat exterioare vor avea corpuri de iluminat impermeabilizate cu difuzori policarbonati pentru protectie la vandalizare si având un grad minim de protectie IP55. Sistemul de iluminat exterior va fi proiectat de tip inaccesibil pentru intrusi.</w:t>
      </w:r>
    </w:p>
    <w:p>
      <w:pPr>
        <w:pStyle w:val="Heading4"/>
        <w:rPr>
          <w:sz w:val="20"/>
          <w:szCs w:val="20"/>
          <w:lang w:val="ro-RO"/>
        </w:rPr>
      </w:pPr>
      <w:r>
        <w:rPr>
          <w:sz w:val="20"/>
          <w:szCs w:val="20"/>
          <w:lang w:val="ro-RO"/>
        </w:rPr>
        <w:t>2.2.11.7 Nivele de iluminare</w:t>
      </w:r>
    </w:p>
    <w:p>
      <w:pPr>
        <w:pStyle w:val="ListParagraph"/>
        <w:numPr>
          <w:ilvl w:val="0"/>
          <w:numId w:val="56"/>
        </w:numPr>
        <w:rPr>
          <w:b/>
          <w:sz w:val="20"/>
          <w:szCs w:val="20"/>
          <w:lang w:val="ro-RO"/>
        </w:rPr>
      </w:pPr>
      <w:r>
        <w:rPr>
          <w:b/>
          <w:sz w:val="20"/>
          <w:szCs w:val="20"/>
          <w:lang w:val="ro-RO"/>
        </w:rPr>
        <w:t>Generalitati</w:t>
      </w:r>
    </w:p>
    <w:p>
      <w:pPr>
        <w:rPr>
          <w:sz w:val="20"/>
          <w:szCs w:val="20"/>
          <w:lang w:val="ro-RO"/>
        </w:rPr>
      </w:pPr>
      <w:r>
        <w:rPr>
          <w:sz w:val="20"/>
          <w:szCs w:val="20"/>
          <w:lang w:val="ro-RO"/>
        </w:rPr>
        <w:t>Toate zonele unde accesul este necesar, indiferent de scop, vor beneficia de un nivel de iluminare mediu de 30 lucsi si de minim 6 lucsi la nivelul solului/ pardoselii.</w:t>
      </w:r>
    </w:p>
    <w:p>
      <w:pPr>
        <w:rPr>
          <w:sz w:val="20"/>
          <w:szCs w:val="20"/>
          <w:lang w:val="ro-RO"/>
        </w:rPr>
      </w:pPr>
      <w:r>
        <w:rPr>
          <w:sz w:val="20"/>
          <w:szCs w:val="20"/>
          <w:lang w:val="ro-RO"/>
        </w:rPr>
        <w:t>Iluminatul va fi comandat manual, prin întreruptoare si comutatoare instalate în locuri accesibile. Se vor utiliza întreruptoare comandate prin fotocelula (dublate cu comutatoare manuale amplasate pe tabloul general de iluminat), pentru a preveni funtionarea instalatiilor de iluminat pe timpul zilei.</w:t>
      </w:r>
    </w:p>
    <w:p>
      <w:pPr>
        <w:pStyle w:val="ListParagraph"/>
        <w:numPr>
          <w:ilvl w:val="0"/>
          <w:numId w:val="56"/>
        </w:numPr>
        <w:rPr>
          <w:b/>
          <w:sz w:val="20"/>
          <w:szCs w:val="20"/>
          <w:lang w:val="ro-RO"/>
        </w:rPr>
      </w:pPr>
      <w:r>
        <w:rPr>
          <w:b/>
          <w:sz w:val="20"/>
          <w:szCs w:val="20"/>
          <w:lang w:val="ro-RO"/>
        </w:rPr>
        <w:t>Iluminatul în incinte</w:t>
      </w:r>
    </w:p>
    <w:p>
      <w:pPr>
        <w:rPr>
          <w:sz w:val="20"/>
          <w:szCs w:val="20"/>
          <w:lang w:val="ro-RO"/>
        </w:rPr>
      </w:pPr>
      <w:r>
        <w:rPr>
          <w:sz w:val="20"/>
          <w:szCs w:val="20"/>
          <w:lang w:val="ro-RO"/>
        </w:rPr>
        <w:t>În toate zonele unde este necesar accesul personalului pentru activitati de exploatare/ întretinere, va fi asigurat un nivel de iluminare mediu de 100 lucsi si un nivel de minim 50 lucsi la nivelul solului sau cailor de acces.</w:t>
      </w:r>
    </w:p>
    <w:p>
      <w:pPr>
        <w:rPr>
          <w:sz w:val="20"/>
          <w:szCs w:val="20"/>
          <w:lang w:val="ro-RO"/>
        </w:rPr>
      </w:pPr>
      <w:r>
        <w:rPr>
          <w:sz w:val="20"/>
          <w:szCs w:val="20"/>
          <w:lang w:val="ro-RO"/>
        </w:rPr>
        <w:lastRenderedPageBreak/>
        <w:t>Iluminatul va fi comandat manual, prin întreruptoare si comutatoare instalate în locuri accesibile. Iluminatul cailor de acces si al drumurilor Drumurile de acces din incinta vor beneficia de o iluminare medie de aproximativ 50 lucsi.</w:t>
      </w:r>
    </w:p>
    <w:p>
      <w:pPr>
        <w:rPr>
          <w:sz w:val="20"/>
          <w:szCs w:val="20"/>
          <w:lang w:val="ro-RO"/>
        </w:rPr>
      </w:pPr>
      <w:r>
        <w:rPr>
          <w:sz w:val="20"/>
          <w:szCs w:val="20"/>
          <w:lang w:val="ro-RO"/>
        </w:rPr>
        <w:t>Iluminatul exterior va beneficia de urmatoarele optiuni de comanda printr-un selector Manual/ Oprit/ Automat:</w:t>
      </w:r>
    </w:p>
    <w:p>
      <w:pPr>
        <w:ind w:firstLine="720"/>
        <w:rPr>
          <w:sz w:val="20"/>
          <w:szCs w:val="20"/>
          <w:lang w:val="ro-RO"/>
        </w:rPr>
      </w:pPr>
      <w:r>
        <w:rPr>
          <w:sz w:val="20"/>
          <w:szCs w:val="20"/>
          <w:lang w:val="ro-RO"/>
        </w:rPr>
        <w:t>(a)</w:t>
      </w:r>
      <w:r>
        <w:rPr>
          <w:sz w:val="20"/>
          <w:szCs w:val="20"/>
          <w:lang w:val="ro-RO"/>
        </w:rPr>
        <w:tab/>
        <w:t xml:space="preserve"> automat - cu fotocelula (întreruptor crepuscular), care comanda pornirea instalatiei de iluminat în amurg si oprirea acesteia dupa un timp presetat, reglabil de la 0 la 24 ore;</w:t>
      </w:r>
    </w:p>
    <w:p>
      <w:pPr>
        <w:ind w:firstLine="720"/>
        <w:rPr>
          <w:sz w:val="20"/>
          <w:szCs w:val="20"/>
          <w:lang w:val="ro-RO"/>
        </w:rPr>
      </w:pPr>
      <w:r>
        <w:rPr>
          <w:sz w:val="20"/>
          <w:szCs w:val="20"/>
          <w:lang w:val="ro-RO"/>
        </w:rPr>
        <w:t>(b)</w:t>
      </w:r>
      <w:r>
        <w:rPr>
          <w:sz w:val="20"/>
          <w:szCs w:val="20"/>
          <w:lang w:val="ro-RO"/>
        </w:rPr>
        <w:tab/>
        <w:t xml:space="preserve"> manual - realizat cu întreruptoare separate pe fiecare circuit, întreruptoare care trebuie instalate pe tabloul de distributie principal si la cabina de paza de pe santier.</w:t>
      </w:r>
    </w:p>
    <w:p>
      <w:pPr>
        <w:pStyle w:val="ListParagraph"/>
        <w:numPr>
          <w:ilvl w:val="0"/>
          <w:numId w:val="56"/>
        </w:numPr>
        <w:rPr>
          <w:b/>
          <w:sz w:val="20"/>
          <w:szCs w:val="20"/>
          <w:lang w:val="ro-RO"/>
        </w:rPr>
      </w:pPr>
      <w:r>
        <w:rPr>
          <w:b/>
          <w:sz w:val="20"/>
          <w:szCs w:val="20"/>
          <w:lang w:val="ro-RO"/>
        </w:rPr>
        <w:t>Iluminatul zonelor tehnologice</w:t>
      </w:r>
    </w:p>
    <w:p>
      <w:pPr>
        <w:rPr>
          <w:sz w:val="20"/>
          <w:szCs w:val="20"/>
          <w:lang w:val="ro-RO"/>
        </w:rPr>
      </w:pPr>
      <w:r>
        <w:rPr>
          <w:sz w:val="20"/>
          <w:szCs w:val="20"/>
          <w:lang w:val="ro-RO"/>
        </w:rPr>
        <w:t>În toate zonele unde au loc operatiuni de exploatare/ întretinere a instalatiilor tehnologice va fi asigurat un nivel de iluminare mediu de 150 lucsi si un un nivel de minim 50 lucsi la nivelul solului/ pardoselii.</w:t>
      </w:r>
    </w:p>
    <w:p>
      <w:pPr>
        <w:rPr>
          <w:sz w:val="20"/>
          <w:szCs w:val="20"/>
          <w:lang w:val="ro-RO"/>
        </w:rPr>
      </w:pPr>
      <w:r>
        <w:rPr>
          <w:sz w:val="20"/>
          <w:szCs w:val="20"/>
          <w:lang w:val="ro-RO"/>
        </w:rPr>
        <w:t>Iluminatul va fi comandat manual, prin întreruptoare si comutatoare instalate în locatii adecvate pe caile de acces la zona respectiva.</w:t>
      </w:r>
    </w:p>
    <w:p>
      <w:pPr>
        <w:pStyle w:val="ListParagraph"/>
        <w:numPr>
          <w:ilvl w:val="0"/>
          <w:numId w:val="56"/>
        </w:numPr>
        <w:rPr>
          <w:b/>
          <w:sz w:val="20"/>
          <w:szCs w:val="20"/>
          <w:lang w:val="ro-RO"/>
        </w:rPr>
      </w:pPr>
      <w:r>
        <w:rPr>
          <w:b/>
          <w:sz w:val="20"/>
          <w:szCs w:val="20"/>
          <w:lang w:val="ro-RO"/>
        </w:rPr>
        <w:t>Iluminatul statiilor si posturilor de transformare, camerelor de comanda si camerelor echipamentelor electrice</w:t>
      </w:r>
    </w:p>
    <w:p>
      <w:pPr>
        <w:rPr>
          <w:sz w:val="20"/>
          <w:szCs w:val="20"/>
          <w:lang w:val="ro-RO"/>
        </w:rPr>
      </w:pPr>
      <w:r>
        <w:rPr>
          <w:sz w:val="20"/>
          <w:szCs w:val="20"/>
          <w:lang w:val="ro-RO"/>
        </w:rPr>
        <w:t>(a)</w:t>
      </w:r>
      <w:r>
        <w:rPr>
          <w:sz w:val="20"/>
          <w:szCs w:val="20"/>
          <w:lang w:val="ro-RO"/>
        </w:rPr>
        <w:tab/>
        <w:t>Acestea vor beneficia de o iluminare medie de minim 500 lucsi (minim 150 lucsi la nivelul pardoselii) si de minimum 150 lucsi pe suprafetele verticale ale panourilor de comanda.</w:t>
      </w:r>
    </w:p>
    <w:p>
      <w:pPr>
        <w:rPr>
          <w:sz w:val="20"/>
          <w:szCs w:val="20"/>
          <w:lang w:val="ro-RO"/>
        </w:rPr>
      </w:pPr>
      <w:r>
        <w:rPr>
          <w:sz w:val="20"/>
          <w:szCs w:val="20"/>
          <w:lang w:val="ro-RO"/>
        </w:rPr>
        <w:t>Nivelurile de iluminat si indicii de stralucire vor fi în conformitate cu ultimele documente de indicatii emise de NP 061 - 02 Normativul pentru proiectarea si executarea sistemelor de iluminat artificial din cladiri</w:t>
      </w:r>
    </w:p>
    <w:p>
      <w:pPr>
        <w:rPr>
          <w:sz w:val="20"/>
          <w:szCs w:val="20"/>
          <w:lang w:val="ro-RO"/>
        </w:rPr>
      </w:pPr>
      <w:r>
        <w:rPr>
          <w:sz w:val="20"/>
          <w:szCs w:val="20"/>
          <w:lang w:val="ro-RO"/>
        </w:rPr>
        <w:t>(b)</w:t>
      </w:r>
      <w:r>
        <w:rPr>
          <w:sz w:val="20"/>
          <w:szCs w:val="20"/>
          <w:lang w:val="ro-RO"/>
        </w:rPr>
        <w:tab/>
        <w:t>luminatul va fi controlat manual, din locatii adecvate, la fiecare dintre intrarile în camere.</w:t>
      </w:r>
    </w:p>
    <w:p>
      <w:pPr>
        <w:pStyle w:val="ListParagraph"/>
        <w:keepNext/>
        <w:numPr>
          <w:ilvl w:val="0"/>
          <w:numId w:val="56"/>
        </w:numPr>
        <w:rPr>
          <w:b/>
          <w:sz w:val="20"/>
          <w:szCs w:val="20"/>
          <w:lang w:val="ro-RO"/>
        </w:rPr>
      </w:pPr>
      <w:r>
        <w:rPr>
          <w:b/>
          <w:sz w:val="20"/>
          <w:szCs w:val="20"/>
          <w:lang w:val="ro-RO"/>
        </w:rPr>
        <w:t>Iluminatul atelierelor</w:t>
      </w:r>
    </w:p>
    <w:p>
      <w:pPr>
        <w:rPr>
          <w:sz w:val="20"/>
          <w:szCs w:val="20"/>
          <w:lang w:val="ro-RO"/>
        </w:rPr>
      </w:pPr>
      <w:r>
        <w:rPr>
          <w:sz w:val="20"/>
          <w:szCs w:val="20"/>
          <w:lang w:val="ro-RO"/>
        </w:rPr>
        <w:t>(a)</w:t>
      </w:r>
      <w:r>
        <w:rPr>
          <w:sz w:val="20"/>
          <w:szCs w:val="20"/>
          <w:lang w:val="ro-RO"/>
        </w:rPr>
        <w:tab/>
        <w:t>În aceste zone va fi asigurat un nivel de iluminare mediu de 200 lucsi si un un nivel de minim  50 lucsi la nivelul pardoselii. Nivelurile de iluminat si indicii de stralucire vor fi în conformitate cu ultimele documente de indicatii emise de NP 061 - 02 Normativul pentru proiectarea si executarea sistemelor de iluminat artificial din cladiri. Se vor adauga surse locale de iluminat suplimentare, dupa necesitati.</w:t>
      </w:r>
    </w:p>
    <w:p>
      <w:pPr>
        <w:rPr>
          <w:sz w:val="20"/>
          <w:szCs w:val="20"/>
          <w:lang w:val="ro-RO"/>
        </w:rPr>
      </w:pPr>
      <w:r>
        <w:rPr>
          <w:sz w:val="20"/>
          <w:szCs w:val="20"/>
          <w:lang w:val="ro-RO"/>
        </w:rPr>
        <w:t>(b)</w:t>
      </w:r>
      <w:r>
        <w:rPr>
          <w:sz w:val="20"/>
          <w:szCs w:val="20"/>
          <w:lang w:val="ro-RO"/>
        </w:rPr>
        <w:tab/>
        <w:t>luminatul va fi controlat manual, din locatii adecvate, la fiecare dintre intrarile în ateliere.</w:t>
      </w:r>
    </w:p>
    <w:p>
      <w:pPr>
        <w:pStyle w:val="ListParagraph"/>
        <w:numPr>
          <w:ilvl w:val="0"/>
          <w:numId w:val="56"/>
        </w:numPr>
        <w:rPr>
          <w:b/>
          <w:sz w:val="20"/>
          <w:szCs w:val="20"/>
          <w:lang w:val="ro-RO"/>
        </w:rPr>
      </w:pPr>
      <w:r>
        <w:rPr>
          <w:b/>
          <w:sz w:val="20"/>
          <w:szCs w:val="20"/>
          <w:lang w:val="ro-RO"/>
        </w:rPr>
        <w:t>Iluminatul birourilor</w:t>
      </w:r>
    </w:p>
    <w:p>
      <w:pPr>
        <w:rPr>
          <w:sz w:val="20"/>
          <w:szCs w:val="20"/>
          <w:lang w:val="ro-RO"/>
        </w:rPr>
      </w:pPr>
      <w:r>
        <w:rPr>
          <w:sz w:val="20"/>
          <w:szCs w:val="20"/>
          <w:lang w:val="ro-RO"/>
        </w:rPr>
        <w:t>(a)</w:t>
      </w:r>
      <w:r>
        <w:rPr>
          <w:sz w:val="20"/>
          <w:szCs w:val="20"/>
          <w:lang w:val="ro-RO"/>
        </w:rPr>
        <w:tab/>
        <w:t>Birourile vor beneficia de un nivel de iluminare mediu de 300 lucsi si un un nivel de minim 100 lucsi la nivelul pardoselii. Nivelurile de iluminat si indicii de stralucire vor fi în conformitate cu ultimele documente de indicatii emise de NP 061 - 02 Normativul pentru proiectarea si executarea sistemelor de il uminat artificial din cladiri.</w:t>
      </w:r>
    </w:p>
    <w:p>
      <w:pPr>
        <w:rPr>
          <w:sz w:val="20"/>
          <w:szCs w:val="20"/>
          <w:lang w:val="ro-RO"/>
        </w:rPr>
      </w:pPr>
      <w:r>
        <w:rPr>
          <w:sz w:val="20"/>
          <w:szCs w:val="20"/>
          <w:lang w:val="ro-RO"/>
        </w:rPr>
        <w:t>(b)</w:t>
      </w:r>
      <w:r>
        <w:rPr>
          <w:sz w:val="20"/>
          <w:szCs w:val="20"/>
          <w:lang w:val="ro-RO"/>
        </w:rPr>
        <w:tab/>
        <w:t xml:space="preserve">Iluminatul va fi controlat manual din locatii adecvate la fiecare dintre intrarile în birouri. </w:t>
      </w:r>
    </w:p>
    <w:p>
      <w:pPr>
        <w:pStyle w:val="ListParagraph"/>
        <w:numPr>
          <w:ilvl w:val="0"/>
          <w:numId w:val="56"/>
        </w:numPr>
        <w:rPr>
          <w:b/>
          <w:sz w:val="20"/>
          <w:szCs w:val="20"/>
          <w:lang w:val="ro-RO"/>
        </w:rPr>
      </w:pPr>
      <w:r>
        <w:rPr>
          <w:b/>
          <w:sz w:val="20"/>
          <w:szCs w:val="20"/>
          <w:lang w:val="ro-RO"/>
        </w:rPr>
        <w:t>Iluminatul de urgenta (siguranta)</w:t>
      </w:r>
    </w:p>
    <w:p>
      <w:pPr>
        <w:rPr>
          <w:sz w:val="20"/>
          <w:szCs w:val="20"/>
          <w:lang w:val="ro-RO"/>
        </w:rPr>
      </w:pPr>
      <w:r>
        <w:rPr>
          <w:sz w:val="20"/>
          <w:szCs w:val="20"/>
          <w:lang w:val="ro-RO"/>
        </w:rPr>
        <w:t>Corpurile de iluminat de urgenta furnizate vor fi în conformitate cu cerintele standardului SR EN 60598-2-22 si au rolul de a permite evacuarea sigura din cladiri, în situatiile de cadere a alimentarii cu energie electrica. Corpurile de iluminat de urgenta vor utiliza, pe cât posibil, corpuri de iluminat normale prevazute cu sistem de alimentare de rezerva pe baterii si sursa de alimentare neîntreruptibila (UPS - Uninterruptible Power Supply).</w:t>
      </w:r>
    </w:p>
    <w:p>
      <w:pPr>
        <w:rPr>
          <w:sz w:val="20"/>
          <w:szCs w:val="20"/>
          <w:lang w:val="ro-RO"/>
        </w:rPr>
      </w:pPr>
      <w:r>
        <w:rPr>
          <w:sz w:val="20"/>
          <w:szCs w:val="20"/>
          <w:lang w:val="ro-RO"/>
        </w:rPr>
        <w:t>Iluminatul de urgenta autonom are rolul de a asigura traversarea, evacuarea si iesirea în siguranta din cladiri, structuri si scari, în cazul în care se întrerupe alimentarea normala cu energie electrica.</w:t>
      </w:r>
    </w:p>
    <w:p>
      <w:pPr>
        <w:rPr>
          <w:sz w:val="20"/>
          <w:szCs w:val="20"/>
          <w:lang w:val="ro-RO"/>
        </w:rPr>
      </w:pPr>
      <w:r>
        <w:rPr>
          <w:sz w:val="20"/>
          <w:szCs w:val="20"/>
          <w:lang w:val="ro-RO"/>
        </w:rPr>
        <w:lastRenderedPageBreak/>
        <w:t>În plus fata de corpurile de iluminat pentru situatii de urgenta mentionate anterior, cel putin 10% din corpurile fluorescente ale instalatiilor de iluminat normal trebuie sa aiba si rolul de corpuri de iluminat de urgenta. Aceste corpuri vor fi distribuite uniform pe întreaga suprafata.</w:t>
      </w:r>
    </w:p>
    <w:p>
      <w:pPr>
        <w:rPr>
          <w:sz w:val="20"/>
          <w:szCs w:val="20"/>
          <w:lang w:val="ro-RO"/>
        </w:rPr>
      </w:pPr>
      <w:r>
        <w:rPr>
          <w:sz w:val="20"/>
          <w:szCs w:val="20"/>
          <w:lang w:val="ro-RO"/>
        </w:rPr>
        <w:t>În camerele de comanda/ dispecer si în camerele echipamentelor electrice 30% din corpurile de iluminat vor fi corpuri de iluminat de urgenta, cu o autonomie de cel putin 3 ore.</w:t>
      </w:r>
    </w:p>
    <w:p>
      <w:pPr>
        <w:rPr>
          <w:sz w:val="20"/>
          <w:szCs w:val="20"/>
          <w:lang w:val="ro-RO"/>
        </w:rPr>
      </w:pPr>
      <w:r>
        <w:rPr>
          <w:sz w:val="20"/>
          <w:szCs w:val="20"/>
          <w:lang w:val="ro-RO"/>
        </w:rPr>
        <w:t>Lânga fiecare corp de iluminat de urgenta va fi montat într-o pozitie accesibila un comutator de testare manuala a iluminatului de urgenta.</w:t>
      </w:r>
    </w:p>
    <w:p>
      <w:pPr>
        <w:pStyle w:val="ListParagraph"/>
        <w:numPr>
          <w:ilvl w:val="0"/>
          <w:numId w:val="56"/>
        </w:numPr>
        <w:rPr>
          <w:b/>
          <w:sz w:val="20"/>
          <w:szCs w:val="20"/>
          <w:lang w:val="ro-RO"/>
        </w:rPr>
      </w:pPr>
      <w:r>
        <w:rPr>
          <w:b/>
          <w:sz w:val="20"/>
          <w:szCs w:val="20"/>
          <w:lang w:val="ro-RO"/>
        </w:rPr>
        <w:t>Iluminatul exterior</w:t>
      </w:r>
    </w:p>
    <w:p>
      <w:pPr>
        <w:rPr>
          <w:sz w:val="20"/>
          <w:szCs w:val="20"/>
          <w:lang w:val="ro-RO"/>
        </w:rPr>
      </w:pPr>
      <w:r>
        <w:rPr>
          <w:sz w:val="20"/>
          <w:szCs w:val="20"/>
          <w:lang w:val="ro-RO"/>
        </w:rPr>
        <w:t>Instalatia de iluminat exterior pentru statie va include stâlpi metalici, console, corpuri de iluminat cu sistem de prindere încorporat, circuite de comanda cu fotocelula (întreruptor crepuscular) si instalatiile electrice de alimentare corespunzatoare.</w:t>
      </w:r>
    </w:p>
    <w:p>
      <w:pPr>
        <w:pStyle w:val="Heading4"/>
        <w:rPr>
          <w:sz w:val="20"/>
          <w:szCs w:val="20"/>
          <w:lang w:val="ro-RO"/>
        </w:rPr>
      </w:pPr>
      <w:r>
        <w:rPr>
          <w:sz w:val="20"/>
          <w:szCs w:val="20"/>
          <w:lang w:val="ro-RO"/>
        </w:rPr>
        <w:t>2.2.11.8 Tablourile electrice (TE)</w:t>
      </w:r>
    </w:p>
    <w:p>
      <w:pPr>
        <w:pStyle w:val="ListParagraph"/>
        <w:numPr>
          <w:ilvl w:val="0"/>
          <w:numId w:val="56"/>
        </w:numPr>
        <w:rPr>
          <w:b/>
          <w:sz w:val="20"/>
          <w:szCs w:val="20"/>
          <w:lang w:val="ro-RO"/>
        </w:rPr>
      </w:pPr>
      <w:r>
        <w:rPr>
          <w:b/>
          <w:sz w:val="20"/>
          <w:szCs w:val="20"/>
          <w:lang w:val="ro-RO"/>
        </w:rPr>
        <w:t>Cerinte generale</w:t>
      </w:r>
    </w:p>
    <w:p>
      <w:pPr>
        <w:rPr>
          <w:sz w:val="20"/>
          <w:szCs w:val="20"/>
          <w:lang w:val="ro-RO"/>
        </w:rPr>
      </w:pPr>
      <w:r>
        <w:rPr>
          <w:sz w:val="20"/>
          <w:szCs w:val="20"/>
          <w:lang w:val="ro-RO"/>
        </w:rPr>
        <w:t>Aceaste cerinte se vor aplica constructiei tuturor panourilor tablourilor electrice, facând referire inclusiv, dar nu numai la: panouri de comanda, centre de control ale motoarelor, întreruptoare de circuit, panouri de control, panouri de supraveghere sau monitorizare, tablouri de control -panouri de distributie, tablouri triaj, tablouri interfata, tablouri de control locale, cutii de comanda locala.</w:t>
      </w:r>
    </w:p>
    <w:p>
      <w:pPr>
        <w:rPr>
          <w:sz w:val="20"/>
          <w:szCs w:val="20"/>
          <w:lang w:val="ro-RO"/>
        </w:rPr>
      </w:pPr>
      <w:r>
        <w:rPr>
          <w:sz w:val="20"/>
          <w:szCs w:val="20"/>
          <w:lang w:val="ro-RO"/>
        </w:rPr>
        <w:t>Cu exceptia situatiilor în care se cere altfel, TE vor trebui sa fie conforme cu cele mai noi revizii ale standardelor SR EN 60947 si SR EN 60439-1. Forma de separare a TE va fi Forma 2 si acestea vor fi dimensionate la nivelurile specificate în Contract pentru functionarea la tensiuni de pâna la 600V, 50 Hz, schema de legare la pamânt TN-C si TN-S.</w:t>
      </w:r>
    </w:p>
    <w:p>
      <w:pPr>
        <w:rPr>
          <w:sz w:val="20"/>
          <w:szCs w:val="20"/>
          <w:lang w:val="ro-RO"/>
        </w:rPr>
      </w:pPr>
      <w:r>
        <w:rPr>
          <w:sz w:val="20"/>
          <w:szCs w:val="20"/>
          <w:lang w:val="ro-RO"/>
        </w:rPr>
        <w:t>TE vor fi construite astfel încât întretinerea lor sa se faca numai prin partea din fata. Panourile frontale vor fi prevazute cu balamale si dotate cu sisteme de închidere cu cheie comuna pentru o aceeasi sectiune a ansamblului.</w:t>
      </w:r>
    </w:p>
    <w:p>
      <w:pPr>
        <w:rPr>
          <w:sz w:val="20"/>
          <w:szCs w:val="20"/>
          <w:lang w:val="ro-RO"/>
        </w:rPr>
      </w:pPr>
      <w:r>
        <w:rPr>
          <w:sz w:val="20"/>
          <w:szCs w:val="20"/>
          <w:lang w:val="ro-RO"/>
        </w:rPr>
        <w:t>Modul de intrare a cablurilor, precum si si alte tipuri de acces vor fi detaliate, dupa caz, în proiectul tehnic de executie.</w:t>
      </w:r>
    </w:p>
    <w:p>
      <w:pPr>
        <w:rPr>
          <w:sz w:val="20"/>
          <w:szCs w:val="20"/>
          <w:lang w:val="ro-RO"/>
        </w:rPr>
      </w:pPr>
      <w:r>
        <w:rPr>
          <w:sz w:val="20"/>
          <w:szCs w:val="20"/>
          <w:lang w:val="ro-RO"/>
        </w:rPr>
        <w:t>TE de exterior vor fi montate în incinte rezistente la coroziune si la intemperii. Incintele vor avea un grad de protectie minim IP 55 si vor permite un spatiu de minim 1000 mm în fata echipamentului.</w:t>
      </w:r>
    </w:p>
    <w:p>
      <w:pPr>
        <w:pStyle w:val="ListParagraph"/>
        <w:numPr>
          <w:ilvl w:val="0"/>
          <w:numId w:val="56"/>
        </w:numPr>
        <w:rPr>
          <w:b/>
          <w:sz w:val="20"/>
          <w:szCs w:val="20"/>
          <w:lang w:val="ro-RO"/>
        </w:rPr>
      </w:pPr>
      <w:r>
        <w:rPr>
          <w:b/>
          <w:sz w:val="20"/>
          <w:szCs w:val="20"/>
          <w:lang w:val="ro-RO"/>
        </w:rPr>
        <w:t>Constructie</w:t>
      </w:r>
    </w:p>
    <w:p>
      <w:pPr>
        <w:rPr>
          <w:sz w:val="20"/>
          <w:szCs w:val="20"/>
          <w:lang w:val="ro-RO"/>
        </w:rPr>
      </w:pPr>
      <w:r>
        <w:rPr>
          <w:sz w:val="20"/>
          <w:szCs w:val="20"/>
          <w:lang w:val="ro-RO"/>
        </w:rPr>
        <w:t>Toate tablourile vor fi doar cu acces prin fata si vor fi prevazute cu compartimente de cabluri/ bare cu capace frontale prinse cu suruburi. Utilizarea suruburilor vizibile din exterior nu este acceptabila. Amplasarea traseelor de cabluri direct între sectiuni sau în spatele acestora nu este acceptabila.</w:t>
      </w:r>
    </w:p>
    <w:p>
      <w:pPr>
        <w:rPr>
          <w:sz w:val="20"/>
          <w:szCs w:val="20"/>
          <w:lang w:val="ro-RO"/>
        </w:rPr>
      </w:pPr>
      <w:r>
        <w:rPr>
          <w:sz w:val="20"/>
          <w:szCs w:val="20"/>
          <w:lang w:val="ro-RO"/>
        </w:rPr>
        <w:t>Carcasele modulare ale TE vor fi realizate din tabla de otel cu grosimea de minim 2 mm, vor fi construite rigid si vor avea aceeasi înaltime. Gradul minim de protectie va fi IP 54, în conformitate cu standardul SR EN 60529 si va fi precizat, dupa caz, în Specificatiile electrice particulare.</w:t>
      </w:r>
    </w:p>
    <w:p>
      <w:pPr>
        <w:rPr>
          <w:sz w:val="20"/>
          <w:szCs w:val="20"/>
          <w:lang w:val="ro-RO"/>
        </w:rPr>
      </w:pPr>
      <w:r>
        <w:rPr>
          <w:sz w:val="20"/>
          <w:szCs w:val="20"/>
          <w:lang w:val="ro-RO"/>
        </w:rPr>
        <w:t>Culoarea de finisare va fi cea standard a fabricantului, exceptând cazul în care în Contract se specifica altfel.</w:t>
      </w:r>
    </w:p>
    <w:p>
      <w:pPr>
        <w:rPr>
          <w:sz w:val="20"/>
          <w:szCs w:val="20"/>
          <w:lang w:val="ro-RO"/>
        </w:rPr>
      </w:pPr>
      <w:r>
        <w:rPr>
          <w:sz w:val="20"/>
          <w:szCs w:val="20"/>
          <w:lang w:val="ro-RO"/>
        </w:rPr>
        <w:t>În interior, compartimentarea modulelor va fi realizata cu pereti rigizi rezistenti, care sa permita separarea individuala a compartimentelor si a acestora de compartimentul barelor de distributie. Aceasta va împiedica atât caderea accidentala a obiectelor în compartimentele inferioare aflate sub tensiune, cât si propagarea defectului dintr-un compartiment într-altul. Înaltimea totala a modulelor TE (inclusiv plinta) nu va depasi 2300 mm. Mânerele separatoarelor, comutatoarelor, butoanele, lampile indicatoare si instrumentatia se vor afla la o înaltime cuprinsa între 500 si 1750 mm fata de nivelul pardoselii finite.</w:t>
      </w:r>
    </w:p>
    <w:p>
      <w:pPr>
        <w:rPr>
          <w:sz w:val="20"/>
          <w:szCs w:val="20"/>
          <w:lang w:val="ro-RO"/>
        </w:rPr>
      </w:pPr>
      <w:r>
        <w:rPr>
          <w:sz w:val="20"/>
          <w:szCs w:val="20"/>
          <w:lang w:val="ro-RO"/>
        </w:rPr>
        <w:t xml:space="preserve">Modulele TE vor fi dotate la baza cu o plinta înalta de (100-125) mm, fabricata din otel si protejata împotriva coroziunii. Aceasta plinta va fi decalata spre exterior cu 10-12 mm fata de </w:t>
      </w:r>
      <w:r>
        <w:rPr>
          <w:sz w:val="20"/>
          <w:szCs w:val="20"/>
          <w:lang w:val="ro-RO"/>
        </w:rPr>
        <w:lastRenderedPageBreak/>
        <w:t>fata verticala a tabloului, astfel încât sa se creeze o suprafata frontala continua. Plintele de baza vor fi instalate si fixate înainte ca modulele TE sa fie puse pe pozitie si fixate în partea superioara.</w:t>
      </w:r>
    </w:p>
    <w:p>
      <w:pPr>
        <w:rPr>
          <w:sz w:val="20"/>
          <w:szCs w:val="20"/>
          <w:lang w:val="ro-RO"/>
        </w:rPr>
      </w:pPr>
      <w:r>
        <w:rPr>
          <w:sz w:val="20"/>
          <w:szCs w:val="20"/>
          <w:lang w:val="ro-RO"/>
        </w:rPr>
        <w:t>Daca modulele TE sunt prevazute cu intrarea cablurilor pe la partea inferioara, distanta dintre partea inferioara a modulelor si placa cu presetupele de cabluri va fi de minim 200 mm, iar distanta dintre placa cu presetupele de cabluri si sirurile de cleme va fi, de asemenea, de minim 200 mm.</w:t>
      </w:r>
    </w:p>
    <w:p>
      <w:pPr>
        <w:rPr>
          <w:sz w:val="20"/>
          <w:szCs w:val="20"/>
          <w:lang w:val="ro-RO"/>
        </w:rPr>
      </w:pPr>
      <w:r>
        <w:rPr>
          <w:sz w:val="20"/>
          <w:szCs w:val="20"/>
          <w:lang w:val="ro-RO"/>
        </w:rPr>
        <w:t>Toate aparatele si componentele interne vor fi instalate pe contrapanouri.</w:t>
      </w:r>
    </w:p>
    <w:p>
      <w:pPr>
        <w:rPr>
          <w:sz w:val="20"/>
          <w:szCs w:val="20"/>
          <w:lang w:val="ro-RO"/>
        </w:rPr>
      </w:pPr>
      <w:r>
        <w:rPr>
          <w:sz w:val="20"/>
          <w:szCs w:val="20"/>
          <w:lang w:val="ro-RO"/>
        </w:rPr>
        <w:t>Numarul de conductoare si cabluri pozate într-un canal interior de cabluri va oferi un grad de umplere nu mai mare de 45%.</w:t>
      </w:r>
    </w:p>
    <w:p>
      <w:pPr>
        <w:pStyle w:val="ListParagraph"/>
        <w:numPr>
          <w:ilvl w:val="0"/>
          <w:numId w:val="56"/>
        </w:numPr>
        <w:rPr>
          <w:b/>
          <w:sz w:val="20"/>
          <w:szCs w:val="20"/>
          <w:lang w:val="ro-RO"/>
        </w:rPr>
      </w:pPr>
      <w:r>
        <w:rPr>
          <w:b/>
          <w:sz w:val="20"/>
          <w:szCs w:val="20"/>
          <w:lang w:val="ro-RO"/>
        </w:rPr>
        <w:t>Bare de distributie</w:t>
      </w:r>
    </w:p>
    <w:p>
      <w:pPr>
        <w:rPr>
          <w:sz w:val="20"/>
          <w:szCs w:val="20"/>
          <w:lang w:val="ro-RO"/>
        </w:rPr>
      </w:pPr>
      <w:r>
        <w:rPr>
          <w:sz w:val="20"/>
          <w:szCs w:val="20"/>
          <w:lang w:val="ro-RO"/>
        </w:rPr>
        <w:t>Toate barele si conexiunile primare vor fi din cupru de înalta conductivitate si vor îndeplini cele mai recente standarde. Capacitatea mecanica si dielectrica a barelor si suportilor de conexiune vor trebui sa suporte fara avarii cele mai dificile conditii ale trecerii curentului electric ce pot apărea într-o instalatie electrica.</w:t>
      </w:r>
    </w:p>
    <w:p>
      <w:pPr>
        <w:rPr>
          <w:sz w:val="20"/>
          <w:szCs w:val="20"/>
          <w:lang w:val="ro-RO"/>
        </w:rPr>
      </w:pPr>
      <w:r>
        <w:rPr>
          <w:sz w:val="20"/>
          <w:szCs w:val="20"/>
          <w:lang w:val="ro-RO"/>
        </w:rPr>
        <w:t>Barele de distributie vor avea aceeasi sectiune pe întreaga lungime a unui tablou si, exceptând situatiile când în Contract se mentioneaza altfel, vor fi dimensionate la acelasi curent de calcul ca întreruptorul/separatorul din amonte.</w:t>
      </w:r>
    </w:p>
    <w:p>
      <w:pPr>
        <w:rPr>
          <w:sz w:val="20"/>
          <w:szCs w:val="20"/>
          <w:lang w:val="ro-RO"/>
        </w:rPr>
      </w:pPr>
      <w:r>
        <w:rPr>
          <w:sz w:val="20"/>
          <w:szCs w:val="20"/>
          <w:lang w:val="ro-RO"/>
        </w:rPr>
        <w:t>Barele de distributie vor fi instalate în compartimente separate în conformitate cu IEC 60439 si nu vor prezenta discontinuitati în zonele de interfata între sectiuni adiacente.</w:t>
      </w:r>
    </w:p>
    <w:p>
      <w:pPr>
        <w:rPr>
          <w:sz w:val="20"/>
          <w:szCs w:val="20"/>
          <w:lang w:val="ro-RO"/>
        </w:rPr>
      </w:pPr>
      <w:r>
        <w:rPr>
          <w:sz w:val="20"/>
          <w:szCs w:val="20"/>
          <w:lang w:val="ro-RO"/>
        </w:rPr>
        <w:t>Barele de distributie secundare vor fi de acelasi tip constructiv si vor fi dimensionate la aceleasi valori ale curentului de scurtcircuit ca si barele de distributie principale.</w:t>
      </w:r>
    </w:p>
    <w:p>
      <w:pPr>
        <w:rPr>
          <w:sz w:val="20"/>
          <w:szCs w:val="20"/>
          <w:lang w:val="ro-RO"/>
        </w:rPr>
      </w:pPr>
      <w:r>
        <w:rPr>
          <w:sz w:val="20"/>
          <w:szCs w:val="20"/>
          <w:lang w:val="ro-RO"/>
        </w:rPr>
        <w:t>Conexiunile aflate sub tensiune de la si catre barele de distributie vor fi complet izolate sau ecranate corespunzator. Toate capacele de protectie si panourile de acces catre barele de distributie si conexiunile acestora vor purta inscriptii de avertizare corespunzatoare.</w:t>
      </w:r>
    </w:p>
    <w:p>
      <w:pPr>
        <w:rPr>
          <w:sz w:val="20"/>
          <w:szCs w:val="20"/>
          <w:lang w:val="ro-RO"/>
        </w:rPr>
      </w:pPr>
      <w:r>
        <w:rPr>
          <w:sz w:val="20"/>
          <w:szCs w:val="20"/>
          <w:lang w:val="ro-RO"/>
        </w:rPr>
        <w:t>Pentru a permite extinderi sau conexiuni suplimentare în viitor, accesul la barele de distributie va trebui sa fie comod.</w:t>
      </w:r>
    </w:p>
    <w:p>
      <w:pPr>
        <w:rPr>
          <w:sz w:val="20"/>
          <w:szCs w:val="20"/>
          <w:lang w:val="ro-RO"/>
        </w:rPr>
      </w:pPr>
      <w:r>
        <w:rPr>
          <w:sz w:val="20"/>
          <w:szCs w:val="20"/>
          <w:lang w:val="ro-RO"/>
        </w:rPr>
        <w:t>Întreruptorul principal si conexiunile dintre mecanismul întreruptorului principal si barele de distributie, precum si suportii si consolele acestora vor fi dimensionate pentru a functiona la aceeasi valoare a curentului de scurtcircuit cu cea specificata pentru sistemul de bare de distributie.</w:t>
      </w:r>
    </w:p>
    <w:p>
      <w:pPr>
        <w:pStyle w:val="ListParagraph"/>
        <w:numPr>
          <w:ilvl w:val="0"/>
          <w:numId w:val="56"/>
        </w:numPr>
        <w:rPr>
          <w:b/>
          <w:sz w:val="20"/>
          <w:szCs w:val="20"/>
          <w:lang w:val="ro-RO"/>
        </w:rPr>
      </w:pPr>
      <w:r>
        <w:rPr>
          <w:b/>
          <w:sz w:val="20"/>
          <w:szCs w:val="20"/>
          <w:lang w:val="ro-RO"/>
        </w:rPr>
        <w:t>Legarea la pamânt a TE</w:t>
      </w:r>
    </w:p>
    <w:p>
      <w:pPr>
        <w:rPr>
          <w:sz w:val="20"/>
          <w:szCs w:val="20"/>
          <w:lang w:val="ro-RO"/>
        </w:rPr>
      </w:pPr>
      <w:r>
        <w:rPr>
          <w:sz w:val="20"/>
          <w:szCs w:val="20"/>
          <w:lang w:val="ro-RO"/>
        </w:rPr>
        <w:t>TE vor fi echipate cu o bara de legare la pamânt din cupru dur, amplasata vizibil si distinct fata de orice placa cu presetupe si de traseele de intrare a conductoarelor cablurilor. Bara de legare la pamânt va avea o sectiune minima de 120 mm (sau de 50% din sectiunea barelor de distributie - care este mai mare).</w:t>
      </w:r>
    </w:p>
    <w:p>
      <w:pPr>
        <w:rPr>
          <w:sz w:val="20"/>
          <w:szCs w:val="20"/>
          <w:lang w:val="ro-RO"/>
        </w:rPr>
      </w:pPr>
      <w:r>
        <w:rPr>
          <w:sz w:val="20"/>
          <w:szCs w:val="20"/>
          <w:lang w:val="ro-RO"/>
        </w:rPr>
        <w:t>Într-o sectiune oarecare a unui TE, bara de legare la pamânt va fi o piesa continua (dintr-o singura bucata). Discontinuitatile sunt permise numai în locurile unde, din constructie, bara a fost sectionata din considerente de transport si montaj. În locurile de discontinuitate, bara de legare la pamânt va fi îmbinata cu ajutorul a doua eclise prinse cu cel putin doua suruburi. Eclisele si zonele de contact ale barelor vor fi decapate si cositorite (stanate). La ambele capete, bara de legare la pamânt va fi conectata la reteaua generala de legare la pamânt.</w:t>
      </w:r>
    </w:p>
    <w:p>
      <w:pPr>
        <w:rPr>
          <w:sz w:val="20"/>
          <w:szCs w:val="20"/>
          <w:lang w:val="ro-RO"/>
        </w:rPr>
      </w:pPr>
      <w:r>
        <w:rPr>
          <w:sz w:val="20"/>
          <w:szCs w:val="20"/>
          <w:lang w:val="ro-RO"/>
        </w:rPr>
        <w:t>Componentele metalice ale carcasei TE, precum si toate partile metalice care în conditii normale nu sunt utilizate ca si cai de curent, vor fi ferm conectate la bara de legare la pamânt. Usile metalice ale sectiunilor TE vor fi conectate, de asemenea, la bara de legare la pamânt, cu ajutorul unor conductoare flexibile dimensionate corespunzator, prevazute cu conectori de capat (papuci sertizati).</w:t>
      </w:r>
    </w:p>
    <w:p>
      <w:pPr>
        <w:rPr>
          <w:sz w:val="20"/>
          <w:szCs w:val="20"/>
          <w:lang w:val="ro-RO"/>
        </w:rPr>
      </w:pPr>
      <w:r>
        <w:rPr>
          <w:sz w:val="20"/>
          <w:szCs w:val="20"/>
          <w:lang w:val="ro-RO"/>
        </w:rPr>
        <w:t>Legaturile principale la bara de legare la pamânt vor fi realizate cu organe de asamblare M8 sau echivalente. În zonele unde echipamentelor vor fi conectate la conductoarele de ramificatie ale instalatiei de legare la pamânt, suprafetele de contact vor fi bine curatate de vopsea si de orice alte acoperiri izolatoare si apoi vor fi protejate cu vaselina neutra.</w:t>
      </w:r>
    </w:p>
    <w:p>
      <w:pPr>
        <w:pStyle w:val="ListParagraph"/>
        <w:numPr>
          <w:ilvl w:val="0"/>
          <w:numId w:val="56"/>
        </w:numPr>
        <w:rPr>
          <w:b/>
          <w:sz w:val="20"/>
          <w:szCs w:val="20"/>
          <w:lang w:val="ro-RO"/>
        </w:rPr>
      </w:pPr>
      <w:r>
        <w:rPr>
          <w:b/>
          <w:sz w:val="20"/>
          <w:szCs w:val="20"/>
          <w:lang w:val="ro-RO"/>
        </w:rPr>
        <w:lastRenderedPageBreak/>
        <w:t>Întreruptoare automate (disjunctoare)</w:t>
      </w:r>
    </w:p>
    <w:p>
      <w:pPr>
        <w:rPr>
          <w:sz w:val="20"/>
          <w:szCs w:val="20"/>
          <w:lang w:val="ro-RO"/>
        </w:rPr>
      </w:pPr>
      <w:r>
        <w:rPr>
          <w:sz w:val="20"/>
          <w:szCs w:val="20"/>
          <w:lang w:val="ro-RO"/>
        </w:rPr>
        <w:t>Disjunctoarele vor fi conforme cu cea mai recenta revizie a standardului SR EN 60927-2 si vor fi capabile sa suporte curentii de scurtcircuit specificati pentru sistemul respectiv. Disjunctoarele instalate vor trebui sa poata suporta în mod continuu curentul maxim de calcul.</w:t>
      </w:r>
    </w:p>
    <w:p>
      <w:pPr>
        <w:rPr>
          <w:sz w:val="20"/>
          <w:szCs w:val="20"/>
          <w:lang w:val="ro-RO"/>
        </w:rPr>
      </w:pPr>
      <w:r>
        <w:rPr>
          <w:sz w:val="20"/>
          <w:szCs w:val="20"/>
          <w:lang w:val="ro-RO"/>
        </w:rPr>
        <w:t>Disjunctoarele compacte în carcasa turnata (MCCB) vor fi prevazute cu manete de actionare rotative. Disjunctoarele vor fi prevazute cu un sistem de protectie adecvat.</w:t>
      </w:r>
    </w:p>
    <w:p>
      <w:pPr>
        <w:rPr>
          <w:sz w:val="20"/>
          <w:szCs w:val="20"/>
          <w:lang w:val="ro-RO"/>
        </w:rPr>
      </w:pPr>
      <w:r>
        <w:rPr>
          <w:sz w:val="20"/>
          <w:szCs w:val="20"/>
          <w:lang w:val="ro-RO"/>
        </w:rPr>
        <w:t>Disjunctoarele compacte în carcasa turnata MCCB al caror curent nominal depaseste 100A vor fi prevazute cu un dispozitiv termic de suprasarcina care sa prezinte o caracteristica curent -timp inversa si un dispozitiv electromagnetic de decuplare ajustabil. Disjunctoarele compacte în carcasa turnata MCCB vor avea incluse cel putin urmatoarele caracteristici:</w:t>
      </w:r>
    </w:p>
    <w:p>
      <w:pPr>
        <w:pStyle w:val="ListParagraph"/>
        <w:numPr>
          <w:ilvl w:val="0"/>
          <w:numId w:val="57"/>
        </w:numPr>
        <w:rPr>
          <w:sz w:val="20"/>
          <w:szCs w:val="20"/>
          <w:lang w:val="ro-RO"/>
        </w:rPr>
      </w:pPr>
      <w:r>
        <w:rPr>
          <w:sz w:val="20"/>
          <w:szCs w:val="20"/>
          <w:lang w:val="ro-RO"/>
        </w:rPr>
        <w:t>Interblocare mecanica si electrica;</w:t>
      </w:r>
    </w:p>
    <w:p>
      <w:pPr>
        <w:pStyle w:val="ListParagraph"/>
        <w:numPr>
          <w:ilvl w:val="0"/>
          <w:numId w:val="57"/>
        </w:numPr>
        <w:rPr>
          <w:sz w:val="20"/>
          <w:szCs w:val="20"/>
          <w:lang w:val="ro-RO"/>
        </w:rPr>
      </w:pPr>
      <w:r>
        <w:rPr>
          <w:sz w:val="20"/>
          <w:szCs w:val="20"/>
          <w:lang w:val="ro-RO"/>
        </w:rPr>
        <w:t>Indicator mecanic al starilor deschis, închis si declansat;</w:t>
      </w:r>
    </w:p>
    <w:p>
      <w:pPr>
        <w:pStyle w:val="ListParagraph"/>
        <w:numPr>
          <w:ilvl w:val="0"/>
          <w:numId w:val="57"/>
        </w:numPr>
        <w:rPr>
          <w:sz w:val="20"/>
          <w:szCs w:val="20"/>
          <w:lang w:val="ro-RO"/>
        </w:rPr>
      </w:pPr>
      <w:r>
        <w:rPr>
          <w:sz w:val="20"/>
          <w:szCs w:val="20"/>
          <w:lang w:val="ro-RO"/>
        </w:rPr>
        <w:t>Mecanism de declansare libera (trip-free);</w:t>
      </w:r>
    </w:p>
    <w:p>
      <w:pPr>
        <w:pStyle w:val="ListParagraph"/>
        <w:numPr>
          <w:ilvl w:val="0"/>
          <w:numId w:val="57"/>
        </w:numPr>
        <w:rPr>
          <w:sz w:val="20"/>
          <w:szCs w:val="20"/>
          <w:lang w:val="ro-RO"/>
        </w:rPr>
      </w:pPr>
      <w:r>
        <w:rPr>
          <w:sz w:val="20"/>
          <w:szCs w:val="20"/>
          <w:lang w:val="ro-RO"/>
        </w:rPr>
        <w:t>Cel putin un contact auxiliar fara tensiune (voltage free), cablat la clemele de iesire, pentru indicare la distanta;</w:t>
      </w:r>
    </w:p>
    <w:p>
      <w:pPr>
        <w:pStyle w:val="ListParagraph"/>
        <w:numPr>
          <w:ilvl w:val="0"/>
          <w:numId w:val="57"/>
        </w:numPr>
        <w:rPr>
          <w:sz w:val="20"/>
          <w:szCs w:val="20"/>
          <w:lang w:val="ro-RO"/>
        </w:rPr>
      </w:pPr>
      <w:r>
        <w:rPr>
          <w:sz w:val="20"/>
          <w:szCs w:val="20"/>
          <w:lang w:val="ro-RO"/>
        </w:rPr>
        <w:t>Bobina de declansare si declasator de tensiune minima, acolo unde este necesar.</w:t>
      </w:r>
    </w:p>
    <w:p>
      <w:pPr>
        <w:pStyle w:val="Heading3"/>
        <w:rPr>
          <w:sz w:val="20"/>
          <w:szCs w:val="20"/>
          <w:lang w:val="ro-RO"/>
        </w:rPr>
      </w:pPr>
      <w:bookmarkStart w:id="40" w:name="_Toc227161515"/>
      <w:r>
        <w:rPr>
          <w:sz w:val="20"/>
          <w:szCs w:val="20"/>
          <w:lang w:val="ro-RO"/>
        </w:rPr>
        <w:t>2.2.12 Cerinte privind lucrarile de executie a instalatiilor electrice de alimentare cu energie electrica si impamintare</w:t>
      </w:r>
      <w:bookmarkEnd w:id="40"/>
    </w:p>
    <w:p>
      <w:pPr>
        <w:pStyle w:val="Heading4"/>
        <w:rPr>
          <w:sz w:val="20"/>
          <w:szCs w:val="20"/>
          <w:lang w:val="ro-RO"/>
        </w:rPr>
      </w:pPr>
      <w:r>
        <w:rPr>
          <w:sz w:val="20"/>
          <w:szCs w:val="20"/>
          <w:lang w:val="ro-RO"/>
        </w:rPr>
        <w:t>2.2.12.1 Generalitati</w:t>
      </w:r>
    </w:p>
    <w:p>
      <w:pPr>
        <w:pStyle w:val="ListParagraph"/>
        <w:numPr>
          <w:ilvl w:val="0"/>
          <w:numId w:val="56"/>
        </w:numPr>
        <w:rPr>
          <w:b/>
          <w:sz w:val="20"/>
          <w:szCs w:val="20"/>
          <w:lang w:val="ro-RO"/>
        </w:rPr>
      </w:pPr>
      <w:r>
        <w:rPr>
          <w:b/>
          <w:sz w:val="20"/>
          <w:szCs w:val="20"/>
          <w:lang w:val="ro-RO"/>
        </w:rPr>
        <w:t>Retele electrice subterane - Cabluri îngropate</w:t>
      </w:r>
    </w:p>
    <w:p>
      <w:pPr>
        <w:rPr>
          <w:sz w:val="20"/>
          <w:szCs w:val="20"/>
          <w:lang w:val="ro-RO"/>
        </w:rPr>
      </w:pPr>
      <w:r>
        <w:rPr>
          <w:sz w:val="20"/>
          <w:szCs w:val="20"/>
          <w:lang w:val="ro-RO"/>
        </w:rPr>
        <w:t>Cablurile în pamânt vor fi pozate serpuit în sant, pe un strat de pamânt sau nisip, si acoperite cu pamânt cernut (granulatie maxima 2 mm) sau nisip (conform proiectului), cu grosimea totala de la fundul santului pâna la stratul avertizator si cu protectie din placi speciale, benzi cu inscriptie avertizoare, (conform proiectului), de cel putin 20 cm. Umplutura se va realiza cu pamântul rezultat din sapatura.</w:t>
      </w:r>
    </w:p>
    <w:p>
      <w:pPr>
        <w:rPr>
          <w:sz w:val="20"/>
          <w:szCs w:val="20"/>
          <w:lang w:val="ro-RO"/>
        </w:rPr>
      </w:pPr>
      <w:r>
        <w:rPr>
          <w:sz w:val="20"/>
          <w:szCs w:val="20"/>
          <w:lang w:val="ro-RO"/>
        </w:rPr>
        <w:t>Santurile pentru pozarea cablurilor vor fi de adâncime 0,8m, dar pot varia în functie de prezenta altor cabluri sau utilitati. Pozarea cablurilor la adâncimi excesive nu va fi acceptata, cu exceptia cazurilor când nu se poate altfel, cablurile nu vor fi pozate sub conducte.</w:t>
      </w:r>
    </w:p>
    <w:p>
      <w:pPr>
        <w:rPr>
          <w:sz w:val="20"/>
          <w:szCs w:val="20"/>
          <w:lang w:val="ro-RO"/>
        </w:rPr>
      </w:pPr>
      <w:r>
        <w:rPr>
          <w:sz w:val="20"/>
          <w:szCs w:val="20"/>
          <w:lang w:val="ro-RO"/>
        </w:rPr>
        <w:t>Înainte de pozarea cablurilor, fundul santurilor va fi curatat de pietre ascutite sau alte obstacole si va fi acoperit cu nisip sau pamânt sortat fin si compactat, pe o adâncime de 50 mm.</w:t>
      </w:r>
    </w:p>
    <w:p>
      <w:pPr>
        <w:rPr>
          <w:sz w:val="20"/>
          <w:szCs w:val="20"/>
          <w:lang w:val="ro-RO"/>
        </w:rPr>
      </w:pPr>
      <w:r>
        <w:rPr>
          <w:sz w:val="20"/>
          <w:szCs w:val="20"/>
          <w:lang w:val="ro-RO"/>
        </w:rPr>
        <w:t>Cablurile vor fi roluite de pe tambur într-o asemenea maniera încât sa fie evitate buclele sau încovoierea si se vor lua masuri de precautie în cazul pozarii sau a tragerii prin piesele de trecere, pentru evitarea afectarii armaturii prin trecerea peste obstacole ascutite, colturi sau pietre. Cablurile trase fie de masini, fie manual vor fi trase folosind role, pentru a preveni contactul dintre cablu si pamânt. Cablurile vor fi conduse sinuos în sant, pentru a evita tensiunile din cabluri din momentul acoperirii cu umplutura de pamânt sau a unei asezari ulterioare. Dupa pozare, cablurile vor fi acoperite cu minimum 100mm de nisip compactat sau pamânt cernut. Deasupra cablurilor, la o distanta de 0,3m de cota terenului, se va poza o banda de marcare.</w:t>
      </w:r>
    </w:p>
    <w:p>
      <w:pPr>
        <w:rPr>
          <w:sz w:val="20"/>
          <w:szCs w:val="20"/>
          <w:lang w:val="ro-RO"/>
        </w:rPr>
      </w:pPr>
      <w:r>
        <w:rPr>
          <w:sz w:val="20"/>
          <w:szCs w:val="20"/>
          <w:lang w:val="ro-RO"/>
        </w:rPr>
        <w:t>În zonele unde cabluri cu tensiuni diferite sunt pozate împreuna la acelasi nivel, vor fi folosite placi verticale pentru despartirea cablurilor.</w:t>
      </w:r>
    </w:p>
    <w:p>
      <w:pPr>
        <w:rPr>
          <w:sz w:val="20"/>
          <w:szCs w:val="20"/>
          <w:lang w:val="ro-RO"/>
        </w:rPr>
      </w:pPr>
      <w:r>
        <w:rPr>
          <w:sz w:val="20"/>
          <w:szCs w:val="20"/>
          <w:lang w:val="ro-RO"/>
        </w:rPr>
        <w:t>Cablurile de control, instrumentatie si comunicatii nu vor fi pozate mai aproape de 1000 mm de cablurile de tensiune înalta.</w:t>
      </w:r>
    </w:p>
    <w:p>
      <w:pPr>
        <w:pStyle w:val="ListParagraph"/>
        <w:numPr>
          <w:ilvl w:val="0"/>
          <w:numId w:val="56"/>
        </w:numPr>
        <w:rPr>
          <w:b/>
          <w:sz w:val="20"/>
          <w:szCs w:val="20"/>
          <w:lang w:val="ro-RO"/>
        </w:rPr>
      </w:pPr>
      <w:r>
        <w:rPr>
          <w:b/>
          <w:sz w:val="20"/>
          <w:szCs w:val="20"/>
          <w:lang w:val="ro-RO"/>
        </w:rPr>
        <w:t>Tuburile (tevile) de protectie a cablurilor</w:t>
      </w:r>
    </w:p>
    <w:p>
      <w:pPr>
        <w:rPr>
          <w:sz w:val="20"/>
          <w:szCs w:val="20"/>
          <w:lang w:val="ro-RO"/>
        </w:rPr>
      </w:pPr>
      <w:r>
        <w:rPr>
          <w:sz w:val="20"/>
          <w:szCs w:val="20"/>
          <w:lang w:val="ro-RO"/>
        </w:rPr>
        <w:t>Pentru protectia cablurilor pozate în sant în pamânt, tuburile furnizate conform contractului vor fi de obicei filate din uPVC sau PP, cu etansari de capat realizate cu inele de cauciuc si vor avea diametrul minim de 100 mm. Tuburile (tevile) de protectie a cablurilor vor fi prevazute cu fire de tragere din nylon (min 1 kN). Firele de tragere vor ramâne în tub (teava) dupa instalarea cablurilor.</w:t>
      </w:r>
    </w:p>
    <w:p>
      <w:pPr>
        <w:rPr>
          <w:sz w:val="20"/>
          <w:szCs w:val="20"/>
          <w:lang w:val="ro-RO"/>
        </w:rPr>
      </w:pPr>
      <w:r>
        <w:rPr>
          <w:sz w:val="20"/>
          <w:szCs w:val="20"/>
          <w:lang w:val="ro-RO"/>
        </w:rPr>
        <w:t xml:space="preserve">În locurile unde intra în cladiri sau în caminele de tragere sau unde capatul este vizibil, tuburile (tevile) de protectie a cablurilor, vor fi etansate la ambele capete, dupa terminarea lucrarilor, </w:t>
      </w:r>
      <w:r>
        <w:rPr>
          <w:sz w:val="20"/>
          <w:szCs w:val="20"/>
          <w:lang w:val="ro-RO"/>
        </w:rPr>
        <w:lastRenderedPageBreak/>
        <w:t>folosind spuma poliuretanica impermeabila la apa, gaze sau daunatori. Lungimea dopului de spuma va fi de cel putin 300 mm. Capatul tubului (tevii) va fi încastrat în beton pe toate partile, pe o lungime de 150 mm.</w:t>
      </w:r>
    </w:p>
    <w:p>
      <w:pPr>
        <w:pStyle w:val="ListParagraph"/>
        <w:numPr>
          <w:ilvl w:val="0"/>
          <w:numId w:val="56"/>
        </w:numPr>
        <w:rPr>
          <w:b/>
          <w:sz w:val="20"/>
          <w:szCs w:val="20"/>
          <w:lang w:val="ro-RO"/>
        </w:rPr>
      </w:pPr>
      <w:r>
        <w:rPr>
          <w:b/>
          <w:sz w:val="20"/>
          <w:szCs w:val="20"/>
          <w:lang w:val="ro-RO"/>
        </w:rPr>
        <w:t>Identificarea cablurilor</w:t>
      </w:r>
    </w:p>
    <w:p>
      <w:pPr>
        <w:rPr>
          <w:sz w:val="20"/>
          <w:szCs w:val="20"/>
          <w:lang w:val="ro-RO"/>
        </w:rPr>
      </w:pPr>
      <w:r>
        <w:rPr>
          <w:sz w:val="20"/>
          <w:szCs w:val="20"/>
          <w:lang w:val="ro-RO"/>
        </w:rPr>
        <w:t>La capatul fiecarui cablu, într-o pozitie uniforma si vizibila, se va fixa de cablu o eticheta (marca) conform jurnalului de cabluri, care va indica numarul si traseul cablului, numarul si dimensiunea conductoarelor. Etichetele vor fi facute din fâsii de alama, aluminiu, plumb sau cupru, inscriptionate si sustinute de fire rezistente la rugina sau coroziune, firele de legatura fiind trecute prin doua gauri fixe, câte una la fiecare capat al etichetei. Daca mufa cablului nu este în mod normal vizibila, atunci eticheta va fi fixata înauntrul tabloului, prin suruburi.</w:t>
      </w:r>
    </w:p>
    <w:p>
      <w:pPr>
        <w:rPr>
          <w:sz w:val="20"/>
          <w:szCs w:val="20"/>
          <w:lang w:val="ro-RO"/>
        </w:rPr>
      </w:pPr>
      <w:r>
        <w:rPr>
          <w:sz w:val="20"/>
          <w:szCs w:val="20"/>
          <w:lang w:val="ro-RO"/>
        </w:rPr>
        <w:t>Cele trei faze dintr-un cablu vor fi identificate prin L1, L2 si L3 sau colorate în rosu, albastru si maro, astfel încât însiruirea secventiala a celor trei faze sa se pastreze de-a lungul întregului sistem. În cazul instalatiilor rotative unde pentru a obtine directia de rotatie necesara nu este posibila conectarea conductoarelor fazelor înspre terminatiile identificate ca potrivite, se vor prevedea mansoane suplimentare pe conductoare, pentru a asigura identificarea corecta la finalul conexiunii. Cablurile de comanda vor avea conductoarele identificate individual prin intermediul unor mansoane permanente ce poarta acelasi numar la ambele capete.</w:t>
      </w:r>
    </w:p>
    <w:p>
      <w:pPr>
        <w:rPr>
          <w:sz w:val="20"/>
          <w:szCs w:val="20"/>
          <w:lang w:val="ro-RO"/>
        </w:rPr>
      </w:pPr>
      <w:r>
        <w:rPr>
          <w:sz w:val="20"/>
          <w:szCs w:val="20"/>
          <w:lang w:val="ro-RO"/>
        </w:rPr>
        <w:t>Identificarea conductoarelor va putea avea loc în fiecare punct al capetelor terminale, folosind un sistem aprobat de mansoane marcate. Dimensiunea mansoanelor marcate va fi astfel încât sa poata fi adaptata tuturor diametrelor conductoarelor, inclusiv izolatia. Numerotarea trebuie citita de la exteriorul capetelor terminale ale tuturor conductoarelor. Fiecare cablu si conductor vor avea aceeasi marca la ambele capete ale cablului si conductorului respectiv.</w:t>
      </w:r>
    </w:p>
    <w:p>
      <w:pPr>
        <w:pStyle w:val="Heading4"/>
        <w:rPr>
          <w:sz w:val="20"/>
          <w:szCs w:val="20"/>
          <w:lang w:val="ro-RO"/>
        </w:rPr>
      </w:pPr>
      <w:r>
        <w:rPr>
          <w:sz w:val="20"/>
          <w:szCs w:val="20"/>
          <w:lang w:val="ro-RO"/>
        </w:rPr>
        <w:t>2.2.12.2 Instalatii de legare la pamânt</w:t>
      </w:r>
    </w:p>
    <w:p>
      <w:pPr>
        <w:pStyle w:val="ListParagraph"/>
        <w:numPr>
          <w:ilvl w:val="0"/>
          <w:numId w:val="56"/>
        </w:numPr>
        <w:rPr>
          <w:b/>
          <w:sz w:val="20"/>
          <w:szCs w:val="20"/>
          <w:lang w:val="ro-RO"/>
        </w:rPr>
      </w:pPr>
      <w:r>
        <w:rPr>
          <w:b/>
          <w:sz w:val="20"/>
          <w:szCs w:val="20"/>
          <w:lang w:val="ro-RO"/>
        </w:rPr>
        <w:t>Generalitati</w:t>
      </w:r>
    </w:p>
    <w:p>
      <w:pPr>
        <w:rPr>
          <w:sz w:val="20"/>
          <w:szCs w:val="20"/>
          <w:lang w:val="ro-RO"/>
        </w:rPr>
      </w:pPr>
      <w:r>
        <w:rPr>
          <w:sz w:val="20"/>
          <w:szCs w:val="20"/>
          <w:lang w:val="ro-RO"/>
        </w:rPr>
        <w:t>Instalatia de împamântare va trebui sa corespunda cerintelor ultimului SR EN 61140, SR HD 60364-4-41 (CEI 60364-4-41), SR HD 60364-5-54 (CEI 60364-5-54), SR EN 50164-2, STAS 12604/4,5 si Normativului I20. Antreprenorul va fi responsabil de obtinerea si îndeplinirea cerintelor distribuitorului local de energie electrica referitoare la împamântare. Lucrarile metalice ale tuturor obiectelor statiei, punctele de nul ale sistemului electric, ecranele cablurilor de comanda si forta, partile metalice exterioare ale statiei electrice, incluzând lucrarile metalice structurale, conducte, garduri si porti, vor fi legate la instalatia de împamântare.</w:t>
      </w:r>
    </w:p>
    <w:p>
      <w:pPr>
        <w:rPr>
          <w:sz w:val="20"/>
          <w:szCs w:val="20"/>
          <w:lang w:val="ro-RO"/>
        </w:rPr>
      </w:pPr>
      <w:r>
        <w:rPr>
          <w:sz w:val="20"/>
          <w:szCs w:val="20"/>
          <w:lang w:val="ro-RO"/>
        </w:rPr>
        <w:t>Continuitatea împamântarii în zonele ce nu apartin statiei electrice va fi în mod normal realizata la fata metalelor, flanselor conductelor, articulatiilor metalice si a dispozitivelor de fixare metalice.</w:t>
      </w:r>
    </w:p>
    <w:p>
      <w:pPr>
        <w:rPr>
          <w:sz w:val="20"/>
          <w:szCs w:val="20"/>
          <w:lang w:val="ro-RO"/>
        </w:rPr>
      </w:pPr>
      <w:r>
        <w:rPr>
          <w:sz w:val="20"/>
          <w:szCs w:val="20"/>
          <w:lang w:val="ro-RO"/>
        </w:rPr>
        <w:t>Cleme ale împamântarii legate la sectiunile conductelor vor fi furnizate în zonele în care rezistenta pamântului este mare sau exista pericol de coroziune sau similar, ceea ce poate conduce la viitoare cresteri ale rezistentei si efecte asupra continuitatii împamântarii.</w:t>
      </w:r>
    </w:p>
    <w:p>
      <w:pPr>
        <w:rPr>
          <w:sz w:val="20"/>
          <w:szCs w:val="20"/>
          <w:lang w:val="ro-RO"/>
        </w:rPr>
      </w:pPr>
      <w:r>
        <w:rPr>
          <w:sz w:val="20"/>
          <w:szCs w:val="20"/>
          <w:lang w:val="ro-RO"/>
        </w:rPr>
        <w:t>Antreprenorul va obtine toate aprobarile necesare înainte de conectarea alimentarii cu energie electrica.</w:t>
      </w:r>
    </w:p>
    <w:p>
      <w:pPr>
        <w:pStyle w:val="ListParagraph"/>
        <w:numPr>
          <w:ilvl w:val="0"/>
          <w:numId w:val="56"/>
        </w:numPr>
        <w:rPr>
          <w:b/>
          <w:sz w:val="20"/>
          <w:szCs w:val="20"/>
          <w:lang w:val="ro-RO"/>
        </w:rPr>
      </w:pPr>
      <w:r>
        <w:rPr>
          <w:b/>
          <w:sz w:val="20"/>
          <w:szCs w:val="20"/>
          <w:lang w:val="ro-RO"/>
        </w:rPr>
        <w:t>Electrozii prizei de pamânt</w:t>
      </w:r>
    </w:p>
    <w:p>
      <w:pPr>
        <w:rPr>
          <w:sz w:val="20"/>
          <w:szCs w:val="20"/>
          <w:lang w:val="ro-RO"/>
        </w:rPr>
      </w:pPr>
      <w:r>
        <w:rPr>
          <w:sz w:val="20"/>
          <w:szCs w:val="20"/>
          <w:lang w:val="ro-RO"/>
        </w:rPr>
        <w:t>Electrozii prizei de pamânt vor fi produse de firma, tip Ol-Zn, si vor fi introdusi în pamânt la o adâncime de cel putin 2400 mm, printr-o metoda aprobata de catre producatorul electrozilor. Electrozii prizei de pamânt vor fi executati dintr-un material adecvat, care garanteaza o rezistenta de valoare scazuta si o durata mare de viata. Electrozii de cupru nu vor fi folositi în zone cu protectie catodica.</w:t>
      </w:r>
    </w:p>
    <w:p>
      <w:pPr>
        <w:rPr>
          <w:sz w:val="20"/>
          <w:szCs w:val="20"/>
          <w:lang w:val="ro-RO"/>
        </w:rPr>
      </w:pPr>
      <w:r>
        <w:rPr>
          <w:sz w:val="20"/>
          <w:szCs w:val="20"/>
          <w:lang w:val="ro-RO"/>
        </w:rPr>
        <w:t>Daca conditiile solului nu permit utilizarea electrozilor verticali, se poate folosi o configuratie în forma de grila (electrozi orizontali), alcatuita din platbanda de cupru de minim 15 mm x 4 mm îngropata orizontal. Platbanda se va poza în sant la o adâncime de minim 600 mm.</w:t>
      </w:r>
    </w:p>
    <w:p>
      <w:pPr>
        <w:pStyle w:val="ListParagraph"/>
        <w:numPr>
          <w:ilvl w:val="0"/>
          <w:numId w:val="58"/>
        </w:numPr>
        <w:rPr>
          <w:b/>
          <w:sz w:val="20"/>
          <w:szCs w:val="20"/>
          <w:lang w:val="ro-RO"/>
        </w:rPr>
      </w:pPr>
      <w:r>
        <w:rPr>
          <w:b/>
          <w:sz w:val="20"/>
          <w:szCs w:val="20"/>
          <w:lang w:val="ro-RO"/>
        </w:rPr>
        <w:t>Conductoare de legare la pamânt</w:t>
      </w:r>
    </w:p>
    <w:p>
      <w:pPr>
        <w:rPr>
          <w:sz w:val="20"/>
          <w:szCs w:val="20"/>
          <w:lang w:val="ro-RO"/>
        </w:rPr>
      </w:pPr>
      <w:r>
        <w:rPr>
          <w:sz w:val="20"/>
          <w:szCs w:val="20"/>
          <w:lang w:val="ro-RO"/>
        </w:rPr>
        <w:t xml:space="preserve">Instalatia de legare la pamânt va fi formata dintr-un inel principal de legare la pamânt cu ramuri de interconectare la echipamentele si structurile care vor fi legate la pamânt. Conexiunile la </w:t>
      </w:r>
      <w:r>
        <w:rPr>
          <w:sz w:val="20"/>
          <w:szCs w:val="20"/>
          <w:lang w:val="ro-RO"/>
        </w:rPr>
        <w:lastRenderedPageBreak/>
        <w:t>instalatia de legare la pamânt vor fi realizate cu conductoare multifilare din cupru cu izolatie din PVC de culoare verde/ galben.</w:t>
      </w:r>
    </w:p>
    <w:p>
      <w:pPr>
        <w:rPr>
          <w:sz w:val="20"/>
          <w:szCs w:val="20"/>
          <w:lang w:val="ro-RO"/>
        </w:rPr>
      </w:pPr>
      <w:r>
        <w:rPr>
          <w:sz w:val="20"/>
          <w:szCs w:val="20"/>
          <w:lang w:val="ro-RO"/>
        </w:rPr>
        <w:t>Piesele pentru instalatiile de protectie prin legare la pamânt vor corespunde STAS 4102.</w:t>
      </w:r>
    </w:p>
    <w:p>
      <w:pPr>
        <w:rPr>
          <w:sz w:val="20"/>
          <w:szCs w:val="20"/>
          <w:lang w:val="ro-RO"/>
        </w:rPr>
      </w:pPr>
      <w:r>
        <w:rPr>
          <w:sz w:val="20"/>
          <w:szCs w:val="20"/>
          <w:lang w:val="ro-RO"/>
        </w:rPr>
        <w:t>Pentru conectarea conductoarelor de legare la pamânt se vor utiliza conectori de capat (papuci) asamblati prin sertizare/ presare. Interconexiunile dintre conductoarele de împamântare vor fi realizate cu conectori de ramura de tip compresiune sau vor fi sudate prin procedeu Cadwell.</w:t>
      </w:r>
    </w:p>
    <w:p>
      <w:pPr>
        <w:rPr>
          <w:sz w:val="20"/>
          <w:szCs w:val="20"/>
          <w:lang w:val="ro-RO"/>
        </w:rPr>
      </w:pPr>
      <w:r>
        <w:rPr>
          <w:sz w:val="20"/>
          <w:szCs w:val="20"/>
          <w:lang w:val="ro-RO"/>
        </w:rPr>
        <w:t>Toate partile libere ale conductoarelor de legare la pamânt montate îngropat vor fi protejate în mod corespunzator împotriva contactului direct cu solul, astfel încât sa se previna coroziunea electrolitica a acestora.</w:t>
      </w:r>
    </w:p>
    <w:p>
      <w:pPr>
        <w:rPr>
          <w:sz w:val="20"/>
          <w:szCs w:val="20"/>
          <w:lang w:val="ro-RO"/>
        </w:rPr>
      </w:pPr>
      <w:r>
        <w:rPr>
          <w:sz w:val="20"/>
          <w:szCs w:val="20"/>
          <w:lang w:val="ro-RO"/>
        </w:rPr>
        <w:t>Inelul principal de legare la pamânt va avea o sectiune transversala capabila sa îi permita sa functioneze ca un conductor de protectie pentru fiecare echipament si instalatie conectate la acesta. În punctul de racordare, acesta va fi conectat solid la racordul instalatiei exterioare de legare la pamânt sau la terminalul de legare la pamânt al santierului.</w:t>
      </w:r>
    </w:p>
    <w:p>
      <w:pPr>
        <w:rPr>
          <w:sz w:val="20"/>
          <w:szCs w:val="20"/>
          <w:lang w:val="ro-RO"/>
        </w:rPr>
      </w:pPr>
      <w:r>
        <w:rPr>
          <w:sz w:val="20"/>
          <w:szCs w:val="20"/>
          <w:lang w:val="ro-RO"/>
        </w:rPr>
        <w:t>Se va realiza o zona echipotentiala pentru întregul obiectiv, care sa includa structurile din otel ale cladirilor noi (prize naturale de împamântare) si instalatiile artificiale de împamântare la care se vor conecta instalatiile din interiorul camerelor tablourilor electrice si al camerelor de comanda. In exteriorul camerelor tablourilor electrice si al camerelor de comanda, instalatia electrica si echipamentele vor fi conectate la un conductor principal extins de legare la pamânt. Legaturile dintre elementele metalice exterioare si structurile metalice de sprijin ale instalatiilor si echipamentelor vor fi conectate, de asemenea, la acest conductor principal extins de legare la pamânt.</w:t>
      </w:r>
    </w:p>
    <w:p>
      <w:pPr>
        <w:rPr>
          <w:sz w:val="20"/>
          <w:szCs w:val="20"/>
          <w:lang w:val="ro-RO"/>
        </w:rPr>
      </w:pPr>
      <w:r>
        <w:rPr>
          <w:sz w:val="20"/>
          <w:szCs w:val="20"/>
          <w:lang w:val="ro-RO"/>
        </w:rPr>
        <w:t>Conductoarele de legatura dintre instalatiile electrice si echipamente si conductorul principal de legare la pamânt vor fi considerate, acolo unde este cazul, ca fiind conductoare de protectie, asa cum este descris în IEC 60364.</w:t>
      </w:r>
    </w:p>
    <w:p>
      <w:pPr>
        <w:rPr>
          <w:sz w:val="20"/>
          <w:szCs w:val="20"/>
          <w:lang w:val="ro-RO"/>
        </w:rPr>
      </w:pPr>
      <w:r>
        <w:rPr>
          <w:sz w:val="20"/>
          <w:szCs w:val="20"/>
          <w:lang w:val="ro-RO"/>
        </w:rPr>
        <w:t>Armaturile si bandajele cablurilor nu pot fi utilizate drept conductoare de protectie.</w:t>
      </w:r>
    </w:p>
    <w:p>
      <w:pPr>
        <w:rPr>
          <w:sz w:val="20"/>
          <w:szCs w:val="20"/>
          <w:lang w:val="ro-RO"/>
        </w:rPr>
      </w:pPr>
      <w:r>
        <w:rPr>
          <w:sz w:val="20"/>
          <w:szCs w:val="20"/>
          <w:lang w:val="ro-RO"/>
        </w:rPr>
        <w:t>Atunci când se utilizeaza conductoare plate (platbande) din cupru pentru legaturi sau pentru realizarea continuitatii instalatiilor de legare la pamânt, se vor aplica urmatoarele:</w:t>
      </w:r>
    </w:p>
    <w:p>
      <w:pPr>
        <w:pStyle w:val="ListParagraph"/>
        <w:numPr>
          <w:ilvl w:val="2"/>
          <w:numId w:val="45"/>
        </w:numPr>
        <w:ind w:left="1418"/>
        <w:rPr>
          <w:sz w:val="20"/>
          <w:szCs w:val="20"/>
          <w:lang w:val="ro-RO"/>
        </w:rPr>
      </w:pPr>
      <w:r>
        <w:rPr>
          <w:sz w:val="20"/>
          <w:szCs w:val="20"/>
          <w:lang w:val="ro-RO"/>
        </w:rPr>
        <w:t>Toate platbandele vor fi din cupru moale de înalta conductivitate;</w:t>
      </w:r>
    </w:p>
    <w:p>
      <w:pPr>
        <w:pStyle w:val="ListParagraph"/>
        <w:numPr>
          <w:ilvl w:val="2"/>
          <w:numId w:val="45"/>
        </w:numPr>
        <w:ind w:left="1418"/>
        <w:rPr>
          <w:sz w:val="20"/>
          <w:szCs w:val="20"/>
          <w:lang w:val="ro-RO"/>
        </w:rPr>
      </w:pPr>
      <w:r>
        <w:rPr>
          <w:sz w:val="20"/>
          <w:szCs w:val="20"/>
          <w:lang w:val="ro-RO"/>
        </w:rPr>
        <w:t>Acolo unde platbandele de cupru se fixeaza pe o structura a cladirii, vor fi folosite cleme sau bratari/ coliere din alarma dedicate. Nu este admisa gaurirea în scopuri de fixare a platbandelor de cupru. Gaurile practicate pentru conectarea elementelor instalatiei de legare la pamânt nu vor trebui sa reduca sectiunea transversala din zona îmbinarii;</w:t>
      </w:r>
    </w:p>
    <w:p>
      <w:pPr>
        <w:pStyle w:val="ListParagraph"/>
        <w:numPr>
          <w:ilvl w:val="2"/>
          <w:numId w:val="45"/>
        </w:numPr>
        <w:ind w:left="1418"/>
        <w:rPr>
          <w:sz w:val="20"/>
          <w:szCs w:val="20"/>
          <w:lang w:val="ro-RO"/>
        </w:rPr>
      </w:pPr>
      <w:r>
        <w:rPr>
          <w:sz w:val="20"/>
          <w:szCs w:val="20"/>
          <w:lang w:val="ro-RO"/>
        </w:rPr>
        <w:t>Acolo unde platbandele de cupru vor fi pozate în pamânt sau sunt expuse coroziunii, acestea vor fi bandajate cu banda PVC sau îmbracate cu mansoane din PVC. Platbandele de cupru vor fi cositorite înainte de îmbinare în zona de contact, iar îmbinarile vor fi realizate prin nituire si apoi lipite solid cu un aliaj usor fuzibil;</w:t>
      </w:r>
    </w:p>
    <w:p>
      <w:pPr>
        <w:pStyle w:val="ListParagraph"/>
        <w:numPr>
          <w:ilvl w:val="2"/>
          <w:numId w:val="45"/>
        </w:numPr>
        <w:ind w:left="1418"/>
        <w:rPr>
          <w:sz w:val="20"/>
          <w:szCs w:val="20"/>
          <w:lang w:val="ro-RO"/>
        </w:rPr>
      </w:pPr>
      <w:r>
        <w:rPr>
          <w:sz w:val="20"/>
          <w:szCs w:val="20"/>
          <w:lang w:val="ro-RO"/>
        </w:rPr>
        <w:t>Fixarea conexiunilor pe platbandele de cupru va fi facuta cu suruburi, piulite si saibe din alama sau bronz de înalta rezistenta.</w:t>
      </w:r>
    </w:p>
    <w:p>
      <w:pPr>
        <w:pStyle w:val="ListParagraph"/>
        <w:ind w:left="1418"/>
        <w:rPr>
          <w:sz w:val="20"/>
          <w:szCs w:val="20"/>
          <w:lang w:val="ro-RO"/>
        </w:rPr>
      </w:pPr>
    </w:p>
    <w:p>
      <w:pPr>
        <w:pStyle w:val="Heading3"/>
        <w:rPr>
          <w:sz w:val="20"/>
          <w:szCs w:val="20"/>
          <w:lang w:val="ro-RO"/>
        </w:rPr>
      </w:pPr>
      <w:bookmarkStart w:id="41" w:name="_Toc227161516"/>
      <w:r>
        <w:rPr>
          <w:sz w:val="20"/>
          <w:szCs w:val="20"/>
          <w:lang w:val="ro-RO"/>
        </w:rPr>
        <w:t>2.2.13 Cerinte privind lucrarile de executie a membranelor geosintetice</w:t>
      </w:r>
      <w:bookmarkEnd w:id="41"/>
    </w:p>
    <w:p>
      <w:pPr>
        <w:pStyle w:val="ListParagraph"/>
        <w:numPr>
          <w:ilvl w:val="0"/>
          <w:numId w:val="58"/>
        </w:numPr>
        <w:rPr>
          <w:b/>
          <w:sz w:val="20"/>
          <w:szCs w:val="20"/>
          <w:lang w:val="ro-RO"/>
        </w:rPr>
      </w:pPr>
      <w:r>
        <w:rPr>
          <w:b/>
          <w:sz w:val="20"/>
          <w:szCs w:val="20"/>
          <w:lang w:val="ro-RO"/>
        </w:rPr>
        <w:t>Etichetarea</w:t>
      </w:r>
    </w:p>
    <w:p>
      <w:pPr>
        <w:rPr>
          <w:sz w:val="20"/>
          <w:szCs w:val="20"/>
          <w:lang w:val="ro-RO"/>
        </w:rPr>
      </w:pPr>
      <w:r>
        <w:rPr>
          <w:sz w:val="20"/>
          <w:szCs w:val="20"/>
          <w:lang w:val="ro-RO"/>
        </w:rPr>
        <w:t>Fiecare rola de material geotextil trebuie sa fie etichetata dupa cum urmeaza:</w:t>
      </w:r>
    </w:p>
    <w:p>
      <w:pPr>
        <w:pStyle w:val="ListParagraph"/>
        <w:numPr>
          <w:ilvl w:val="0"/>
          <w:numId w:val="59"/>
        </w:numPr>
        <w:rPr>
          <w:sz w:val="20"/>
          <w:szCs w:val="20"/>
          <w:lang w:val="ro-RO"/>
        </w:rPr>
      </w:pPr>
      <w:r>
        <w:rPr>
          <w:sz w:val="20"/>
          <w:szCs w:val="20"/>
          <w:lang w:val="ro-RO"/>
        </w:rPr>
        <w:t>Numele producatorului</w:t>
      </w:r>
    </w:p>
    <w:p>
      <w:pPr>
        <w:pStyle w:val="ListParagraph"/>
        <w:numPr>
          <w:ilvl w:val="0"/>
          <w:numId w:val="59"/>
        </w:numPr>
        <w:rPr>
          <w:sz w:val="20"/>
          <w:szCs w:val="20"/>
          <w:lang w:val="ro-RO"/>
        </w:rPr>
      </w:pPr>
      <w:r>
        <w:rPr>
          <w:sz w:val="20"/>
          <w:szCs w:val="20"/>
          <w:lang w:val="ro-RO"/>
        </w:rPr>
        <w:t>Identificarea produsului</w:t>
      </w:r>
    </w:p>
    <w:p>
      <w:pPr>
        <w:pStyle w:val="ListParagraph"/>
        <w:numPr>
          <w:ilvl w:val="0"/>
          <w:numId w:val="59"/>
        </w:numPr>
        <w:rPr>
          <w:sz w:val="20"/>
          <w:szCs w:val="20"/>
          <w:lang w:val="ro-RO"/>
        </w:rPr>
      </w:pPr>
      <w:r>
        <w:rPr>
          <w:sz w:val="20"/>
          <w:szCs w:val="20"/>
          <w:lang w:val="ro-RO"/>
        </w:rPr>
        <w:t>Dimensiunile rolei</w:t>
      </w:r>
    </w:p>
    <w:p>
      <w:pPr>
        <w:pStyle w:val="ListParagraph"/>
        <w:numPr>
          <w:ilvl w:val="0"/>
          <w:numId w:val="59"/>
        </w:numPr>
        <w:rPr>
          <w:sz w:val="20"/>
          <w:szCs w:val="20"/>
          <w:lang w:val="ro-RO"/>
        </w:rPr>
      </w:pPr>
      <w:r>
        <w:rPr>
          <w:sz w:val="20"/>
          <w:szCs w:val="20"/>
          <w:lang w:val="ro-RO"/>
        </w:rPr>
        <w:t>Numar unic al rolei</w:t>
      </w:r>
    </w:p>
    <w:p>
      <w:pPr>
        <w:pStyle w:val="ListParagraph"/>
        <w:numPr>
          <w:ilvl w:val="0"/>
          <w:numId w:val="59"/>
        </w:numPr>
        <w:rPr>
          <w:sz w:val="20"/>
          <w:szCs w:val="20"/>
          <w:lang w:val="ro-RO"/>
        </w:rPr>
      </w:pPr>
      <w:r>
        <w:rPr>
          <w:sz w:val="20"/>
          <w:szCs w:val="20"/>
          <w:lang w:val="ro-RO"/>
        </w:rPr>
        <w:t>Greutatea unitara</w:t>
      </w:r>
    </w:p>
    <w:p>
      <w:pPr>
        <w:pStyle w:val="ListParagraph"/>
        <w:numPr>
          <w:ilvl w:val="0"/>
          <w:numId w:val="59"/>
        </w:numPr>
        <w:rPr>
          <w:sz w:val="20"/>
          <w:szCs w:val="20"/>
          <w:lang w:val="ro-RO"/>
        </w:rPr>
      </w:pPr>
      <w:r>
        <w:rPr>
          <w:sz w:val="20"/>
          <w:szCs w:val="20"/>
          <w:lang w:val="ro-RO"/>
        </w:rPr>
        <w:t>Aprobarea producatorului</w:t>
      </w:r>
    </w:p>
    <w:p>
      <w:pPr>
        <w:pStyle w:val="ListParagraph"/>
        <w:numPr>
          <w:ilvl w:val="0"/>
          <w:numId w:val="59"/>
        </w:numPr>
        <w:rPr>
          <w:sz w:val="20"/>
          <w:szCs w:val="20"/>
          <w:lang w:val="ro-RO"/>
        </w:rPr>
      </w:pPr>
      <w:r>
        <w:rPr>
          <w:sz w:val="20"/>
          <w:szCs w:val="20"/>
          <w:lang w:val="ro-RO"/>
        </w:rPr>
        <w:t xml:space="preserve">Instructiuni de manipulare. </w:t>
      </w:r>
    </w:p>
    <w:p>
      <w:pPr>
        <w:pStyle w:val="ListParagraph"/>
        <w:rPr>
          <w:sz w:val="20"/>
          <w:szCs w:val="20"/>
          <w:lang w:val="ro-RO"/>
        </w:rPr>
      </w:pPr>
    </w:p>
    <w:p>
      <w:pPr>
        <w:pStyle w:val="ListParagraph"/>
        <w:numPr>
          <w:ilvl w:val="0"/>
          <w:numId w:val="58"/>
        </w:numPr>
        <w:rPr>
          <w:b/>
          <w:sz w:val="20"/>
          <w:szCs w:val="20"/>
          <w:lang w:val="ro-RO"/>
        </w:rPr>
      </w:pPr>
      <w:r>
        <w:rPr>
          <w:b/>
          <w:sz w:val="20"/>
          <w:szCs w:val="20"/>
          <w:lang w:val="ro-RO"/>
        </w:rPr>
        <w:t>Transportul</w:t>
      </w:r>
    </w:p>
    <w:p>
      <w:pPr>
        <w:rPr>
          <w:sz w:val="20"/>
          <w:szCs w:val="20"/>
          <w:lang w:val="ro-RO"/>
        </w:rPr>
      </w:pPr>
      <w:r>
        <w:rPr>
          <w:sz w:val="20"/>
          <w:szCs w:val="20"/>
          <w:lang w:val="ro-RO"/>
        </w:rPr>
        <w:lastRenderedPageBreak/>
        <w:t>Rolele de Materiale Geotextile trebuie transportate si depozitate de asemenea maniera incat materialul sa fie protejat. Stivuirea ar trebui sa permita intotdeauna accesul la cel putin un capat al fiecarei role. Rolele de material sunt manipulate cu echipamente care nu se vor deteriora in timp. Pentru manipularea rolelor vor fi folosite grinzi de distributie sau alte aparate aprobate.</w:t>
      </w:r>
    </w:p>
    <w:p>
      <w:pPr>
        <w:pStyle w:val="ListParagraph"/>
        <w:numPr>
          <w:ilvl w:val="0"/>
          <w:numId w:val="58"/>
        </w:numPr>
        <w:rPr>
          <w:b/>
          <w:sz w:val="20"/>
          <w:szCs w:val="20"/>
          <w:lang w:val="ro-RO"/>
        </w:rPr>
      </w:pPr>
      <w:r>
        <w:rPr>
          <w:b/>
          <w:sz w:val="20"/>
          <w:szCs w:val="20"/>
          <w:lang w:val="ro-RO"/>
        </w:rPr>
        <w:t>Proceduri de descarcare</w:t>
      </w:r>
    </w:p>
    <w:p>
      <w:pPr>
        <w:rPr>
          <w:sz w:val="20"/>
          <w:szCs w:val="20"/>
          <w:lang w:val="ro-RO"/>
        </w:rPr>
      </w:pPr>
      <w:r>
        <w:rPr>
          <w:sz w:val="20"/>
          <w:szCs w:val="20"/>
          <w:lang w:val="ro-RO"/>
        </w:rPr>
        <w:t>Ca la orice ridicare sau operatiune de incarcare, echipamentul adecvat de siguranta trebuie sa fie independent si trebuie practicate metode de manipulare in conditii de siguranta corespunzatoare. Responsabilul pentru descarcarea rolelor trebuie sa contacteze producatorul inainte de expediere, pentru a stabili metodele si echipamentele corecte de descarcare, daca sunt diferite de metodele pre-aprobate.</w:t>
      </w:r>
    </w:p>
    <w:p>
      <w:pPr>
        <w:rPr>
          <w:sz w:val="20"/>
          <w:szCs w:val="20"/>
          <w:lang w:val="ro-RO"/>
        </w:rPr>
      </w:pPr>
      <w:r>
        <w:rPr>
          <w:sz w:val="20"/>
          <w:szCs w:val="20"/>
          <w:lang w:val="ro-RO"/>
        </w:rPr>
        <w:t>Ridicarea rolelor poate fi realizata cu o teava de otel / bare in diametru exterior, cu o grosime a peretelui suficienta capabila sa suporte greutatea dispozitivului fara indoituri.</w:t>
      </w:r>
    </w:p>
    <w:p>
      <w:pPr>
        <w:rPr>
          <w:sz w:val="20"/>
          <w:szCs w:val="20"/>
          <w:lang w:val="ro-RO"/>
        </w:rPr>
      </w:pPr>
      <w:r>
        <w:rPr>
          <w:sz w:val="20"/>
          <w:szCs w:val="20"/>
          <w:lang w:val="ro-RO"/>
        </w:rPr>
        <w:t>Teava de baza se introduce prin centrul centrul rolei. Curele pentru manevrat material grele sau lanturi sunt anexate la fiecare capat al tevii, care sunt apoi fixate la o bara distribuitore.</w:t>
      </w:r>
    </w:p>
    <w:p>
      <w:pPr>
        <w:rPr>
          <w:sz w:val="20"/>
          <w:szCs w:val="20"/>
          <w:lang w:val="ro-RO"/>
        </w:rPr>
      </w:pPr>
      <w:r>
        <w:rPr>
          <w:sz w:val="20"/>
          <w:szCs w:val="20"/>
          <w:lang w:val="ro-RO"/>
        </w:rPr>
        <w:t>Rolele trebuie sa fie sustinute in timpul manipularii, pentru a asigura siguranta lucratorilor .</w:t>
      </w:r>
    </w:p>
    <w:p>
      <w:pPr>
        <w:rPr>
          <w:sz w:val="20"/>
          <w:szCs w:val="20"/>
          <w:lang w:val="ro-RO"/>
        </w:rPr>
      </w:pPr>
      <w:r>
        <w:rPr>
          <w:sz w:val="20"/>
          <w:szCs w:val="20"/>
          <w:lang w:val="ro-RO"/>
        </w:rPr>
        <w:t>Numai in anumite circumsatante, cu aprobare si atenta supraveghere, rolele pot fi tarate, ridicate de un capat, ridicate cu excavatorul cu o lama sau impinse pe pamant din vehiculul transportator.</w:t>
      </w:r>
    </w:p>
    <w:p>
      <w:pPr>
        <w:rPr>
          <w:sz w:val="20"/>
          <w:szCs w:val="20"/>
          <w:lang w:val="ro-RO"/>
        </w:rPr>
      </w:pPr>
      <w:r>
        <w:rPr>
          <w:sz w:val="20"/>
          <w:szCs w:val="20"/>
          <w:lang w:val="ro-RO"/>
        </w:rPr>
        <w:t>Inspectorul responsabil cu asigurarea calitatii trebuie sa verifice daca exista echipamentele, daca sunt adecvate si nu exista nici un pericol sau risc de deformare sau deterioare a materialului.</w:t>
      </w:r>
    </w:p>
    <w:p>
      <w:pPr>
        <w:pStyle w:val="ListParagraph"/>
        <w:numPr>
          <w:ilvl w:val="0"/>
          <w:numId w:val="58"/>
        </w:numPr>
        <w:rPr>
          <w:b/>
          <w:sz w:val="20"/>
          <w:szCs w:val="20"/>
          <w:lang w:val="ro-RO"/>
        </w:rPr>
      </w:pPr>
      <w:r>
        <w:rPr>
          <w:b/>
          <w:sz w:val="20"/>
          <w:szCs w:val="20"/>
          <w:lang w:val="ro-RO"/>
        </w:rPr>
        <w:t>Depozitarea</w:t>
      </w:r>
    </w:p>
    <w:p>
      <w:pPr>
        <w:rPr>
          <w:sz w:val="20"/>
          <w:szCs w:val="20"/>
          <w:lang w:val="ro-RO"/>
        </w:rPr>
      </w:pPr>
      <w:r>
        <w:rPr>
          <w:sz w:val="20"/>
          <w:szCs w:val="20"/>
          <w:lang w:val="ro-RO"/>
        </w:rPr>
        <w:t>Zona de depozitare trebuie sa fie plata, uscata, bine dreanata, pentru a mentine rolele uscate. Suprafata nu trebuie sa aiba pietre sau obiecte ascutite care pot deteriora materialul.</w:t>
      </w:r>
    </w:p>
    <w:p>
      <w:pPr>
        <w:rPr>
          <w:sz w:val="20"/>
          <w:szCs w:val="20"/>
          <w:lang w:val="ro-RO"/>
        </w:rPr>
      </w:pPr>
      <w:r>
        <w:rPr>
          <w:sz w:val="20"/>
          <w:szCs w:val="20"/>
          <w:lang w:val="ro-RO"/>
        </w:rPr>
        <w:t>Zona de depozitare trebuie sa fie cat mai aprpoape de punctul de lucru, pentru a minimiza manipularea.</w:t>
      </w:r>
    </w:p>
    <w:p>
      <w:pPr>
        <w:rPr>
          <w:sz w:val="20"/>
          <w:szCs w:val="20"/>
          <w:lang w:val="ro-RO"/>
        </w:rPr>
      </w:pPr>
      <w:r>
        <w:rPr>
          <w:sz w:val="20"/>
          <w:szCs w:val="20"/>
          <w:lang w:val="ro-RO"/>
        </w:rPr>
        <w:t>Zona de depozitare trebuie sa fie asigurata impotriva vandalizarii, furtului si sa nu permita deteriorarea prin trecerea autovehiculelor.</w:t>
      </w:r>
    </w:p>
    <w:p>
      <w:pPr>
        <w:rPr>
          <w:sz w:val="20"/>
          <w:szCs w:val="20"/>
          <w:lang w:val="ro-RO"/>
        </w:rPr>
      </w:pPr>
      <w:r>
        <w:rPr>
          <w:sz w:val="20"/>
          <w:szCs w:val="20"/>
          <w:lang w:val="ro-RO"/>
        </w:rPr>
        <w:t>Rolele de iuta pentru zonele de suprapunere trebuie acoperite cu folie de plastic sau prelate pana la instalare. Daca rolele depozitate intra in contact cu apa, acestea vor fi examinate inainte de utilizare, pentru a fi siguri ca nu s-au produs deteriorari.</w:t>
      </w:r>
    </w:p>
    <w:p>
      <w:pPr>
        <w:rPr>
          <w:sz w:val="20"/>
          <w:szCs w:val="20"/>
          <w:lang w:val="ro-RO"/>
        </w:rPr>
      </w:pPr>
      <w:r>
        <w:rPr>
          <w:sz w:val="20"/>
          <w:szCs w:val="20"/>
          <w:lang w:val="ro-RO"/>
        </w:rPr>
        <w:t>Rolele deteriorate trebuie asezate separat, pentru examinare.</w:t>
      </w:r>
    </w:p>
    <w:p>
      <w:pPr>
        <w:pStyle w:val="ListParagraph"/>
        <w:keepNext/>
        <w:numPr>
          <w:ilvl w:val="0"/>
          <w:numId w:val="58"/>
        </w:numPr>
        <w:rPr>
          <w:b/>
          <w:sz w:val="20"/>
          <w:szCs w:val="20"/>
          <w:lang w:val="ro-RO"/>
        </w:rPr>
      </w:pPr>
      <w:r>
        <w:rPr>
          <w:b/>
          <w:sz w:val="20"/>
          <w:szCs w:val="20"/>
          <w:lang w:val="ro-RO"/>
        </w:rPr>
        <w:t>Pregatirea stratului suport</w:t>
      </w:r>
    </w:p>
    <w:p>
      <w:pPr>
        <w:rPr>
          <w:sz w:val="20"/>
          <w:szCs w:val="20"/>
          <w:lang w:val="ro-RO"/>
        </w:rPr>
      </w:pPr>
      <w:r>
        <w:rPr>
          <w:sz w:val="20"/>
          <w:szCs w:val="20"/>
          <w:lang w:val="ro-RO"/>
        </w:rPr>
        <w:t>Stratul suport trebuie sa fie neted, fara fagase si fara variatii bruste, zone cu baltiri, zone moi sau cu portanta inegala, fara incluziuni dure, angulare sau radacini.</w:t>
      </w:r>
    </w:p>
    <w:p>
      <w:pPr>
        <w:rPr>
          <w:sz w:val="20"/>
          <w:szCs w:val="20"/>
          <w:lang w:val="ro-RO"/>
        </w:rPr>
      </w:pPr>
      <w:r>
        <w:rPr>
          <w:sz w:val="20"/>
          <w:szCs w:val="20"/>
          <w:lang w:val="ro-RO"/>
        </w:rPr>
        <w:t>Transeea de ancorare va fi executata la distanta, latimea si adancimea prevazuta in proiect. La colturi, transeea se va rotunji usor pentru evitarea indoirii geocompozitului.</w:t>
      </w:r>
    </w:p>
    <w:p>
      <w:pPr>
        <w:rPr>
          <w:sz w:val="20"/>
          <w:szCs w:val="20"/>
          <w:lang w:val="ro-RO"/>
        </w:rPr>
      </w:pPr>
      <w:r>
        <w:rPr>
          <w:sz w:val="20"/>
          <w:szCs w:val="20"/>
          <w:lang w:val="ro-RO"/>
        </w:rPr>
        <w:t>Transeea se va curata de pietre sau pamantul cazut, pentru a nu fi prins sub geocompozitul bentonitic. Daca transeea de ancorare se executa intr-o argila sensibila la variatii de umiditate, aceasta va avea dimensiunea zonei ce poate fi acoperita cu geocompozit intr-o zi.</w:t>
      </w:r>
    </w:p>
    <w:p>
      <w:pPr>
        <w:rPr>
          <w:sz w:val="20"/>
          <w:szCs w:val="20"/>
          <w:lang w:val="ro-RO"/>
        </w:rPr>
      </w:pPr>
      <w:r>
        <w:rPr>
          <w:sz w:val="20"/>
          <w:szCs w:val="20"/>
          <w:lang w:val="ro-RO"/>
        </w:rPr>
        <w:t>Controlul executiei si calitatii stratului suport va fi realizat pe tronsoane determinate de executant.</w:t>
      </w:r>
    </w:p>
    <w:p>
      <w:pPr>
        <w:rPr>
          <w:sz w:val="20"/>
          <w:szCs w:val="20"/>
          <w:lang w:val="ro-RO"/>
        </w:rPr>
      </w:pPr>
      <w:r>
        <w:rPr>
          <w:sz w:val="20"/>
          <w:szCs w:val="20"/>
          <w:lang w:val="ro-RO"/>
        </w:rPr>
        <w:t>Inainte de instalarea geocompozitului, suprafata suport va fi inspectata de catre reprezentantul furnizorului/instalatorului impreuna cu beneficiarul sau reprezentantul acestuia pentru a se aproba calitatea lui, iar instalatorul geocompozitului va semna un ,,Proces verbal de predare primire amplasament''. Integritatea terenului de fundare este responsabilitatea constructorului de terasamente.</w:t>
      </w:r>
    </w:p>
    <w:p>
      <w:pPr>
        <w:pStyle w:val="ListParagraph"/>
        <w:numPr>
          <w:ilvl w:val="0"/>
          <w:numId w:val="58"/>
        </w:numPr>
        <w:rPr>
          <w:b/>
          <w:sz w:val="20"/>
          <w:szCs w:val="20"/>
          <w:lang w:val="ro-RO"/>
        </w:rPr>
      </w:pPr>
      <w:r>
        <w:rPr>
          <w:b/>
          <w:sz w:val="20"/>
          <w:szCs w:val="20"/>
          <w:lang w:val="ro-RO"/>
        </w:rPr>
        <w:t>Ancorarea</w:t>
      </w:r>
    </w:p>
    <w:p>
      <w:pPr>
        <w:rPr>
          <w:sz w:val="20"/>
          <w:szCs w:val="20"/>
          <w:lang w:val="ro-RO"/>
        </w:rPr>
      </w:pPr>
      <w:r>
        <w:rPr>
          <w:sz w:val="20"/>
          <w:szCs w:val="20"/>
          <w:lang w:val="ro-RO"/>
        </w:rPr>
        <w:lastRenderedPageBreak/>
        <w:t>Rola de iuta se ancoreaza in mod traditional intr-un sant in varful pantei ex. pe perimetru pentru a asigura resistanta la smulgere. Dimensiunile si localizarea santului trebuie prevazute in proiect, planse si/sau sub forma de tabel. Materialul poate fi ancorat additional, prin asternerea de material peste marginea superioara a pantei. Cand se cere sant de ancorare, se face santul cu 2-3 zile inainte de asternere. Cand panourile sunt pozitionate, santul trebuie umplut partial sau utilizati saci cu nisip. Salteaua antierozionala se fixeaza prin santuri de ancorare si buloane de ancorare.</w:t>
      </w:r>
    </w:p>
    <w:p>
      <w:pPr>
        <w:pStyle w:val="ListParagraph"/>
        <w:numPr>
          <w:ilvl w:val="0"/>
          <w:numId w:val="58"/>
        </w:numPr>
        <w:rPr>
          <w:b/>
          <w:sz w:val="20"/>
          <w:szCs w:val="20"/>
          <w:lang w:val="ro-RO"/>
        </w:rPr>
      </w:pPr>
      <w:r>
        <w:rPr>
          <w:b/>
          <w:sz w:val="20"/>
          <w:szCs w:val="20"/>
          <w:lang w:val="ro-RO"/>
        </w:rPr>
        <w:t>Instalarea saltelei antierozionale din iuta</w:t>
      </w:r>
    </w:p>
    <w:p>
      <w:pPr>
        <w:rPr>
          <w:sz w:val="20"/>
          <w:szCs w:val="20"/>
          <w:lang w:val="ro-RO"/>
        </w:rPr>
      </w:pPr>
      <w:r>
        <w:rPr>
          <w:sz w:val="20"/>
          <w:szCs w:val="20"/>
          <w:lang w:val="ro-RO"/>
        </w:rPr>
        <w:t>Derularea saltelei antierozionale se va face manual sau mecanizat, fara a fi tarat, utilizand personal uman pentru dirijare si repozitionare, respectand planul de punere in opera.</w:t>
      </w:r>
    </w:p>
    <w:p>
      <w:pPr>
        <w:rPr>
          <w:sz w:val="20"/>
          <w:szCs w:val="20"/>
          <w:lang w:val="ro-RO"/>
        </w:rPr>
      </w:pPr>
      <w:r>
        <w:rPr>
          <w:sz w:val="20"/>
          <w:szCs w:val="20"/>
          <w:lang w:val="ro-RO"/>
        </w:rPr>
        <w:t>Fiind vorba de o saltea antierozionala din iuta, aceasta se va instala prin derulare in aval.</w:t>
      </w:r>
    </w:p>
    <w:p>
      <w:pPr>
        <w:rPr>
          <w:sz w:val="20"/>
          <w:szCs w:val="20"/>
          <w:lang w:val="ro-RO"/>
        </w:rPr>
      </w:pPr>
      <w:r>
        <w:rPr>
          <w:sz w:val="20"/>
          <w:szCs w:val="20"/>
          <w:lang w:val="ro-RO"/>
        </w:rPr>
        <w:t>Rolele de satea antierozionala se vor suprapune pe lungime de cel putin 10cm la imbinarea cu urmatoarea rola.</w:t>
      </w:r>
    </w:p>
    <w:p>
      <w:pPr>
        <w:rPr>
          <w:sz w:val="20"/>
          <w:szCs w:val="20"/>
          <w:lang w:val="ro-RO"/>
        </w:rPr>
      </w:pPr>
      <w:r>
        <w:rPr>
          <w:sz w:val="20"/>
          <w:szCs w:val="20"/>
          <w:lang w:val="ro-RO"/>
        </w:rPr>
        <w:t>În partea de sus şi în partea de jos a pantei, produsul trebuie ancorat într-un şanţ de ancorare care trebuie umplut cu sol.</w:t>
      </w:r>
    </w:p>
    <w:p>
      <w:pPr>
        <w:rPr>
          <w:sz w:val="20"/>
          <w:szCs w:val="20"/>
          <w:lang w:val="ro-RO"/>
        </w:rPr>
      </w:pPr>
      <w:r>
        <w:rPr>
          <w:sz w:val="20"/>
          <w:szCs w:val="20"/>
          <w:lang w:val="ro-RO"/>
        </w:rPr>
        <w:t>Suprafaţa trebuie fixată in sol cu ştifturi (biodegradabile, lemn sau metal): numărul de ştifturi depinde de înclinarea şi lungimea pantei.</w:t>
      </w:r>
    </w:p>
    <w:p>
      <w:pPr>
        <w:rPr>
          <w:sz w:val="20"/>
          <w:szCs w:val="20"/>
          <w:lang w:val="ro-RO"/>
        </w:rPr>
      </w:pPr>
      <w:r>
        <w:rPr>
          <w:sz w:val="20"/>
          <w:szCs w:val="20"/>
          <w:lang w:val="ro-RO"/>
        </w:rPr>
        <w:t>Instalarea va fi completa cand se va realiza însămânţarea sau cu semănarea cu seminţe care corespund caracteristicilor solului şi situaţiei meteorologice din zona.</w:t>
      </w:r>
    </w:p>
    <w:p>
      <w:pPr>
        <w:pStyle w:val="ListParagraph"/>
        <w:numPr>
          <w:ilvl w:val="0"/>
          <w:numId w:val="58"/>
        </w:numPr>
        <w:rPr>
          <w:b/>
          <w:sz w:val="20"/>
          <w:szCs w:val="20"/>
          <w:lang w:val="ro-RO"/>
        </w:rPr>
      </w:pPr>
      <w:r>
        <w:rPr>
          <w:b/>
          <w:sz w:val="20"/>
          <w:szCs w:val="20"/>
          <w:lang w:val="ro-RO"/>
        </w:rPr>
        <w:t>Conditii de calitate pentru materialele utilizate</w:t>
      </w:r>
    </w:p>
    <w:p>
      <w:pPr>
        <w:rPr>
          <w:sz w:val="20"/>
          <w:szCs w:val="20"/>
          <w:lang w:val="ro-RO"/>
        </w:rPr>
      </w:pPr>
      <w:r>
        <w:rPr>
          <w:sz w:val="20"/>
          <w:szCs w:val="20"/>
          <w:lang w:val="ro-RO"/>
        </w:rPr>
        <w:t>In toate situatiile in care se utilizeaza materiale geosintetice sau geocompozite trebuie asigurata verificarea calitatii produselor aprovizionate, precum si conditiile corespunzatoare de manipulare si depozitare a acestora, astfel incat sa nu se degradeze.</w:t>
      </w:r>
    </w:p>
    <w:p>
      <w:pPr>
        <w:pStyle w:val="ListParagraph"/>
        <w:numPr>
          <w:ilvl w:val="0"/>
          <w:numId w:val="58"/>
        </w:numPr>
        <w:rPr>
          <w:b/>
          <w:sz w:val="20"/>
          <w:szCs w:val="20"/>
          <w:lang w:val="ro-RO"/>
        </w:rPr>
      </w:pPr>
      <w:r>
        <w:rPr>
          <w:b/>
          <w:sz w:val="20"/>
          <w:szCs w:val="20"/>
          <w:lang w:val="ro-RO"/>
        </w:rPr>
        <w:t>Toate materialele ce vor fi puse in opera vor fi supuse verificarii si aprobarii de catre Supervizor.</w:t>
      </w:r>
    </w:p>
    <w:p>
      <w:pPr>
        <w:rPr>
          <w:sz w:val="20"/>
          <w:szCs w:val="20"/>
          <w:lang w:val="ro-RO"/>
        </w:rPr>
      </w:pPr>
      <w:r>
        <w:rPr>
          <w:sz w:val="20"/>
          <w:szCs w:val="20"/>
          <w:lang w:val="ro-RO"/>
        </w:rPr>
        <w:t>Conditiile de livrare de la producator prevad ca rulourile sa fie etichetate, avand marcate numarul lotului si caracteristicile de indentificare. Fiecare lot de produs va fi insotit de un certificat de calitate.</w:t>
      </w:r>
    </w:p>
    <w:p>
      <w:pPr>
        <w:rPr>
          <w:sz w:val="20"/>
          <w:szCs w:val="20"/>
          <w:lang w:val="ro-RO"/>
        </w:rPr>
      </w:pPr>
      <w:r>
        <w:rPr>
          <w:sz w:val="20"/>
          <w:szCs w:val="20"/>
          <w:lang w:val="ro-RO"/>
        </w:rPr>
        <w:t>La alegerea materialelor geosintetice se vor respecta prevederile SR EN 13257 Geotextile si produse inrudite - Caracteristici impuse pentru utilizarea in luicrarile de depozitare a deşeurilor solide si EN 13493 Bariere geosintetice - Caracteristici impuse pentru utilizarea in lucrarile de depozitare a deseurilor solide a amplasamentelor de depozitare si stocare a materialelor solide periculoase, precum si ale Normativului NP 075/2002.</w:t>
      </w:r>
    </w:p>
    <w:p>
      <w:pPr>
        <w:pStyle w:val="Heading3"/>
        <w:rPr>
          <w:sz w:val="20"/>
          <w:szCs w:val="20"/>
          <w:lang w:val="ro-RO"/>
        </w:rPr>
      </w:pPr>
      <w:bookmarkStart w:id="42" w:name="_Toc227161517"/>
      <w:r>
        <w:rPr>
          <w:sz w:val="20"/>
          <w:szCs w:val="20"/>
          <w:lang w:val="ro-RO"/>
        </w:rPr>
        <w:t>2.2.14  Documente referitoare la santier</w:t>
      </w:r>
      <w:bookmarkEnd w:id="42"/>
    </w:p>
    <w:p>
      <w:pPr>
        <w:pStyle w:val="Heading4"/>
        <w:rPr>
          <w:sz w:val="20"/>
          <w:szCs w:val="20"/>
          <w:lang w:val="ro-RO"/>
        </w:rPr>
      </w:pPr>
      <w:r>
        <w:rPr>
          <w:sz w:val="20"/>
          <w:szCs w:val="20"/>
          <w:lang w:val="ro-RO"/>
        </w:rPr>
        <w:t>2.2.14.1 Acte si inregistrari elaborate in timpul constructiei</w:t>
      </w:r>
    </w:p>
    <w:p>
      <w:pPr>
        <w:pStyle w:val="ListParagraph"/>
        <w:numPr>
          <w:ilvl w:val="0"/>
          <w:numId w:val="58"/>
        </w:numPr>
        <w:tabs>
          <w:tab w:val="left" w:pos="1005"/>
        </w:tabs>
        <w:rPr>
          <w:b/>
          <w:sz w:val="20"/>
          <w:szCs w:val="20"/>
          <w:lang w:val="ro-RO"/>
        </w:rPr>
      </w:pPr>
      <w:r>
        <w:rPr>
          <w:b/>
          <w:sz w:val="20"/>
          <w:szCs w:val="20"/>
          <w:lang w:val="ro-RO"/>
        </w:rPr>
        <w:t>Jurnalul de santier</w:t>
      </w:r>
    </w:p>
    <w:p>
      <w:pPr>
        <w:tabs>
          <w:tab w:val="left" w:pos="1005"/>
        </w:tabs>
        <w:rPr>
          <w:sz w:val="20"/>
          <w:szCs w:val="20"/>
          <w:lang w:val="ro-RO"/>
        </w:rPr>
      </w:pPr>
      <w:r>
        <w:rPr>
          <w:sz w:val="20"/>
          <w:szCs w:val="20"/>
          <w:lang w:val="ro-RO"/>
        </w:rPr>
        <w:t>In conformitate cu Clauza 39 din Contract, Antreprenorul va tine un Jurnal de santier. Acest jurnal va fi intotdeauna disponibil, la biroul Antreprenorului, pentru a fi pus la dispozitia Supervizorului sau a reprezentantilor Beneficiarului.</w:t>
      </w:r>
    </w:p>
    <w:p>
      <w:pPr>
        <w:tabs>
          <w:tab w:val="left" w:pos="1005"/>
        </w:tabs>
        <w:rPr>
          <w:sz w:val="20"/>
          <w:szCs w:val="20"/>
          <w:lang w:val="ro-RO"/>
        </w:rPr>
      </w:pPr>
      <w:r>
        <w:rPr>
          <w:sz w:val="20"/>
          <w:szCs w:val="20"/>
          <w:lang w:val="ro-RO"/>
        </w:rPr>
        <w:t>In fiecare saptamana, Antreprenorul si Supervizorul vor verifica si aviza notele zilnice consemnate pe parcursul saptamanii anterioare, Antreprenorul urmand a pune la dispozitia Supervizorului o copie a tuturor notelor avizate. Antreprenorul se va asigura ca originalele acestor jurnale sunt pastrate in siguranta.</w:t>
      </w:r>
    </w:p>
    <w:p>
      <w:pPr>
        <w:tabs>
          <w:tab w:val="left" w:pos="1005"/>
        </w:tabs>
        <w:rPr>
          <w:sz w:val="20"/>
          <w:szCs w:val="20"/>
          <w:lang w:val="ro-RO"/>
        </w:rPr>
      </w:pPr>
      <w:r>
        <w:rPr>
          <w:sz w:val="20"/>
          <w:szCs w:val="20"/>
          <w:lang w:val="ro-RO"/>
        </w:rPr>
        <w:t xml:space="preserve">Antreprenorul va transmite informaţii (Jurnal de Şantier) zilnice care să precizeze numărul fiecărei categorii de personal şi a fiecărui tip de utilaj existent pe şantier. </w:t>
      </w:r>
    </w:p>
    <w:p>
      <w:pPr>
        <w:tabs>
          <w:tab w:val="left" w:pos="1005"/>
        </w:tabs>
        <w:rPr>
          <w:sz w:val="20"/>
          <w:szCs w:val="20"/>
          <w:lang w:val="ro-RO"/>
        </w:rPr>
      </w:pPr>
      <w:r>
        <w:rPr>
          <w:sz w:val="20"/>
          <w:szCs w:val="20"/>
          <w:lang w:val="ro-RO"/>
        </w:rPr>
        <w:t xml:space="preserve">Fotografiile şi filmările privind progresul lucrărilor trebuie să fie efectuate intr-un mod profesionist. Fotografiile trebuie să acopere toate lucrările şi vor fi realizate conform indicaţiilor Beneficiarului (Supervizorului).Filmările se vor realiza conform indicaţiilor Beneficiarului (Supervizorului) şi vor sintetiza inclusiv mobilizarea zilnică de pe şantier. Fotografiile şi filmările </w:t>
      </w:r>
      <w:r>
        <w:rPr>
          <w:sz w:val="20"/>
          <w:szCs w:val="20"/>
          <w:lang w:val="ro-RO"/>
        </w:rPr>
        <w:lastRenderedPageBreak/>
        <w:t>realizate zilnic se vor salva pe un hard disk extern ca Anexă a Jurnalului de Şantier .Filmările se vor mai realiza la nivelul testelor şi probelor prelevate, devenind la fel anexă la Jurnalul de Şantier.</w:t>
      </w:r>
    </w:p>
    <w:p>
      <w:pPr>
        <w:tabs>
          <w:tab w:val="left" w:pos="1005"/>
        </w:tabs>
        <w:rPr>
          <w:sz w:val="20"/>
          <w:szCs w:val="20"/>
          <w:lang w:val="ro-RO"/>
        </w:rPr>
      </w:pPr>
      <w:r>
        <w:rPr>
          <w:sz w:val="20"/>
          <w:szCs w:val="20"/>
          <w:lang w:val="ro-RO"/>
        </w:rPr>
        <w:t>Toate fotografiile vor fi marcate cu data şi ora reală de la momentul realizării, o scurtă descriere a lucrării, inclusiv axele clădirii.</w:t>
      </w:r>
    </w:p>
    <w:p>
      <w:pPr>
        <w:tabs>
          <w:tab w:val="left" w:pos="1005"/>
        </w:tabs>
        <w:rPr>
          <w:sz w:val="20"/>
          <w:szCs w:val="20"/>
          <w:lang w:val="ro-RO"/>
        </w:rPr>
      </w:pPr>
      <w:r>
        <w:rPr>
          <w:sz w:val="20"/>
          <w:szCs w:val="20"/>
          <w:lang w:val="ro-RO"/>
        </w:rPr>
        <w:t>Drepturile de autor asupra tuturor fotografiilor/filmărilor aparţin Beneficiarului şi vor fi puse la dispoziţia Beneficiarului/Supervizorului la solicitarea acestora. Fotografiile şi filmările nu vor fi folosite de către Antreprenor pentru nici un alt scop, fără acordul scris în prealabil al Beneficiarului.</w:t>
      </w:r>
    </w:p>
    <w:p>
      <w:pPr>
        <w:tabs>
          <w:tab w:val="left" w:pos="1005"/>
        </w:tabs>
        <w:rPr>
          <w:sz w:val="20"/>
          <w:szCs w:val="20"/>
          <w:lang w:val="ro-RO"/>
        </w:rPr>
      </w:pPr>
      <w:r>
        <w:rPr>
          <w:sz w:val="20"/>
          <w:szCs w:val="20"/>
          <w:lang w:val="ro-RO"/>
        </w:rPr>
        <w:t>După fiecare etapă importantă de execuţie Antprenorul va realiza as-build si il va inainta Beneficiarului anexat situaţiilor de plată şi integral la finalizarea lucrărilor.</w:t>
      </w:r>
    </w:p>
    <w:p>
      <w:pPr>
        <w:pStyle w:val="ListParagraph"/>
        <w:numPr>
          <w:ilvl w:val="0"/>
          <w:numId w:val="58"/>
        </w:numPr>
        <w:tabs>
          <w:tab w:val="left" w:pos="1005"/>
        </w:tabs>
        <w:rPr>
          <w:b/>
          <w:sz w:val="20"/>
          <w:szCs w:val="20"/>
          <w:lang w:val="ro-RO"/>
        </w:rPr>
      </w:pPr>
      <w:r>
        <w:rPr>
          <w:b/>
          <w:sz w:val="20"/>
          <w:szCs w:val="20"/>
          <w:lang w:val="ro-RO"/>
        </w:rPr>
        <w:t>Rapoarte de executie</w:t>
      </w:r>
    </w:p>
    <w:p>
      <w:pPr>
        <w:tabs>
          <w:tab w:val="left" w:pos="1005"/>
        </w:tabs>
        <w:rPr>
          <w:sz w:val="20"/>
          <w:szCs w:val="20"/>
          <w:lang w:val="ro-RO"/>
        </w:rPr>
      </w:pPr>
      <w:r>
        <w:rPr>
          <w:sz w:val="20"/>
          <w:szCs w:val="20"/>
          <w:lang w:val="ro-RO"/>
        </w:rPr>
        <w:t>Antreprenorul va conveni cu Supervizorul datele la care trebuiesc inaintate Rapoartele saptamanale sau lunare care vor descrie ritmul de executie, in cazul în care acestea sunt prevăzute în Contract.</w:t>
      </w:r>
    </w:p>
    <w:p>
      <w:pPr>
        <w:pStyle w:val="ListParagraph"/>
        <w:numPr>
          <w:ilvl w:val="0"/>
          <w:numId w:val="58"/>
        </w:numPr>
        <w:tabs>
          <w:tab w:val="left" w:pos="1005"/>
        </w:tabs>
        <w:rPr>
          <w:b/>
          <w:sz w:val="20"/>
          <w:szCs w:val="20"/>
          <w:lang w:val="ro-RO"/>
        </w:rPr>
      </w:pPr>
      <w:r>
        <w:rPr>
          <w:b/>
          <w:sz w:val="20"/>
          <w:szCs w:val="20"/>
          <w:lang w:val="ro-RO"/>
        </w:rPr>
        <w:t>Instructiuni de Lucru</w:t>
      </w:r>
    </w:p>
    <w:p>
      <w:pPr>
        <w:tabs>
          <w:tab w:val="left" w:pos="1005"/>
        </w:tabs>
        <w:rPr>
          <w:sz w:val="20"/>
          <w:szCs w:val="20"/>
          <w:u w:val="single"/>
          <w:lang w:val="ro-RO"/>
        </w:rPr>
      </w:pPr>
      <w:r>
        <w:rPr>
          <w:sz w:val="20"/>
          <w:szCs w:val="20"/>
          <w:u w:val="single"/>
          <w:lang w:val="ro-RO"/>
        </w:rPr>
        <w:t>Aprobarea furnizorilor, a materialelor si utilajelor</w:t>
      </w:r>
    </w:p>
    <w:p>
      <w:pPr>
        <w:tabs>
          <w:tab w:val="left" w:pos="1005"/>
        </w:tabs>
        <w:rPr>
          <w:sz w:val="20"/>
          <w:szCs w:val="20"/>
          <w:lang w:val="ro-RO"/>
        </w:rPr>
      </w:pPr>
      <w:r>
        <w:rPr>
          <w:sz w:val="20"/>
          <w:szCs w:val="20"/>
          <w:lang w:val="ro-RO"/>
        </w:rPr>
        <w:t>Materialele si utilajele incorporate in lucrarile permanente vor fi aprovizionate in conformitate cu specificatiile Caietului de Sarcini si cu prevederile Contractului. Toate materialele si utilajele vor fi însoţite de certificate de calitate, buletin de analize, unde este cazul, si instrucţiuni de exploatare sau folosire.</w:t>
      </w:r>
    </w:p>
    <w:p>
      <w:pPr>
        <w:tabs>
          <w:tab w:val="left" w:pos="1005"/>
        </w:tabs>
        <w:rPr>
          <w:sz w:val="20"/>
          <w:szCs w:val="20"/>
          <w:lang w:val="ro-RO"/>
        </w:rPr>
      </w:pPr>
      <w:r>
        <w:rPr>
          <w:sz w:val="20"/>
          <w:szCs w:val="20"/>
          <w:lang w:val="ro-RO"/>
        </w:rPr>
        <w:t>Supervizorului i se vor inainta mostre reprezentative din materiale conform clauzei contractuale.</w:t>
      </w:r>
    </w:p>
    <w:p>
      <w:pPr>
        <w:tabs>
          <w:tab w:val="left" w:pos="1005"/>
        </w:tabs>
        <w:rPr>
          <w:sz w:val="20"/>
          <w:szCs w:val="20"/>
          <w:lang w:val="ro-RO"/>
        </w:rPr>
      </w:pPr>
      <w:r>
        <w:rPr>
          <w:sz w:val="20"/>
          <w:szCs w:val="20"/>
          <w:lang w:val="ro-RO"/>
        </w:rPr>
        <w:t>Nu toate materialele provenind din aceeasi sursa vor fi aprobate doar prin faptul ca sursa respectiva a fost aprobata.</w:t>
      </w:r>
    </w:p>
    <w:p>
      <w:pPr>
        <w:tabs>
          <w:tab w:val="left" w:pos="1005"/>
        </w:tabs>
        <w:rPr>
          <w:sz w:val="20"/>
          <w:szCs w:val="20"/>
          <w:lang w:val="ro-RO"/>
        </w:rPr>
      </w:pPr>
      <w:r>
        <w:rPr>
          <w:sz w:val="20"/>
          <w:szCs w:val="20"/>
          <w:lang w:val="ro-RO"/>
        </w:rPr>
        <w:t>Antreprenorul trebuie sa faca dovada, prin incercari continue, ca in lucrari vor fi folosite numai materialele ce sunt conforme cu specificatiile tehnice respective, Supervizorul având obligaţia sa verifice acest lucru.</w:t>
      </w:r>
    </w:p>
    <w:p>
      <w:pPr>
        <w:tabs>
          <w:tab w:val="left" w:pos="1005"/>
        </w:tabs>
        <w:rPr>
          <w:sz w:val="20"/>
          <w:szCs w:val="20"/>
          <w:lang w:val="ro-RO"/>
        </w:rPr>
      </w:pPr>
      <w:r>
        <w:rPr>
          <w:sz w:val="20"/>
          <w:szCs w:val="20"/>
          <w:lang w:val="ro-RO"/>
        </w:rPr>
        <w:t>Antreprenorul se va asigura că toate materialele şi echipamentele aduse pe şantier sunt în conformitate cu prevederile Contractului.</w:t>
      </w:r>
    </w:p>
    <w:p>
      <w:pPr>
        <w:tabs>
          <w:tab w:val="left" w:pos="1005"/>
        </w:tabs>
        <w:rPr>
          <w:sz w:val="20"/>
          <w:szCs w:val="20"/>
          <w:lang w:val="ro-RO"/>
        </w:rPr>
      </w:pPr>
      <w:r>
        <w:rPr>
          <w:sz w:val="20"/>
          <w:szCs w:val="20"/>
          <w:lang w:val="ro-RO"/>
        </w:rPr>
        <w:t>Antreprenorul este responsabil de producerea şi aprovizionarea echipamentelor şi materialelor necesare execuţiei lucrărilor, în timp util, pentru a permite Benefiarului să verifice calitatea materialelor şi a echipamentelor.</w:t>
      </w:r>
    </w:p>
    <w:p>
      <w:pPr>
        <w:tabs>
          <w:tab w:val="left" w:pos="1005"/>
        </w:tabs>
        <w:rPr>
          <w:sz w:val="20"/>
          <w:szCs w:val="20"/>
          <w:lang w:val="ro-RO"/>
        </w:rPr>
      </w:pPr>
      <w:r>
        <w:rPr>
          <w:sz w:val="20"/>
          <w:szCs w:val="20"/>
          <w:lang w:val="ro-RO"/>
        </w:rPr>
        <w:t>Antreprenorul, înainte de folosirea materialelor şi/sau echipamentelor în lucrări, va transmite spre consimţământul Beneficiarului toate documentele de calitate, precum şi rezultatele probelor şi testelor în conformitate cu prevederile Contractului. Antreprenorul va transmite toate certificările materialelor, ale echipamentelor şi a agrementelor tehnice în conformitate cu cerinţele autorităţilor competente. Materialele/echipamentele vor fi achiziţionate după consinţământul Beneficiarului transmis în scris, ia termenul de aprobare a materialelor/echipamentelor va fi transmis în maxim 15 zile de la depunerea documentelor.</w:t>
      </w:r>
    </w:p>
    <w:p>
      <w:pPr>
        <w:tabs>
          <w:tab w:val="left" w:pos="1005"/>
        </w:tabs>
        <w:rPr>
          <w:sz w:val="20"/>
          <w:szCs w:val="20"/>
          <w:lang w:val="ro-RO"/>
        </w:rPr>
      </w:pPr>
      <w:r>
        <w:rPr>
          <w:sz w:val="20"/>
          <w:szCs w:val="20"/>
          <w:lang w:val="ro-RO"/>
        </w:rPr>
        <w:t>Antreprenorul va răspunde de propriile utilaje şi echipamente de lucru. Din momentul aducerii în Şantier, Utilajele şi echipamentele antreprenorului vor fi considerate ca fiind în întregime destinate executării lucrărilor.</w:t>
      </w:r>
    </w:p>
    <w:p>
      <w:pPr>
        <w:tabs>
          <w:tab w:val="left" w:pos="1005"/>
        </w:tabs>
        <w:rPr>
          <w:sz w:val="20"/>
          <w:szCs w:val="20"/>
          <w:lang w:val="ro-RO"/>
        </w:rPr>
      </w:pPr>
      <w:r>
        <w:rPr>
          <w:sz w:val="20"/>
          <w:szCs w:val="20"/>
          <w:lang w:val="ro-RO"/>
        </w:rPr>
        <w:t>Antreprenorul nu va retrage de pe Şantier nici un utilaj/echipament important fără acordul Beneficiarului. Nu este necesar acordul pentru vehiculele care transportă materiale sau personal al Antreprenorului.</w:t>
      </w:r>
    </w:p>
    <w:p>
      <w:pPr>
        <w:tabs>
          <w:tab w:val="left" w:pos="1005"/>
        </w:tabs>
        <w:rPr>
          <w:sz w:val="20"/>
          <w:szCs w:val="20"/>
          <w:lang w:val="ro-RO"/>
        </w:rPr>
      </w:pPr>
      <w:r>
        <w:rPr>
          <w:sz w:val="20"/>
          <w:szCs w:val="20"/>
          <w:lang w:val="ro-RO"/>
        </w:rPr>
        <w:t>Antreprenorul are obligaţia de a mobiliza Utilaje conform Programului de Execuţie/ Programul de Referinţă acceptat.</w:t>
      </w:r>
    </w:p>
    <w:p>
      <w:pPr>
        <w:pStyle w:val="Heading4"/>
        <w:rPr>
          <w:sz w:val="20"/>
          <w:szCs w:val="20"/>
          <w:lang w:val="ro-RO"/>
        </w:rPr>
      </w:pPr>
      <w:r>
        <w:rPr>
          <w:sz w:val="20"/>
          <w:szCs w:val="20"/>
          <w:lang w:val="ro-RO"/>
        </w:rPr>
        <w:lastRenderedPageBreak/>
        <w:t>2.2.14.2 Documentaţia referitoare la calitate</w:t>
      </w:r>
    </w:p>
    <w:p>
      <w:pPr>
        <w:tabs>
          <w:tab w:val="left" w:pos="1005"/>
        </w:tabs>
        <w:rPr>
          <w:sz w:val="20"/>
          <w:szCs w:val="20"/>
          <w:lang w:val="ro-RO"/>
        </w:rPr>
      </w:pPr>
      <w:r>
        <w:rPr>
          <w:sz w:val="20"/>
          <w:szCs w:val="20"/>
          <w:lang w:val="ro-RO"/>
        </w:rPr>
        <w:t>Antreprenorul este obligat sa intocmeasca, sa implementeze si sa urmareasca un sistem de asigurare si control al calitatii care sa acopere toate aspectele Contractului, pe toata durata Contractului si, de asemenea, sa acopere toate Lucrarile care trebuie executate. Sistemul se va conforma cu un standard international de asigurare a calitatii, recunoscut, precum si cu cerintele legislatiei romanesti aplicabile.</w:t>
      </w:r>
    </w:p>
    <w:p>
      <w:pPr>
        <w:tabs>
          <w:tab w:val="left" w:pos="1005"/>
        </w:tabs>
        <w:rPr>
          <w:sz w:val="20"/>
          <w:szCs w:val="20"/>
          <w:lang w:val="ro-RO"/>
        </w:rPr>
      </w:pPr>
      <w:r>
        <w:rPr>
          <w:sz w:val="20"/>
          <w:szCs w:val="20"/>
          <w:lang w:val="ro-RO"/>
        </w:rPr>
        <w:t>Planul de Asigurare a Calităţii intocmit de Antreprenor va acoperi urmatoarele elemente:</w:t>
      </w:r>
    </w:p>
    <w:p>
      <w:pPr>
        <w:pStyle w:val="ListParagraph"/>
        <w:numPr>
          <w:ilvl w:val="0"/>
          <w:numId w:val="60"/>
        </w:numPr>
        <w:tabs>
          <w:tab w:val="left" w:pos="1005"/>
        </w:tabs>
        <w:rPr>
          <w:sz w:val="20"/>
          <w:szCs w:val="20"/>
          <w:lang w:val="ro-RO"/>
        </w:rPr>
      </w:pPr>
      <w:r>
        <w:rPr>
          <w:sz w:val="20"/>
          <w:szCs w:val="20"/>
          <w:lang w:val="ro-RO"/>
        </w:rPr>
        <w:t>Organigrama personalului de conducere;</w:t>
      </w:r>
    </w:p>
    <w:p>
      <w:pPr>
        <w:pStyle w:val="ListParagraph"/>
        <w:numPr>
          <w:ilvl w:val="0"/>
          <w:numId w:val="60"/>
        </w:numPr>
        <w:tabs>
          <w:tab w:val="left" w:pos="1005"/>
        </w:tabs>
        <w:rPr>
          <w:sz w:val="20"/>
          <w:szCs w:val="20"/>
          <w:lang w:val="ro-RO"/>
        </w:rPr>
      </w:pPr>
      <w:r>
        <w:rPr>
          <w:sz w:val="20"/>
          <w:szCs w:val="20"/>
          <w:lang w:val="ro-RO"/>
        </w:rPr>
        <w:t>Managementul documentelor;</w:t>
      </w:r>
    </w:p>
    <w:p>
      <w:pPr>
        <w:pStyle w:val="ListParagraph"/>
        <w:numPr>
          <w:ilvl w:val="0"/>
          <w:numId w:val="60"/>
        </w:numPr>
        <w:tabs>
          <w:tab w:val="left" w:pos="1005"/>
        </w:tabs>
        <w:rPr>
          <w:sz w:val="20"/>
          <w:szCs w:val="20"/>
          <w:lang w:val="ro-RO"/>
        </w:rPr>
      </w:pPr>
      <w:r>
        <w:rPr>
          <w:sz w:val="20"/>
          <w:szCs w:val="20"/>
          <w:lang w:val="ro-RO"/>
        </w:rPr>
        <w:t>Managementul achizitiilor;</w:t>
      </w:r>
    </w:p>
    <w:p>
      <w:pPr>
        <w:pStyle w:val="ListParagraph"/>
        <w:numPr>
          <w:ilvl w:val="0"/>
          <w:numId w:val="60"/>
        </w:numPr>
        <w:tabs>
          <w:tab w:val="left" w:pos="1005"/>
        </w:tabs>
        <w:rPr>
          <w:sz w:val="20"/>
          <w:szCs w:val="20"/>
          <w:lang w:val="ro-RO"/>
        </w:rPr>
      </w:pPr>
      <w:r>
        <w:rPr>
          <w:sz w:val="20"/>
          <w:szCs w:val="20"/>
          <w:lang w:val="ro-RO"/>
        </w:rPr>
        <w:t>Managementul subcontractorilor, furnizorilor si specificatiile proprii sistemelor acestora de asigurare a calitatii;</w:t>
      </w:r>
    </w:p>
    <w:p>
      <w:pPr>
        <w:pStyle w:val="ListParagraph"/>
        <w:numPr>
          <w:ilvl w:val="0"/>
          <w:numId w:val="60"/>
        </w:numPr>
        <w:tabs>
          <w:tab w:val="left" w:pos="1005"/>
        </w:tabs>
        <w:rPr>
          <w:sz w:val="20"/>
          <w:szCs w:val="20"/>
          <w:lang w:val="ro-RO"/>
        </w:rPr>
      </w:pPr>
      <w:r>
        <w:rPr>
          <w:sz w:val="20"/>
          <w:szCs w:val="20"/>
          <w:lang w:val="ro-RO"/>
        </w:rPr>
        <w:t>Controlul materialelor si manoperei, defectele aparute si modul concret de conciliere, procedurile de urmat in cazul activitatilor de indreptare sau corectare a defectelor etc;</w:t>
      </w:r>
    </w:p>
    <w:p>
      <w:pPr>
        <w:pStyle w:val="ListParagraph"/>
        <w:numPr>
          <w:ilvl w:val="0"/>
          <w:numId w:val="60"/>
        </w:numPr>
        <w:tabs>
          <w:tab w:val="left" w:pos="1005"/>
        </w:tabs>
        <w:rPr>
          <w:sz w:val="20"/>
          <w:szCs w:val="20"/>
          <w:lang w:val="ro-RO"/>
        </w:rPr>
      </w:pPr>
      <w:r>
        <w:rPr>
          <w:sz w:val="20"/>
          <w:szCs w:val="20"/>
          <w:lang w:val="ro-RO"/>
        </w:rPr>
        <w:t>Modul in care vor fi tratate si rezolvate abaterile, suplimentarile sau variatiile la Documentele de Contract;</w:t>
      </w:r>
    </w:p>
    <w:p>
      <w:pPr>
        <w:pStyle w:val="ListParagraph"/>
        <w:numPr>
          <w:ilvl w:val="0"/>
          <w:numId w:val="60"/>
        </w:numPr>
        <w:tabs>
          <w:tab w:val="left" w:pos="1005"/>
        </w:tabs>
        <w:rPr>
          <w:sz w:val="20"/>
          <w:szCs w:val="20"/>
          <w:lang w:val="ro-RO"/>
        </w:rPr>
      </w:pPr>
      <w:r>
        <w:rPr>
          <w:sz w:val="20"/>
          <w:szCs w:val="20"/>
          <w:lang w:val="ro-RO"/>
        </w:rPr>
        <w:t>PCCVI aprobat de departamentul de asigurare al calitatii.</w:t>
      </w:r>
    </w:p>
    <w:p>
      <w:pPr>
        <w:tabs>
          <w:tab w:val="left" w:pos="1005"/>
        </w:tabs>
        <w:rPr>
          <w:sz w:val="20"/>
          <w:szCs w:val="20"/>
          <w:lang w:val="ro-RO"/>
        </w:rPr>
      </w:pPr>
      <w:r>
        <w:rPr>
          <w:sz w:val="20"/>
          <w:szCs w:val="20"/>
          <w:lang w:val="ro-RO"/>
        </w:rPr>
        <w:t>Persoanele din partea Antreprenorului responsabile pentru sistemul de asigurare al calitatii vor fi persoane autorizate si calificate sa ia decizii referitoare la problemele respective. Vor fi indicate in mod clar responsabilitatile precise ale acestor persoane, precum si liniile ierarhice de comunicare si responsabilitate in cadrul general al departamentului responsabil cu asigurarea calitatii. Persoanele care efectueaza controalele de calitate si incercarile vor fi altele decat persoanele care executa sau supervizeaza executia lucrarilor.</w:t>
      </w:r>
    </w:p>
    <w:p>
      <w:pPr>
        <w:tabs>
          <w:tab w:val="left" w:pos="1005"/>
        </w:tabs>
        <w:rPr>
          <w:sz w:val="20"/>
          <w:szCs w:val="20"/>
          <w:lang w:val="ro-RO"/>
        </w:rPr>
      </w:pPr>
      <w:r>
        <w:rPr>
          <w:sz w:val="20"/>
          <w:szCs w:val="20"/>
          <w:lang w:val="ro-RO"/>
        </w:rPr>
        <w:t>Sistemul de management al Antreprenorului cu referire la prezenta documentatie de executie a lucrarilor va include toti sub-contractorii si furnizorii acestuia.</w:t>
      </w:r>
    </w:p>
    <w:p>
      <w:pPr>
        <w:tabs>
          <w:tab w:val="left" w:pos="1005"/>
        </w:tabs>
        <w:rPr>
          <w:sz w:val="20"/>
          <w:szCs w:val="20"/>
          <w:lang w:val="ro-RO"/>
        </w:rPr>
      </w:pPr>
      <w:r>
        <w:rPr>
          <w:sz w:val="20"/>
          <w:szCs w:val="20"/>
          <w:lang w:val="ro-RO"/>
        </w:rPr>
        <w:t>Va fi indicat modul in care sunt asigurate conditiile ca numai documentatia in vigoare si aprobata sa fie folosita pentru executia lucrarilor si metoda de inregistrare a variatiilor si amendamentelor la documentatie.</w:t>
      </w:r>
    </w:p>
    <w:p>
      <w:pPr>
        <w:tabs>
          <w:tab w:val="left" w:pos="1005"/>
        </w:tabs>
        <w:rPr>
          <w:sz w:val="20"/>
          <w:szCs w:val="20"/>
          <w:lang w:val="ro-RO"/>
        </w:rPr>
      </w:pPr>
      <w:r>
        <w:rPr>
          <w:sz w:val="20"/>
          <w:szCs w:val="20"/>
          <w:lang w:val="ro-RO"/>
        </w:rPr>
        <w:t>PCCVI propus initial de Antreprenor, care va contine descrierea tuturor activitatilor de verificare importante si critice, va avea la baza Proiectul aprobat si consideratiile proprii ale Antreprenorului cu privire la executia lucrarilor.</w:t>
      </w:r>
    </w:p>
    <w:p>
      <w:pPr>
        <w:tabs>
          <w:tab w:val="left" w:pos="1005"/>
        </w:tabs>
        <w:rPr>
          <w:sz w:val="20"/>
          <w:szCs w:val="20"/>
          <w:lang w:val="ro-RO"/>
        </w:rPr>
      </w:pPr>
      <w:r>
        <w:rPr>
          <w:sz w:val="20"/>
          <w:szCs w:val="20"/>
          <w:lang w:val="ro-RO"/>
        </w:rPr>
        <w:t>Antreprenorul va inainta Supervizorului, pentru aprobare, PCCVI cu privire la toate activitatile sau masurile ce trebuie intreprinse cu referire la asigurarea calitatii pentru toate lucrarile de executat sau pentru parti din aceste lucrari. Acest plan va fi inaintat spre aprobare Supervizoruluinu mai tarziu de o saptamana inainte de inceperea lucrarilor sau a unei parti aprobate din acestea.</w:t>
      </w:r>
    </w:p>
    <w:p>
      <w:pPr>
        <w:tabs>
          <w:tab w:val="left" w:pos="1005"/>
        </w:tabs>
        <w:rPr>
          <w:sz w:val="20"/>
          <w:szCs w:val="20"/>
          <w:lang w:val="ro-RO"/>
        </w:rPr>
      </w:pPr>
      <w:r>
        <w:rPr>
          <w:sz w:val="20"/>
          <w:szCs w:val="20"/>
          <w:lang w:val="ro-RO"/>
        </w:rPr>
        <w:t>PAC va include activitatile de control, asa cum au fost acestea specificate in Contract, precum si orice alt tip de control normal sau special pe care Antreprenorul il considera a fi necesar pentru a se asigura calitatea lucrarilor sale.</w:t>
      </w:r>
    </w:p>
    <w:p>
      <w:pPr>
        <w:tabs>
          <w:tab w:val="left" w:pos="1005"/>
        </w:tabs>
        <w:rPr>
          <w:sz w:val="20"/>
          <w:szCs w:val="20"/>
          <w:lang w:val="ro-RO"/>
        </w:rPr>
      </w:pPr>
      <w:r>
        <w:rPr>
          <w:sz w:val="20"/>
          <w:szCs w:val="20"/>
          <w:lang w:val="ro-RO"/>
        </w:rPr>
        <w:t>PAC va include, pentru fiecare activitate de control: tipul de control, metoda de control, criteriile de aprobare si documentatia respectiva si cine va fi responsabil sa efectueze aceasta activitate.</w:t>
      </w:r>
    </w:p>
    <w:p>
      <w:pPr>
        <w:tabs>
          <w:tab w:val="left" w:pos="1005"/>
        </w:tabs>
        <w:rPr>
          <w:sz w:val="20"/>
          <w:szCs w:val="20"/>
          <w:lang w:val="ro-RO"/>
        </w:rPr>
      </w:pPr>
      <w:r>
        <w:rPr>
          <w:sz w:val="20"/>
          <w:szCs w:val="20"/>
          <w:lang w:val="ro-RO"/>
        </w:rPr>
        <w:t>Verificarea PAC si a documentelor Anexa de catre Supervizor va respecta conditiile contractuale stabilite.</w:t>
      </w:r>
    </w:p>
    <w:p>
      <w:pPr>
        <w:pStyle w:val="Heading4"/>
        <w:rPr>
          <w:sz w:val="20"/>
          <w:szCs w:val="20"/>
          <w:lang w:val="ro-RO"/>
        </w:rPr>
      </w:pPr>
      <w:r>
        <w:rPr>
          <w:sz w:val="20"/>
          <w:szCs w:val="20"/>
          <w:lang w:val="ro-RO"/>
        </w:rPr>
        <w:t>2.2.14.3 Documentaţia post-execuţie</w:t>
      </w:r>
    </w:p>
    <w:p>
      <w:pPr>
        <w:tabs>
          <w:tab w:val="left" w:pos="1005"/>
        </w:tabs>
        <w:rPr>
          <w:sz w:val="20"/>
          <w:szCs w:val="20"/>
          <w:lang w:val="ro-RO"/>
        </w:rPr>
      </w:pPr>
      <w:r>
        <w:rPr>
          <w:sz w:val="20"/>
          <w:szCs w:val="20"/>
          <w:lang w:val="ro-RO"/>
        </w:rPr>
        <w:t>Aceste documente reprezinta de fapt Detaliile de executie realizate de catre Antreprenor, in conformitate cu lista prezentata mai sus si in conformitate cu modul real de executie al respectivei parti de lucrare, justificat prin instructiunile de lucru sau dispozitiile de santier elaborate.</w:t>
      </w:r>
    </w:p>
    <w:p>
      <w:pPr>
        <w:pStyle w:val="Heading4"/>
        <w:rPr>
          <w:sz w:val="20"/>
          <w:szCs w:val="20"/>
          <w:lang w:val="ro-RO"/>
        </w:rPr>
      </w:pPr>
      <w:r>
        <w:rPr>
          <w:sz w:val="20"/>
          <w:szCs w:val="20"/>
          <w:lang w:val="ro-RO"/>
        </w:rPr>
        <w:t>2.2.14.4 Alte documente referitoare la şantier</w:t>
      </w:r>
    </w:p>
    <w:p>
      <w:pPr>
        <w:tabs>
          <w:tab w:val="left" w:pos="1005"/>
        </w:tabs>
        <w:rPr>
          <w:sz w:val="20"/>
          <w:szCs w:val="20"/>
          <w:lang w:val="ro-RO"/>
        </w:rPr>
      </w:pPr>
      <w:r>
        <w:rPr>
          <w:sz w:val="20"/>
          <w:szCs w:val="20"/>
          <w:lang w:val="ro-RO"/>
        </w:rPr>
        <w:t>Antreprenorul va intocmi pe spetele sale "Cartea Constructiei" in conformitate cu legislatia romana si o va inainta Supervizorului spre aprobare.</w:t>
      </w:r>
    </w:p>
    <w:p>
      <w:pPr>
        <w:tabs>
          <w:tab w:val="left" w:pos="1005"/>
        </w:tabs>
        <w:rPr>
          <w:sz w:val="20"/>
          <w:szCs w:val="20"/>
          <w:lang w:val="ro-RO"/>
        </w:rPr>
      </w:pPr>
      <w:r>
        <w:rPr>
          <w:sz w:val="20"/>
          <w:szCs w:val="20"/>
          <w:lang w:val="ro-RO"/>
        </w:rPr>
        <w:lastRenderedPageBreak/>
        <w:t>La momentul aprovizionarii cu materiale si bunuri, Antreprenorul va inainta Supervizorului, pastrand si in documentatia de santier ce va fi predata la terminarea lucrarilor, un original si doua copii conforme cu originalul, toate certificatele, documentatiile de incercare etc. pentru materialele si bunurile ce vor fi folosite in lucrari, toate documentele ce demonstreaza ca incercarile si testele s-au efectuat si rezultatele acestora sunt in conformitate cu Specificatiile si Listele de identificare cu referinte incrucisate intre documente si respectivele materiale si bunuri.</w:t>
      </w:r>
    </w:p>
    <w:p>
      <w:pPr>
        <w:tabs>
          <w:tab w:val="left" w:pos="1005"/>
        </w:tabs>
        <w:rPr>
          <w:sz w:val="20"/>
          <w:szCs w:val="20"/>
          <w:lang w:val="ro-RO"/>
        </w:rPr>
      </w:pPr>
      <w:r>
        <w:rPr>
          <w:sz w:val="20"/>
          <w:szCs w:val="20"/>
          <w:lang w:val="ro-RO"/>
        </w:rPr>
        <w:t>Lucrarile de remediere realizate de Antreprenor dupa finalizarea lucrarilor fac obiectul acelorasi conditii de control ca si restul lucrarilor executate in cadrul contractului.</w:t>
      </w:r>
    </w:p>
    <w:p>
      <w:pPr>
        <w:tabs>
          <w:tab w:val="left" w:pos="1005"/>
        </w:tabs>
        <w:rPr>
          <w:sz w:val="20"/>
          <w:szCs w:val="20"/>
          <w:lang w:val="ro-RO"/>
        </w:rPr>
      </w:pPr>
      <w:r>
        <w:rPr>
          <w:sz w:val="20"/>
          <w:szCs w:val="20"/>
          <w:lang w:val="ro-RO"/>
        </w:rPr>
        <w:t>Sistemul de arhivare, inclusiv documentatia de asigurare a calitatii, va fi pastrat de catre Antreprenor pentru o perioada de inca minimum 5 ani de la expirarea perioadei de garantie.</w:t>
      </w:r>
    </w:p>
    <w:p>
      <w:pPr>
        <w:pStyle w:val="Heading4"/>
        <w:rPr>
          <w:sz w:val="20"/>
          <w:szCs w:val="20"/>
          <w:lang w:val="ro-RO"/>
        </w:rPr>
      </w:pPr>
      <w:r>
        <w:rPr>
          <w:sz w:val="20"/>
          <w:szCs w:val="20"/>
          <w:lang w:val="ro-RO"/>
        </w:rPr>
        <w:t>2.2.14.5 Păstrarea documentelor referitoare la construcţie</w:t>
      </w:r>
    </w:p>
    <w:p>
      <w:pPr>
        <w:tabs>
          <w:tab w:val="left" w:pos="1005"/>
        </w:tabs>
        <w:rPr>
          <w:sz w:val="20"/>
          <w:szCs w:val="20"/>
          <w:lang w:val="ro-RO"/>
        </w:rPr>
      </w:pPr>
      <w:r>
        <w:rPr>
          <w:sz w:val="20"/>
          <w:szCs w:val="20"/>
          <w:lang w:val="ro-RO"/>
        </w:rPr>
        <w:t>Documentele referitoare la construcţie vor fi păstrate pe şantier, într-un loc adecvat şi sigur, in vederea includerii acestora in Cartea Constructiei, conform HG 343/2017. Pierderea oricărui document referitor la şantier va impune recuperarea sa imediată, în conformitate cu procedurile legale corespunzătoare. Toate documentele referitoare la construcţie vor fi mereu accesibile Supervizorului şi prezentate spre verificare la cererea Beneficiarului.</w:t>
      </w:r>
    </w:p>
    <w:p>
      <w:pPr>
        <w:pStyle w:val="Heading2"/>
        <w:rPr>
          <w:sz w:val="20"/>
          <w:szCs w:val="20"/>
          <w:lang w:val="ro-RO"/>
        </w:rPr>
      </w:pPr>
      <w:bookmarkStart w:id="43" w:name="_Toc227161518"/>
      <w:r>
        <w:rPr>
          <w:sz w:val="20"/>
          <w:szCs w:val="20"/>
          <w:lang w:val="ro-RO"/>
        </w:rPr>
        <w:t>2.3  ACCEPAREA SI PREDAREA PENTRU EXPLOATARE</w:t>
      </w:r>
      <w:bookmarkEnd w:id="43"/>
      <w:r>
        <w:rPr>
          <w:sz w:val="20"/>
          <w:szCs w:val="20"/>
          <w:lang w:val="ro-RO"/>
        </w:rPr>
        <w:t xml:space="preserve"> </w:t>
      </w:r>
    </w:p>
    <w:p>
      <w:pPr>
        <w:pStyle w:val="Heading3"/>
        <w:rPr>
          <w:sz w:val="20"/>
          <w:szCs w:val="20"/>
          <w:lang w:val="ro-RO"/>
        </w:rPr>
      </w:pPr>
      <w:bookmarkStart w:id="44" w:name="_Toc227161519"/>
      <w:r>
        <w:rPr>
          <w:sz w:val="20"/>
          <w:szCs w:val="20"/>
          <w:lang w:val="ro-RO"/>
        </w:rPr>
        <w:t>2.3.1 Aprobarea documentaţiei proiectului</w:t>
      </w:r>
      <w:bookmarkEnd w:id="44"/>
    </w:p>
    <w:p>
      <w:pPr>
        <w:tabs>
          <w:tab w:val="left" w:pos="1005"/>
        </w:tabs>
        <w:rPr>
          <w:sz w:val="20"/>
          <w:szCs w:val="20"/>
          <w:lang w:val="ro-RO"/>
        </w:rPr>
      </w:pPr>
      <w:r>
        <w:rPr>
          <w:sz w:val="20"/>
          <w:szCs w:val="20"/>
          <w:lang w:val="ro-RO"/>
        </w:rPr>
        <w:t>Antreprenorul va întocmi documentatia necesara pentru obţinerea autorizatiei de construire (DTAC) într-o perioadă de cel mult 4 luni de la primirea ordinului de incepere, după realizarea studiilor de teren si obţinerea avizelor, acordurilor si autorizatiilor.</w:t>
      </w:r>
    </w:p>
    <w:p>
      <w:pPr>
        <w:tabs>
          <w:tab w:val="left" w:pos="1005"/>
        </w:tabs>
        <w:rPr>
          <w:sz w:val="20"/>
          <w:szCs w:val="20"/>
          <w:lang w:val="ro-RO"/>
        </w:rPr>
      </w:pPr>
      <w:r>
        <w:rPr>
          <w:sz w:val="20"/>
          <w:szCs w:val="20"/>
          <w:lang w:val="ro-RO"/>
        </w:rPr>
        <w:t>Proiectul de autorizare de construire va fi aprobat de către organismele competente şi pe baza acestuia se va obtine Autorizatia de Construire.</w:t>
      </w:r>
    </w:p>
    <w:p>
      <w:pPr>
        <w:pStyle w:val="Heading3"/>
        <w:rPr>
          <w:sz w:val="20"/>
          <w:szCs w:val="20"/>
          <w:lang w:val="ro-RO"/>
        </w:rPr>
      </w:pPr>
      <w:bookmarkStart w:id="45" w:name="_Toc227161520"/>
      <w:r>
        <w:rPr>
          <w:sz w:val="20"/>
          <w:szCs w:val="20"/>
          <w:lang w:val="ro-RO"/>
        </w:rPr>
        <w:t>2.3.2 Aprobarea lucrărilor de construcţie</w:t>
      </w:r>
      <w:bookmarkEnd w:id="45"/>
    </w:p>
    <w:p>
      <w:pPr>
        <w:pStyle w:val="Heading4"/>
        <w:rPr>
          <w:sz w:val="20"/>
          <w:szCs w:val="20"/>
          <w:lang w:val="ro-RO"/>
        </w:rPr>
      </w:pPr>
      <w:r>
        <w:rPr>
          <w:sz w:val="20"/>
          <w:szCs w:val="20"/>
          <w:lang w:val="ro-RO"/>
        </w:rPr>
        <w:t>2.3.2.1 Aprobarea lucrărilor temporare, de susţinere şi acoperite</w:t>
      </w:r>
    </w:p>
    <w:p>
      <w:pPr>
        <w:tabs>
          <w:tab w:val="left" w:pos="1005"/>
        </w:tabs>
        <w:rPr>
          <w:sz w:val="20"/>
          <w:szCs w:val="20"/>
          <w:lang w:val="ro-RO"/>
        </w:rPr>
      </w:pPr>
      <w:r>
        <w:rPr>
          <w:sz w:val="20"/>
          <w:szCs w:val="20"/>
          <w:lang w:val="ro-RO"/>
        </w:rPr>
        <w:t>În cazul în care Antreprenorul este pregătit pentru aprobarea unor lucrări relevante, acesta va transmite o notificare Supervizorului. Aprobarea Supervizorului se face prin notarea unei declaraţii corespunzătoare în Registrul de comenzi al şantierului. Aprobarea lucrărilor trebuie să fie realizată de către Supervizor în prezenţa Antreprenorului. Calitatea şi cantitatea lucrărilor temporare, de susţinere şi acoperite vor fi estimate pe baza documentelor ce conţin rezultatele testelor şi măsurătorilor realizate de către Supervizorsau predate de către Antreprenor şi primite de către Supervizor.</w:t>
      </w:r>
    </w:p>
    <w:p>
      <w:pPr>
        <w:pStyle w:val="Heading4"/>
        <w:rPr>
          <w:sz w:val="20"/>
          <w:szCs w:val="20"/>
          <w:lang w:val="ro-RO"/>
        </w:rPr>
      </w:pPr>
      <w:r>
        <w:rPr>
          <w:sz w:val="20"/>
          <w:szCs w:val="20"/>
          <w:lang w:val="ro-RO"/>
        </w:rPr>
        <w:t>2.3.2.2 Aprobarea lucrărilor</w:t>
      </w:r>
    </w:p>
    <w:p>
      <w:pPr>
        <w:tabs>
          <w:tab w:val="left" w:pos="1005"/>
        </w:tabs>
        <w:rPr>
          <w:sz w:val="20"/>
          <w:szCs w:val="20"/>
          <w:lang w:val="ro-RO"/>
        </w:rPr>
      </w:pPr>
      <w:r>
        <w:rPr>
          <w:sz w:val="20"/>
          <w:szCs w:val="20"/>
          <w:lang w:val="ro-RO"/>
        </w:rPr>
        <w:t>Aprobarea lucrărilor va fi realizată în conformitate cu procedurile impuse prin legislaţia naţională privind construcţiile şi cu procedurile definite prin Conditiile Contractuale Generale si specifice.</w:t>
      </w:r>
    </w:p>
    <w:p>
      <w:pPr>
        <w:pStyle w:val="Heading4"/>
        <w:rPr>
          <w:sz w:val="20"/>
          <w:szCs w:val="20"/>
          <w:lang w:val="ro-RO"/>
        </w:rPr>
      </w:pPr>
      <w:r>
        <w:rPr>
          <w:sz w:val="20"/>
          <w:szCs w:val="20"/>
          <w:lang w:val="ro-RO"/>
        </w:rPr>
        <w:t>2.3.2.3 Controlul calităţii</w:t>
      </w:r>
    </w:p>
    <w:p>
      <w:pPr>
        <w:tabs>
          <w:tab w:val="left" w:pos="1005"/>
        </w:tabs>
        <w:rPr>
          <w:sz w:val="20"/>
          <w:szCs w:val="20"/>
          <w:lang w:val="ro-RO"/>
        </w:rPr>
      </w:pPr>
      <w:r>
        <w:rPr>
          <w:sz w:val="20"/>
          <w:szCs w:val="20"/>
          <w:lang w:val="ro-RO"/>
        </w:rPr>
        <w:t>Antreprenorul este responsabil de calitatea lucrărilor şi a echipamentelor şi materialelor folosite la execuţia lucrărilor.</w:t>
      </w:r>
    </w:p>
    <w:p>
      <w:pPr>
        <w:tabs>
          <w:tab w:val="left" w:pos="1005"/>
        </w:tabs>
        <w:rPr>
          <w:sz w:val="20"/>
          <w:szCs w:val="20"/>
          <w:lang w:val="ro-RO"/>
        </w:rPr>
      </w:pPr>
      <w:r>
        <w:rPr>
          <w:sz w:val="20"/>
          <w:szCs w:val="20"/>
          <w:lang w:val="ro-RO"/>
        </w:rPr>
        <w:t>Antreprenorul este responsabil să prezinte Supervizorului certificate care să confirme că toate echipamentele de testare folosite sunt verificate legal, că au fost corect calibrate şi că respectă standardele ce definesc procedurile de testare.</w:t>
      </w:r>
    </w:p>
    <w:p>
      <w:pPr>
        <w:tabs>
          <w:tab w:val="left" w:pos="1005"/>
        </w:tabs>
        <w:rPr>
          <w:sz w:val="20"/>
          <w:szCs w:val="20"/>
          <w:lang w:val="ro-RO"/>
        </w:rPr>
      </w:pPr>
      <w:r>
        <w:rPr>
          <w:sz w:val="20"/>
          <w:szCs w:val="20"/>
          <w:lang w:val="ro-RO"/>
        </w:rPr>
        <w:t>Antreprenorul va măsura şi testa materialele şi lucrările, cu frecvenţa necesară, ceea ce va garanta că lucrările au fost realizate în conformitate cu cerinţele standardelor naţionale şi cu cerinţele beneficiarului. În cazurile care nu sunt incluse în standardele naţionale, evaluările şi testările vor fi realizate în conformitate cu standardele europene sau altele similare şi vor fi aprobate de către Supervizor.</w:t>
      </w:r>
    </w:p>
    <w:p>
      <w:pPr>
        <w:tabs>
          <w:tab w:val="left" w:pos="1005"/>
        </w:tabs>
        <w:rPr>
          <w:sz w:val="20"/>
          <w:szCs w:val="20"/>
          <w:lang w:val="ro-RO"/>
        </w:rPr>
      </w:pPr>
      <w:r>
        <w:rPr>
          <w:sz w:val="20"/>
          <w:szCs w:val="20"/>
          <w:lang w:val="ro-RO"/>
        </w:rPr>
        <w:lastRenderedPageBreak/>
        <w:t>Beneficiarul şi Supervizorul vor verifica tipul şi calitatea materialelor folosite în orice etapă sau perioadă a producţiei utilajului şi/ sau echipamentului şi li se va permite accesul nerestricţionat la laborator, în scopul realizării controlului respectivelor materiale.</w:t>
      </w:r>
    </w:p>
    <w:p>
      <w:pPr>
        <w:tabs>
          <w:tab w:val="left" w:pos="1005"/>
        </w:tabs>
        <w:rPr>
          <w:sz w:val="20"/>
          <w:szCs w:val="20"/>
          <w:lang w:val="ro-RO"/>
        </w:rPr>
      </w:pPr>
      <w:r>
        <w:rPr>
          <w:sz w:val="20"/>
          <w:szCs w:val="20"/>
          <w:lang w:val="ro-RO"/>
        </w:rPr>
        <w:t>Supervizorul va prezenta Antreprenorului informaţii scrise privind neajunsurile descoperite referitoare la utilaje, echipamente, lucrări ale personalului de laborator sau la metodele de testare. Supervizorul va interzice imediat utilizarea materialelor testate şi va permite folosirea lor ulterioară numai după ce au fost luate în considerare restricţiile stabilite.</w:t>
      </w:r>
    </w:p>
    <w:p>
      <w:pPr>
        <w:tabs>
          <w:tab w:val="left" w:pos="1005"/>
        </w:tabs>
        <w:rPr>
          <w:sz w:val="20"/>
          <w:szCs w:val="20"/>
          <w:lang w:val="ro-RO"/>
        </w:rPr>
      </w:pPr>
      <w:r>
        <w:rPr>
          <w:sz w:val="20"/>
          <w:szCs w:val="20"/>
          <w:lang w:val="ro-RO"/>
        </w:rPr>
        <w:t>Toate costurile aferente organizării şi realizării de teste ale materialelor vor fi suportate de către Antreprenor. Aici sunt incluse şi vizitele la instalaţiile de producţie (fabrici). Toate cheltuielile de deplasare vor fi suportate de către Antreprenor.</w:t>
      </w:r>
    </w:p>
    <w:p>
      <w:pPr>
        <w:pStyle w:val="Heading4"/>
        <w:rPr>
          <w:sz w:val="20"/>
          <w:szCs w:val="20"/>
          <w:lang w:val="ro-RO"/>
        </w:rPr>
      </w:pPr>
      <w:r>
        <w:rPr>
          <w:sz w:val="20"/>
          <w:szCs w:val="20"/>
          <w:lang w:val="ro-RO"/>
        </w:rPr>
        <w:t>2.3.2.4 Testarea</w:t>
      </w:r>
    </w:p>
    <w:p>
      <w:pPr>
        <w:pStyle w:val="ListParagraph"/>
        <w:numPr>
          <w:ilvl w:val="0"/>
          <w:numId w:val="58"/>
        </w:numPr>
        <w:tabs>
          <w:tab w:val="left" w:pos="1005"/>
        </w:tabs>
        <w:rPr>
          <w:b/>
          <w:sz w:val="20"/>
          <w:szCs w:val="20"/>
          <w:lang w:val="ro-RO"/>
        </w:rPr>
      </w:pPr>
      <w:r>
        <w:rPr>
          <w:b/>
          <w:sz w:val="20"/>
          <w:szCs w:val="20"/>
          <w:lang w:val="ro-RO"/>
        </w:rPr>
        <w:t>Probe tehnologice</w:t>
      </w:r>
    </w:p>
    <w:p>
      <w:pPr>
        <w:tabs>
          <w:tab w:val="left" w:pos="1005"/>
        </w:tabs>
        <w:rPr>
          <w:sz w:val="20"/>
          <w:szCs w:val="20"/>
          <w:lang w:val="ro-RO"/>
        </w:rPr>
      </w:pPr>
      <w:r>
        <w:rPr>
          <w:sz w:val="20"/>
          <w:szCs w:val="20"/>
          <w:lang w:val="ro-RO"/>
        </w:rPr>
        <w:t>În timpul instalării, toate testările necesare ale instalaţiei, precum şi verificările finale ale sistemelor mecanice şi ale părţilor acestora trebuie să fie realizate de Antreprenor şi verificate de către Supervizor.</w:t>
      </w:r>
    </w:p>
    <w:p>
      <w:pPr>
        <w:tabs>
          <w:tab w:val="left" w:pos="1005"/>
        </w:tabs>
        <w:rPr>
          <w:sz w:val="20"/>
          <w:szCs w:val="20"/>
          <w:lang w:val="ro-RO"/>
        </w:rPr>
      </w:pPr>
      <w:r>
        <w:rPr>
          <w:sz w:val="20"/>
          <w:szCs w:val="20"/>
          <w:lang w:val="ro-RO"/>
        </w:rPr>
        <w:t>Condiţiile prealabile pentru certificarea finalizării din punct de vedere mecanic sunt caracterul complet, fabricarea cu succes şi testarea instalaţiei şi instalarea satisfăcătoare a echipamentelor, precum şi disponibilitatea documentaţiei de proiect corespunzătoare.</w:t>
      </w:r>
    </w:p>
    <w:p>
      <w:pPr>
        <w:tabs>
          <w:tab w:val="left" w:pos="1005"/>
        </w:tabs>
        <w:rPr>
          <w:sz w:val="20"/>
          <w:szCs w:val="20"/>
          <w:lang w:val="ro-RO"/>
        </w:rPr>
      </w:pPr>
      <w:r>
        <w:rPr>
          <w:sz w:val="20"/>
          <w:szCs w:val="20"/>
          <w:lang w:val="ro-RO"/>
        </w:rPr>
        <w:t>Acceptarea de către Supervizor a etapelor de lucrări finalizate va fi obţinută înainte de a continua cu instalarea şi, în cazul în care este necesar să se demonteze părţi deja instalate, pentru a avea acces la inspecţie în cazul unei rectificări, aceasta se va face pe cheltuiala Antreprenorului şi nu va fi luată în considerare nicio cerere de întârziere din partea Antreprenorului.</w:t>
      </w:r>
    </w:p>
    <w:p>
      <w:pPr>
        <w:tabs>
          <w:tab w:val="left" w:pos="1005"/>
        </w:tabs>
        <w:rPr>
          <w:sz w:val="20"/>
          <w:szCs w:val="20"/>
          <w:lang w:val="ro-RO"/>
        </w:rPr>
      </w:pPr>
      <w:r>
        <w:rPr>
          <w:sz w:val="20"/>
          <w:szCs w:val="20"/>
          <w:lang w:val="ro-RO"/>
        </w:rPr>
        <w:t>Obligaţiile Antreprenorului includ toate testările la faţa locului şi cheltuielile cu inspecţia, de ex. toată manopera, materialele, apa, electricitatea, consumabilele, substanţele chimice, depozitele, precum şi instrumentele şi aparatele de lucru pot trece prin asemenea testări. Antreprenorul este responsabil şi va avea în vedere toate măsurile de siguranţă, ca de pildă, barierele, semnele de avertizare etc., necesare pentru inspecţie şi testare pe parcursul instalării, iar toate întreruperile lucrărilor din acest punct de vedere se vor face pe cheltuiala sa.</w:t>
      </w:r>
    </w:p>
    <w:p>
      <w:pPr>
        <w:tabs>
          <w:tab w:val="left" w:pos="1005"/>
        </w:tabs>
        <w:rPr>
          <w:sz w:val="20"/>
          <w:szCs w:val="20"/>
          <w:lang w:val="ro-RO"/>
        </w:rPr>
      </w:pPr>
      <w:r>
        <w:rPr>
          <w:sz w:val="20"/>
          <w:szCs w:val="20"/>
          <w:lang w:val="ro-RO"/>
        </w:rPr>
        <w:t>Este responsabilitatea Antreprenorului să se asigure că procedurile de siguranţă sunt adoptate spre utilizare, că se menţine un inventar privind manipularea şi depozitarea surselor radioactive, precum şi un inventar al tuturor surselor livrate pe şantier.</w:t>
      </w:r>
    </w:p>
    <w:p>
      <w:pPr>
        <w:pStyle w:val="ListParagraph"/>
        <w:numPr>
          <w:ilvl w:val="0"/>
          <w:numId w:val="58"/>
        </w:numPr>
        <w:tabs>
          <w:tab w:val="left" w:pos="1005"/>
        </w:tabs>
        <w:rPr>
          <w:b/>
          <w:sz w:val="20"/>
          <w:szCs w:val="20"/>
          <w:lang w:val="ro-RO"/>
        </w:rPr>
      </w:pPr>
      <w:r>
        <w:rPr>
          <w:b/>
          <w:sz w:val="20"/>
          <w:szCs w:val="20"/>
          <w:lang w:val="ro-RO"/>
        </w:rPr>
        <w:t>Verificările anterioare punerii în funcţiune</w:t>
      </w:r>
    </w:p>
    <w:p>
      <w:pPr>
        <w:tabs>
          <w:tab w:val="left" w:pos="1005"/>
        </w:tabs>
        <w:rPr>
          <w:sz w:val="20"/>
          <w:szCs w:val="20"/>
          <w:lang w:val="ro-RO"/>
        </w:rPr>
      </w:pPr>
      <w:r>
        <w:rPr>
          <w:sz w:val="20"/>
          <w:szCs w:val="20"/>
          <w:lang w:val="ro-RO"/>
        </w:rPr>
        <w:t xml:space="preserve">Verificările anterioare punerii în funcţiune trebuie realizate pentru următoarele echipamente: </w:t>
      </w:r>
    </w:p>
    <w:p>
      <w:pPr>
        <w:tabs>
          <w:tab w:val="left" w:pos="1005"/>
        </w:tabs>
        <w:rPr>
          <w:sz w:val="20"/>
          <w:szCs w:val="20"/>
          <w:u w:val="single"/>
          <w:lang w:val="ro-RO"/>
        </w:rPr>
      </w:pPr>
      <w:r>
        <w:rPr>
          <w:sz w:val="20"/>
          <w:szCs w:val="20"/>
          <w:u w:val="single"/>
          <w:lang w:val="ro-RO"/>
        </w:rPr>
        <w:t>Echipamente mecanice</w:t>
      </w:r>
    </w:p>
    <w:p>
      <w:pPr>
        <w:pStyle w:val="ListParagraph"/>
        <w:numPr>
          <w:ilvl w:val="0"/>
          <w:numId w:val="61"/>
        </w:numPr>
        <w:tabs>
          <w:tab w:val="left" w:pos="1005"/>
        </w:tabs>
        <w:rPr>
          <w:sz w:val="20"/>
          <w:szCs w:val="20"/>
          <w:lang w:val="ro-RO"/>
        </w:rPr>
      </w:pPr>
      <w:r>
        <w:rPr>
          <w:sz w:val="20"/>
          <w:szCs w:val="20"/>
          <w:lang w:val="ro-RO"/>
        </w:rPr>
        <w:t>Testări individuale anterioare punerii în funcţiune, pentru toate echipamentele rotative</w:t>
      </w:r>
    </w:p>
    <w:p>
      <w:pPr>
        <w:pStyle w:val="ListParagraph"/>
        <w:numPr>
          <w:ilvl w:val="0"/>
          <w:numId w:val="61"/>
        </w:numPr>
        <w:tabs>
          <w:tab w:val="left" w:pos="1005"/>
        </w:tabs>
        <w:rPr>
          <w:sz w:val="20"/>
          <w:szCs w:val="20"/>
          <w:lang w:val="ro-RO"/>
        </w:rPr>
      </w:pPr>
      <w:r>
        <w:rPr>
          <w:sz w:val="20"/>
          <w:szCs w:val="20"/>
          <w:lang w:val="ro-RO"/>
        </w:rPr>
        <w:t xml:space="preserve">Testări funcţionale ale echipamentelor mecanice. </w:t>
      </w:r>
    </w:p>
    <w:p>
      <w:pPr>
        <w:tabs>
          <w:tab w:val="left" w:pos="1005"/>
        </w:tabs>
        <w:rPr>
          <w:sz w:val="20"/>
          <w:szCs w:val="20"/>
          <w:u w:val="single"/>
          <w:lang w:val="ro-RO"/>
        </w:rPr>
      </w:pPr>
      <w:r>
        <w:rPr>
          <w:sz w:val="20"/>
          <w:szCs w:val="20"/>
          <w:u w:val="single"/>
          <w:lang w:val="ro-RO"/>
        </w:rPr>
        <w:t>Echipamente electrice</w:t>
      </w:r>
    </w:p>
    <w:p>
      <w:pPr>
        <w:tabs>
          <w:tab w:val="left" w:pos="1005"/>
        </w:tabs>
        <w:rPr>
          <w:sz w:val="20"/>
          <w:szCs w:val="20"/>
          <w:lang w:val="ro-RO"/>
        </w:rPr>
      </w:pPr>
      <w:r>
        <w:rPr>
          <w:sz w:val="20"/>
          <w:szCs w:val="20"/>
          <w:lang w:val="ro-RO"/>
        </w:rPr>
        <w:t>Cu condiţia să nu fi fost deja realizate în cursul instalării propriu-zise, testele anterioare punerii în funcţiune vor include cel puţin:</w:t>
      </w:r>
    </w:p>
    <w:p>
      <w:pPr>
        <w:pStyle w:val="ListParagraph"/>
        <w:numPr>
          <w:ilvl w:val="0"/>
          <w:numId w:val="61"/>
        </w:numPr>
        <w:tabs>
          <w:tab w:val="left" w:pos="1005"/>
        </w:tabs>
        <w:rPr>
          <w:sz w:val="20"/>
          <w:szCs w:val="20"/>
          <w:lang w:val="ro-RO"/>
        </w:rPr>
      </w:pPr>
      <w:r>
        <w:rPr>
          <w:sz w:val="20"/>
          <w:szCs w:val="20"/>
          <w:lang w:val="ro-RO"/>
        </w:rPr>
        <w:t>Testele de tensiune</w:t>
      </w:r>
    </w:p>
    <w:p>
      <w:pPr>
        <w:pStyle w:val="ListParagraph"/>
        <w:numPr>
          <w:ilvl w:val="0"/>
          <w:numId w:val="61"/>
        </w:numPr>
        <w:tabs>
          <w:tab w:val="left" w:pos="1005"/>
        </w:tabs>
        <w:rPr>
          <w:sz w:val="20"/>
          <w:szCs w:val="20"/>
          <w:lang w:val="ro-RO"/>
        </w:rPr>
      </w:pPr>
      <w:r>
        <w:rPr>
          <w:sz w:val="20"/>
          <w:szCs w:val="20"/>
          <w:lang w:val="ro-RO"/>
        </w:rPr>
        <w:t>Testele de decuplare</w:t>
      </w:r>
    </w:p>
    <w:p>
      <w:pPr>
        <w:pStyle w:val="ListParagraph"/>
        <w:numPr>
          <w:ilvl w:val="0"/>
          <w:numId w:val="61"/>
        </w:numPr>
        <w:tabs>
          <w:tab w:val="left" w:pos="1005"/>
        </w:tabs>
        <w:rPr>
          <w:sz w:val="20"/>
          <w:szCs w:val="20"/>
          <w:lang w:val="ro-RO"/>
        </w:rPr>
      </w:pPr>
      <w:r>
        <w:rPr>
          <w:sz w:val="20"/>
          <w:szCs w:val="20"/>
          <w:lang w:val="ro-RO"/>
        </w:rPr>
        <w:t>Testele funcţionale ale echipamentelor.</w:t>
      </w:r>
    </w:p>
    <w:p>
      <w:pPr>
        <w:tabs>
          <w:tab w:val="left" w:pos="1005"/>
        </w:tabs>
        <w:rPr>
          <w:sz w:val="20"/>
          <w:szCs w:val="20"/>
          <w:lang w:val="ro-RO"/>
        </w:rPr>
      </w:pPr>
      <w:r>
        <w:rPr>
          <w:sz w:val="20"/>
          <w:szCs w:val="20"/>
          <w:lang w:val="ro-RO"/>
        </w:rPr>
        <w:t>Punerea în funcţiune se face numai după controlul execuţiei instalaţiilor electrice de către unităţi autorizate</w:t>
      </w:r>
    </w:p>
    <w:p>
      <w:pPr>
        <w:tabs>
          <w:tab w:val="left" w:pos="1005"/>
        </w:tabs>
        <w:rPr>
          <w:sz w:val="20"/>
          <w:szCs w:val="20"/>
          <w:u w:val="single"/>
          <w:lang w:val="ro-RO"/>
        </w:rPr>
      </w:pPr>
      <w:r>
        <w:rPr>
          <w:sz w:val="20"/>
          <w:szCs w:val="20"/>
          <w:u w:val="single"/>
          <w:lang w:val="ro-RO"/>
        </w:rPr>
        <w:t>Echipament de control</w:t>
      </w:r>
    </w:p>
    <w:p>
      <w:pPr>
        <w:pStyle w:val="ListParagraph"/>
        <w:numPr>
          <w:ilvl w:val="0"/>
          <w:numId w:val="61"/>
        </w:numPr>
        <w:tabs>
          <w:tab w:val="left" w:pos="1005"/>
        </w:tabs>
        <w:rPr>
          <w:sz w:val="20"/>
          <w:szCs w:val="20"/>
          <w:lang w:val="ro-RO"/>
        </w:rPr>
      </w:pPr>
      <w:r>
        <w:rPr>
          <w:sz w:val="20"/>
          <w:szCs w:val="20"/>
          <w:lang w:val="ro-RO"/>
        </w:rPr>
        <w:t>Teste de calibrare pentru buclele analogice de măsurare, inclusiv toate indicatoarele şi înregistratoarele la distanţă şi semnalele de intrare folosite pentru controlul în buclă închisă</w:t>
      </w:r>
    </w:p>
    <w:p>
      <w:pPr>
        <w:pStyle w:val="ListParagraph"/>
        <w:numPr>
          <w:ilvl w:val="0"/>
          <w:numId w:val="61"/>
        </w:numPr>
        <w:tabs>
          <w:tab w:val="left" w:pos="1005"/>
        </w:tabs>
        <w:rPr>
          <w:sz w:val="20"/>
          <w:szCs w:val="20"/>
          <w:lang w:val="ro-RO"/>
        </w:rPr>
      </w:pPr>
      <w:r>
        <w:rPr>
          <w:sz w:val="20"/>
          <w:szCs w:val="20"/>
          <w:lang w:val="ro-RO"/>
        </w:rPr>
        <w:lastRenderedPageBreak/>
        <w:t>Testarea tuturor transmiţătoarelor binare acţionând transmiţătoarele montate pe instalaţie. Cele care nu pot fi acţionate la elementul primar vor fi simulate cât mai aproape posibil de senzorii lor</w:t>
      </w:r>
    </w:p>
    <w:p>
      <w:pPr>
        <w:pStyle w:val="ListParagraph"/>
        <w:numPr>
          <w:ilvl w:val="0"/>
          <w:numId w:val="61"/>
        </w:numPr>
        <w:tabs>
          <w:tab w:val="left" w:pos="1005"/>
        </w:tabs>
        <w:rPr>
          <w:sz w:val="20"/>
          <w:szCs w:val="20"/>
          <w:lang w:val="ro-RO"/>
        </w:rPr>
      </w:pPr>
      <w:r>
        <w:rPr>
          <w:sz w:val="20"/>
          <w:szCs w:val="20"/>
          <w:lang w:val="ro-RO"/>
        </w:rPr>
        <w:t>Testarea cablajelor pentru toate cablurile de control de pe teren, camera releelor şi camerele de control, combinate cu testările funcţiilor</w:t>
      </w:r>
    </w:p>
    <w:p>
      <w:pPr>
        <w:pStyle w:val="ListParagraph"/>
        <w:numPr>
          <w:ilvl w:val="0"/>
          <w:numId w:val="61"/>
        </w:numPr>
        <w:tabs>
          <w:tab w:val="left" w:pos="1005"/>
        </w:tabs>
        <w:rPr>
          <w:sz w:val="20"/>
          <w:szCs w:val="20"/>
          <w:lang w:val="ro-RO"/>
        </w:rPr>
      </w:pPr>
      <w:r>
        <w:rPr>
          <w:sz w:val="20"/>
          <w:szCs w:val="20"/>
          <w:lang w:val="ro-RO"/>
        </w:rPr>
        <w:t>Testarea tuturor modulelor de control din camera de control</w:t>
      </w:r>
    </w:p>
    <w:p>
      <w:pPr>
        <w:pStyle w:val="ListParagraph"/>
        <w:numPr>
          <w:ilvl w:val="0"/>
          <w:numId w:val="61"/>
        </w:numPr>
        <w:tabs>
          <w:tab w:val="left" w:pos="1005"/>
        </w:tabs>
        <w:rPr>
          <w:sz w:val="20"/>
          <w:szCs w:val="20"/>
          <w:lang w:val="ro-RO"/>
        </w:rPr>
      </w:pPr>
      <w:r>
        <w:rPr>
          <w:sz w:val="20"/>
          <w:szCs w:val="20"/>
          <w:lang w:val="ro-RO"/>
        </w:rPr>
        <w:t>Testarea funcţională a controlului la distanţă al comenzilor, întrerupătoarelor de circuit, valvelor cu solenoid, acţionărilor etc.</w:t>
      </w:r>
    </w:p>
    <w:p>
      <w:pPr>
        <w:pStyle w:val="ListParagraph"/>
        <w:numPr>
          <w:ilvl w:val="0"/>
          <w:numId w:val="61"/>
        </w:numPr>
        <w:tabs>
          <w:tab w:val="left" w:pos="1005"/>
        </w:tabs>
        <w:rPr>
          <w:sz w:val="20"/>
          <w:szCs w:val="20"/>
          <w:lang w:val="ro-RO"/>
        </w:rPr>
      </w:pPr>
      <w:r>
        <w:rPr>
          <w:sz w:val="20"/>
          <w:szCs w:val="20"/>
          <w:lang w:val="ro-RO"/>
        </w:rPr>
        <w:t>Testarea dispozitivelor în buclă deschisă, în special a tuturor echipamentelor cu secvenţă logică, folosind semnale de intrare simulate</w:t>
      </w:r>
    </w:p>
    <w:p>
      <w:pPr>
        <w:pStyle w:val="ListParagraph"/>
        <w:numPr>
          <w:ilvl w:val="0"/>
          <w:numId w:val="61"/>
        </w:numPr>
        <w:tabs>
          <w:tab w:val="left" w:pos="1005"/>
        </w:tabs>
        <w:rPr>
          <w:sz w:val="20"/>
          <w:szCs w:val="20"/>
          <w:lang w:val="ro-RO"/>
        </w:rPr>
      </w:pPr>
      <w:r>
        <w:rPr>
          <w:sz w:val="20"/>
          <w:szCs w:val="20"/>
          <w:lang w:val="ro-RO"/>
        </w:rPr>
        <w:t>Testarea tuturor dispozitivelor de blocare, pentru a asigura o funcţionare în siguranţă</w:t>
      </w:r>
    </w:p>
    <w:p>
      <w:pPr>
        <w:pStyle w:val="ListParagraph"/>
        <w:numPr>
          <w:ilvl w:val="0"/>
          <w:numId w:val="61"/>
        </w:numPr>
        <w:tabs>
          <w:tab w:val="left" w:pos="1005"/>
        </w:tabs>
        <w:rPr>
          <w:sz w:val="20"/>
          <w:szCs w:val="20"/>
          <w:lang w:val="ro-RO"/>
        </w:rPr>
      </w:pPr>
      <w:r>
        <w:rPr>
          <w:sz w:val="20"/>
          <w:szCs w:val="20"/>
          <w:lang w:val="ro-RO"/>
        </w:rPr>
        <w:t>Testarea declanşării alarmei şi a înregistrării evenimentelor legate de toate dispozitivele de pe teren şi din camera de control, folosind semnale de intrare simulate.</w:t>
      </w:r>
    </w:p>
    <w:p>
      <w:pPr>
        <w:pStyle w:val="ListParagraph"/>
        <w:numPr>
          <w:ilvl w:val="0"/>
          <w:numId w:val="61"/>
        </w:numPr>
        <w:tabs>
          <w:tab w:val="left" w:pos="1005"/>
        </w:tabs>
        <w:rPr>
          <w:sz w:val="20"/>
          <w:szCs w:val="20"/>
          <w:lang w:val="ro-RO"/>
        </w:rPr>
      </w:pPr>
      <w:r>
        <w:rPr>
          <w:sz w:val="20"/>
          <w:szCs w:val="20"/>
          <w:lang w:val="ro-RO"/>
        </w:rPr>
        <w:t>Testarea tuturor controalelor în buclă închisă</w:t>
      </w:r>
    </w:p>
    <w:p>
      <w:pPr>
        <w:pStyle w:val="ListParagraph"/>
        <w:numPr>
          <w:ilvl w:val="0"/>
          <w:numId w:val="61"/>
        </w:numPr>
        <w:tabs>
          <w:tab w:val="left" w:pos="1005"/>
        </w:tabs>
        <w:rPr>
          <w:sz w:val="20"/>
          <w:szCs w:val="20"/>
          <w:lang w:val="ro-RO"/>
        </w:rPr>
      </w:pPr>
      <w:r>
        <w:rPr>
          <w:sz w:val="20"/>
          <w:szCs w:val="20"/>
          <w:lang w:val="ro-RO"/>
        </w:rPr>
        <w:t>Se vor emite certificate pentru fiecare test realizat. Certificatele de grup sunt acceptabile pentru testarea cablajelor şi a altor articole asemănătoare.</w:t>
      </w:r>
    </w:p>
    <w:p>
      <w:pPr>
        <w:pStyle w:val="ListParagraph"/>
        <w:tabs>
          <w:tab w:val="left" w:pos="1005"/>
        </w:tabs>
        <w:rPr>
          <w:sz w:val="20"/>
          <w:szCs w:val="20"/>
          <w:lang w:val="ro-RO"/>
        </w:rPr>
      </w:pPr>
    </w:p>
    <w:p>
      <w:pPr>
        <w:pStyle w:val="ListParagraph"/>
        <w:numPr>
          <w:ilvl w:val="0"/>
          <w:numId w:val="58"/>
        </w:numPr>
        <w:tabs>
          <w:tab w:val="left" w:pos="1005"/>
        </w:tabs>
        <w:rPr>
          <w:b/>
          <w:sz w:val="20"/>
          <w:szCs w:val="20"/>
          <w:lang w:val="ro-RO"/>
        </w:rPr>
      </w:pPr>
      <w:r>
        <w:rPr>
          <w:b/>
          <w:sz w:val="20"/>
          <w:szCs w:val="20"/>
          <w:lang w:val="ro-RO"/>
        </w:rPr>
        <w:t>Teste la punerea în funcţiune</w:t>
      </w:r>
    </w:p>
    <w:p>
      <w:pPr>
        <w:tabs>
          <w:tab w:val="left" w:pos="1005"/>
        </w:tabs>
        <w:rPr>
          <w:sz w:val="20"/>
          <w:szCs w:val="20"/>
          <w:lang w:val="ro-RO"/>
        </w:rPr>
      </w:pPr>
      <w:r>
        <w:rPr>
          <w:sz w:val="20"/>
          <w:szCs w:val="20"/>
          <w:lang w:val="ro-RO"/>
        </w:rPr>
        <w:t>Testele la punerea în funcţiune vor include pornirea, încărcarea unităţilor, funcţionarea echipamentelor de siguranţă şi control, oprirea şi întreruperea funcţionării întregii staţii sau a unităţilor instalaţiei care pot fi operate independent.</w:t>
      </w:r>
    </w:p>
    <w:p>
      <w:pPr>
        <w:tabs>
          <w:tab w:val="left" w:pos="1005"/>
        </w:tabs>
        <w:rPr>
          <w:sz w:val="20"/>
          <w:szCs w:val="20"/>
          <w:lang w:val="ro-RO"/>
        </w:rPr>
      </w:pPr>
      <w:r>
        <w:rPr>
          <w:sz w:val="20"/>
          <w:szCs w:val="20"/>
          <w:lang w:val="ro-RO"/>
        </w:rPr>
        <w:t>Antreprenorul va furniza toate echipamentele, uneltele, materialele, apa, consumabilele, piesele de schimb, manopera, operatorii etc. pentru realizarea punerii în funcţiune. Beneficiarul se va ocupa, de furnizarea deşeurilor pentru teste eliminarea tuturor deşeurilor.</w:t>
      </w:r>
    </w:p>
    <w:p>
      <w:pPr>
        <w:tabs>
          <w:tab w:val="left" w:pos="1005"/>
        </w:tabs>
        <w:rPr>
          <w:sz w:val="20"/>
          <w:szCs w:val="20"/>
          <w:lang w:val="ro-RO"/>
        </w:rPr>
      </w:pPr>
      <w:r>
        <w:rPr>
          <w:sz w:val="20"/>
          <w:szCs w:val="20"/>
          <w:lang w:val="ro-RO"/>
        </w:rPr>
        <w:t>Antreprenorul va pregăti o întâlnire cu Beneficiarul privind punerea în funcţiune.</w:t>
      </w:r>
    </w:p>
    <w:p>
      <w:pPr>
        <w:tabs>
          <w:tab w:val="left" w:pos="1005"/>
        </w:tabs>
        <w:rPr>
          <w:sz w:val="20"/>
          <w:szCs w:val="20"/>
          <w:lang w:val="ro-RO"/>
        </w:rPr>
      </w:pPr>
      <w:r>
        <w:rPr>
          <w:sz w:val="20"/>
          <w:szCs w:val="20"/>
          <w:lang w:val="ro-RO"/>
        </w:rPr>
        <w:t>Scopul întâlnirii este de a se pregăti pentru punerea în funcţiune şi pentru a se asigura că toate condiţiile sunt întrunite pentru punerea în funcţiune. În timpul întâlnirii pentru punerea în funcţiune, Antreprenorul trebuie să prezinte un plan exact de punere în funcţiune. Planul de punere în funcţiune va fi în conformitate cu planul de lucru şi cu programul Antreprenorului şi trebuie să fie acceptat şi confirmat de către Supervizor.</w:t>
      </w:r>
    </w:p>
    <w:p>
      <w:pPr>
        <w:tabs>
          <w:tab w:val="left" w:pos="1005"/>
        </w:tabs>
        <w:rPr>
          <w:sz w:val="20"/>
          <w:szCs w:val="20"/>
          <w:lang w:val="ro-RO"/>
        </w:rPr>
      </w:pPr>
      <w:r>
        <w:rPr>
          <w:sz w:val="20"/>
          <w:szCs w:val="20"/>
          <w:lang w:val="ro-RO"/>
        </w:rPr>
        <w:t>Testele efectuate la punerea în funcţiune trebuie să demonstreze o funcţionalitate completă şi siguranţa fiecărui sector de lucrare, în diferite condiţii de operare, de ex. în diferite condiţii meteorologice, cu diferite sarcini şi dinamici etc. Testele vor fi realizate în diferitele condiţii menţionate anterior, urmând să evidenţieze aspecte precum:</w:t>
      </w:r>
    </w:p>
    <w:p>
      <w:pPr>
        <w:pStyle w:val="ListParagraph"/>
        <w:numPr>
          <w:ilvl w:val="0"/>
          <w:numId w:val="61"/>
        </w:numPr>
        <w:tabs>
          <w:tab w:val="left" w:pos="1005"/>
        </w:tabs>
        <w:rPr>
          <w:sz w:val="20"/>
          <w:szCs w:val="20"/>
          <w:lang w:val="ro-RO"/>
        </w:rPr>
      </w:pPr>
      <w:r>
        <w:rPr>
          <w:sz w:val="20"/>
          <w:szCs w:val="20"/>
          <w:lang w:val="ro-RO"/>
        </w:rPr>
        <w:t>Capacitate garantată de prelucrare pentru fiecare componentă relevantă a instalaţiei</w:t>
      </w:r>
    </w:p>
    <w:p>
      <w:pPr>
        <w:pStyle w:val="ListParagraph"/>
        <w:numPr>
          <w:ilvl w:val="0"/>
          <w:numId w:val="61"/>
        </w:numPr>
        <w:tabs>
          <w:tab w:val="left" w:pos="1005"/>
        </w:tabs>
        <w:rPr>
          <w:sz w:val="20"/>
          <w:szCs w:val="20"/>
          <w:lang w:val="ro-RO"/>
        </w:rPr>
      </w:pPr>
      <w:r>
        <w:rPr>
          <w:sz w:val="20"/>
          <w:szCs w:val="20"/>
          <w:lang w:val="ro-RO"/>
        </w:rPr>
        <w:t>Garantarea caracteristicilor compostului rezultat, materialul respins urmând să fie eliminat la depozitul ecologic</w:t>
      </w:r>
    </w:p>
    <w:p>
      <w:pPr>
        <w:pStyle w:val="ListParagraph"/>
        <w:numPr>
          <w:ilvl w:val="0"/>
          <w:numId w:val="61"/>
        </w:numPr>
        <w:tabs>
          <w:tab w:val="left" w:pos="1005"/>
        </w:tabs>
        <w:rPr>
          <w:sz w:val="20"/>
          <w:szCs w:val="20"/>
          <w:lang w:val="ro-RO"/>
        </w:rPr>
      </w:pPr>
      <w:r>
        <w:rPr>
          <w:sz w:val="20"/>
          <w:szCs w:val="20"/>
          <w:lang w:val="ro-RO"/>
        </w:rPr>
        <w:t>Consumul tuturor tipurilor de consumabile</w:t>
      </w:r>
    </w:p>
    <w:p>
      <w:pPr>
        <w:pStyle w:val="ListParagraph"/>
        <w:numPr>
          <w:ilvl w:val="0"/>
          <w:numId w:val="61"/>
        </w:numPr>
        <w:tabs>
          <w:tab w:val="left" w:pos="1005"/>
        </w:tabs>
        <w:rPr>
          <w:sz w:val="20"/>
          <w:szCs w:val="20"/>
          <w:lang w:val="ro-RO"/>
        </w:rPr>
      </w:pPr>
      <w:r>
        <w:rPr>
          <w:sz w:val="20"/>
          <w:szCs w:val="20"/>
          <w:lang w:val="ro-RO"/>
        </w:rPr>
        <w:t>Necesarul de personal, echipamente şi întreţinere pentru exploatarea instalaţiei.</w:t>
      </w:r>
    </w:p>
    <w:p>
      <w:pPr>
        <w:tabs>
          <w:tab w:val="left" w:pos="1005"/>
        </w:tabs>
        <w:rPr>
          <w:sz w:val="20"/>
          <w:szCs w:val="20"/>
          <w:lang w:val="ro-RO"/>
        </w:rPr>
      </w:pPr>
      <w:r>
        <w:rPr>
          <w:sz w:val="20"/>
          <w:szCs w:val="20"/>
          <w:lang w:val="ro-RO"/>
        </w:rPr>
        <w:t>Procedurile detaliate de testare şi programele vor fi definite în planul de lucru şi programul Antreprenorului. Se va rezerva timp suficient pentru toate ajustările necesare ale echipamentului, incluzând toate instalaţiile din domeniul de aplicare al lucrărilor.Testele la punerea in functiune vor avea o durata de minim 30 de zile.</w:t>
      </w:r>
    </w:p>
    <w:p>
      <w:pPr>
        <w:tabs>
          <w:tab w:val="left" w:pos="1005"/>
        </w:tabs>
        <w:rPr>
          <w:sz w:val="20"/>
          <w:szCs w:val="20"/>
          <w:lang w:val="ro-RO"/>
        </w:rPr>
      </w:pPr>
      <w:r>
        <w:rPr>
          <w:sz w:val="20"/>
          <w:szCs w:val="20"/>
          <w:lang w:val="ro-RO"/>
        </w:rPr>
        <w:t>Beneficiarul va furniza ca materie primă deşeurile verzi si deseurile menajere necesare pentru efectuarea testelor de punere în funcţiune pentru ambele statii. Cantităţile de materie primă necesare şi dinamica livrării acestora vor fi menţionate în planul de lucru şi programul Antreprenorului. Modalitatea de eliminare a oricărui produs rezultat în instalaţie în timpul funcţionării de probă va fi stabilită in mod clar in oferta Antreprenorului.</w:t>
      </w:r>
    </w:p>
    <w:p>
      <w:pPr>
        <w:tabs>
          <w:tab w:val="left" w:pos="1005"/>
        </w:tabs>
        <w:rPr>
          <w:sz w:val="20"/>
          <w:szCs w:val="20"/>
          <w:lang w:val="ro-RO"/>
        </w:rPr>
      </w:pPr>
      <w:r>
        <w:rPr>
          <w:sz w:val="20"/>
          <w:szCs w:val="20"/>
          <w:lang w:val="ro-RO"/>
        </w:rPr>
        <w:t>Antreprenorul este obligat să remedieze orice defecte descoperite în timpul testelor de punere în funcţiune. Antreprenorul va suporta toate cheltuielile pe care le presupune remedierea erorilor şi toate cheltuielile pentru testarea lucrărilor şi exploatarea instalaţiei în etapa de punere în funcţiune.</w:t>
      </w:r>
    </w:p>
    <w:p>
      <w:pPr>
        <w:tabs>
          <w:tab w:val="left" w:pos="1005"/>
        </w:tabs>
        <w:rPr>
          <w:sz w:val="20"/>
          <w:szCs w:val="20"/>
          <w:lang w:val="ro-RO"/>
        </w:rPr>
      </w:pPr>
      <w:r>
        <w:rPr>
          <w:sz w:val="20"/>
          <w:szCs w:val="20"/>
          <w:lang w:val="ro-RO"/>
        </w:rPr>
        <w:lastRenderedPageBreak/>
        <w:t>Antreprenorul va dovedi prin documente toate testele şi inspecţiile realizate pentru lucrările executate, ca parte a procesului de punere în funcţiune.</w:t>
      </w:r>
    </w:p>
    <w:p>
      <w:pPr>
        <w:pStyle w:val="ListParagraph"/>
        <w:numPr>
          <w:ilvl w:val="0"/>
          <w:numId w:val="58"/>
        </w:numPr>
        <w:tabs>
          <w:tab w:val="left" w:pos="1005"/>
        </w:tabs>
        <w:rPr>
          <w:b/>
          <w:sz w:val="20"/>
          <w:szCs w:val="20"/>
          <w:lang w:val="ro-RO"/>
        </w:rPr>
      </w:pPr>
      <w:r>
        <w:rPr>
          <w:b/>
          <w:sz w:val="20"/>
          <w:szCs w:val="20"/>
          <w:lang w:val="ro-RO"/>
        </w:rPr>
        <w:t>Pornirea şi funcţionarea de probă a echipamentului mecanic</w:t>
      </w:r>
    </w:p>
    <w:p>
      <w:pPr>
        <w:tabs>
          <w:tab w:val="left" w:pos="1005"/>
        </w:tabs>
        <w:rPr>
          <w:sz w:val="20"/>
          <w:szCs w:val="20"/>
          <w:lang w:val="ro-RO"/>
        </w:rPr>
      </w:pPr>
      <w:r>
        <w:rPr>
          <w:sz w:val="20"/>
          <w:szCs w:val="20"/>
          <w:lang w:val="ro-RO"/>
        </w:rPr>
        <w:t>Antreprenorul va notifica Supervizorul cu privire la disponibilitatea de realizare a pornirii şi a funcţionării de probă nu mai târziu de 14 zile înainte de operaţiunea planificată. Pornirea va fi realizată în conformitate cu instrucţiunile de pornire prezentate.</w:t>
      </w:r>
    </w:p>
    <w:p>
      <w:pPr>
        <w:tabs>
          <w:tab w:val="left" w:pos="1005"/>
        </w:tabs>
        <w:rPr>
          <w:sz w:val="20"/>
          <w:szCs w:val="20"/>
          <w:lang w:val="ro-RO"/>
        </w:rPr>
      </w:pPr>
      <w:r>
        <w:rPr>
          <w:sz w:val="20"/>
          <w:szCs w:val="20"/>
          <w:lang w:val="ro-RO"/>
        </w:rPr>
        <w:t>Instrucţiunile de pornire vor fi prezentate Beneficiarului cu minim o lună înainte de pornire.</w:t>
      </w:r>
    </w:p>
    <w:p>
      <w:pPr>
        <w:tabs>
          <w:tab w:val="left" w:pos="1005"/>
        </w:tabs>
        <w:rPr>
          <w:sz w:val="20"/>
          <w:szCs w:val="20"/>
          <w:lang w:val="ro-RO"/>
        </w:rPr>
      </w:pPr>
      <w:r>
        <w:rPr>
          <w:sz w:val="20"/>
          <w:szCs w:val="20"/>
          <w:lang w:val="ro-RO"/>
        </w:rPr>
        <w:t>Pornirea şi funcţionarea de probă vor fi realizate de o echipă de operatori desemnaţi în acest scop de către Antreprenor, în cooperare cu personalul de asamblare, Supervizorul, sub supravegherea Beneficiarului.</w:t>
      </w:r>
    </w:p>
    <w:p>
      <w:pPr>
        <w:tabs>
          <w:tab w:val="left" w:pos="1005"/>
        </w:tabs>
        <w:rPr>
          <w:sz w:val="20"/>
          <w:szCs w:val="20"/>
          <w:lang w:val="ro-RO"/>
        </w:rPr>
      </w:pPr>
      <w:r>
        <w:rPr>
          <w:sz w:val="20"/>
          <w:szCs w:val="20"/>
          <w:lang w:val="ro-RO"/>
        </w:rPr>
        <w:t>Pornirea va fi considerată ca fiind finalizată în momentul în care toate utilajele şi echipamentele aferente obiectivului au fost exploatate în conformitate cu cerinţele liniei de producţie şi funcţionarea a fost considerată satisfăcătoare şi, în perioada de funcţionare menţionată, nu au existat întreruperi sau defectări serioase.</w:t>
      </w:r>
    </w:p>
    <w:p>
      <w:pPr>
        <w:tabs>
          <w:tab w:val="left" w:pos="1005"/>
        </w:tabs>
        <w:rPr>
          <w:sz w:val="20"/>
          <w:szCs w:val="20"/>
          <w:lang w:val="ro-RO"/>
        </w:rPr>
      </w:pPr>
      <w:r>
        <w:rPr>
          <w:sz w:val="20"/>
          <w:szCs w:val="20"/>
          <w:lang w:val="ro-RO"/>
        </w:rPr>
        <w:t>Operaţiunea de pornire va fi înregistrată în scris şi intrările continue vor fi consemnate în Jurnalul de şantier.</w:t>
      </w:r>
    </w:p>
    <w:p>
      <w:pPr>
        <w:tabs>
          <w:tab w:val="left" w:pos="1005"/>
        </w:tabs>
        <w:rPr>
          <w:sz w:val="20"/>
          <w:szCs w:val="20"/>
          <w:lang w:val="ro-RO"/>
        </w:rPr>
      </w:pPr>
      <w:r>
        <w:rPr>
          <w:sz w:val="20"/>
          <w:szCs w:val="20"/>
          <w:lang w:val="ro-RO"/>
        </w:rPr>
        <w:t>Dacă se constată că toate echipamentele mecanice şi toate instalaţiile desemnate sunt în stare corectă de funcţionare, se va efectua recepţia la terminarea lucrărilor.</w:t>
      </w:r>
    </w:p>
    <w:p>
      <w:pPr>
        <w:pStyle w:val="Heading4"/>
        <w:rPr>
          <w:sz w:val="20"/>
          <w:szCs w:val="20"/>
          <w:lang w:val="ro-RO"/>
        </w:rPr>
      </w:pPr>
      <w:r>
        <w:rPr>
          <w:sz w:val="20"/>
          <w:szCs w:val="20"/>
          <w:lang w:val="ro-RO"/>
        </w:rPr>
        <w:t>2.3.2.5   Funcţionarea în Perioada de Garanţie</w:t>
      </w:r>
    </w:p>
    <w:p>
      <w:pPr>
        <w:tabs>
          <w:tab w:val="left" w:pos="1005"/>
        </w:tabs>
        <w:rPr>
          <w:sz w:val="20"/>
          <w:szCs w:val="20"/>
          <w:lang w:val="ro-RO"/>
        </w:rPr>
      </w:pPr>
      <w:r>
        <w:rPr>
          <w:sz w:val="20"/>
          <w:szCs w:val="20"/>
          <w:lang w:val="ro-RO"/>
        </w:rPr>
        <w:t>Funcţionarea în Perioada de Garanţie prevăzută contractual trebuie să demonstreze fiabilitatea şi exploatarea în condiţii continue a instalaţiei, în toate condiţiile de sarcină necesare.</w:t>
      </w:r>
    </w:p>
    <w:p>
      <w:pPr>
        <w:tabs>
          <w:tab w:val="left" w:pos="1005"/>
        </w:tabs>
        <w:rPr>
          <w:sz w:val="20"/>
          <w:szCs w:val="20"/>
          <w:lang w:val="ro-RO"/>
        </w:rPr>
      </w:pPr>
      <w:r>
        <w:rPr>
          <w:sz w:val="20"/>
          <w:szCs w:val="20"/>
          <w:lang w:val="ro-RO"/>
        </w:rPr>
        <w:t>Pe întreaga durată a perioadei de garanţie prevăzute în Contract, Antreprenorul va fi responsabil de remedierea oricărui viciu şi oricărei deteriorări a unei părţi a lucrărilor ce se poate produce sau poate apărea şi care rezultă din folosirea unor echipamente sau materiale defectuoase sau din proiectarea de către Antreprenor sau punerea în operă necorespunzătoare şi/sau rezultă din orice acţiune sau lipsă de acţiune a Antreprenorului în Perioada de Garanţie.</w:t>
      </w:r>
    </w:p>
    <w:p>
      <w:pPr>
        <w:tabs>
          <w:tab w:val="left" w:pos="1005"/>
        </w:tabs>
        <w:rPr>
          <w:sz w:val="20"/>
          <w:szCs w:val="20"/>
          <w:lang w:val="ro-RO"/>
        </w:rPr>
      </w:pPr>
      <w:r>
        <w:rPr>
          <w:sz w:val="20"/>
          <w:szCs w:val="20"/>
          <w:lang w:val="ro-RO"/>
        </w:rPr>
        <w:t>Nici o oprire semnificativă nu este permisă în Perioada de Garanţie, decât dacă intervine din cauze ce nu ţin de responsabilitatea Antreprenorului, acest fapt trebuind să fie dovedit de către Antreprenor. Dacă funcţionarea trebuie întreruptă din motive ce ţin de răspunderea contractului, ex. din cauza unei proiectări defectuoase, din cauza materialelor, manoperei, instalării incorecte etc., se va aplica următoarea procedură:</w:t>
      </w:r>
    </w:p>
    <w:p>
      <w:pPr>
        <w:pStyle w:val="ListParagraph"/>
        <w:numPr>
          <w:ilvl w:val="1"/>
          <w:numId w:val="62"/>
        </w:numPr>
        <w:tabs>
          <w:tab w:val="left" w:pos="1005"/>
        </w:tabs>
        <w:rPr>
          <w:sz w:val="20"/>
          <w:szCs w:val="20"/>
          <w:lang w:val="ro-RO"/>
        </w:rPr>
      </w:pPr>
      <w:r>
        <w:rPr>
          <w:sz w:val="20"/>
          <w:szCs w:val="20"/>
          <w:lang w:val="ro-RO"/>
        </w:rPr>
        <w:t>În cazul în care întreruperea este mai mare de opt (8) săptămâni în total, funcţionarea de probă se va prelungi cu o perioadă egală cu cea a întreruperii, însă cu cel puţin douăsprezece (12) săptămâni, după ce Antreprenorul a îndepărtat cauza întreruperii, iar reluarea funcţionării a fost aprobată de Supervizor.</w:t>
      </w:r>
    </w:p>
    <w:p>
      <w:pPr>
        <w:pStyle w:val="ListParagraph"/>
        <w:numPr>
          <w:ilvl w:val="1"/>
          <w:numId w:val="62"/>
        </w:numPr>
        <w:tabs>
          <w:tab w:val="left" w:pos="1005"/>
        </w:tabs>
        <w:rPr>
          <w:sz w:val="20"/>
          <w:szCs w:val="20"/>
          <w:lang w:val="ro-RO"/>
        </w:rPr>
      </w:pPr>
      <w:r>
        <w:rPr>
          <w:sz w:val="20"/>
          <w:szCs w:val="20"/>
          <w:lang w:val="ro-RO"/>
        </w:rPr>
        <w:t>În cazul în care funcţionarea de probă este întreruptă din nou în timpul perioadei de prelungire, mai mult de (3) trei ori sau mai mult de o săptămână, din cauze ce revin în responsabilitatea Antreprenorului, perioada de prelungire reîncepe şi pentru o perioadă completă, ca în paragraful a) de mai sus, după ce Antreprenorul a reparat cauza întreruperii.</w:t>
      </w:r>
    </w:p>
    <w:p>
      <w:pPr>
        <w:pStyle w:val="ListParagraph"/>
        <w:numPr>
          <w:ilvl w:val="1"/>
          <w:numId w:val="62"/>
        </w:numPr>
        <w:tabs>
          <w:tab w:val="left" w:pos="1005"/>
        </w:tabs>
        <w:rPr>
          <w:sz w:val="20"/>
          <w:szCs w:val="20"/>
          <w:lang w:val="ro-RO"/>
        </w:rPr>
      </w:pPr>
      <w:r>
        <w:rPr>
          <w:sz w:val="20"/>
          <w:szCs w:val="20"/>
          <w:lang w:val="ro-RO"/>
        </w:rPr>
        <w:t>Toate defectele din Perioada de Garanţie trebuie remediate in cel mai scurt timp posibil de către Antreprenor, pentru a continua exploatarea cât de repede posibil.</w:t>
      </w:r>
    </w:p>
    <w:p>
      <w:pPr>
        <w:tabs>
          <w:tab w:val="left" w:pos="1005"/>
        </w:tabs>
        <w:rPr>
          <w:sz w:val="20"/>
          <w:szCs w:val="20"/>
          <w:lang w:val="ro-RO"/>
        </w:rPr>
      </w:pPr>
      <w:r>
        <w:rPr>
          <w:sz w:val="20"/>
          <w:szCs w:val="20"/>
          <w:lang w:val="ro-RO"/>
        </w:rPr>
        <w:t>Perioada de întrerupere se consideră drept întreaga perioadă în care instalaţia sau componentele sale majore nu au putut fi utilizate pentru operaţiuni comerciale.</w:t>
      </w:r>
    </w:p>
    <w:p>
      <w:pPr>
        <w:tabs>
          <w:tab w:val="left" w:pos="1005"/>
        </w:tabs>
        <w:rPr>
          <w:sz w:val="20"/>
          <w:szCs w:val="20"/>
          <w:lang w:val="ro-RO"/>
        </w:rPr>
      </w:pPr>
      <w:r>
        <w:rPr>
          <w:sz w:val="20"/>
          <w:szCs w:val="20"/>
          <w:lang w:val="ro-RO"/>
        </w:rPr>
        <w:t>Defectele nesemnificative, care, în opinia Beneficiarului, nu afectează utilizarea completă şi în siguranţă a instalaţiei nu vor necesita neapărat o prelungire a perioadei de funcţionare de probă. Aceasta se aplică, de asemenea, tuturor acţiunilor care sunt necesare în mod normal în timpul exploatării instalaţiei, ex. lucrări de întreţinere şi reparaţii din cauza uzurii, care sunt recomandate în manualele de exploatare.</w:t>
      </w:r>
    </w:p>
    <w:p>
      <w:pPr>
        <w:tabs>
          <w:tab w:val="left" w:pos="1005"/>
        </w:tabs>
        <w:rPr>
          <w:sz w:val="20"/>
          <w:szCs w:val="20"/>
          <w:lang w:val="ro-RO"/>
        </w:rPr>
      </w:pPr>
      <w:r>
        <w:rPr>
          <w:sz w:val="20"/>
          <w:szCs w:val="20"/>
          <w:lang w:val="ro-RO"/>
        </w:rPr>
        <w:lastRenderedPageBreak/>
        <w:t>Beneficiarul îşi rezervă dreptul de a înceta funcţionarea de probă în cazul în care se percepe lipsa de performanţă, respectiv neîndeplinirea indicatorilor de performanţă garantaţi de Antreprenor. În acest caz, Antreprenorul va lua imediat toate măsurile şi acţiunile necesare pentru a remedia defectele, urmând ca Perioada de Garanţie să fie prelungită cu perioada în care lucrările sau partea din lucrări, inclusiv o componentă importantă a echipamentelor, nu pot fi utilizate în scopul pentru care acestea au fost destinate, în Perioada de Garanţie, din cauza unor defecţiuni sau unor degradări (inclusiv netrecerea testelor efectuate în Perioada de Garanţie).</w:t>
      </w:r>
    </w:p>
    <w:p>
      <w:pPr>
        <w:tabs>
          <w:tab w:val="left" w:pos="1005"/>
        </w:tabs>
        <w:rPr>
          <w:sz w:val="20"/>
          <w:szCs w:val="20"/>
          <w:lang w:val="ro-RO"/>
        </w:rPr>
      </w:pPr>
      <w:r>
        <w:rPr>
          <w:sz w:val="20"/>
          <w:szCs w:val="20"/>
          <w:lang w:val="ro-RO"/>
        </w:rPr>
        <w:t>Beneficiarul nu va face nicio plată suplimentară Antreprenorului din cauza acestor întreruperi, prelungiri sau reporniri de pe parcursul Perioadei de Garanţie.</w:t>
      </w:r>
    </w:p>
    <w:p>
      <w:pPr>
        <w:tabs>
          <w:tab w:val="left" w:pos="1005"/>
        </w:tabs>
        <w:rPr>
          <w:sz w:val="20"/>
          <w:szCs w:val="20"/>
          <w:lang w:val="ro-RO"/>
        </w:rPr>
      </w:pPr>
      <w:r>
        <w:rPr>
          <w:sz w:val="20"/>
          <w:szCs w:val="20"/>
          <w:lang w:val="ro-RO"/>
        </w:rPr>
        <w:t>Beneficiarul poate, oricând consideră că este necesar să o facă, să emită instrucţiuni referitoare la orice defect, reducere sau avarie ce pot apărea în Perioada de Garanţie şi care sunt cauzate de construirea lucrărilor de către Antreprenor sau din cauza materialului sau a manoperei neconforme cu prezentul contract, pentru a le remedia. Antreprenorul, într-o perioadă de timp rezonabilă de la primirea acestor instrucţiuni, le va respecta şi (exceptând cazul în care Beneficiarul nu va anunţa altceva, caz în care valoarea contractului va fi ajustată corespunzător) o va face în întregime pe cheltuială proprie - cu condiţia ca aceste instrucţiuni să nu fie emisie după predarea unui liste de lucrări privind defectele.</w:t>
      </w:r>
    </w:p>
    <w:p>
      <w:pPr>
        <w:pStyle w:val="Heading4"/>
        <w:rPr>
          <w:sz w:val="20"/>
          <w:szCs w:val="20"/>
          <w:lang w:val="ro-RO"/>
        </w:rPr>
      </w:pPr>
      <w:r>
        <w:rPr>
          <w:sz w:val="20"/>
          <w:szCs w:val="20"/>
          <w:lang w:val="ro-RO"/>
        </w:rPr>
        <w:t>2.3.2.6  Teste în Perioada de Garanţie</w:t>
      </w:r>
    </w:p>
    <w:p>
      <w:pPr>
        <w:tabs>
          <w:tab w:val="left" w:pos="1005"/>
        </w:tabs>
        <w:rPr>
          <w:sz w:val="20"/>
          <w:szCs w:val="20"/>
          <w:lang w:val="ro-RO"/>
        </w:rPr>
      </w:pPr>
      <w:r>
        <w:rPr>
          <w:sz w:val="20"/>
          <w:szCs w:val="20"/>
          <w:lang w:val="ro-RO"/>
        </w:rPr>
        <w:t>Pe durata Perioadei de Garanţie se vor realiza teste de randament, care trebuie să demonstreze că instalaţia respectă cerinţele specificaţiilor, precum şi garanţia şi datele de randament (inclusiv cheltuielile operaţionale ale staţiei de transfer şi stației de compostare/stabilizare). În urma testelor efectuate se vor stabili randamentul general în diferite condiţii de funcţionare, nivelurile de consum de combustibil, de energie, de substanţe chimice etc., respectiv se vor demonstra garanţiile de randament al instalaţiei.</w:t>
      </w:r>
    </w:p>
    <w:p>
      <w:pPr>
        <w:tabs>
          <w:tab w:val="left" w:pos="1005"/>
        </w:tabs>
        <w:rPr>
          <w:sz w:val="20"/>
          <w:szCs w:val="20"/>
          <w:lang w:val="ro-RO"/>
        </w:rPr>
      </w:pPr>
      <w:r>
        <w:rPr>
          <w:sz w:val="20"/>
          <w:szCs w:val="20"/>
          <w:lang w:val="ro-RO"/>
        </w:rPr>
        <w:t>Durata acestor teste va fi de cel puţin 28 de zile.</w:t>
      </w:r>
    </w:p>
    <w:p>
      <w:pPr>
        <w:tabs>
          <w:tab w:val="left" w:pos="1005"/>
        </w:tabs>
        <w:rPr>
          <w:sz w:val="20"/>
          <w:szCs w:val="20"/>
          <w:lang w:val="ro-RO"/>
        </w:rPr>
      </w:pPr>
      <w:r>
        <w:rPr>
          <w:sz w:val="20"/>
          <w:szCs w:val="20"/>
          <w:lang w:val="ro-RO"/>
        </w:rPr>
        <w:t>Metodele de testare pentru garanţiile de randament al instalaţiei vor fi bazate pe metode ca cele necesare pentru testele de randament şi acceptare ale articolelor instalaţiei. În eventualitatea în care oricare dintre garanţiile de randament nu sunt atinse, echipamentul sau instalaţia în chestiune vor fi la dispoziţia Antreprenorului, pentru ca acesta să le remedieze prin modificarea sau înlocuirea pieselor defecte. Pentru a-i permite Supervizorului să identifice articolul individual din instalaţie care face ca randamentul general al instalaţiei să nu poată să atingă valoarea garantată, Antreprenorul va realiza testele de acceptare solicitate de Supervizor.</w:t>
      </w:r>
    </w:p>
    <w:p>
      <w:pPr>
        <w:tabs>
          <w:tab w:val="left" w:pos="1005"/>
        </w:tabs>
        <w:rPr>
          <w:sz w:val="20"/>
          <w:szCs w:val="20"/>
          <w:lang w:val="ro-RO"/>
        </w:rPr>
      </w:pPr>
      <w:r>
        <w:rPr>
          <w:sz w:val="20"/>
          <w:szCs w:val="20"/>
          <w:lang w:val="ro-RO"/>
        </w:rPr>
        <w:t>Aceste teste de acceptare vor fi realizate în conformitate cu standardele relevante aprobate. De aceea, trebuie să se faciliteze instalarea aparatelor de măsură şi control în locaţiile corespunzătoare, pentru a permite realizarea acestor teste de acceptare.</w:t>
      </w:r>
    </w:p>
    <w:p>
      <w:pPr>
        <w:tabs>
          <w:tab w:val="left" w:pos="1005"/>
        </w:tabs>
        <w:rPr>
          <w:sz w:val="20"/>
          <w:szCs w:val="20"/>
          <w:lang w:val="ro-RO"/>
        </w:rPr>
      </w:pPr>
      <w:r>
        <w:rPr>
          <w:sz w:val="20"/>
          <w:szCs w:val="20"/>
          <w:lang w:val="ro-RO"/>
        </w:rPr>
        <w:t>Dacă nu au fost prezentate odată cu oferta, Antreprenorul va supune atenţiei Supervizorului, spre aprobare, formule de corecţie adecvate, pentru a permite ca valorile garantate să fie ajustate în cazul în care condiţiile medii din timpul testării diferă de cele specificate în programul garantat de randament al instalaţiei.</w:t>
      </w:r>
    </w:p>
    <w:p>
      <w:pPr>
        <w:tabs>
          <w:tab w:val="left" w:pos="1005"/>
        </w:tabs>
        <w:rPr>
          <w:sz w:val="20"/>
          <w:szCs w:val="20"/>
          <w:lang w:val="ro-RO"/>
        </w:rPr>
      </w:pPr>
      <w:r>
        <w:rPr>
          <w:sz w:val="20"/>
          <w:szCs w:val="20"/>
          <w:lang w:val="ro-RO"/>
        </w:rPr>
        <w:t>Pe durata testării, exploatarea instalaţiei va fi realizată de personalul Antreprenorului supravegherea şi îndrumarea de personal specializat.</w:t>
      </w:r>
    </w:p>
    <w:p>
      <w:pPr>
        <w:tabs>
          <w:tab w:val="left" w:pos="1005"/>
        </w:tabs>
        <w:rPr>
          <w:sz w:val="20"/>
          <w:szCs w:val="20"/>
          <w:lang w:val="ro-RO"/>
        </w:rPr>
      </w:pPr>
      <w:r>
        <w:rPr>
          <w:sz w:val="20"/>
          <w:szCs w:val="20"/>
          <w:lang w:val="ro-RO"/>
        </w:rPr>
        <w:t>În timpul testelor efectuate în Perioada de Garanţie, Antreprenorului i se va permite să facă ajustările minore care ar putea fi necesare, cu condiţia ca aceste ajustări să nu intervină în vreun fel asupra testului sau să aibă ca rezultat reducerea randamentului sau scăderea eficienţei.</w:t>
      </w:r>
    </w:p>
    <w:p>
      <w:pPr>
        <w:pStyle w:val="Heading4"/>
        <w:rPr>
          <w:sz w:val="20"/>
          <w:szCs w:val="20"/>
          <w:lang w:val="ro-RO"/>
        </w:rPr>
      </w:pPr>
      <w:r>
        <w:rPr>
          <w:sz w:val="20"/>
          <w:szCs w:val="20"/>
          <w:lang w:val="ro-RO"/>
        </w:rPr>
        <w:t>2.3.2.7</w:t>
      </w:r>
      <w:r>
        <w:rPr>
          <w:sz w:val="20"/>
          <w:szCs w:val="20"/>
          <w:lang w:val="ro-RO"/>
        </w:rPr>
        <w:tab/>
        <w:t>Rapoarte privind testele de randament</w:t>
      </w:r>
    </w:p>
    <w:p>
      <w:pPr>
        <w:tabs>
          <w:tab w:val="left" w:pos="1005"/>
        </w:tabs>
        <w:rPr>
          <w:sz w:val="20"/>
          <w:szCs w:val="20"/>
          <w:lang w:val="ro-RO"/>
        </w:rPr>
      </w:pPr>
      <w:r>
        <w:rPr>
          <w:sz w:val="20"/>
          <w:szCs w:val="20"/>
          <w:lang w:val="ro-RO"/>
        </w:rPr>
        <w:t>În timpul fiecărei testări a randamentului şi de acceptare a funcţionării de probă, valorile măsurate vor fi înregistrate de către Antreprenor şi Supervizor. După realizarea unui test de funcţionare, fişele conţinând datele înregistrate vor fi semnate de ambele părţi şi vor fi distribuite câte două exemplare fiecărei părţi şi Beneficiarului.</w:t>
      </w:r>
    </w:p>
    <w:p>
      <w:pPr>
        <w:tabs>
          <w:tab w:val="left" w:pos="1005"/>
        </w:tabs>
        <w:rPr>
          <w:sz w:val="20"/>
          <w:szCs w:val="20"/>
          <w:lang w:val="ro-RO"/>
        </w:rPr>
      </w:pPr>
      <w:r>
        <w:rPr>
          <w:sz w:val="20"/>
          <w:szCs w:val="20"/>
          <w:lang w:val="ro-RO"/>
        </w:rPr>
        <w:t xml:space="preserve">În termen de o lună de la realizarea testului, Antreprenorul va furniza Supervizorului două exemplare ale unui raport de testare conţinând o evaluare completă a rezultatelor. După </w:t>
      </w:r>
      <w:r>
        <w:rPr>
          <w:sz w:val="20"/>
          <w:szCs w:val="20"/>
          <w:lang w:val="ro-RO"/>
        </w:rPr>
        <w:lastRenderedPageBreak/>
        <w:t>aprobarea de către Supervizor, alte două exemplare vor fi transmise Beneficiarului şi două copii Supervizorului.</w:t>
      </w:r>
    </w:p>
    <w:p>
      <w:pPr>
        <w:pStyle w:val="Heading4"/>
        <w:rPr>
          <w:sz w:val="20"/>
          <w:szCs w:val="20"/>
          <w:lang w:val="ro-RO"/>
        </w:rPr>
      </w:pPr>
      <w:r>
        <w:rPr>
          <w:sz w:val="20"/>
          <w:szCs w:val="20"/>
          <w:lang w:val="ro-RO"/>
        </w:rPr>
        <w:t>2.3.2.8</w:t>
      </w:r>
      <w:r>
        <w:rPr>
          <w:sz w:val="20"/>
          <w:szCs w:val="20"/>
          <w:lang w:val="ro-RO"/>
        </w:rPr>
        <w:tab/>
        <w:t>Instruirea personalului care va opera</w:t>
      </w:r>
    </w:p>
    <w:p>
      <w:pPr>
        <w:tabs>
          <w:tab w:val="left" w:pos="1005"/>
        </w:tabs>
        <w:rPr>
          <w:sz w:val="20"/>
          <w:szCs w:val="20"/>
          <w:lang w:val="ro-RO"/>
        </w:rPr>
      </w:pPr>
      <w:r>
        <w:rPr>
          <w:sz w:val="20"/>
          <w:szCs w:val="20"/>
          <w:lang w:val="ro-RO"/>
        </w:rPr>
        <w:t>În timpul punerii în funcţiune şi a funcţionării de probă în Perioada de Garanţie, Antreprenorul trebuie să isi instruiască propriul personal care va asigura funcţionarea instalaţiilor in conformitate cu manualele acestora si cu prevederile legislatiei nationale in vgoare. La finele instruirii, Antreprenorul va emite un certificat care să ateste faptul că personalul a fost instruit în mod corespunzător.</w:t>
      </w:r>
    </w:p>
    <w:p>
      <w:pPr>
        <w:pStyle w:val="Heading4"/>
        <w:rPr>
          <w:sz w:val="20"/>
          <w:szCs w:val="20"/>
          <w:lang w:val="ro-RO"/>
        </w:rPr>
      </w:pPr>
      <w:r>
        <w:rPr>
          <w:sz w:val="20"/>
          <w:szCs w:val="20"/>
          <w:lang w:val="ro-RO"/>
        </w:rPr>
        <w:t>2.3.2.9</w:t>
      </w:r>
      <w:r>
        <w:rPr>
          <w:sz w:val="20"/>
          <w:szCs w:val="20"/>
          <w:lang w:val="ro-RO"/>
        </w:rPr>
        <w:tab/>
        <w:t>Recepţia finală</w:t>
      </w:r>
    </w:p>
    <w:p>
      <w:pPr>
        <w:tabs>
          <w:tab w:val="left" w:pos="1005"/>
        </w:tabs>
        <w:rPr>
          <w:sz w:val="20"/>
          <w:szCs w:val="20"/>
          <w:lang w:val="ro-RO"/>
        </w:rPr>
      </w:pPr>
      <w:r>
        <w:rPr>
          <w:sz w:val="20"/>
          <w:szCs w:val="20"/>
          <w:lang w:val="ro-RO"/>
        </w:rPr>
        <w:t>Recepţia finală a lucrărilor va avea loc după încheierea Perioadei de Garanţie şi prezentarea documentului care să confirme încheierea instruirii personalului. Pe baza acestora, Superrvizorul va emite către Antreprenor un certificat care să conţină acceptul final privind lucrările.</w:t>
      </w:r>
    </w:p>
    <w:p>
      <w:pPr>
        <w:tabs>
          <w:tab w:val="left" w:pos="1005"/>
        </w:tabs>
        <w:rPr>
          <w:sz w:val="20"/>
          <w:szCs w:val="20"/>
          <w:lang w:val="ro-RO"/>
        </w:rPr>
      </w:pPr>
      <w:r>
        <w:rPr>
          <w:sz w:val="20"/>
          <w:szCs w:val="20"/>
          <w:lang w:val="ro-RO"/>
        </w:rPr>
        <w:t>Odată cu recepţia finală a lucrărilor, Antreprenorul va transmite Supervizorului:</w:t>
      </w:r>
    </w:p>
    <w:p>
      <w:pPr>
        <w:pStyle w:val="ListParagraph"/>
        <w:numPr>
          <w:ilvl w:val="0"/>
          <w:numId w:val="61"/>
        </w:numPr>
        <w:tabs>
          <w:tab w:val="left" w:pos="1005"/>
        </w:tabs>
        <w:rPr>
          <w:sz w:val="20"/>
          <w:szCs w:val="20"/>
          <w:lang w:val="ro-RO"/>
        </w:rPr>
      </w:pPr>
      <w:r>
        <w:rPr>
          <w:sz w:val="20"/>
          <w:szCs w:val="20"/>
          <w:lang w:val="ro-RO"/>
        </w:rPr>
        <w:t>Cartea tehnică a construcţiei, incluzând toate procesele-verbale, raportările şi observaţiile scrise aferente,</w:t>
      </w:r>
    </w:p>
    <w:p>
      <w:pPr>
        <w:pStyle w:val="ListParagraph"/>
        <w:numPr>
          <w:ilvl w:val="0"/>
          <w:numId w:val="61"/>
        </w:numPr>
        <w:tabs>
          <w:tab w:val="left" w:pos="1005"/>
        </w:tabs>
        <w:rPr>
          <w:sz w:val="20"/>
          <w:szCs w:val="20"/>
          <w:lang w:val="ro-RO"/>
        </w:rPr>
      </w:pPr>
      <w:r>
        <w:rPr>
          <w:sz w:val="20"/>
          <w:szCs w:val="20"/>
          <w:lang w:val="ro-RO"/>
        </w:rPr>
        <w:t>Documentaţia tehnică şi ulterioară finalizării construcţiei, incluzând specificaţiile geodezice ale reţelelor şi traseelor de cablu,</w:t>
      </w:r>
    </w:p>
    <w:p>
      <w:pPr>
        <w:pStyle w:val="ListParagraph"/>
        <w:numPr>
          <w:ilvl w:val="0"/>
          <w:numId w:val="61"/>
        </w:numPr>
        <w:tabs>
          <w:tab w:val="left" w:pos="1005"/>
        </w:tabs>
        <w:rPr>
          <w:sz w:val="20"/>
          <w:szCs w:val="20"/>
          <w:lang w:val="ro-RO"/>
        </w:rPr>
      </w:pPr>
      <w:r>
        <w:rPr>
          <w:sz w:val="20"/>
          <w:szCs w:val="20"/>
          <w:lang w:val="ro-RO"/>
        </w:rPr>
        <w:t>Manualul de operare şi întreţinere, în limba română</w:t>
      </w:r>
    </w:p>
    <w:p>
      <w:pPr>
        <w:pStyle w:val="ListParagraph"/>
        <w:numPr>
          <w:ilvl w:val="0"/>
          <w:numId w:val="61"/>
        </w:numPr>
        <w:tabs>
          <w:tab w:val="left" w:pos="1005"/>
        </w:tabs>
        <w:rPr>
          <w:sz w:val="20"/>
          <w:szCs w:val="20"/>
          <w:lang w:val="ro-RO"/>
        </w:rPr>
      </w:pPr>
      <w:r>
        <w:rPr>
          <w:sz w:val="20"/>
          <w:szCs w:val="20"/>
          <w:lang w:val="ro-RO"/>
        </w:rPr>
        <w:t>Procese verbale de execuţie a lucrărilor, inclusiv schimbările aduse proiectului de execuţie în baza solicitărilor/ recomandărilor Supervizorului şi ale autorităţilor competente, observaţiile cu privire la condiţiile de preluare a lucrărilor, datele de începere şi de încheiere a acestora</w:t>
      </w:r>
    </w:p>
    <w:p>
      <w:pPr>
        <w:pStyle w:val="ListParagraph"/>
        <w:numPr>
          <w:ilvl w:val="0"/>
          <w:numId w:val="61"/>
        </w:numPr>
        <w:tabs>
          <w:tab w:val="left" w:pos="1005"/>
        </w:tabs>
        <w:rPr>
          <w:sz w:val="20"/>
          <w:szCs w:val="20"/>
          <w:lang w:val="ro-RO"/>
        </w:rPr>
      </w:pPr>
      <w:r>
        <w:rPr>
          <w:sz w:val="20"/>
          <w:szCs w:val="20"/>
          <w:lang w:val="ro-RO"/>
        </w:rPr>
        <w:t>Raport cu privire la funcţionarea în Perioada de Garanţie.</w:t>
      </w:r>
    </w:p>
    <w:p>
      <w:pPr>
        <w:pStyle w:val="Heading2"/>
        <w:rPr>
          <w:sz w:val="20"/>
          <w:szCs w:val="20"/>
          <w:lang w:val="ro-RO"/>
        </w:rPr>
      </w:pPr>
      <w:bookmarkStart w:id="46" w:name="_Toc227161521"/>
      <w:r>
        <w:rPr>
          <w:sz w:val="20"/>
          <w:szCs w:val="20"/>
          <w:lang w:val="ro-RO"/>
        </w:rPr>
        <w:t>2.4 GARANTII GENERALE</w:t>
      </w:r>
      <w:bookmarkEnd w:id="46"/>
    </w:p>
    <w:p>
      <w:pPr>
        <w:pStyle w:val="Heading3"/>
        <w:rPr>
          <w:sz w:val="20"/>
          <w:szCs w:val="20"/>
          <w:lang w:val="ro-RO"/>
        </w:rPr>
      </w:pPr>
      <w:bookmarkStart w:id="47" w:name="_Toc227161522"/>
      <w:r>
        <w:rPr>
          <w:sz w:val="20"/>
          <w:szCs w:val="20"/>
          <w:lang w:val="ro-RO"/>
        </w:rPr>
        <w:t>2.4.1 Perioada de garantie</w:t>
      </w:r>
      <w:bookmarkEnd w:id="47"/>
    </w:p>
    <w:p>
      <w:pPr>
        <w:tabs>
          <w:tab w:val="left" w:pos="1005"/>
        </w:tabs>
        <w:rPr>
          <w:sz w:val="20"/>
          <w:szCs w:val="20"/>
          <w:lang w:val="ro-RO"/>
        </w:rPr>
      </w:pPr>
      <w:r>
        <w:rPr>
          <w:sz w:val="20"/>
          <w:szCs w:val="20"/>
          <w:lang w:val="ro-RO"/>
        </w:rPr>
        <w:t>Perioada de garanţie pentru lucrări civile şi de construcţie va fi de 3 ani de la data aprobării Recepţiei la Terminarea Lucrărilor, conform prevederilor Legii nr. 10/1995 pentru categoria de importanţă în care se încadrează obiectivul, şi de 2 ani pentru toate utilajele şi piesele mobile, care nu sunt legate de o clădire, cu excepţia cazului în care legislaţia naţională stabileşte perioade mai lungi.Termenii garanţiei vor fi conformi cu condiţiile din acordul contractual.</w:t>
      </w:r>
    </w:p>
    <w:p>
      <w:pPr>
        <w:tabs>
          <w:tab w:val="left" w:pos="1005"/>
        </w:tabs>
        <w:rPr>
          <w:sz w:val="20"/>
          <w:szCs w:val="20"/>
          <w:lang w:val="ro-RO"/>
        </w:rPr>
      </w:pPr>
      <w:r>
        <w:rPr>
          <w:sz w:val="20"/>
          <w:szCs w:val="20"/>
          <w:lang w:val="ro-RO"/>
        </w:rPr>
        <w:t>Aceste perioade de garanţie trebuie asigurate printr-un sistem corespunzător de întreţinere. Dupa finalizarea lucrarilor, Antreprenorul va pune la dispozitia Beneficiarului un manual de intretinere/operare a investitiilor.</w:t>
      </w:r>
    </w:p>
    <w:p>
      <w:pPr>
        <w:pStyle w:val="Heading3"/>
        <w:rPr>
          <w:sz w:val="20"/>
          <w:szCs w:val="20"/>
          <w:lang w:val="ro-RO"/>
        </w:rPr>
      </w:pPr>
      <w:bookmarkStart w:id="48" w:name="_Toc227161523"/>
      <w:r>
        <w:rPr>
          <w:sz w:val="20"/>
          <w:szCs w:val="20"/>
          <w:lang w:val="ro-RO"/>
        </w:rPr>
        <w:t>2.4.2 Garantii generale</w:t>
      </w:r>
      <w:bookmarkEnd w:id="48"/>
    </w:p>
    <w:p>
      <w:pPr>
        <w:tabs>
          <w:tab w:val="left" w:pos="1005"/>
        </w:tabs>
        <w:rPr>
          <w:sz w:val="20"/>
          <w:szCs w:val="20"/>
          <w:lang w:val="ro-RO"/>
        </w:rPr>
      </w:pPr>
      <w:r>
        <w:rPr>
          <w:sz w:val="20"/>
          <w:szCs w:val="20"/>
          <w:lang w:val="ro-RO"/>
        </w:rPr>
        <w:t>Ofertantul va prezenta in propunerea tehnica garantiile generale oferite pentru fiecare articol, incluzand in acestea si garantiile materialelor, subansamblelor, alte elemente care intra in componenta lucrarilor si care conditioneaza perioada de garantie.</w:t>
      </w:r>
    </w:p>
    <w:p>
      <w:pPr>
        <w:pStyle w:val="Heading2"/>
        <w:rPr>
          <w:sz w:val="20"/>
          <w:szCs w:val="20"/>
          <w:lang w:val="ro-RO"/>
        </w:rPr>
      </w:pPr>
      <w:bookmarkStart w:id="49" w:name="_Toc227161524"/>
      <w:r>
        <w:rPr>
          <w:sz w:val="20"/>
          <w:szCs w:val="20"/>
          <w:lang w:val="ro-RO"/>
        </w:rPr>
        <w:t>2.5 DURATA SI COSTUL EXECUTIEI</w:t>
      </w:r>
      <w:bookmarkEnd w:id="49"/>
    </w:p>
    <w:p>
      <w:pPr>
        <w:tabs>
          <w:tab w:val="left" w:pos="1005"/>
        </w:tabs>
        <w:rPr>
          <w:sz w:val="20"/>
          <w:szCs w:val="20"/>
          <w:u w:val="single"/>
          <w:lang w:val="ro-RO"/>
        </w:rPr>
      </w:pPr>
      <w:r>
        <w:rPr>
          <w:sz w:val="20"/>
          <w:szCs w:val="20"/>
          <w:u w:val="single"/>
          <w:lang w:val="ro-RO"/>
        </w:rPr>
        <w:t>Termenul de executie</w:t>
      </w:r>
    </w:p>
    <w:p>
      <w:pPr>
        <w:tabs>
          <w:tab w:val="left" w:pos="1005"/>
        </w:tabs>
        <w:rPr>
          <w:sz w:val="20"/>
          <w:szCs w:val="20"/>
          <w:lang w:val="ro-RO"/>
        </w:rPr>
      </w:pPr>
      <w:r>
        <w:rPr>
          <w:sz w:val="20"/>
          <w:szCs w:val="20"/>
          <w:lang w:val="ro-RO"/>
        </w:rPr>
        <w:t>Perioada de realizare si predare a tuturor construcţiilor, instalaţiilor, utilajelor si echipamentelor necesare functionarii corespunzatoare este de 32 luni.</w:t>
      </w:r>
    </w:p>
    <w:p>
      <w:pPr>
        <w:tabs>
          <w:tab w:val="left" w:pos="1005"/>
        </w:tabs>
        <w:rPr>
          <w:sz w:val="20"/>
          <w:szCs w:val="20"/>
          <w:lang w:val="ro-RO"/>
        </w:rPr>
      </w:pPr>
      <w:r>
        <w:rPr>
          <w:sz w:val="20"/>
          <w:szCs w:val="20"/>
          <w:lang w:val="ro-RO"/>
        </w:rPr>
        <w:t>Se vor respecta cerințele privind termenele de elaborare a documentațiilor pentru obținerea avizelor și a DTAC/PTh. Antreprenorul, pe baza experienței va întocmi cu celeritate documentațiile, simultan, cu un grad ridicat de profesionalism reducând riscul de respingere al acestora.</w:t>
      </w:r>
    </w:p>
    <w:p>
      <w:pPr>
        <w:tabs>
          <w:tab w:val="left" w:pos="1005"/>
        </w:tabs>
        <w:rPr>
          <w:sz w:val="20"/>
          <w:szCs w:val="20"/>
          <w:lang w:val="ro-RO"/>
        </w:rPr>
      </w:pPr>
      <w:r>
        <w:rPr>
          <w:sz w:val="20"/>
          <w:szCs w:val="20"/>
          <w:lang w:val="ro-RO"/>
        </w:rPr>
        <w:t>Termenul dat pentru realizarea documentațiilor decurge de la momentul emiterii Ordinului Administrativ de Începere.</w:t>
      </w:r>
    </w:p>
    <w:p>
      <w:pPr>
        <w:tabs>
          <w:tab w:val="left" w:pos="1005"/>
        </w:tabs>
        <w:rPr>
          <w:sz w:val="20"/>
          <w:szCs w:val="20"/>
          <w:lang w:val="ro-RO"/>
        </w:rPr>
      </w:pPr>
      <w:r>
        <w:rPr>
          <w:sz w:val="20"/>
          <w:szCs w:val="20"/>
          <w:lang w:val="ro-RO"/>
        </w:rPr>
        <w:lastRenderedPageBreak/>
        <w:t>Se recomandă a se avea în vedere prevederile art. 7 alin 164 din Legea nr. 50/1991 privind autorizarea executării lucrărilor de construcţii cu modificările și actualizările ulterioare (privind emiterea autorizaţiei de construire în baza studiului de fezabilitate sau a documentaţiei de avizare a lucrărilor de intervenţie şi a proiectului P.A.C./P.A.D).</w:t>
      </w:r>
    </w:p>
    <w:p>
      <w:pPr>
        <w:tabs>
          <w:tab w:val="left" w:pos="1005"/>
        </w:tabs>
        <w:rPr>
          <w:sz w:val="20"/>
          <w:szCs w:val="20"/>
          <w:u w:val="single"/>
          <w:lang w:val="ro-RO"/>
        </w:rPr>
      </w:pPr>
      <w:r>
        <w:rPr>
          <w:sz w:val="20"/>
          <w:szCs w:val="20"/>
          <w:u w:val="single"/>
          <w:lang w:val="ro-RO"/>
        </w:rPr>
        <w:t>Costul</w:t>
      </w:r>
    </w:p>
    <w:p>
      <w:pPr>
        <w:tabs>
          <w:tab w:val="left" w:pos="1005"/>
        </w:tabs>
        <w:rPr>
          <w:sz w:val="20"/>
          <w:szCs w:val="20"/>
          <w:lang w:val="ro-RO"/>
        </w:rPr>
      </w:pPr>
      <w:r>
        <w:rPr>
          <w:sz w:val="20"/>
          <w:szCs w:val="20"/>
          <w:lang w:val="ro-RO"/>
        </w:rPr>
        <w:t>Costul cu executia se va deconta pe baza situatiilor de lucrari aprobate, pe baza preturilor ofertate de către Antreprenor.</w:t>
      </w:r>
    </w:p>
    <w:p>
      <w:pPr>
        <w:tabs>
          <w:tab w:val="left" w:pos="1005"/>
        </w:tabs>
        <w:rPr>
          <w:sz w:val="20"/>
          <w:szCs w:val="20"/>
          <w:lang w:val="ro-RO"/>
        </w:rPr>
      </w:pPr>
    </w:p>
    <w:p>
      <w:pPr>
        <w:tabs>
          <w:tab w:val="left" w:pos="1005"/>
        </w:tabs>
        <w:rPr>
          <w:sz w:val="20"/>
          <w:szCs w:val="20"/>
          <w:lang w:val="ro-RO"/>
        </w:rPr>
      </w:pPr>
    </w:p>
    <w:p>
      <w:pPr>
        <w:pStyle w:val="Heading1"/>
        <w:rPr>
          <w:sz w:val="20"/>
          <w:szCs w:val="20"/>
          <w:lang w:val="ro-RO"/>
        </w:rPr>
      </w:pPr>
      <w:bookmarkStart w:id="50" w:name="_Toc227161525"/>
      <w:r>
        <w:rPr>
          <w:sz w:val="20"/>
          <w:szCs w:val="20"/>
          <w:lang w:val="ro-RO"/>
        </w:rPr>
        <w:t>SECŢIUNEA 3. CONDIŢII DE DESFĂŞURARE A ACTIVITĂŢILOR SPECIFICE STAȚIEI DE TRATARE MECANO-BIOLOGICĂ ŞI A STAŢIEI DE TRANSFER GALAŢI</w:t>
      </w:r>
      <w:bookmarkEnd w:id="50"/>
    </w:p>
    <w:p>
      <w:pPr>
        <w:pStyle w:val="Heading2"/>
        <w:rPr>
          <w:sz w:val="20"/>
          <w:szCs w:val="20"/>
          <w:lang w:val="ro-RO"/>
        </w:rPr>
      </w:pPr>
      <w:bookmarkStart w:id="51" w:name="_Toc227161526"/>
      <w:r>
        <w:rPr>
          <w:sz w:val="20"/>
          <w:szCs w:val="20"/>
          <w:lang w:val="ro-RO"/>
        </w:rPr>
        <w:t>3.1 DESCRIEREA INSTALAŢIILOR</w:t>
      </w:r>
      <w:bookmarkEnd w:id="51"/>
    </w:p>
    <w:p>
      <w:pPr>
        <w:pStyle w:val="Heading3"/>
        <w:rPr>
          <w:sz w:val="20"/>
          <w:szCs w:val="20"/>
          <w:lang w:val="ro-RO"/>
        </w:rPr>
      </w:pPr>
      <w:bookmarkStart w:id="52" w:name="_Toc227161527"/>
      <w:r>
        <w:rPr>
          <w:sz w:val="20"/>
          <w:szCs w:val="20"/>
          <w:lang w:val="ro-RO"/>
        </w:rPr>
        <w:t>3.1.1 Stația de tratare mecano-biologică cu recuperare de energie Galaţi</w:t>
      </w:r>
      <w:bookmarkEnd w:id="52"/>
    </w:p>
    <w:p>
      <w:pPr>
        <w:pStyle w:val="Heading4"/>
        <w:rPr>
          <w:sz w:val="20"/>
          <w:szCs w:val="20"/>
          <w:lang w:val="ro-RO"/>
        </w:rPr>
      </w:pPr>
      <w:r>
        <w:rPr>
          <w:sz w:val="20"/>
          <w:szCs w:val="20"/>
          <w:lang w:val="ro-RO"/>
        </w:rPr>
        <w:t>3.1.1.1 Amplasament</w:t>
      </w:r>
    </w:p>
    <w:p>
      <w:pPr>
        <w:rPr>
          <w:sz w:val="20"/>
          <w:szCs w:val="20"/>
          <w:lang w:val="ro-RO"/>
        </w:rPr>
      </w:pPr>
      <w:r>
        <w:rPr>
          <w:sz w:val="20"/>
          <w:szCs w:val="20"/>
          <w:lang w:val="ro-RO"/>
        </w:rPr>
        <w:t>Amplasamentul stației TMB Galaţi este situat în partea de sud-vest a Municipiului Galaţi şi ocupă o suprafaţă de 9,5 ha, care include şi staţia de transfer aflată pe acelaşi amplasament.</w:t>
      </w:r>
    </w:p>
    <w:p>
      <w:pPr>
        <w:rPr>
          <w:sz w:val="20"/>
          <w:szCs w:val="20"/>
          <w:lang w:val="ro-RO"/>
        </w:rPr>
      </w:pPr>
      <w:r>
        <w:rPr>
          <w:sz w:val="20"/>
          <w:szCs w:val="20"/>
          <w:lang w:val="ro-RO"/>
        </w:rPr>
        <w:t>Terenul se află în proprietatea publică a judeţului Galaţi.</w:t>
      </w:r>
    </w:p>
    <w:p>
      <w:pPr>
        <w:rPr>
          <w:sz w:val="20"/>
          <w:szCs w:val="20"/>
          <w:lang w:val="ro-RO"/>
        </w:rPr>
      </w:pPr>
      <w:r>
        <w:rPr>
          <w:sz w:val="20"/>
          <w:szCs w:val="20"/>
          <w:lang w:val="ro-RO"/>
        </w:rPr>
        <w:t>Accesul rutier se realizează din DN 2B (E87) prin intermediul unui drum betonat, modernizat, cu o lungime de cca 660 m, lăţime de 7 m, 2 benzi (1 bandă pe sens), destinat traficului greu.</w:t>
      </w:r>
    </w:p>
    <w:p>
      <w:pPr>
        <w:pStyle w:val="Heading4"/>
        <w:rPr>
          <w:sz w:val="20"/>
          <w:szCs w:val="20"/>
          <w:lang w:val="ro-RO"/>
        </w:rPr>
      </w:pPr>
      <w:r>
        <w:rPr>
          <w:sz w:val="20"/>
          <w:szCs w:val="20"/>
          <w:lang w:val="ro-RO"/>
        </w:rPr>
        <w:t>3.1.1.2 Aria deservită</w:t>
      </w:r>
    </w:p>
    <w:p>
      <w:pPr>
        <w:rPr>
          <w:sz w:val="20"/>
          <w:szCs w:val="20"/>
          <w:lang w:val="ro-RO"/>
        </w:rPr>
      </w:pPr>
      <w:r>
        <w:rPr>
          <w:sz w:val="20"/>
          <w:szCs w:val="20"/>
          <w:lang w:val="ro-RO"/>
        </w:rPr>
        <w:t>Stația de tratare mecano-biologică a deşeurilor de la Galaţi, cu o capacitate a liniei de tratare mecanică de 50.000 t/an şi a celei biologice de 89.000 tone/an asigură tratarea:</w:t>
      </w:r>
    </w:p>
    <w:p>
      <w:pPr>
        <w:pStyle w:val="ListParagraph"/>
        <w:numPr>
          <w:ilvl w:val="0"/>
          <w:numId w:val="61"/>
        </w:numPr>
        <w:rPr>
          <w:sz w:val="20"/>
          <w:szCs w:val="20"/>
          <w:lang w:val="ro-RO"/>
        </w:rPr>
      </w:pPr>
      <w:r>
        <w:rPr>
          <w:sz w:val="20"/>
          <w:szCs w:val="20"/>
          <w:lang w:val="ro-RO"/>
        </w:rPr>
        <w:t>deşeurilor reziduale (deşeuri municipale colectate în amestec), a reziduurilor  de la staţiile de sortare şi compostare, a cca 90% din deşeurile stradale şi</w:t>
      </w:r>
    </w:p>
    <w:p>
      <w:pPr>
        <w:pStyle w:val="ListParagraph"/>
        <w:numPr>
          <w:ilvl w:val="0"/>
          <w:numId w:val="61"/>
        </w:numPr>
        <w:rPr>
          <w:sz w:val="20"/>
          <w:szCs w:val="20"/>
          <w:lang w:val="ro-RO"/>
        </w:rPr>
      </w:pPr>
      <w:r>
        <w:rPr>
          <w:sz w:val="20"/>
          <w:szCs w:val="20"/>
          <w:lang w:val="ro-RO"/>
        </w:rPr>
        <w:t>biodeşeurilor colectate separat (dupa o etapă de pretratare mecanică).</w:t>
      </w:r>
    </w:p>
    <w:p>
      <w:pPr>
        <w:rPr>
          <w:sz w:val="20"/>
          <w:szCs w:val="20"/>
          <w:lang w:val="ro-RO"/>
        </w:rPr>
      </w:pPr>
      <w:r>
        <w:rPr>
          <w:sz w:val="20"/>
          <w:szCs w:val="20"/>
          <w:lang w:val="ro-RO"/>
        </w:rPr>
        <w:t>Populaţia deservită de stația de tratare mecano-biologică este estimată la  circa 450.000 locuitori, colectarea deşeurilor reziduale realizând-se de la toţi locuitorii din mediul urban şi rural.</w:t>
      </w:r>
    </w:p>
    <w:p>
      <w:pPr>
        <w:rPr>
          <w:sz w:val="20"/>
          <w:szCs w:val="20"/>
          <w:lang w:val="ro-RO"/>
        </w:rPr>
      </w:pPr>
      <w:r>
        <w:rPr>
          <w:sz w:val="20"/>
          <w:szCs w:val="20"/>
          <w:lang w:val="ro-RO"/>
        </w:rPr>
        <w:t>Biodeşeurile colectate separat de pe perimetrul judeţului Galaţi provin din întreg mediul urban şi din următoarele UAT-uri rurale: Barcea, Braniştea, Drăgăneşti, Matca, Pechea, Schela, Şendreni, Smârdan, Tuluceşti, Vânători</w:t>
      </w:r>
    </w:p>
    <w:p>
      <w:pPr>
        <w:rPr>
          <w:sz w:val="20"/>
          <w:szCs w:val="20"/>
          <w:lang w:val="ro-RO"/>
        </w:rPr>
      </w:pPr>
      <w:r>
        <w:rPr>
          <w:sz w:val="20"/>
          <w:szCs w:val="20"/>
          <w:lang w:val="ro-RO"/>
        </w:rPr>
        <w:t>Biodeşeurile colectate separat vor fi introduse în treapta biologică a TMB, după o etapă de pretratare mecanică distinctă în care sunt îndepărtate impurităţile.</w:t>
      </w:r>
    </w:p>
    <w:p>
      <w:pPr>
        <w:pStyle w:val="Heading4"/>
        <w:rPr>
          <w:sz w:val="20"/>
          <w:szCs w:val="20"/>
          <w:lang w:val="ro-RO"/>
        </w:rPr>
      </w:pPr>
      <w:r>
        <w:rPr>
          <w:sz w:val="20"/>
          <w:szCs w:val="20"/>
          <w:lang w:val="ro-RO"/>
        </w:rPr>
        <w:t>3.1.1.3 Tipuri şi cantităţi de deşeuri tratate</w:t>
      </w:r>
    </w:p>
    <w:p>
      <w:pPr>
        <w:rPr>
          <w:sz w:val="20"/>
          <w:szCs w:val="20"/>
          <w:lang w:val="ro-RO"/>
        </w:rPr>
      </w:pPr>
      <w:r>
        <w:rPr>
          <w:sz w:val="20"/>
          <w:szCs w:val="20"/>
          <w:lang w:val="ro-RO"/>
        </w:rPr>
        <w:t>Deşeurile introduse în stația de tratare mecano-biologică Galaţi sunt reprezentate de:</w:t>
      </w:r>
    </w:p>
    <w:p>
      <w:pPr>
        <w:pStyle w:val="ListParagraph"/>
        <w:numPr>
          <w:ilvl w:val="0"/>
          <w:numId w:val="63"/>
        </w:numPr>
        <w:rPr>
          <w:sz w:val="20"/>
          <w:szCs w:val="20"/>
          <w:lang w:val="ro-RO"/>
        </w:rPr>
      </w:pPr>
      <w:r>
        <w:rPr>
          <w:sz w:val="20"/>
          <w:szCs w:val="20"/>
          <w:lang w:val="ro-RO"/>
        </w:rPr>
        <w:t>Deşeuri reziduale colectate în amestec de pe suprafaţa judeţului Galaţi:</w:t>
      </w:r>
    </w:p>
    <w:p>
      <w:pPr>
        <w:pStyle w:val="ListParagraph"/>
        <w:numPr>
          <w:ilvl w:val="1"/>
          <w:numId w:val="64"/>
        </w:numPr>
        <w:rPr>
          <w:sz w:val="20"/>
          <w:szCs w:val="20"/>
          <w:lang w:val="ro-RO"/>
        </w:rPr>
      </w:pPr>
      <w:r>
        <w:rPr>
          <w:sz w:val="20"/>
          <w:szCs w:val="20"/>
          <w:lang w:val="ro-RO"/>
        </w:rPr>
        <w:t>Deşeuri menajere şi similare colectate în amestec;</w:t>
      </w:r>
    </w:p>
    <w:p>
      <w:pPr>
        <w:pStyle w:val="ListParagraph"/>
        <w:numPr>
          <w:ilvl w:val="1"/>
          <w:numId w:val="64"/>
        </w:numPr>
        <w:rPr>
          <w:sz w:val="20"/>
          <w:szCs w:val="20"/>
          <w:lang w:val="ro-RO"/>
        </w:rPr>
      </w:pPr>
      <w:r>
        <w:rPr>
          <w:sz w:val="20"/>
          <w:szCs w:val="20"/>
          <w:lang w:val="ro-RO"/>
        </w:rPr>
        <w:t>Deşeuri din parcuri şi grădini publice, altele decât biodeşeurile;</w:t>
      </w:r>
    </w:p>
    <w:p>
      <w:pPr>
        <w:pStyle w:val="ListParagraph"/>
        <w:numPr>
          <w:ilvl w:val="1"/>
          <w:numId w:val="64"/>
        </w:numPr>
        <w:rPr>
          <w:sz w:val="20"/>
          <w:szCs w:val="20"/>
          <w:lang w:val="ro-RO"/>
        </w:rPr>
      </w:pPr>
      <w:r>
        <w:rPr>
          <w:sz w:val="20"/>
          <w:szCs w:val="20"/>
          <w:lang w:val="ro-RO"/>
        </w:rPr>
        <w:t>Deşeuri din pieţe colectate în amestec;</w:t>
      </w:r>
    </w:p>
    <w:p>
      <w:pPr>
        <w:pStyle w:val="ListParagraph"/>
        <w:numPr>
          <w:ilvl w:val="1"/>
          <w:numId w:val="64"/>
        </w:numPr>
        <w:rPr>
          <w:sz w:val="20"/>
          <w:szCs w:val="20"/>
          <w:lang w:val="ro-RO"/>
        </w:rPr>
      </w:pPr>
      <w:r>
        <w:rPr>
          <w:sz w:val="20"/>
          <w:szCs w:val="20"/>
          <w:lang w:val="ro-RO"/>
        </w:rPr>
        <w:t>Deşeuri stradale, altele decât deşeurile inerte de la măturatul stradal;</w:t>
      </w:r>
    </w:p>
    <w:p>
      <w:pPr>
        <w:pStyle w:val="ListParagraph"/>
        <w:numPr>
          <w:ilvl w:val="0"/>
          <w:numId w:val="65"/>
        </w:numPr>
        <w:ind w:left="709"/>
        <w:rPr>
          <w:sz w:val="20"/>
          <w:szCs w:val="20"/>
          <w:lang w:val="ro-RO"/>
        </w:rPr>
      </w:pPr>
      <w:r>
        <w:rPr>
          <w:sz w:val="20"/>
          <w:szCs w:val="20"/>
          <w:lang w:val="ro-RO"/>
        </w:rPr>
        <w:t>Reziduuri de la staţiile de sortare şi staţiile de compostare din judeţul Galaţi;</w:t>
      </w:r>
    </w:p>
    <w:p>
      <w:pPr>
        <w:pStyle w:val="ListParagraph"/>
        <w:numPr>
          <w:ilvl w:val="0"/>
          <w:numId w:val="65"/>
        </w:numPr>
        <w:ind w:left="709"/>
        <w:rPr>
          <w:sz w:val="20"/>
          <w:szCs w:val="20"/>
          <w:lang w:val="ro-RO"/>
        </w:rPr>
      </w:pPr>
      <w:r>
        <w:rPr>
          <w:sz w:val="20"/>
          <w:szCs w:val="20"/>
          <w:lang w:val="ro-RO"/>
        </w:rPr>
        <w:t>Biodeşeuri menajere, similare și din piețe colectate separat de pe suprafaţa judeţului Galaţi;</w:t>
      </w:r>
    </w:p>
    <w:p>
      <w:pPr>
        <w:pStyle w:val="ListParagraph"/>
        <w:numPr>
          <w:ilvl w:val="0"/>
          <w:numId w:val="65"/>
        </w:numPr>
        <w:ind w:left="709"/>
        <w:rPr>
          <w:sz w:val="20"/>
          <w:szCs w:val="20"/>
          <w:lang w:val="ro-RO"/>
        </w:rPr>
      </w:pPr>
      <w:r>
        <w:rPr>
          <w:sz w:val="20"/>
          <w:szCs w:val="20"/>
          <w:lang w:val="ro-RO"/>
        </w:rPr>
        <w:t>Reziduuri combustibile de la tratarea deșeurilor voluminoase și a deșeurilor textile de la instalații din județul Galați, pentru obținere de RDF.</w:t>
      </w:r>
    </w:p>
    <w:p>
      <w:pPr>
        <w:rPr>
          <w:sz w:val="20"/>
          <w:szCs w:val="20"/>
          <w:lang w:val="ro-RO"/>
        </w:rPr>
      </w:pPr>
      <w:r>
        <w:rPr>
          <w:sz w:val="20"/>
          <w:szCs w:val="20"/>
          <w:lang w:val="ro-RO"/>
        </w:rPr>
        <w:t>Conform estimărilor realizate, cantităţile de deşeuri tratate în stația TMB Galaţi sunt cele prezentate în secțiunea 1.3.3. Perioada analizată corespunde orizontului de timp 2030 - 2040.</w:t>
      </w:r>
    </w:p>
    <w:p>
      <w:pPr>
        <w:rPr>
          <w:sz w:val="20"/>
          <w:szCs w:val="20"/>
          <w:lang w:val="ro-RO"/>
        </w:rPr>
      </w:pPr>
      <w:r>
        <w:rPr>
          <w:sz w:val="20"/>
          <w:szCs w:val="20"/>
          <w:lang w:val="ro-RO"/>
        </w:rPr>
        <w:lastRenderedPageBreak/>
        <w:t>Estimările au fost realizate în cadrul Studiului de fundamentare (2026) şi se bazează pe ipoteze care nu sunt verificate prin măsurători (cantităţi generate în prezent, procentul de deşeuri similare din cele menajere, soluţia tehnologică de tratare mecanică şi biologică a deşeurilor etc.). În consecinţă cantităţile de deşeuri pot varia cu până la 15%.</w:t>
      </w:r>
      <w:r>
        <w:rPr>
          <w:lang w:val="es-ES"/>
        </w:rPr>
        <w:t xml:space="preserve"> </w:t>
      </w:r>
      <w:r>
        <w:rPr>
          <w:sz w:val="20"/>
          <w:szCs w:val="20"/>
          <w:lang w:val="ro-RO"/>
        </w:rPr>
        <w:t>Antreprenorului i se solicita sa se bazeze pe experiența proprie deținută și să proiecteze instalațiile astfel încât acestea să poată face față unor variații de +/- 15%.</w:t>
      </w:r>
    </w:p>
    <w:p>
      <w:pPr>
        <w:pStyle w:val="Heading4"/>
        <w:rPr>
          <w:sz w:val="20"/>
          <w:szCs w:val="20"/>
          <w:lang w:val="ro-RO"/>
        </w:rPr>
      </w:pPr>
      <w:r>
        <w:rPr>
          <w:sz w:val="20"/>
          <w:szCs w:val="20"/>
          <w:lang w:val="ro-RO"/>
        </w:rPr>
        <w:t>3.1.1.4 Descrierea procesului tehnologic</w:t>
      </w:r>
    </w:p>
    <w:p>
      <w:pPr>
        <w:rPr>
          <w:sz w:val="20"/>
          <w:szCs w:val="20"/>
          <w:lang w:val="ro-RO"/>
        </w:rPr>
      </w:pPr>
      <w:r>
        <w:rPr>
          <w:sz w:val="20"/>
          <w:szCs w:val="20"/>
          <w:lang w:val="ro-RO"/>
        </w:rPr>
        <w:t>În această secţiune este descris pe scurt procesul tehnologic de tratare mecano-biologică a deşeurilor. Procesul tehnologic descris, precum şi echipamentele specificare au caracter orientativ. Dat fiind faptul că stația TMB face obiectul unui contract de tip Proiectare - Execuţie - Operare, conceptul, proiectarea şi execuţia tehnologica vor aparţine Antreprenorului stația, astfel încât operarea să conducă la îndeplinirea ţintelor legale şi a indicatorilor de performanţă.</w:t>
      </w:r>
    </w:p>
    <w:p>
      <w:pPr>
        <w:rPr>
          <w:sz w:val="20"/>
          <w:szCs w:val="20"/>
          <w:lang w:val="ro-RO"/>
        </w:rPr>
      </w:pPr>
      <w:r>
        <w:rPr>
          <w:sz w:val="20"/>
          <w:szCs w:val="20"/>
          <w:lang w:val="ro-RO"/>
        </w:rPr>
        <w:t>Conform studiului de fezabilitate şi a studiului de fundamentare, stația TMB cu digestie anaerobă are următoarele componente:</w:t>
      </w:r>
    </w:p>
    <w:p>
      <w:pPr>
        <w:pStyle w:val="ListParagraph"/>
        <w:numPr>
          <w:ilvl w:val="0"/>
          <w:numId w:val="65"/>
        </w:numPr>
        <w:ind w:left="709"/>
        <w:rPr>
          <w:sz w:val="20"/>
          <w:szCs w:val="20"/>
          <w:lang w:val="ro-RO"/>
        </w:rPr>
      </w:pPr>
      <w:r>
        <w:rPr>
          <w:sz w:val="20"/>
          <w:szCs w:val="20"/>
          <w:lang w:val="ro-RO"/>
        </w:rPr>
        <w:tab/>
        <w:t>tratarea mecanică a deşeurilor, inclusiv producția de RDF;</w:t>
      </w:r>
    </w:p>
    <w:p>
      <w:pPr>
        <w:pStyle w:val="ListParagraph"/>
        <w:numPr>
          <w:ilvl w:val="0"/>
          <w:numId w:val="65"/>
        </w:numPr>
        <w:ind w:left="709"/>
        <w:rPr>
          <w:sz w:val="20"/>
          <w:szCs w:val="20"/>
          <w:lang w:val="ro-RO"/>
        </w:rPr>
      </w:pPr>
      <w:r>
        <w:rPr>
          <w:sz w:val="20"/>
          <w:szCs w:val="20"/>
          <w:lang w:val="ro-RO"/>
        </w:rPr>
        <w:tab/>
        <w:t>tratarea biologică a deşeurilor.</w:t>
      </w:r>
    </w:p>
    <w:p>
      <w:pPr>
        <w:keepNext/>
        <w:rPr>
          <w:b/>
          <w:sz w:val="20"/>
          <w:szCs w:val="20"/>
          <w:lang w:val="ro-RO"/>
        </w:rPr>
      </w:pPr>
      <w:r>
        <w:rPr>
          <w:b/>
          <w:sz w:val="20"/>
          <w:szCs w:val="20"/>
          <w:lang w:val="ro-RO"/>
        </w:rPr>
        <w:t>Recepţia deşeurilor</w:t>
      </w:r>
    </w:p>
    <w:p>
      <w:pPr>
        <w:rPr>
          <w:sz w:val="20"/>
          <w:szCs w:val="20"/>
          <w:lang w:val="ro-RO"/>
        </w:rPr>
      </w:pPr>
      <w:r>
        <w:rPr>
          <w:sz w:val="20"/>
          <w:szCs w:val="20"/>
          <w:lang w:val="ro-RO"/>
        </w:rPr>
        <w:t>Vehiculele de transport încărcate vor intra pe la poarta de acces, vor fi cântărite, încărcăturile identificate şi direcţionate către punctele de descărcare.</w:t>
      </w:r>
    </w:p>
    <w:p>
      <w:pPr>
        <w:rPr>
          <w:sz w:val="20"/>
          <w:szCs w:val="20"/>
          <w:lang w:val="ro-RO"/>
        </w:rPr>
      </w:pPr>
      <w:r>
        <w:rPr>
          <w:sz w:val="20"/>
          <w:szCs w:val="20"/>
          <w:lang w:val="ro-RO"/>
        </w:rPr>
        <w:t>Ieşirea vehiculelor de la stație se va realiza prin acelaşi punct, acestea fiind din nou cântărite, fără încărcătură.</w:t>
      </w:r>
    </w:p>
    <w:p>
      <w:pPr>
        <w:keepNext/>
        <w:rPr>
          <w:b/>
          <w:sz w:val="20"/>
          <w:szCs w:val="20"/>
          <w:lang w:val="ro-RO"/>
        </w:rPr>
      </w:pPr>
      <w:r>
        <w:rPr>
          <w:b/>
          <w:sz w:val="20"/>
          <w:szCs w:val="20"/>
          <w:lang w:val="ro-RO"/>
        </w:rPr>
        <w:t>Tratarea mecanică a deşeurilor</w:t>
      </w:r>
    </w:p>
    <w:p>
      <w:pPr>
        <w:rPr>
          <w:sz w:val="20"/>
          <w:szCs w:val="20"/>
          <w:lang w:val="ro-RO"/>
        </w:rPr>
      </w:pPr>
      <w:r>
        <w:rPr>
          <w:sz w:val="20"/>
          <w:szCs w:val="20"/>
          <w:lang w:val="ro-RO"/>
        </w:rPr>
        <w:t>Principalele faze ale tratării mecanice sunt:</w:t>
      </w:r>
    </w:p>
    <w:p>
      <w:pPr>
        <w:pStyle w:val="ListParagraph"/>
        <w:numPr>
          <w:ilvl w:val="0"/>
          <w:numId w:val="65"/>
        </w:numPr>
        <w:ind w:left="709"/>
        <w:rPr>
          <w:sz w:val="20"/>
          <w:szCs w:val="20"/>
          <w:lang w:val="ro-RO"/>
        </w:rPr>
      </w:pPr>
      <w:r>
        <w:rPr>
          <w:sz w:val="20"/>
          <w:szCs w:val="20"/>
          <w:lang w:val="ro-RO"/>
        </w:rPr>
        <w:t>Deşeurile acceptate în staţie vor fi întâi pre-sortate pentru înlăturarea fracţiilor de dimensiuni mari. Transportul şi alimentarea materialului se va realiza cu ajutorul încărcătoarelor frontale;</w:t>
      </w:r>
    </w:p>
    <w:p>
      <w:pPr>
        <w:pStyle w:val="ListParagraph"/>
        <w:numPr>
          <w:ilvl w:val="0"/>
          <w:numId w:val="65"/>
        </w:numPr>
        <w:ind w:left="709"/>
        <w:rPr>
          <w:sz w:val="20"/>
          <w:szCs w:val="20"/>
          <w:lang w:val="ro-RO"/>
        </w:rPr>
      </w:pPr>
      <w:r>
        <w:rPr>
          <w:sz w:val="20"/>
          <w:szCs w:val="20"/>
          <w:lang w:val="ro-RO"/>
        </w:rPr>
        <w:t>Deşeurile rezultate în urma pre-sortării sunt alimentate într-un buncăr dotat cu desfăcător de saci. Deoarece cea mai mare parte a deşeurilor este livrată în saci, este necesară deschiderea acestora. Acest lucru se face prin dispozitivul de deschidere a sacilor. Dispozitivul are scopul nu numai de a deschide sacii, ci şi de a controla fluxul de intrare al instalaţiei, pentru a evita supraîncărcarea benzilor transportoare şi a maşinilor. Este echipat cu un buncăr în care o podea mobilă transportă materialul spre mecanismul de deschidere;</w:t>
      </w:r>
    </w:p>
    <w:p>
      <w:pPr>
        <w:pStyle w:val="ListParagraph"/>
        <w:numPr>
          <w:ilvl w:val="0"/>
          <w:numId w:val="65"/>
        </w:numPr>
        <w:ind w:left="709"/>
        <w:rPr>
          <w:sz w:val="20"/>
          <w:szCs w:val="20"/>
          <w:lang w:val="ro-RO"/>
        </w:rPr>
      </w:pPr>
      <w:r>
        <w:rPr>
          <w:sz w:val="20"/>
          <w:szCs w:val="20"/>
          <w:lang w:val="ro-RO"/>
        </w:rPr>
        <w:t>Din buncăr deşeurile sunt descărcate în ciurul rotativ în vederea separării fracţiilor de deşeuri în două categorii respectiv fracţii mai mari de 80 mm şi fracţii de dimensiuni reduse;</w:t>
      </w:r>
    </w:p>
    <w:p>
      <w:pPr>
        <w:pStyle w:val="ListParagraph"/>
        <w:numPr>
          <w:ilvl w:val="0"/>
          <w:numId w:val="65"/>
        </w:numPr>
        <w:ind w:left="709"/>
        <w:rPr>
          <w:sz w:val="20"/>
          <w:szCs w:val="20"/>
          <w:lang w:val="ro-RO"/>
        </w:rPr>
      </w:pPr>
      <w:r>
        <w:rPr>
          <w:sz w:val="20"/>
          <w:szCs w:val="20"/>
          <w:lang w:val="ro-RO"/>
        </w:rPr>
        <w:t>Fracţiile mai mici de 80 mm vor ajunge în linia de tratare biologică. Principalul obiectiv al procesului este producerea unui material necesar pentru partea de tratare biologică, având o concentraţie ridicată de materie organică;</w:t>
      </w:r>
    </w:p>
    <w:p>
      <w:pPr>
        <w:pStyle w:val="ListParagraph"/>
        <w:numPr>
          <w:ilvl w:val="0"/>
          <w:numId w:val="65"/>
        </w:numPr>
        <w:ind w:left="709"/>
        <w:rPr>
          <w:sz w:val="20"/>
          <w:szCs w:val="20"/>
          <w:lang w:val="ro-RO"/>
        </w:rPr>
      </w:pPr>
      <w:r>
        <w:rPr>
          <w:sz w:val="20"/>
          <w:szCs w:val="20"/>
          <w:lang w:val="ro-RO"/>
        </w:rPr>
        <w:t>Fracţiile mai mari de 80 mm sunt trimise în staţia de sortare semi-automată care permite separarea din masa deşeurilor a celor reciclabile, a celor destinate obţinerii RDF şi a reziduurilor;</w:t>
      </w:r>
    </w:p>
    <w:p>
      <w:pPr>
        <w:pStyle w:val="ListParagraph"/>
        <w:numPr>
          <w:ilvl w:val="0"/>
          <w:numId w:val="65"/>
        </w:numPr>
        <w:ind w:left="709"/>
        <w:rPr>
          <w:sz w:val="20"/>
          <w:szCs w:val="20"/>
          <w:lang w:val="ro-RO"/>
        </w:rPr>
      </w:pPr>
      <w:r>
        <w:rPr>
          <w:sz w:val="20"/>
          <w:szCs w:val="20"/>
          <w:lang w:val="ro-RO"/>
        </w:rPr>
        <w:t>Reziduurile de la sortare, fracţia cu dimensiuni mari de la pre-sortate în prima etapă şi fracţia uşoară (deşeuri de plastic) provenită de la pre-tratarea fracţiei organice sunt transportate cu ajutorul benzilor transportoare către o instalaţie de tocare;</w:t>
      </w:r>
    </w:p>
    <w:p>
      <w:pPr>
        <w:pStyle w:val="ListParagraph"/>
        <w:numPr>
          <w:ilvl w:val="0"/>
          <w:numId w:val="65"/>
        </w:numPr>
        <w:ind w:left="709"/>
        <w:rPr>
          <w:sz w:val="20"/>
          <w:szCs w:val="20"/>
          <w:lang w:val="ro-RO"/>
        </w:rPr>
      </w:pPr>
      <w:r>
        <w:rPr>
          <w:sz w:val="20"/>
          <w:szCs w:val="20"/>
          <w:lang w:val="ro-RO"/>
        </w:rPr>
        <w:t>După mărunţire, materialul intră în etapa de separare finală pentru a se asigura că tot materialul care nu este dorit este îndepărtat. În urma separării finale rezultă:</w:t>
      </w:r>
    </w:p>
    <w:p>
      <w:pPr>
        <w:pStyle w:val="ListParagraph"/>
        <w:numPr>
          <w:ilvl w:val="1"/>
          <w:numId w:val="66"/>
        </w:numPr>
        <w:ind w:left="1418" w:hanging="425"/>
        <w:rPr>
          <w:sz w:val="20"/>
          <w:szCs w:val="20"/>
          <w:lang w:val="ro-RO"/>
        </w:rPr>
      </w:pPr>
      <w:r>
        <w:rPr>
          <w:sz w:val="20"/>
          <w:szCs w:val="20"/>
          <w:lang w:val="ro-RO"/>
        </w:rPr>
        <w:t>fracţia fină - direcţionată către linia de tratare biologică,</w:t>
      </w:r>
    </w:p>
    <w:p>
      <w:pPr>
        <w:pStyle w:val="ListParagraph"/>
        <w:numPr>
          <w:ilvl w:val="1"/>
          <w:numId w:val="66"/>
        </w:numPr>
        <w:ind w:left="1418" w:hanging="425"/>
        <w:rPr>
          <w:sz w:val="20"/>
          <w:szCs w:val="20"/>
          <w:lang w:val="ro-RO"/>
        </w:rPr>
      </w:pPr>
      <w:r>
        <w:rPr>
          <w:sz w:val="20"/>
          <w:szCs w:val="20"/>
          <w:lang w:val="ro-RO"/>
        </w:rPr>
        <w:t xml:space="preserve">fracţia uşoară - cu valoare calorifică mare, direcţionată către instalaţia de producere RDF (refuse derived fuel). După mărunţirea secundară, materialul este stocat într-o cuvă tampon de unde va fi trimis spre valorificare energetica la o instalație de valorificare energetică cu eficiență ridicată. Trebuie prevazut un </w:t>
      </w:r>
      <w:r>
        <w:rPr>
          <w:sz w:val="20"/>
          <w:szCs w:val="20"/>
          <w:lang w:val="ro-RO"/>
        </w:rPr>
        <w:lastRenderedPageBreak/>
        <w:t>spatiu de stocare temporara, acoperit, pentru o perioada de minim 3 saptamani, in cazul in care instalatiile de valorificare energetica nu functioneaza.</w:t>
      </w:r>
    </w:p>
    <w:p>
      <w:pPr>
        <w:pStyle w:val="ListParagraph"/>
        <w:numPr>
          <w:ilvl w:val="1"/>
          <w:numId w:val="66"/>
        </w:numPr>
        <w:ind w:left="1418" w:hanging="425"/>
        <w:rPr>
          <w:sz w:val="20"/>
          <w:szCs w:val="20"/>
          <w:lang w:val="ro-RO"/>
        </w:rPr>
      </w:pPr>
      <w:r>
        <w:rPr>
          <w:sz w:val="20"/>
          <w:szCs w:val="20"/>
          <w:lang w:val="ro-RO"/>
        </w:rPr>
        <w:t>fracţia grea - reziduuri spre depozitare (prin staţia de transfer la depozit Valea Mărului).</w:t>
      </w:r>
    </w:p>
    <w:p>
      <w:pPr>
        <w:rPr>
          <w:sz w:val="20"/>
          <w:szCs w:val="20"/>
          <w:lang w:val="ro-RO"/>
        </w:rPr>
      </w:pPr>
      <w:r>
        <w:rPr>
          <w:sz w:val="20"/>
          <w:szCs w:val="20"/>
          <w:lang w:val="ro-RO"/>
        </w:rPr>
        <w:t>Antreprenorul trebuie să facă propria proiectare și să propună tehnologia optimă necesară, astfel încât să fie îndepliniți indicatorii de performantă, inclusiv indicatorul referitor la cantitatea de deșeuri trimisă anual la valorificare energetică. Calitatea RDF va fi cea cerută de instalațiile de valorificare energetică cu eficiență ridicată, în baza autorizațiilor (integrate) de mediu pe care le dețin operatorii acestora.</w:t>
      </w:r>
    </w:p>
    <w:p>
      <w:pPr>
        <w:rPr>
          <w:sz w:val="20"/>
          <w:szCs w:val="20"/>
          <w:lang w:val="ro-RO"/>
        </w:rPr>
      </w:pPr>
      <w:r>
        <w:rPr>
          <w:sz w:val="20"/>
          <w:szCs w:val="20"/>
          <w:lang w:val="ro-RO"/>
        </w:rPr>
        <w:t>Instalația de pregătire RDF va fi asigurată de către Anpreprenor.</w:t>
      </w:r>
    </w:p>
    <w:p>
      <w:pPr>
        <w:rPr>
          <w:sz w:val="20"/>
          <w:szCs w:val="20"/>
          <w:lang w:val="ro-RO"/>
        </w:rPr>
      </w:pPr>
      <w:r>
        <w:rPr>
          <w:sz w:val="20"/>
          <w:szCs w:val="20"/>
          <w:lang w:val="ro-RO"/>
        </w:rPr>
        <w:t>Deşeurile periculoase rezultate din pretratarea mecanică a deşeurilor vor fi stocate pe categorii de compatibilitate, stocate temporar şi evacuate către instalaţii specifice de neutralizare/eliminare controlată.</w:t>
      </w:r>
    </w:p>
    <w:p>
      <w:pPr>
        <w:rPr>
          <w:sz w:val="20"/>
          <w:szCs w:val="20"/>
          <w:lang w:val="ro-RO"/>
        </w:rPr>
      </w:pPr>
      <w:r>
        <w:rPr>
          <w:sz w:val="20"/>
          <w:szCs w:val="20"/>
          <w:lang w:val="ro-RO"/>
        </w:rPr>
        <w:t xml:space="preserve">În județul Galați nu există un istoric cu privire la tipul de deseuri periculoase generate din cantitatea totală de deșeuri municipale implicit nici din cantitatea totală de deșeuri reziduale. Stocarea temporară pe categorii de compatibilitate a deșeurilor periculoase se va realiza conform legislației în vigoare. </w:t>
      </w:r>
    </w:p>
    <w:p>
      <w:pPr>
        <w:rPr>
          <w:sz w:val="20"/>
          <w:szCs w:val="20"/>
          <w:lang w:val="ro-RO"/>
        </w:rPr>
      </w:pPr>
      <w:r>
        <w:rPr>
          <w:sz w:val="20"/>
          <w:szCs w:val="20"/>
          <w:lang w:val="ro-RO"/>
        </w:rPr>
        <w:t>Reziduurile fără potenţial de valorificare materială sau energetică rezultate în urma ansamblului tratării mecanice vor fi evacuate către depozitul de deşeuri nepericuloase de la Valea Mărului.</w:t>
      </w:r>
    </w:p>
    <w:p>
      <w:pPr>
        <w:rPr>
          <w:b/>
          <w:sz w:val="20"/>
          <w:szCs w:val="20"/>
          <w:lang w:val="ro-RO"/>
        </w:rPr>
      </w:pPr>
      <w:r>
        <w:rPr>
          <w:b/>
          <w:sz w:val="20"/>
          <w:szCs w:val="20"/>
          <w:lang w:val="ro-RO"/>
        </w:rPr>
        <w:t>Tratarea biologică a deşeurilor</w:t>
      </w:r>
    </w:p>
    <w:p>
      <w:pPr>
        <w:rPr>
          <w:sz w:val="20"/>
          <w:szCs w:val="20"/>
          <w:lang w:val="ro-RO"/>
        </w:rPr>
      </w:pPr>
      <w:r>
        <w:rPr>
          <w:sz w:val="20"/>
          <w:szCs w:val="20"/>
          <w:lang w:val="ro-RO"/>
        </w:rPr>
        <w:t xml:space="preserve">Tratarea biologică se va realiza printr-un proces de digestie anaerobă. </w:t>
      </w:r>
    </w:p>
    <w:p>
      <w:pPr>
        <w:rPr>
          <w:sz w:val="20"/>
          <w:szCs w:val="20"/>
          <w:lang w:val="ro-RO"/>
        </w:rPr>
      </w:pPr>
      <w:r>
        <w:rPr>
          <w:rFonts w:cs="Calibri"/>
          <w:color w:val="000000" w:themeColor="text1"/>
          <w:sz w:val="20"/>
          <w:szCs w:val="20"/>
          <w:lang w:val="ro-RO"/>
        </w:rPr>
        <w:t>Instalația de tratare biologică va fi proiectată și dimensionată astfel încât să fie asigurată flexibilitatea proceselor și să nu existe posibilitatea intersectării fluxurilor de biodeșeuri colectate separat și a celor de deșeuri reziduale, de la intrare până la ieșire, cu minim 3 digestoare.</w:t>
      </w:r>
    </w:p>
    <w:p>
      <w:pPr>
        <w:rPr>
          <w:sz w:val="20"/>
          <w:szCs w:val="20"/>
          <w:lang w:val="ro-RO"/>
        </w:rPr>
      </w:pPr>
      <w:r>
        <w:rPr>
          <w:sz w:val="20"/>
          <w:szCs w:val="20"/>
          <w:lang w:val="ro-RO"/>
        </w:rPr>
        <w:t>Fazele principale ale tratării biologice sunt:</w:t>
      </w:r>
    </w:p>
    <w:p>
      <w:pPr>
        <w:pStyle w:val="ListParagraph"/>
        <w:numPr>
          <w:ilvl w:val="0"/>
          <w:numId w:val="65"/>
        </w:numPr>
        <w:ind w:left="709"/>
        <w:rPr>
          <w:sz w:val="20"/>
          <w:szCs w:val="20"/>
          <w:lang w:val="ro-RO"/>
        </w:rPr>
      </w:pPr>
      <w:r>
        <w:rPr>
          <w:sz w:val="20"/>
          <w:szCs w:val="20"/>
          <w:lang w:val="ro-RO"/>
        </w:rPr>
        <w:t xml:space="preserve">Pretratarea - realizată distinct pentru biodeşeurile colectate separat şi pentru deşeurile reziduale colectate în amestec (inclusiv reziduuri de la staţii de compostare/sortare). În acest sens, instalaţia este prevăzută cu buncăre de alimentare distincte, instalaţii de mărunţire distincte, rezervoare de sedimentare distincte şi rezervoare tampon distincte pentru cele două categorii de deşeuri. Pretratarea biodeșeurilor colectate separat (care, spre deosebire de deșeurile reziduale nu au suferit o tratare mecanică prealabilă) trebuie să asigure o separare eficientă a ambalajelor și corpurilor indezirabile. Este necesară prezența unei instalații de igienizare a deșeurilor cu posibil conținut patogen (în conformitate cu prevederile Regulamentului CE nr 142/2011). </w:t>
      </w:r>
    </w:p>
    <w:p>
      <w:pPr>
        <w:pStyle w:val="ListParagraph"/>
        <w:numPr>
          <w:ilvl w:val="0"/>
          <w:numId w:val="65"/>
        </w:numPr>
        <w:ind w:left="709"/>
        <w:rPr>
          <w:sz w:val="20"/>
          <w:szCs w:val="20"/>
          <w:lang w:val="ro-RO"/>
        </w:rPr>
      </w:pPr>
      <w:r>
        <w:rPr>
          <w:sz w:val="20"/>
          <w:szCs w:val="20"/>
          <w:lang w:val="ro-RO"/>
        </w:rPr>
        <w:t xml:space="preserve">Digestia anaerobă propriu zisă ce se va realiza în  3 digestoare, dimensionate a fi adaptate tratării biologice a unei cantităţi de deşeuri reziduale în scădere odată cu colectarea separată a biodeșeurilor, coroborată cu o creştere a cantităţii de biodeşeuri colectate separat.Numărul de digestoare trebuie se fie de minim 3. </w:t>
      </w:r>
    </w:p>
    <w:p>
      <w:pPr>
        <w:pStyle w:val="ListParagraph"/>
        <w:numPr>
          <w:ilvl w:val="0"/>
          <w:numId w:val="65"/>
        </w:numPr>
        <w:ind w:left="709"/>
        <w:rPr>
          <w:sz w:val="20"/>
          <w:szCs w:val="20"/>
          <w:lang w:val="ro-RO"/>
        </w:rPr>
      </w:pPr>
      <w:r>
        <w:rPr>
          <w:sz w:val="20"/>
          <w:szCs w:val="20"/>
          <w:lang w:val="ro-RO"/>
        </w:rPr>
        <w:t>Producerea de biogaz.</w:t>
      </w:r>
    </w:p>
    <w:p>
      <w:pPr>
        <w:pStyle w:val="ListParagraph"/>
        <w:numPr>
          <w:ilvl w:val="0"/>
          <w:numId w:val="65"/>
        </w:numPr>
        <w:ind w:left="709"/>
        <w:rPr>
          <w:sz w:val="20"/>
          <w:szCs w:val="20"/>
          <w:lang w:val="ro-RO"/>
        </w:rPr>
      </w:pPr>
      <w:r>
        <w:rPr>
          <w:sz w:val="20"/>
          <w:szCs w:val="20"/>
          <w:lang w:val="ro-RO"/>
        </w:rPr>
        <w:t xml:space="preserve">Tratarea digestatului, ce constă în tratare aerobă pentru stabilizare si deshidratarea (mecanică, termică) a digestatului produs din deşeuri reziduale şi compostare a digestatului obţinut din biodeşeuri colectate separat. Instalația de compostare va fi organizată sub forma a doua zone distincte care nu vor permite amestecarea celor două fluxuri, respectiv categorii de digestat. </w:t>
      </w:r>
    </w:p>
    <w:p>
      <w:pPr>
        <w:rPr>
          <w:sz w:val="20"/>
          <w:szCs w:val="20"/>
          <w:lang w:val="ro-RO"/>
        </w:rPr>
      </w:pPr>
      <w:r>
        <w:rPr>
          <w:sz w:val="20"/>
          <w:szCs w:val="20"/>
          <w:lang w:val="ro-RO"/>
        </w:rPr>
        <w:t>Tratarea biologică prin digestie anaerobă este destinată atât biodeșeurilor colectate separat, cât și fracției organice rezultate din deșeurile reziduale. Conform cerințelor, tratarea celor 2 tipuri de produse se va realiza în 2 fluxuri distincte, datorită faptului că produsul final va avea calități și destinații diferite. Pe de altă parte, cantitățile din fiecare tip de deșeu care necesită tratare se vor modifica gradual în timp, în sensul scăderii cantităților de deșeuri reziduale, concomitent cu creșterea cantității de  biodeseuri colectate separat.</w:t>
      </w:r>
    </w:p>
    <w:p>
      <w:pPr>
        <w:rPr>
          <w:sz w:val="20"/>
          <w:szCs w:val="20"/>
          <w:lang w:val="ro-RO"/>
        </w:rPr>
      </w:pPr>
      <w:r>
        <w:rPr>
          <w:sz w:val="20"/>
          <w:szCs w:val="20"/>
          <w:lang w:val="ro-RO"/>
        </w:rPr>
        <w:t xml:space="preserve">Astfel, pentru a face față modificărilor concomitente ale cantităților, pentru a asigura calitatea dorită a produsului finit și posibilitatea valorificării acestuia în agricultura în conformitate cu </w:t>
      </w:r>
      <w:r>
        <w:rPr>
          <w:sz w:val="20"/>
          <w:szCs w:val="20"/>
          <w:lang w:val="ro-RO"/>
        </w:rPr>
        <w:lastRenderedPageBreak/>
        <w:t>prevederile legislației în vigoare, precum și pentru a asigura continuitatea operațiunilor în caz de avarii, se recomandă includerea a (minim) 3 digestoare.</w:t>
      </w:r>
    </w:p>
    <w:p>
      <w:pPr>
        <w:keepNext/>
        <w:rPr>
          <w:b/>
          <w:sz w:val="20"/>
          <w:szCs w:val="20"/>
          <w:lang w:val="ro-RO"/>
        </w:rPr>
      </w:pPr>
      <w:r>
        <w:rPr>
          <w:b/>
          <w:sz w:val="20"/>
          <w:szCs w:val="20"/>
          <w:lang w:val="ro-RO"/>
        </w:rPr>
        <w:t>a) Pre-tratarea deşeurilor</w:t>
      </w:r>
    </w:p>
    <w:p>
      <w:pPr>
        <w:rPr>
          <w:sz w:val="20"/>
          <w:szCs w:val="20"/>
          <w:lang w:val="ro-RO"/>
        </w:rPr>
      </w:pPr>
      <w:r>
        <w:rPr>
          <w:sz w:val="20"/>
          <w:szCs w:val="20"/>
          <w:lang w:val="ro-RO"/>
        </w:rPr>
        <w:t>Deşeurile cu diametru mai mic de 80 mm, rezultate în urma separării deşeurilor în amestec, precum şi biodeşeurile colecate separat urmează un proces de pregătire în vederea tratării biologice care constă în:</w:t>
      </w:r>
    </w:p>
    <w:p>
      <w:pPr>
        <w:pStyle w:val="ListParagraph"/>
        <w:numPr>
          <w:ilvl w:val="0"/>
          <w:numId w:val="65"/>
        </w:numPr>
        <w:ind w:left="709"/>
        <w:rPr>
          <w:sz w:val="20"/>
          <w:szCs w:val="20"/>
          <w:lang w:val="ro-RO"/>
        </w:rPr>
      </w:pPr>
      <w:r>
        <w:rPr>
          <w:sz w:val="20"/>
          <w:szCs w:val="20"/>
          <w:lang w:val="ro-RO"/>
        </w:rPr>
        <w:t>extragere materiale metalice/nemetalice;</w:t>
      </w:r>
    </w:p>
    <w:p>
      <w:pPr>
        <w:pStyle w:val="ListParagraph"/>
        <w:numPr>
          <w:ilvl w:val="0"/>
          <w:numId w:val="65"/>
        </w:numPr>
        <w:ind w:left="709"/>
        <w:rPr>
          <w:sz w:val="20"/>
          <w:szCs w:val="20"/>
          <w:lang w:val="ro-RO"/>
        </w:rPr>
      </w:pPr>
      <w:r>
        <w:rPr>
          <w:sz w:val="20"/>
          <w:szCs w:val="20"/>
          <w:lang w:val="ro-RO"/>
        </w:rPr>
        <w:t>mărunţire cu extragerea fracţiei uşoare combustibile (RDF);</w:t>
      </w:r>
    </w:p>
    <w:p>
      <w:pPr>
        <w:pStyle w:val="ListParagraph"/>
        <w:numPr>
          <w:ilvl w:val="0"/>
          <w:numId w:val="65"/>
        </w:numPr>
        <w:ind w:left="709"/>
        <w:rPr>
          <w:sz w:val="20"/>
          <w:szCs w:val="20"/>
          <w:lang w:val="ro-RO"/>
        </w:rPr>
      </w:pPr>
      <w:r>
        <w:rPr>
          <w:sz w:val="20"/>
          <w:szCs w:val="20"/>
          <w:lang w:val="ro-RO"/>
        </w:rPr>
        <w:t>amestecare cu apă/digestat recirculat;</w:t>
      </w:r>
    </w:p>
    <w:p>
      <w:pPr>
        <w:pStyle w:val="ListParagraph"/>
        <w:numPr>
          <w:ilvl w:val="0"/>
          <w:numId w:val="65"/>
        </w:numPr>
        <w:ind w:left="709"/>
        <w:rPr>
          <w:sz w:val="20"/>
          <w:szCs w:val="20"/>
          <w:lang w:val="ro-RO"/>
        </w:rPr>
      </w:pPr>
      <w:r>
        <w:rPr>
          <w:sz w:val="20"/>
          <w:szCs w:val="20"/>
          <w:lang w:val="ro-RO"/>
        </w:rPr>
        <w:t>sedimentare (în tancuri de sedimentare), cu extragerea fracţiei grele (nisip, pietre, sticlă) şi a particulelor uşoare plutitoare. Etapa permite accelerarea primelor procese biologice;</w:t>
      </w:r>
    </w:p>
    <w:p>
      <w:pPr>
        <w:pStyle w:val="ListParagraph"/>
        <w:numPr>
          <w:ilvl w:val="0"/>
          <w:numId w:val="65"/>
        </w:numPr>
        <w:ind w:left="709"/>
        <w:rPr>
          <w:sz w:val="20"/>
          <w:szCs w:val="20"/>
          <w:lang w:val="ro-RO"/>
        </w:rPr>
      </w:pPr>
      <w:r>
        <w:rPr>
          <w:sz w:val="20"/>
          <w:szCs w:val="20"/>
          <w:lang w:val="ro-RO"/>
        </w:rPr>
        <w:t>igienizare (cazul biodeşeurilor colectate separat, cu posibilă încarcare patogenă);</w:t>
      </w:r>
    </w:p>
    <w:p>
      <w:pPr>
        <w:pStyle w:val="ListParagraph"/>
        <w:numPr>
          <w:ilvl w:val="0"/>
          <w:numId w:val="65"/>
        </w:numPr>
        <w:ind w:left="709"/>
        <w:rPr>
          <w:sz w:val="20"/>
          <w:szCs w:val="20"/>
          <w:lang w:val="ro-RO"/>
        </w:rPr>
      </w:pPr>
      <w:r>
        <w:rPr>
          <w:sz w:val="20"/>
          <w:szCs w:val="20"/>
          <w:lang w:val="ro-RO"/>
        </w:rPr>
        <w:t>stocare intermediară în rezervoare tampon, care permit accelerarea primelor procese biologice, izolarea deşeurilor prelucrate de mediul aerob şi asigurarea unui stoc permanent de materie primă pentru digestoare;</w:t>
      </w:r>
    </w:p>
    <w:p>
      <w:pPr>
        <w:pStyle w:val="ListParagraph"/>
        <w:numPr>
          <w:ilvl w:val="0"/>
          <w:numId w:val="65"/>
        </w:numPr>
        <w:ind w:left="709"/>
        <w:rPr>
          <w:sz w:val="20"/>
          <w:szCs w:val="20"/>
          <w:lang w:val="ro-RO"/>
        </w:rPr>
      </w:pPr>
      <w:r>
        <w:rPr>
          <w:sz w:val="20"/>
          <w:szCs w:val="20"/>
          <w:lang w:val="ro-RO"/>
        </w:rPr>
        <w:t>transfer către digestoare.</w:t>
      </w:r>
    </w:p>
    <w:p>
      <w:pPr>
        <w:rPr>
          <w:b/>
          <w:i/>
          <w:sz w:val="20"/>
          <w:szCs w:val="20"/>
          <w:lang w:val="ro-RO"/>
        </w:rPr>
      </w:pPr>
      <w:r>
        <w:rPr>
          <w:b/>
          <w:i/>
          <w:sz w:val="20"/>
          <w:szCs w:val="20"/>
          <w:lang w:val="ro-RO"/>
        </w:rPr>
        <w:t>Notă: datorită calităţii distincte a produselor finale, nu este permisă amestecarea fluxului de fracţiei biologice provenite din deşeuri reziduale cu cel al biodeşeurilor colectate separat. Astfel, acestea vor avea circuite distincte.</w:t>
      </w:r>
    </w:p>
    <w:p>
      <w:pPr>
        <w:rPr>
          <w:sz w:val="20"/>
          <w:szCs w:val="20"/>
          <w:lang w:val="ro-RO"/>
        </w:rPr>
      </w:pPr>
      <w:r>
        <w:rPr>
          <w:sz w:val="20"/>
          <w:szCs w:val="20"/>
          <w:lang w:val="ro-RO"/>
        </w:rPr>
        <w:t>În cazul pretratării biodeşeurilor colectate separat, linia dedicată va conţine o cuvă de vizualizare şi îndepartare a eventualelor corpuri anorganice, de dimensiuni mari.De asemenea, linia va conține, pe lângă buncăr de alimentare, tocător, tanc de sedimentare, rezervor tampon, orice alte echipamente necesare înlăturării corpurilor indezirabile procesului biologic. Toate aceste echipamente pentru pretratarea biodeșeurilor colectate separat vor fi asigurate de către Antreprenor.</w:t>
      </w:r>
    </w:p>
    <w:p>
      <w:pPr>
        <w:rPr>
          <w:sz w:val="20"/>
          <w:szCs w:val="20"/>
          <w:lang w:val="ro-RO"/>
        </w:rPr>
      </w:pPr>
      <w:r>
        <w:rPr>
          <w:sz w:val="20"/>
          <w:szCs w:val="20"/>
          <w:lang w:val="ro-RO"/>
        </w:rPr>
        <w:t>În urma procesului de pretratare rezultă substrat cu încărcătură organică destinat introducerii în digestoare, fracţie combustibilă destinată producerii de RDF şi reziduuri fără valoare energetică destinate depozitării.</w:t>
      </w:r>
    </w:p>
    <w:p>
      <w:pPr>
        <w:rPr>
          <w:sz w:val="20"/>
          <w:szCs w:val="20"/>
          <w:lang w:val="ro-RO"/>
        </w:rPr>
      </w:pPr>
      <w:r>
        <w:rPr>
          <w:sz w:val="20"/>
          <w:szCs w:val="20"/>
          <w:lang w:val="ro-RO"/>
        </w:rPr>
        <w:t xml:space="preserve">Antreprenorul va stabili tehnologia optima pentru a atinge indicatorii de performanță solicitați, inclusiv indicatorul de valorificare energetică. </w:t>
      </w:r>
    </w:p>
    <w:p>
      <w:pPr>
        <w:rPr>
          <w:sz w:val="20"/>
          <w:szCs w:val="20"/>
          <w:lang w:val="ro-RO"/>
        </w:rPr>
      </w:pPr>
      <w:r>
        <w:rPr>
          <w:sz w:val="20"/>
          <w:szCs w:val="20"/>
          <w:lang w:val="ro-RO"/>
        </w:rPr>
        <w:t>În privința tratării biodeșeurilor colectate separat, este recomandată obținerea de RDF, care conduce la rezultate pozitive în privința atingerii indicatorilor referitori la valorificare energetică și depozitare.</w:t>
      </w:r>
    </w:p>
    <w:p>
      <w:pPr>
        <w:rPr>
          <w:sz w:val="20"/>
          <w:szCs w:val="20"/>
          <w:lang w:val="ro-RO"/>
        </w:rPr>
      </w:pPr>
      <w:r>
        <w:rPr>
          <w:sz w:val="20"/>
          <w:szCs w:val="20"/>
          <w:lang w:val="ro-RO"/>
        </w:rPr>
        <w:t>Biodeseurile colectate separat sunt trecute inițial printr-o etapă de pretratare mecanică în urma căreia sunt îndepărtate diferite impurități, inclusiv materiale care sunt utilizate la obținerea RDF. Deci, din biodeseuri colectate separat se va obține atât compost cât și RDF.</w:t>
      </w:r>
    </w:p>
    <w:p>
      <w:pPr>
        <w:rPr>
          <w:b/>
          <w:sz w:val="20"/>
          <w:szCs w:val="20"/>
          <w:lang w:val="ro-RO"/>
        </w:rPr>
      </w:pPr>
      <w:r>
        <w:rPr>
          <w:b/>
          <w:sz w:val="20"/>
          <w:szCs w:val="20"/>
          <w:lang w:val="ro-RO"/>
        </w:rPr>
        <w:t>b)</w:t>
      </w:r>
      <w:r>
        <w:rPr>
          <w:b/>
          <w:sz w:val="20"/>
          <w:szCs w:val="20"/>
          <w:lang w:val="ro-RO"/>
        </w:rPr>
        <w:tab/>
        <w:t>Procesul de digestie</w:t>
      </w:r>
    </w:p>
    <w:p>
      <w:pPr>
        <w:rPr>
          <w:sz w:val="20"/>
          <w:szCs w:val="20"/>
          <w:lang w:val="ro-RO"/>
        </w:rPr>
      </w:pPr>
      <w:r>
        <w:rPr>
          <w:sz w:val="20"/>
          <w:szCs w:val="20"/>
          <w:lang w:val="ro-RO"/>
        </w:rPr>
        <w:t>Din rezervoarele tampon, digestatul este pompat în digestoarele. Materialul provenit din deşeurile reziduale va fi tratat în digestoare distincte faţă de cel rezultat din biodeşeuri colectate separat şi care are potenţial de valorificare în agricultură. Temperatura din reactoare este de 52-55 ° C (mediu termofil) şi este menţinută constantă.</w:t>
      </w:r>
    </w:p>
    <w:p>
      <w:pPr>
        <w:rPr>
          <w:sz w:val="20"/>
          <w:szCs w:val="20"/>
          <w:lang w:val="ro-RO"/>
        </w:rPr>
      </w:pPr>
      <w:r>
        <w:rPr>
          <w:sz w:val="20"/>
          <w:szCs w:val="20"/>
          <w:lang w:val="ro-RO"/>
        </w:rPr>
        <w:t>Gazul produs în interiorul digestoarelor este curăţat prin intermediul sistemului de desulfurare şi apoi este depozitat într-un suport de gaz cu membrană, capabil să compenseze eventualele fluctuaţii. Gazul este apoi comprimat şi valorificat într-o instalaţie de cogenerare.</w:t>
      </w:r>
    </w:p>
    <w:p>
      <w:pPr>
        <w:rPr>
          <w:sz w:val="20"/>
          <w:szCs w:val="20"/>
          <w:lang w:val="ro-RO"/>
        </w:rPr>
      </w:pPr>
      <w:r>
        <w:rPr>
          <w:sz w:val="20"/>
          <w:szCs w:val="20"/>
          <w:lang w:val="ro-RO"/>
        </w:rPr>
        <w:t>Digestatul obţinut in digestoare este transferat către instalaţiile de tratare a acestuia. Procesele de tratare sunt de asemenea distincte pentru digestatul rezultat din deşeuri reziduale şi pentru cel obţinut din tratarea biodeşeurilor colectate în amestec.</w:t>
      </w:r>
    </w:p>
    <w:p>
      <w:pPr>
        <w:rPr>
          <w:b/>
          <w:sz w:val="20"/>
          <w:szCs w:val="20"/>
          <w:lang w:val="ro-RO"/>
        </w:rPr>
      </w:pPr>
      <w:r>
        <w:rPr>
          <w:b/>
          <w:sz w:val="20"/>
          <w:szCs w:val="20"/>
          <w:lang w:val="ro-RO"/>
        </w:rPr>
        <w:t>c)</w:t>
      </w:r>
      <w:r>
        <w:rPr>
          <w:b/>
          <w:sz w:val="20"/>
          <w:szCs w:val="20"/>
          <w:lang w:val="ro-RO"/>
        </w:rPr>
        <w:tab/>
        <w:t>Biogazul</w:t>
      </w:r>
    </w:p>
    <w:p>
      <w:pPr>
        <w:rPr>
          <w:sz w:val="20"/>
          <w:szCs w:val="20"/>
          <w:lang w:val="ro-RO"/>
        </w:rPr>
      </w:pPr>
      <w:r>
        <w:rPr>
          <w:sz w:val="20"/>
          <w:szCs w:val="20"/>
          <w:lang w:val="ro-RO"/>
        </w:rPr>
        <w:t>Gazul produs în interiorul digestoarelor este curăţat prin intermediul sistemului de desulfurare şi apoi este extras şi stocat într-un rezervor de gaz cu membrană, capabil să compenseze posibilele fluctuaţii.</w:t>
      </w:r>
    </w:p>
    <w:p>
      <w:pPr>
        <w:rPr>
          <w:sz w:val="20"/>
          <w:szCs w:val="20"/>
          <w:lang w:val="ro-RO"/>
        </w:rPr>
      </w:pPr>
      <w:r>
        <w:rPr>
          <w:sz w:val="20"/>
          <w:szCs w:val="20"/>
          <w:lang w:val="ro-RO"/>
        </w:rPr>
        <w:lastRenderedPageBreak/>
        <w:t>Biogazul produs este stocat, condiţionat şi folosit pentru producerea energiei. Sistemul de depozitare a biogazului va fi etanş împotriva scurgerilor de gaze şi rezistent la funcţionarea sub presiune, iar în cazul incintelor de sine-stătătoare, ridicate în aer liber, neprotejate de clădiri, este necesar ca acestea să prezinte rezistenţă la acţiunea radiaţiilor UV, a temperaturii şi a apei. Înaintea punerii în funcţiune a instalaţiei, trebuie verificată etanşeitatea tancurilor de stocare a gazului. Din motive de securitate, acestea trebuie să fie echipate cu valve de siguranţă (la sub-presiune şi supra-presiune), în scopul prevenirii distrugerilor şi pentru reducerea riscurilor de operare. De asemenea, trebuie garantată protecţia la explozii. Mai mult, este necesară montarea unui arzător al surplusului de gaz, pentru situaţiile de urgenţă.</w:t>
      </w:r>
    </w:p>
    <w:p>
      <w:pPr>
        <w:rPr>
          <w:sz w:val="20"/>
          <w:szCs w:val="20"/>
          <w:lang w:val="ro-RO"/>
        </w:rPr>
      </w:pPr>
      <w:r>
        <w:rPr>
          <w:sz w:val="20"/>
          <w:szCs w:val="20"/>
          <w:lang w:val="ro-RO"/>
        </w:rPr>
        <w:t>Energia electrică şi termică generate sunt reintroduse în procesul tehnologic al stației TMB. Electricitatea produsă din biogaz poate fi utilizată drept energie de procesare pentru echipamentele alimentate cu energie electrică, precum pompele, sistemele de control şi mixerele. Energia termică produsă din biogaz va fi folosită la menţinerea mediului termofil din digestoare, pentru uscarea digestatului din deşeuri reziduale şi pentru eventuala uscare a RDF si a compostului.</w:t>
      </w:r>
    </w:p>
    <w:p>
      <w:pPr>
        <w:rPr>
          <w:sz w:val="20"/>
          <w:szCs w:val="20"/>
          <w:lang w:val="ro-RO"/>
        </w:rPr>
      </w:pPr>
      <w:r>
        <w:rPr>
          <w:sz w:val="20"/>
          <w:szCs w:val="20"/>
          <w:lang w:val="ro-RO"/>
        </w:rPr>
        <w:t>Energia termică generată de unitatea de cogenerare va fi utilizată pentru consumul propriu în cadrul instalaţiei.</w:t>
      </w:r>
    </w:p>
    <w:p>
      <w:pPr>
        <w:rPr>
          <w:sz w:val="20"/>
          <w:szCs w:val="20"/>
          <w:lang w:val="ro-RO"/>
        </w:rPr>
      </w:pPr>
      <w:r>
        <w:rPr>
          <w:sz w:val="20"/>
          <w:szCs w:val="20"/>
          <w:lang w:val="ro-RO"/>
        </w:rPr>
        <w:t>Resursele de energie trebuie consumate on site și se poate avea în vedere stocarea energiei suplimentare. Satisfacerea necesarului de energie electrică din surse proprii trebuie să diminueze costurile de operare, fapt ce se va reflecta corespunzător în tarife. În funcție de tehnologia proprie a fiecarui ofertant se vor propune soluții de stocare a energiei BES produse suplimentar într-o anumită perioadă de timp. Aceste solutii vor fi detaliate în etapa de elaborare a documentației tehnice, faza PT. În elaborarea ofertei financiare se vor respecta ipotezele din documentatia de atribuire, adică în fișele de fundamentare pentru tarifele C și D, capitolul 1.2, care include energia electrică tehnologică și administrativă, valoarea acestora va fi zero.</w:t>
      </w:r>
    </w:p>
    <w:p>
      <w:pPr>
        <w:rPr>
          <w:b/>
          <w:sz w:val="20"/>
          <w:szCs w:val="20"/>
          <w:lang w:val="ro-RO"/>
        </w:rPr>
      </w:pPr>
      <w:r>
        <w:rPr>
          <w:b/>
          <w:sz w:val="20"/>
          <w:szCs w:val="20"/>
          <w:lang w:val="ro-RO"/>
        </w:rPr>
        <w:t>d) Digestat</w:t>
      </w:r>
    </w:p>
    <w:p>
      <w:pPr>
        <w:rPr>
          <w:sz w:val="20"/>
          <w:szCs w:val="20"/>
          <w:lang w:val="ro-RO"/>
        </w:rPr>
      </w:pPr>
      <w:r>
        <w:rPr>
          <w:sz w:val="20"/>
          <w:szCs w:val="20"/>
          <w:lang w:val="ro-RO"/>
        </w:rPr>
        <w:t xml:space="preserve">Digestatul rezultat din tratarea deşeurilor mixte - având în vedere că materialul rezultat este potenţial contaminat cu diverse substanţe indezirabile, conform cu rezultatele analizelor de laborator, acesta nu poate fi valorificat în agricultură . Prin urmare, va fi eliminat la depozitul de deşeuri nepericuloase de la Valea Mărului </w:t>
      </w:r>
      <w:r>
        <w:rPr>
          <w:rFonts w:cs="Calibri"/>
          <w:color w:val="000000" w:themeColor="text1"/>
          <w:sz w:val="20"/>
          <w:szCs w:val="20"/>
          <w:lang w:val="ro-RO"/>
        </w:rPr>
        <w:t>după deshidratare, stabilizarea prin tratare aerobă in instalația de compostare și uscare</w:t>
      </w:r>
      <w:r>
        <w:rPr>
          <w:sz w:val="20"/>
          <w:szCs w:val="20"/>
          <w:lang w:val="ro-RO"/>
        </w:rPr>
        <w:t>, împreuna cu reziduurile obţinute în treapta mecanică şi biologică.</w:t>
      </w:r>
    </w:p>
    <w:p>
      <w:pPr>
        <w:rPr>
          <w:sz w:val="20"/>
          <w:szCs w:val="20"/>
          <w:lang w:val="ro-RO"/>
        </w:rPr>
      </w:pPr>
      <w:r>
        <w:rPr>
          <w:rFonts w:eastAsia="Times New Roman" w:cs="Calibri"/>
          <w:sz w:val="20"/>
          <w:szCs w:val="20"/>
          <w:lang w:val="ro-RO"/>
        </w:rPr>
        <w:t xml:space="preserve">CLO recuperat din digestatul provenit din fracția organică din deșeurile reziduale, rezultat în urma procesului de stabilizare/ deshidratare/uscare este o componentă a digestatului din deșeuri reziduale. </w:t>
      </w:r>
      <w:r>
        <w:rPr>
          <w:rFonts w:cs="Times"/>
          <w:color w:val="000000"/>
          <w:sz w:val="20"/>
          <w:szCs w:val="20"/>
          <w:lang w:val="ro-RO"/>
        </w:rPr>
        <w:t xml:space="preserve">CLO va putea fi exceptat de la plata CEC și valorificat </w:t>
      </w:r>
      <w:r>
        <w:rPr>
          <w:sz w:val="20"/>
          <w:szCs w:val="20"/>
          <w:lang w:val="ro-RO"/>
        </w:rPr>
        <w:t>ca material pentru straturile de suport şi de acoperire a depozitelor de deșeuri, pentru reabilitarea minelor abandonate şi/sau a terenurilor contaminate</w:t>
      </w:r>
      <w:r>
        <w:rPr>
          <w:rFonts w:cs="Times"/>
          <w:color w:val="000000"/>
          <w:sz w:val="20"/>
          <w:szCs w:val="20"/>
          <w:lang w:val="ro-RO"/>
        </w:rPr>
        <w:t>, atât timp cât îndeplinește cerințele legale (OUG 92/2021, OUG 196/2006, ambele cu modificările ulterioare). În cazul în care nu îndeplineste condițiile legale de CLO, acesta va fi depozitat împreuna cu digestatul din deșeuri reziduale și nu va fi scutit de plata CEC</w:t>
      </w:r>
    </w:p>
    <w:p>
      <w:pPr>
        <w:rPr>
          <w:sz w:val="20"/>
          <w:szCs w:val="20"/>
          <w:lang w:val="ro-RO"/>
        </w:rPr>
      </w:pPr>
      <w:r>
        <w:rPr>
          <w:sz w:val="20"/>
          <w:szCs w:val="20"/>
          <w:lang w:val="ro-RO"/>
        </w:rPr>
        <w:t xml:space="preserve">Digestatul solid rezultat din tratarea biodeşeurilor colectate separat, după deshidratare, pentru a fi valorificat în agricultură va fi în prealabil compostat, astfel încât să îndeplinească prevederile legale/de reglementare. În acest sens, va fi depus pe o platforma de compostare dedicată unde, în prealabil, va fi amestecat cu material de structură procurat de catre Antreprenor din sursele pe care le-a identificat. </w:t>
      </w:r>
      <w:r>
        <w:rPr>
          <w:rFonts w:cs="Calibri"/>
          <w:sz w:val="20"/>
          <w:szCs w:val="20"/>
          <w:lang w:val="ro-RO"/>
        </w:rPr>
        <w:t>Produsul final obținut va fi compost de calitate A, în acest sens fiind respectate cerințele impuse de Regulamentul UE nr. 2019/1009 (Anexa II, CMC 3 și 5), respectiv cerințele Legii 181/2020</w:t>
      </w:r>
      <w:r>
        <w:rPr>
          <w:sz w:val="20"/>
          <w:szCs w:val="20"/>
          <w:lang w:val="ro-RO"/>
        </w:rPr>
        <w:t>. Compostul obţinut va fi valorificat în agricultură/pentru îmbunătăţirea calităţii solurilor.</w:t>
      </w:r>
    </w:p>
    <w:p>
      <w:pPr>
        <w:rPr>
          <w:b/>
          <w:bCs/>
          <w:sz w:val="20"/>
          <w:szCs w:val="20"/>
          <w:lang w:val="ro-RO"/>
        </w:rPr>
      </w:pPr>
      <w:r>
        <w:rPr>
          <w:b/>
          <w:bCs/>
          <w:sz w:val="20"/>
          <w:szCs w:val="20"/>
          <w:lang w:val="ro-RO"/>
        </w:rPr>
        <w:t>Instalația (platforma) de compostare a digestatului din biodeseuri colectate separat și de stabilizare prin tratare aerobă a digestatului din deșeuri reziduale va fi obligatoriu delimitată în două zone distincte care să nu permită amestecarea celor 2 categorii distincte de digestat.</w:t>
      </w:r>
    </w:p>
    <w:p>
      <w:pPr>
        <w:rPr>
          <w:sz w:val="20"/>
          <w:szCs w:val="20"/>
          <w:lang w:val="ro-RO"/>
        </w:rPr>
      </w:pPr>
      <w:r>
        <w:rPr>
          <w:sz w:val="20"/>
          <w:szCs w:val="20"/>
          <w:lang w:val="ro-RO"/>
        </w:rPr>
        <w:t xml:space="preserve">Instalația (platforma) de compostare a digestatului din biodeșeuri colectate separat și de stabilizare aerobă a digestatului din deșeuri reziduale, ciurul pentru compost şi toate </w:t>
      </w:r>
      <w:r>
        <w:rPr>
          <w:sz w:val="20"/>
          <w:szCs w:val="20"/>
          <w:lang w:val="ro-RO"/>
        </w:rPr>
        <w:lastRenderedPageBreak/>
        <w:t>echipamentele necesare organizării procesului de obţinere a unui compost valorificabil vor fi asigurare de către Antreprenor.</w:t>
      </w:r>
    </w:p>
    <w:p>
      <w:pPr>
        <w:rPr>
          <w:sz w:val="20"/>
          <w:szCs w:val="20"/>
          <w:lang w:val="ro-RO"/>
        </w:rPr>
      </w:pPr>
      <w:r>
        <w:rPr>
          <w:sz w:val="20"/>
          <w:szCs w:val="20"/>
          <w:lang w:val="ro-RO"/>
        </w:rPr>
        <w:t>O schemă de principiu, cu caracter orientativ a proceselor desfășurate în stația de tratare mecano-biologică cu recuperare de energie este prezentată în figura următoare.</w:t>
      </w:r>
    </w:p>
    <w:p>
      <w:pPr>
        <w:spacing w:after="160" w:line="259" w:lineRule="auto"/>
        <w:jc w:val="left"/>
        <w:rPr>
          <w:sz w:val="20"/>
          <w:szCs w:val="20"/>
          <w:lang w:val="ro-RO"/>
        </w:rPr>
        <w:sectPr>
          <w:pgSz w:w="11906" w:h="16838"/>
          <w:pgMar w:top="1134" w:right="851" w:bottom="851" w:left="1440" w:header="709" w:footer="432" w:gutter="0"/>
          <w:cols w:space="708"/>
          <w:docGrid w:linePitch="360"/>
        </w:sectPr>
      </w:pPr>
    </w:p>
    <w:p>
      <w:pPr>
        <w:rPr>
          <w:sz w:val="20"/>
          <w:szCs w:val="20"/>
          <w:lang w:val="ro-RO"/>
        </w:rPr>
      </w:pPr>
    </w:p>
    <w:p>
      <w:pPr>
        <w:rPr>
          <w:sz w:val="20"/>
          <w:szCs w:val="20"/>
          <w:lang w:val="ro-RO"/>
        </w:rPr>
      </w:pPr>
      <w:r>
        <w:rPr>
          <w:noProof/>
          <w:lang w:val="en-US"/>
        </w:rPr>
        <w:drawing>
          <wp:inline distT="0" distB="0" distL="0" distR="0">
            <wp:extent cx="9431655" cy="5081905"/>
            <wp:effectExtent l="0" t="0" r="0" b="4445"/>
            <wp:docPr id="20492245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31655" cy="5081905"/>
                    </a:xfrm>
                    <a:prstGeom prst="rect">
                      <a:avLst/>
                    </a:prstGeom>
                    <a:noFill/>
                    <a:ln>
                      <a:noFill/>
                    </a:ln>
                  </pic:spPr>
                </pic:pic>
              </a:graphicData>
            </a:graphic>
          </wp:inline>
        </w:drawing>
      </w:r>
      <w:r>
        <w:rPr>
          <w:lang w:val="ro-RO"/>
        </w:rPr>
        <w:t xml:space="preserve"> </w:t>
      </w:r>
    </w:p>
    <w:p>
      <w:pPr>
        <w:rPr>
          <w:sz w:val="20"/>
          <w:szCs w:val="20"/>
          <w:lang w:val="ro-RO"/>
        </w:rPr>
        <w:sectPr>
          <w:pgSz w:w="16838" w:h="11906" w:orient="landscape"/>
          <w:pgMar w:top="851" w:right="851" w:bottom="1440" w:left="1134" w:header="709" w:footer="431" w:gutter="0"/>
          <w:cols w:space="708"/>
          <w:docGrid w:linePitch="360"/>
        </w:sectPr>
      </w:pPr>
    </w:p>
    <w:p>
      <w:pPr>
        <w:spacing w:after="160" w:line="259" w:lineRule="auto"/>
        <w:jc w:val="left"/>
        <w:rPr>
          <w:sz w:val="20"/>
          <w:szCs w:val="20"/>
          <w:lang w:val="ro-RO"/>
        </w:rPr>
      </w:pPr>
    </w:p>
    <w:p>
      <w:pPr>
        <w:pStyle w:val="Heading4"/>
        <w:rPr>
          <w:sz w:val="20"/>
          <w:szCs w:val="20"/>
          <w:lang w:val="ro-RO"/>
        </w:rPr>
      </w:pPr>
      <w:r>
        <w:rPr>
          <w:sz w:val="20"/>
          <w:szCs w:val="20"/>
          <w:lang w:val="ro-RO"/>
        </w:rPr>
        <w:t>3.1.1.5 Cerinţe minime de operare</w:t>
      </w:r>
    </w:p>
    <w:p>
      <w:pPr>
        <w:tabs>
          <w:tab w:val="left" w:pos="2294"/>
        </w:tabs>
        <w:rPr>
          <w:sz w:val="20"/>
          <w:szCs w:val="20"/>
          <w:lang w:val="ro-RO"/>
        </w:rPr>
      </w:pPr>
      <w:r>
        <w:rPr>
          <w:sz w:val="20"/>
          <w:szCs w:val="20"/>
          <w:lang w:val="ro-RO"/>
        </w:rPr>
        <w:t xml:space="preserve">Operatorul are obligația de a presta activitatea de tratare anaerobă a biodeșeurilor colectate separat, inclusiv transportul materialului semisolid stabilizat și al reziduurilor la depozitele de deșeuri și/sau la instalațiile de valorificare energetică, în condițiile legii, la instalația de digestie anaerobă din cadrul </w:t>
      </w:r>
      <w:r>
        <w:rPr>
          <w:i/>
          <w:sz w:val="20"/>
          <w:szCs w:val="20"/>
          <w:lang w:val="ro-RO"/>
        </w:rPr>
        <w:t>Stației de tratare mecano-biologică cu digestie anaerobă și recuperare de energie Galați.</w:t>
      </w:r>
      <w:r>
        <w:rPr>
          <w:sz w:val="20"/>
          <w:szCs w:val="20"/>
          <w:lang w:val="ro-RO"/>
        </w:rPr>
        <w:t xml:space="preserve"> </w:t>
      </w:r>
    </w:p>
    <w:p>
      <w:pPr>
        <w:tabs>
          <w:tab w:val="left" w:pos="2294"/>
        </w:tabs>
        <w:rPr>
          <w:sz w:val="20"/>
          <w:szCs w:val="20"/>
          <w:lang w:val="ro-RO"/>
        </w:rPr>
      </w:pPr>
      <w:r>
        <w:rPr>
          <w:sz w:val="20"/>
          <w:szCs w:val="20"/>
          <w:lang w:val="ro-RO"/>
        </w:rPr>
        <w:t>Operatorul are următoarele obligații de serviciu public:</w:t>
      </w:r>
    </w:p>
    <w:p>
      <w:pPr>
        <w:tabs>
          <w:tab w:val="left" w:pos="284"/>
        </w:tabs>
        <w:rPr>
          <w:sz w:val="20"/>
          <w:szCs w:val="20"/>
          <w:lang w:val="ro-RO"/>
        </w:rPr>
      </w:pPr>
      <w:r>
        <w:rPr>
          <w:sz w:val="20"/>
          <w:szCs w:val="20"/>
          <w:lang w:val="ro-RO"/>
        </w:rPr>
        <w:t>a)</w:t>
      </w:r>
      <w:r>
        <w:rPr>
          <w:sz w:val="20"/>
          <w:szCs w:val="20"/>
          <w:lang w:val="ro-RO"/>
        </w:rPr>
        <w:tab/>
        <w:t>prestarea activității/activităților de salubrizare cu respectarea legislației, normelor, prescripțiilor și regulamentelor privind securitatea și sănătatea în muncă, situațiile de urgență, gospodărirea apelor, protecția mediului, urmărirea comportării construcțiilor în timpul exploatării, precum și cu respectarea tuturor obligațiilor sale care îi revin conform legii și/sau pe care și le-a asumat prin hotărârea de dare în administrare sau, după caz, prin contractul de delegare a gestiunii;</w:t>
      </w:r>
    </w:p>
    <w:p>
      <w:pPr>
        <w:tabs>
          <w:tab w:val="left" w:pos="284"/>
        </w:tabs>
        <w:rPr>
          <w:sz w:val="20"/>
          <w:szCs w:val="20"/>
          <w:lang w:val="ro-RO"/>
        </w:rPr>
      </w:pPr>
      <w:r>
        <w:rPr>
          <w:sz w:val="20"/>
          <w:szCs w:val="20"/>
          <w:lang w:val="ro-RO"/>
        </w:rPr>
        <w:t>b)</w:t>
      </w:r>
      <w:r>
        <w:rPr>
          <w:sz w:val="20"/>
          <w:szCs w:val="20"/>
          <w:lang w:val="ro-RO"/>
        </w:rPr>
        <w:tab/>
        <w:t>exploatarea, întreținerea și reparația instalațiilor și utilajelor cu personal propriu și/sau autorizat, în funcție de complexitatea instalației și de specificul locului de muncă;</w:t>
      </w:r>
    </w:p>
    <w:p>
      <w:pPr>
        <w:tabs>
          <w:tab w:val="left" w:pos="284"/>
        </w:tabs>
        <w:rPr>
          <w:sz w:val="20"/>
          <w:szCs w:val="20"/>
          <w:lang w:val="ro-RO"/>
        </w:rPr>
      </w:pPr>
      <w:r>
        <w:rPr>
          <w:sz w:val="20"/>
          <w:szCs w:val="20"/>
          <w:lang w:val="ro-RO"/>
        </w:rPr>
        <w:t>c)</w:t>
      </w:r>
      <w:r>
        <w:rPr>
          <w:sz w:val="20"/>
          <w:szCs w:val="20"/>
          <w:lang w:val="ro-RO"/>
        </w:rPr>
        <w:tab/>
        <w:t>elaborarea planurilor anuale de revizii și reparații executate cu forțe proprii și cu terți;</w:t>
      </w:r>
    </w:p>
    <w:p>
      <w:pPr>
        <w:tabs>
          <w:tab w:val="left" w:pos="284"/>
        </w:tabs>
        <w:rPr>
          <w:sz w:val="20"/>
          <w:szCs w:val="20"/>
          <w:lang w:val="ro-RO"/>
        </w:rPr>
      </w:pPr>
      <w:r>
        <w:rPr>
          <w:sz w:val="20"/>
          <w:szCs w:val="20"/>
          <w:lang w:val="ro-RO"/>
        </w:rPr>
        <w:t>d)</w:t>
      </w:r>
      <w:r>
        <w:rPr>
          <w:sz w:val="20"/>
          <w:szCs w:val="20"/>
          <w:lang w:val="ro-RO"/>
        </w:rPr>
        <w:tab/>
        <w:t>să țină evidența orelor de funcționare a autospecialelor, instalațiilor și utilajelor;</w:t>
      </w:r>
    </w:p>
    <w:p>
      <w:pPr>
        <w:tabs>
          <w:tab w:val="left" w:pos="284"/>
        </w:tabs>
        <w:rPr>
          <w:sz w:val="20"/>
          <w:szCs w:val="20"/>
          <w:lang w:val="ro-RO"/>
        </w:rPr>
      </w:pPr>
      <w:r>
        <w:rPr>
          <w:sz w:val="20"/>
          <w:szCs w:val="20"/>
          <w:lang w:val="ro-RO"/>
        </w:rPr>
        <w:t>e)</w:t>
      </w:r>
      <w:r>
        <w:rPr>
          <w:sz w:val="20"/>
          <w:szCs w:val="20"/>
          <w:lang w:val="ro-RO"/>
        </w:rPr>
        <w:tab/>
        <w:t>să asigure personalul necesar pentru prestarea activităților asumate prin contractul de delegare sau prin hotărârea de dare în administrare;</w:t>
      </w:r>
    </w:p>
    <w:p>
      <w:pPr>
        <w:tabs>
          <w:tab w:val="left" w:pos="284"/>
        </w:tabs>
        <w:rPr>
          <w:sz w:val="20"/>
          <w:szCs w:val="20"/>
          <w:lang w:val="ro-RO"/>
        </w:rPr>
      </w:pPr>
      <w:r>
        <w:rPr>
          <w:sz w:val="20"/>
          <w:szCs w:val="20"/>
          <w:lang w:val="ro-RO"/>
        </w:rPr>
        <w:t>f)</w:t>
      </w:r>
      <w:r>
        <w:rPr>
          <w:sz w:val="20"/>
          <w:szCs w:val="20"/>
          <w:lang w:val="ro-RO"/>
        </w:rPr>
        <w:tab/>
        <w:t>să asigure conducerea operativă prin dispecerat, la solicitarea scrisă a delegatarului și cu recunoașterea costurilor aferente în tarif;</w:t>
      </w:r>
    </w:p>
    <w:p>
      <w:pPr>
        <w:tabs>
          <w:tab w:val="left" w:pos="284"/>
        </w:tabs>
        <w:rPr>
          <w:sz w:val="20"/>
          <w:szCs w:val="20"/>
          <w:lang w:val="ro-RO"/>
        </w:rPr>
      </w:pPr>
      <w:r>
        <w:rPr>
          <w:sz w:val="20"/>
          <w:szCs w:val="20"/>
          <w:lang w:val="ro-RO"/>
        </w:rPr>
        <w:t>g)</w:t>
      </w:r>
      <w:r>
        <w:rPr>
          <w:sz w:val="20"/>
          <w:szCs w:val="20"/>
          <w:lang w:val="ro-RO"/>
        </w:rPr>
        <w:tab/>
        <w:t>să dețină o dotare proprie cu instalații și echipamente specifice necesare pentru prestarea activităților, în condițiile stabilite prin contract sau prin hotărârea de dare în administrare;</w:t>
      </w:r>
    </w:p>
    <w:p>
      <w:pPr>
        <w:tabs>
          <w:tab w:val="left" w:pos="284"/>
        </w:tabs>
        <w:rPr>
          <w:sz w:val="20"/>
          <w:szCs w:val="20"/>
          <w:lang w:val="ro-RO"/>
        </w:rPr>
      </w:pPr>
      <w:r>
        <w:rPr>
          <w:sz w:val="20"/>
          <w:szCs w:val="20"/>
          <w:lang w:val="ro-RO"/>
        </w:rPr>
        <w:t>h)</w:t>
      </w:r>
      <w:r>
        <w:rPr>
          <w:sz w:val="20"/>
          <w:szCs w:val="20"/>
          <w:lang w:val="ro-RO"/>
        </w:rPr>
        <w:tab/>
        <w:t>să aplice metode performante de management, care să conducă la reducerea costurilor de operare, inclusiv prin aplicarea procedurilor concurențiale prevăzute de normele legale în vigoare privind achizițiile publice, și să asigure totodată respectarea cerințelor specifice din legislația privind protecția mediului.</w:t>
      </w:r>
    </w:p>
    <w:p>
      <w:pPr>
        <w:tabs>
          <w:tab w:val="left" w:pos="284"/>
        </w:tabs>
        <w:rPr>
          <w:sz w:val="20"/>
          <w:szCs w:val="20"/>
          <w:lang w:val="ro-RO"/>
        </w:rPr>
      </w:pPr>
      <w:r>
        <w:rPr>
          <w:sz w:val="20"/>
          <w:szCs w:val="20"/>
          <w:lang w:val="ro-RO"/>
        </w:rPr>
        <w:t>Prestarea activității de salubrizare se va realiza astfel încât să se asigure:</w:t>
      </w:r>
    </w:p>
    <w:p>
      <w:pPr>
        <w:tabs>
          <w:tab w:val="left" w:pos="284"/>
        </w:tabs>
        <w:rPr>
          <w:sz w:val="20"/>
          <w:szCs w:val="20"/>
          <w:lang w:val="ro-RO"/>
        </w:rPr>
      </w:pPr>
      <w:r>
        <w:rPr>
          <w:sz w:val="20"/>
          <w:szCs w:val="20"/>
          <w:lang w:val="ro-RO"/>
        </w:rPr>
        <w:t>a)</w:t>
      </w:r>
      <w:r>
        <w:rPr>
          <w:sz w:val="20"/>
          <w:szCs w:val="20"/>
          <w:lang w:val="ro-RO"/>
        </w:rPr>
        <w:tab/>
        <w:t xml:space="preserve">continuitatea activității, indiferent de anotimp, cu respectarea prevederilor contractuale; </w:t>
      </w:r>
    </w:p>
    <w:p>
      <w:pPr>
        <w:tabs>
          <w:tab w:val="left" w:pos="284"/>
        </w:tabs>
        <w:rPr>
          <w:sz w:val="20"/>
          <w:szCs w:val="20"/>
          <w:lang w:val="ro-RO"/>
        </w:rPr>
      </w:pPr>
      <w:r>
        <w:rPr>
          <w:sz w:val="20"/>
          <w:szCs w:val="20"/>
          <w:lang w:val="ro-RO"/>
        </w:rPr>
        <w:t>b)</w:t>
      </w:r>
      <w:r>
        <w:rPr>
          <w:sz w:val="20"/>
          <w:szCs w:val="20"/>
          <w:lang w:val="ro-RO"/>
        </w:rPr>
        <w:tab/>
        <w:t>adaptarea regimului de prestare a activității la cerințele utilizatorului;</w:t>
      </w:r>
    </w:p>
    <w:p>
      <w:pPr>
        <w:tabs>
          <w:tab w:val="left" w:pos="284"/>
        </w:tabs>
        <w:rPr>
          <w:sz w:val="20"/>
          <w:szCs w:val="20"/>
          <w:lang w:val="ro-RO"/>
        </w:rPr>
      </w:pPr>
      <w:r>
        <w:rPr>
          <w:sz w:val="20"/>
          <w:szCs w:val="20"/>
          <w:lang w:val="ro-RO"/>
        </w:rPr>
        <w:t>c)</w:t>
      </w:r>
      <w:r>
        <w:rPr>
          <w:sz w:val="20"/>
          <w:szCs w:val="20"/>
          <w:lang w:val="ro-RO"/>
        </w:rPr>
        <w:tab/>
        <w:t>verificarea calității serviciului prestat;</w:t>
      </w:r>
    </w:p>
    <w:p>
      <w:pPr>
        <w:tabs>
          <w:tab w:val="left" w:pos="284"/>
        </w:tabs>
        <w:rPr>
          <w:sz w:val="20"/>
          <w:szCs w:val="20"/>
          <w:lang w:val="ro-RO"/>
        </w:rPr>
      </w:pPr>
      <w:r>
        <w:rPr>
          <w:sz w:val="20"/>
          <w:szCs w:val="20"/>
          <w:lang w:val="ro-RO"/>
        </w:rPr>
        <w:t>d)</w:t>
      </w:r>
      <w:r>
        <w:rPr>
          <w:sz w:val="20"/>
          <w:szCs w:val="20"/>
          <w:lang w:val="ro-RO"/>
        </w:rPr>
        <w:tab/>
        <w:t>respectarea instrucțiunilor/procedurilor interne de prestare a activității;</w:t>
      </w:r>
    </w:p>
    <w:p>
      <w:pPr>
        <w:tabs>
          <w:tab w:val="left" w:pos="284"/>
        </w:tabs>
        <w:rPr>
          <w:sz w:val="20"/>
          <w:szCs w:val="20"/>
          <w:lang w:val="ro-RO"/>
        </w:rPr>
      </w:pPr>
      <w:r>
        <w:rPr>
          <w:sz w:val="20"/>
          <w:szCs w:val="20"/>
          <w:lang w:val="ro-RO"/>
        </w:rPr>
        <w:t>e)</w:t>
      </w:r>
      <w:r>
        <w:rPr>
          <w:sz w:val="20"/>
          <w:szCs w:val="20"/>
          <w:lang w:val="ro-RO"/>
        </w:rPr>
        <w:tab/>
        <w:t>ținerea la zi a documentelor cu privire la prestarea activității;</w:t>
      </w:r>
    </w:p>
    <w:p>
      <w:pPr>
        <w:tabs>
          <w:tab w:val="left" w:pos="284"/>
        </w:tabs>
        <w:rPr>
          <w:sz w:val="20"/>
          <w:szCs w:val="20"/>
          <w:lang w:val="ro-RO"/>
        </w:rPr>
      </w:pPr>
      <w:r>
        <w:rPr>
          <w:sz w:val="20"/>
          <w:szCs w:val="20"/>
          <w:lang w:val="ro-RO"/>
        </w:rPr>
        <w:t>f)</w:t>
      </w:r>
      <w:r>
        <w:rPr>
          <w:sz w:val="20"/>
          <w:szCs w:val="20"/>
          <w:lang w:val="ro-RO"/>
        </w:rPr>
        <w:tab/>
        <w:t>respectarea regulamentului serviciului de salubrizare aprobat de delegatar;</w:t>
      </w:r>
    </w:p>
    <w:p>
      <w:pPr>
        <w:tabs>
          <w:tab w:val="left" w:pos="284"/>
        </w:tabs>
        <w:rPr>
          <w:sz w:val="20"/>
          <w:szCs w:val="20"/>
          <w:lang w:val="ro-RO"/>
        </w:rPr>
      </w:pPr>
      <w:r>
        <w:rPr>
          <w:sz w:val="20"/>
          <w:szCs w:val="20"/>
          <w:lang w:val="ro-RO"/>
        </w:rPr>
        <w:t>g)</w:t>
      </w:r>
      <w:r>
        <w:rPr>
          <w:sz w:val="20"/>
          <w:szCs w:val="20"/>
          <w:lang w:val="ro-RO"/>
        </w:rPr>
        <w:tab/>
        <w:t>prestarea activității pe baza principiilor de eficiență economică;</w:t>
      </w:r>
    </w:p>
    <w:p>
      <w:pPr>
        <w:tabs>
          <w:tab w:val="left" w:pos="284"/>
        </w:tabs>
        <w:rPr>
          <w:sz w:val="20"/>
          <w:szCs w:val="20"/>
          <w:lang w:val="ro-RO"/>
        </w:rPr>
      </w:pPr>
      <w:r>
        <w:rPr>
          <w:sz w:val="20"/>
          <w:szCs w:val="20"/>
          <w:lang w:val="ro-RO"/>
        </w:rPr>
        <w:t>h)</w:t>
      </w:r>
      <w:r>
        <w:rPr>
          <w:sz w:val="20"/>
          <w:szCs w:val="20"/>
          <w:lang w:val="ro-RO"/>
        </w:rPr>
        <w:tab/>
        <w:t>reînnoirea parcului auto, în condițiile prevăzute în contractul de delegare;</w:t>
      </w:r>
    </w:p>
    <w:p>
      <w:pPr>
        <w:tabs>
          <w:tab w:val="left" w:pos="284"/>
        </w:tabs>
        <w:rPr>
          <w:sz w:val="20"/>
          <w:szCs w:val="20"/>
          <w:lang w:val="ro-RO"/>
        </w:rPr>
      </w:pPr>
      <w:r>
        <w:rPr>
          <w:sz w:val="20"/>
          <w:szCs w:val="20"/>
          <w:lang w:val="ro-RO"/>
        </w:rPr>
        <w:t>i)</w:t>
      </w:r>
      <w:r>
        <w:rPr>
          <w:sz w:val="20"/>
          <w:szCs w:val="20"/>
          <w:lang w:val="ro-RO"/>
        </w:rPr>
        <w:tab/>
        <w:t xml:space="preserve">îndeplinirea indicatorilor de performanță corelați cu țintele/obiectivele asumate la nivel național, precum și indicatorii de performanță privind calitatea serviciului, aprobați de delegatar; </w:t>
      </w:r>
    </w:p>
    <w:p>
      <w:pPr>
        <w:tabs>
          <w:tab w:val="left" w:pos="284"/>
        </w:tabs>
        <w:rPr>
          <w:sz w:val="20"/>
          <w:szCs w:val="20"/>
          <w:lang w:val="ro-RO"/>
        </w:rPr>
      </w:pPr>
      <w:r>
        <w:rPr>
          <w:sz w:val="20"/>
          <w:szCs w:val="20"/>
          <w:lang w:val="ro-RO"/>
        </w:rPr>
        <w:t>j)</w:t>
      </w:r>
      <w:r>
        <w:rPr>
          <w:sz w:val="20"/>
          <w:szCs w:val="20"/>
          <w:lang w:val="ro-RO"/>
        </w:rPr>
        <w:tab/>
        <w:t>asigurarea, pe toată durata de executare a activității, de personal calificat și în număr suficient.</w:t>
      </w:r>
    </w:p>
    <w:p>
      <w:pPr>
        <w:tabs>
          <w:tab w:val="left" w:pos="284"/>
        </w:tabs>
        <w:rPr>
          <w:sz w:val="20"/>
          <w:szCs w:val="20"/>
          <w:lang w:val="ro-RO"/>
        </w:rPr>
      </w:pPr>
      <w:r>
        <w:rPr>
          <w:sz w:val="20"/>
          <w:szCs w:val="20"/>
          <w:lang w:val="ro-RO"/>
        </w:rPr>
        <w:t>Obligațiile și răspunderile personalului operativ al operatorului sunt cuprinse în regulamentul serviciului (regulamentul de serviciu se întocmește pe baza regulamentului - cadru al serviciului de salubrizare aprobat de A.N.R.S.C.).</w:t>
      </w:r>
    </w:p>
    <w:p>
      <w:pPr>
        <w:tabs>
          <w:tab w:val="left" w:pos="2294"/>
        </w:tabs>
        <w:rPr>
          <w:sz w:val="20"/>
          <w:szCs w:val="20"/>
          <w:lang w:val="ro-RO"/>
        </w:rPr>
      </w:pPr>
      <w:r>
        <w:rPr>
          <w:sz w:val="20"/>
          <w:szCs w:val="20"/>
          <w:lang w:val="ro-RO"/>
        </w:rPr>
        <w:t>Procesul de tratare mecano-biologică a deşeurilor trebuie să se desfăşoare astfel încât să fie respectate cerinţele documentaţiei de atribuire, precum şi toţi indicatorii de performanţă stabiliţi.</w:t>
      </w:r>
    </w:p>
    <w:p>
      <w:pPr>
        <w:tabs>
          <w:tab w:val="left" w:pos="2294"/>
        </w:tabs>
        <w:rPr>
          <w:sz w:val="20"/>
          <w:szCs w:val="20"/>
          <w:lang w:val="ro-RO"/>
        </w:rPr>
      </w:pPr>
      <w:r>
        <w:rPr>
          <w:sz w:val="20"/>
          <w:szCs w:val="20"/>
          <w:lang w:val="ro-RO"/>
        </w:rPr>
        <w:lastRenderedPageBreak/>
        <w:t>De asemenea pentru monitorizarea proceselor tehnologice, a calitatii factorilor de mediu dar si a digestatului rezultat si a compostului, Antreprenorul va trebui sa doteze propriul laborator cu echipamentele necesare, cu un minim privind asigurarea tuturor echipamentelor şi materialelor legate de monitorizarea parametrilor fluxului tehnologic astfel incat laboratorul sa poata fi acreditat conform legislatiei nationale si europene.</w:t>
      </w:r>
    </w:p>
    <w:p>
      <w:pPr>
        <w:tabs>
          <w:tab w:val="left" w:pos="2294"/>
        </w:tabs>
        <w:rPr>
          <w:sz w:val="20"/>
          <w:szCs w:val="20"/>
          <w:lang w:val="ro-RO"/>
        </w:rPr>
      </w:pPr>
      <w:r>
        <w:rPr>
          <w:sz w:val="20"/>
          <w:szCs w:val="20"/>
          <w:lang w:val="ro-RO"/>
        </w:rPr>
        <w:t xml:space="preserve">Operarea instalațiilor se va realiza cu respectarea prevederilor Acordului de Mediu aferent proiectului </w:t>
      </w:r>
      <w:r>
        <w:rPr>
          <w:i/>
          <w:sz w:val="20"/>
          <w:szCs w:val="20"/>
          <w:lang w:val="ro-RO"/>
        </w:rPr>
        <w:t xml:space="preserve">Sistem de management integrat al deșeurilor în județul Galați, </w:t>
      </w:r>
      <w:r>
        <w:rPr>
          <w:sz w:val="20"/>
          <w:szCs w:val="20"/>
          <w:lang w:val="ro-RO"/>
        </w:rPr>
        <w:t>cele din Avizul de Gospodărire a Apelor, autorizația ISU precum și orice altă cerință suplimentară impusă de o autoritate competentă privind prestarea serviciilor și exploatarea în regim normal a obiectivului.</w:t>
      </w:r>
    </w:p>
    <w:p>
      <w:pPr>
        <w:keepNext/>
        <w:keepLines/>
        <w:spacing w:before="40" w:after="0"/>
        <w:outlineLvl w:val="4"/>
        <w:rPr>
          <w:rFonts w:eastAsiaTheme="majorEastAsia" w:cstheme="majorBidi"/>
          <w:b/>
          <w:sz w:val="20"/>
          <w:lang w:val="ro-RO"/>
        </w:rPr>
      </w:pPr>
      <w:r>
        <w:rPr>
          <w:rFonts w:eastAsiaTheme="majorEastAsia" w:cstheme="majorBidi"/>
          <w:b/>
          <w:sz w:val="20"/>
          <w:lang w:val="ro-RO"/>
        </w:rPr>
        <w:t>3.1.1.5.1 Tratarea anaerobă a biodeșeurilor colectate separat în instalații de digestie anaerobă, inclusiv transportul materialului semisolid igienizat și stabilizat la depozitele de deșeuri și/sau la instalațiile de valorificare energetică</w:t>
      </w:r>
    </w:p>
    <w:p>
      <w:pPr>
        <w:numPr>
          <w:ilvl w:val="0"/>
          <w:numId w:val="1"/>
        </w:numPr>
        <w:ind w:left="284" w:hanging="284"/>
        <w:contextualSpacing/>
        <w:rPr>
          <w:sz w:val="20"/>
          <w:lang w:val="ro-RO"/>
        </w:rPr>
      </w:pPr>
      <w:r>
        <w:rPr>
          <w:sz w:val="20"/>
          <w:lang w:val="ro-RO"/>
        </w:rPr>
        <w:t xml:space="preserve">La instalația de digestie anaerobă din cadrul </w:t>
      </w:r>
      <w:r>
        <w:rPr>
          <w:i/>
          <w:sz w:val="20"/>
          <w:lang w:val="ro-RO"/>
        </w:rPr>
        <w:t xml:space="preserve">Stației de tratare mecano-biologică cu digestie anaerobă și recuperare de energie Galați </w:t>
      </w:r>
      <w:r>
        <w:rPr>
          <w:sz w:val="20"/>
          <w:lang w:val="ro-RO"/>
        </w:rPr>
        <w:t xml:space="preserve">vor fi tratate biodeșeurile colectate separat din mediul urban al județului Galați (Municipiul Galați, Municipiul Tecuci, orașul Târgu Bujor și orașul Berești) și din 10 localități rurale (Barcea, Drăgăneşti, Matca, Braniştea, Pechea, Schela, Şendreni, Smârdan, Tuluceşti, Vânători). </w:t>
      </w:r>
    </w:p>
    <w:p>
      <w:pPr>
        <w:numPr>
          <w:ilvl w:val="0"/>
          <w:numId w:val="1"/>
        </w:numPr>
        <w:ind w:left="284" w:hanging="284"/>
        <w:contextualSpacing/>
        <w:rPr>
          <w:sz w:val="20"/>
          <w:lang w:val="ro-RO"/>
        </w:rPr>
      </w:pPr>
      <w:r>
        <w:rPr>
          <w:sz w:val="20"/>
          <w:lang w:val="ro-RO"/>
        </w:rPr>
        <w:t>Biodeşeuri menajere, similare şi din pieţe colectate separat vor fi tratate distinct faţă de deşeurile reziduale (pretratare mecanică urmată de introducere în digestor dedicat).</w:t>
      </w:r>
    </w:p>
    <w:p>
      <w:pPr>
        <w:numPr>
          <w:ilvl w:val="0"/>
          <w:numId w:val="1"/>
        </w:numPr>
        <w:ind w:left="284" w:hanging="284"/>
        <w:contextualSpacing/>
        <w:rPr>
          <w:sz w:val="20"/>
          <w:lang w:val="ro-RO"/>
        </w:rPr>
      </w:pPr>
      <w:r>
        <w:rPr>
          <w:sz w:val="20"/>
          <w:lang w:val="ro-RO"/>
        </w:rPr>
        <w:t xml:space="preserve">Cantitatea totală anuală de biodeșeuri colecate separat estimată a fi tratată, în primul an de operare, la instalațiile de digestie anaerobă este de 56.269 tone/an, la Stația de tratare mecano-biologică cu digestie anaerobă și recuperare de energie Galați. </w:t>
      </w:r>
    </w:p>
    <w:p>
      <w:pPr>
        <w:numPr>
          <w:ilvl w:val="0"/>
          <w:numId w:val="1"/>
        </w:numPr>
        <w:ind w:left="284" w:hanging="284"/>
        <w:contextualSpacing/>
        <w:rPr>
          <w:sz w:val="20"/>
          <w:lang w:val="ro-RO"/>
        </w:rPr>
      </w:pPr>
      <w:r>
        <w:rPr>
          <w:sz w:val="20"/>
          <w:lang w:val="ro-RO"/>
        </w:rPr>
        <w:t>Indicatorii de performanță pentru operarea instalațiilor TMB sunt prevăzuți în anexa nr. 5 (indicatorii 1-5), și în Studiul de fundamentare, cap 3.2. În studiul de fundamentare cap. 3.2 sunt prezentate de asemenea informații referitoare la modalitățile de calcul pentru indicatorii de performanță aferenți TMB.</w:t>
      </w:r>
    </w:p>
    <w:p>
      <w:pPr>
        <w:numPr>
          <w:ilvl w:val="0"/>
          <w:numId w:val="1"/>
        </w:numPr>
        <w:ind w:left="284" w:hanging="284"/>
        <w:contextualSpacing/>
        <w:rPr>
          <w:sz w:val="20"/>
          <w:lang w:val="ro-RO"/>
        </w:rPr>
      </w:pPr>
      <w:r>
        <w:rPr>
          <w:sz w:val="20"/>
          <w:lang w:val="ro-RO"/>
        </w:rPr>
        <w:t>Cantitatea totală estimată de deșeuri care vor necesita transport la depozitul de deșeuri Valea Mărului (reziduuri din tratarea mecanică și biologică și digestat din deșeuri reziduale), în primul an de operare, este de 23.095 tone/an (</w:t>
      </w:r>
      <w:r>
        <w:rPr>
          <w:i/>
          <w:iCs/>
          <w:sz w:val="20"/>
          <w:lang w:val="ro-RO"/>
        </w:rPr>
        <w:t>total reziduuri trimise la depozitare</w:t>
      </w:r>
      <w:r>
        <w:rPr>
          <w:sz w:val="20"/>
          <w:lang w:val="ro-RO"/>
        </w:rPr>
        <w:t>).</w:t>
      </w:r>
    </w:p>
    <w:p>
      <w:pPr>
        <w:numPr>
          <w:ilvl w:val="0"/>
          <w:numId w:val="1"/>
        </w:numPr>
        <w:ind w:left="284" w:hanging="284"/>
        <w:contextualSpacing/>
        <w:rPr>
          <w:sz w:val="20"/>
          <w:lang w:val="ro-RO"/>
        </w:rPr>
      </w:pPr>
      <w:r>
        <w:rPr>
          <w:sz w:val="20"/>
          <w:lang w:val="ro-RO"/>
        </w:rPr>
        <w:t>Operatorul va transporta la depozitul de deșeuri de la Valea Mărului întreaga cantitate de reziduuri și digestat din deșeuri reziduale rezultată din procesul de digestie anaerobă.</w:t>
      </w:r>
    </w:p>
    <w:p>
      <w:pPr>
        <w:numPr>
          <w:ilvl w:val="0"/>
          <w:numId w:val="1"/>
        </w:numPr>
        <w:ind w:left="284" w:hanging="284"/>
        <w:contextualSpacing/>
        <w:rPr>
          <w:sz w:val="20"/>
          <w:lang w:val="ro-RO"/>
        </w:rPr>
      </w:pPr>
      <w:r>
        <w:rPr>
          <w:sz w:val="20"/>
          <w:lang w:val="ro-RO"/>
        </w:rPr>
        <w:t>Pentru operarea stației/instalațiilor de digestie anaerobă se fundamentează/stabilește un tarif de digestie anaerobă prin raportare la cantitatea totală anuală de biodeșeuri estimată a fi tratată, în primul an de operare, la stația/instalațiile de digestie anaerobă. În structura tarifului se includ numai cheltuielile aferente prestării activității.</w:t>
      </w:r>
    </w:p>
    <w:p>
      <w:pPr>
        <w:numPr>
          <w:ilvl w:val="0"/>
          <w:numId w:val="1"/>
        </w:numPr>
        <w:ind w:left="284"/>
        <w:contextualSpacing/>
        <w:rPr>
          <w:sz w:val="20"/>
          <w:lang w:val="ro-RO"/>
        </w:rPr>
      </w:pPr>
      <w:r>
        <w:rPr>
          <w:sz w:val="20"/>
          <w:lang w:val="ro-RO"/>
        </w:rPr>
        <w:t>Biogazul produs în urma proceselor de tratare biologică prin fermentaţie anaerobă va fi folosit pentru producerea de energie termică necesară derulării proceselor TMB, iar excesul, pentru producerea de energie electrică destinată funcţionării utilajelor.</w:t>
      </w:r>
    </w:p>
    <w:p>
      <w:pPr>
        <w:numPr>
          <w:ilvl w:val="0"/>
          <w:numId w:val="1"/>
        </w:numPr>
        <w:ind w:left="284"/>
        <w:contextualSpacing/>
        <w:rPr>
          <w:sz w:val="20"/>
          <w:szCs w:val="20"/>
          <w:lang w:val="ro-RO"/>
        </w:rPr>
      </w:pPr>
      <w:r>
        <w:rPr>
          <w:sz w:val="20"/>
          <w:lang w:val="ro-RO"/>
        </w:rPr>
        <w:t xml:space="preserve">Operatorul are obligația de a comercializa/valorifica compostul din digestat, cu respectarea tuturor regulilor și reglementărilor referitoare la calitatea și conținutul compostului. </w:t>
      </w:r>
    </w:p>
    <w:p>
      <w:pPr>
        <w:ind w:left="284"/>
        <w:contextualSpacing/>
        <w:rPr>
          <w:sz w:val="20"/>
          <w:szCs w:val="20"/>
          <w:lang w:val="ro-RO"/>
        </w:rPr>
      </w:pPr>
      <w:r>
        <w:rPr>
          <w:sz w:val="20"/>
          <w:szCs w:val="20"/>
          <w:lang w:val="ro-RO"/>
        </w:rPr>
        <w:t>Pentru ca compostul obținut din digestatul rezultat din tratarea biodeşeurilor colectate separat să poată îndeplini condiţiile de valorificare, este necesară realizarea de analize de laborator pe fiecare sarja rezultata din procesul de digestie.</w:t>
      </w:r>
    </w:p>
    <w:p>
      <w:pPr>
        <w:tabs>
          <w:tab w:val="left" w:pos="2294"/>
        </w:tabs>
        <w:ind w:left="284"/>
        <w:rPr>
          <w:sz w:val="20"/>
          <w:szCs w:val="20"/>
          <w:lang w:val="ro-RO"/>
        </w:rPr>
      </w:pPr>
      <w:r>
        <w:rPr>
          <w:sz w:val="20"/>
          <w:szCs w:val="20"/>
          <w:lang w:val="ro-RO"/>
        </w:rPr>
        <w:t>Instalația de compostare şi toate echipamentele şi materialele necesare organizării şi desfăşurării procesului de obţinere a unui compost valorificabil vor fi asigurate de către Antreprenor.</w:t>
      </w:r>
    </w:p>
    <w:p>
      <w:pPr>
        <w:numPr>
          <w:ilvl w:val="0"/>
          <w:numId w:val="1"/>
        </w:numPr>
        <w:ind w:left="284"/>
        <w:contextualSpacing/>
        <w:rPr>
          <w:sz w:val="20"/>
          <w:lang w:val="ro-RO"/>
        </w:rPr>
      </w:pPr>
      <w:r>
        <w:rPr>
          <w:sz w:val="20"/>
          <w:lang w:val="ro-RO"/>
        </w:rPr>
        <w:t>Materialul care în urma procesului de digestie anaerobă nu îndeplinește cerințele categoriilor de folosință pentru a fi comercializat/valorificat va fi eliminat la depozitul de deșeuri de la Valea Mărului.Veniturile estimate a fi obținute de operator din vânzarea/valorificarea digestatului și energiei, după caz, nu se includ în structura tarifului, sub sancțiunea declarării ofertei ca neconformă.</w:t>
      </w:r>
    </w:p>
    <w:p>
      <w:pPr>
        <w:numPr>
          <w:ilvl w:val="0"/>
          <w:numId w:val="1"/>
        </w:numPr>
        <w:ind w:left="284"/>
        <w:contextualSpacing/>
        <w:rPr>
          <w:sz w:val="20"/>
          <w:lang w:val="ro-RO"/>
        </w:rPr>
      </w:pPr>
      <w:r>
        <w:rPr>
          <w:sz w:val="20"/>
          <w:lang w:val="ro-RO"/>
        </w:rPr>
        <w:t>Veniturile realizate de operator din vânzarea/valorificarea digestatului și energiei se vor raporta lunar delegatarului și vor fi păstrate de către operator, într-un cont distinct, în vederea acoperirii diferenței de tarif dintre tariful de operare și tariful de facturare aprobat de delegatar, în conformitate cu prevederile art. 44 alin. (5) – (7) din Legea nr. 101/2006, republicată, cu modificările și completările ulterioare.</w:t>
      </w:r>
      <w:r>
        <w:rPr>
          <w:sz w:val="20"/>
          <w:highlight w:val="yellow"/>
          <w:lang w:val="ro-RO"/>
        </w:rPr>
        <w:t xml:space="preserve"> </w:t>
      </w:r>
      <w:r>
        <w:rPr>
          <w:sz w:val="20"/>
          <w:lang w:val="ro-RO"/>
        </w:rPr>
        <w:t xml:space="preserve"> </w:t>
      </w:r>
    </w:p>
    <w:p>
      <w:pPr>
        <w:numPr>
          <w:ilvl w:val="0"/>
          <w:numId w:val="1"/>
        </w:numPr>
        <w:ind w:left="284"/>
        <w:contextualSpacing/>
        <w:rPr>
          <w:sz w:val="20"/>
          <w:lang w:val="ro-RO"/>
        </w:rPr>
      </w:pPr>
      <w:r>
        <w:rPr>
          <w:sz w:val="20"/>
          <w:lang w:val="ro-RO"/>
        </w:rPr>
        <w:lastRenderedPageBreak/>
        <w:t xml:space="preserve">Spațiile în care se realizează activitatea de tratare anaerobă a biodeșeurilor trebuie să îndeplinească următoarele cerințe minime:  </w:t>
      </w:r>
    </w:p>
    <w:p>
      <w:pPr>
        <w:rPr>
          <w:sz w:val="20"/>
          <w:lang w:val="ro-RO"/>
        </w:rPr>
      </w:pPr>
      <w:r>
        <w:rPr>
          <w:sz w:val="20"/>
          <w:lang w:val="ro-RO"/>
        </w:rPr>
        <w:t>a)</w:t>
      </w:r>
      <w:r>
        <w:rPr>
          <w:sz w:val="20"/>
          <w:lang w:val="ro-RO"/>
        </w:rPr>
        <w:tab/>
        <w:t>să dispună de o platformă betonată cu o suprafață suficientă pentru primirea biodeșeurilor și pentru stocarea temporară a acestora, în vederea tratării;</w:t>
      </w:r>
    </w:p>
    <w:p>
      <w:pPr>
        <w:rPr>
          <w:sz w:val="20"/>
          <w:lang w:val="ro-RO"/>
        </w:rPr>
      </w:pPr>
      <w:r>
        <w:rPr>
          <w:sz w:val="20"/>
          <w:lang w:val="ro-RO"/>
        </w:rPr>
        <w:t>b)</w:t>
      </w:r>
      <w:r>
        <w:rPr>
          <w:sz w:val="20"/>
          <w:lang w:val="ro-RO"/>
        </w:rPr>
        <w:tab/>
        <w:t>să fie prevăzute cu cântar pentru cântărirea la intrarea și ieșirea din stația/instalațiile de digestie anarebă a autospecialelor de transport biodeșeuri;</w:t>
      </w:r>
    </w:p>
    <w:p>
      <w:pPr>
        <w:rPr>
          <w:sz w:val="20"/>
          <w:lang w:val="ro-RO"/>
        </w:rPr>
      </w:pPr>
      <w:r>
        <w:rPr>
          <w:sz w:val="20"/>
          <w:lang w:val="ro-RO"/>
        </w:rPr>
        <w:t>c)</w:t>
      </w:r>
      <w:r>
        <w:rPr>
          <w:sz w:val="20"/>
          <w:lang w:val="ro-RO"/>
        </w:rPr>
        <w:tab/>
        <w:t>să fie prevăzute cu sisteme de colectare a apelor uzate tehnologice, apelor pluviale și levigatului;</w:t>
      </w:r>
    </w:p>
    <w:p>
      <w:pPr>
        <w:rPr>
          <w:sz w:val="20"/>
          <w:lang w:val="ro-RO"/>
        </w:rPr>
      </w:pPr>
      <w:r>
        <w:rPr>
          <w:sz w:val="20"/>
          <w:lang w:val="ro-RO"/>
        </w:rPr>
        <w:t>d)</w:t>
      </w:r>
      <w:r>
        <w:rPr>
          <w:sz w:val="20"/>
          <w:lang w:val="ro-RO"/>
        </w:rPr>
        <w:tab/>
        <w:t>să fie prevăzute cu bazine/tancuri de stocare a digestatului;</w:t>
      </w:r>
    </w:p>
    <w:p>
      <w:pPr>
        <w:rPr>
          <w:sz w:val="20"/>
          <w:lang w:val="ro-RO"/>
        </w:rPr>
      </w:pPr>
      <w:r>
        <w:rPr>
          <w:sz w:val="20"/>
          <w:lang w:val="ro-RO"/>
        </w:rPr>
        <w:t>e)</w:t>
      </w:r>
      <w:r>
        <w:rPr>
          <w:sz w:val="20"/>
          <w:lang w:val="ro-RO"/>
        </w:rPr>
        <w:tab/>
        <w:t>să fie prevăzute cu puncte de prelevare probe digestat;</w:t>
      </w:r>
    </w:p>
    <w:p>
      <w:pPr>
        <w:rPr>
          <w:sz w:val="20"/>
          <w:lang w:val="ro-RO"/>
        </w:rPr>
      </w:pPr>
      <w:r>
        <w:rPr>
          <w:sz w:val="20"/>
          <w:lang w:val="ro-RO"/>
        </w:rPr>
        <w:t>f)</w:t>
      </w:r>
      <w:r>
        <w:rPr>
          <w:sz w:val="20"/>
          <w:lang w:val="ro-RO"/>
        </w:rPr>
        <w:tab/>
        <w:t>să fie prevăzute cu instalații de spălare și dezinfectare;</w:t>
      </w:r>
    </w:p>
    <w:p>
      <w:pPr>
        <w:rPr>
          <w:sz w:val="20"/>
          <w:lang w:val="ro-RO"/>
        </w:rPr>
      </w:pPr>
      <w:r>
        <w:rPr>
          <w:sz w:val="20"/>
          <w:lang w:val="ro-RO"/>
        </w:rPr>
        <w:t>g)</w:t>
      </w:r>
      <w:r>
        <w:rPr>
          <w:sz w:val="20"/>
          <w:lang w:val="ro-RO"/>
        </w:rPr>
        <w:tab/>
        <w:t xml:space="preserve">să fie prevăzute cu puncte de prelevare probe ape uzate; </w:t>
      </w:r>
    </w:p>
    <w:p>
      <w:pPr>
        <w:rPr>
          <w:sz w:val="20"/>
          <w:lang w:val="ro-RO"/>
        </w:rPr>
      </w:pPr>
      <w:r>
        <w:rPr>
          <w:sz w:val="20"/>
          <w:lang w:val="ro-RO"/>
        </w:rPr>
        <w:t>h)</w:t>
      </w:r>
      <w:r>
        <w:rPr>
          <w:sz w:val="20"/>
          <w:lang w:val="ro-RO"/>
        </w:rPr>
        <w:tab/>
        <w:t>să fie prevăzute cu grupuri sanitare și vestiare conform normativelor în vigoare;</w:t>
      </w:r>
    </w:p>
    <w:p>
      <w:pPr>
        <w:rPr>
          <w:sz w:val="20"/>
          <w:lang w:val="ro-RO"/>
        </w:rPr>
      </w:pPr>
      <w:r>
        <w:rPr>
          <w:sz w:val="20"/>
          <w:lang w:val="ro-RO"/>
        </w:rPr>
        <w:t>i)</w:t>
      </w:r>
      <w:r>
        <w:rPr>
          <w:sz w:val="20"/>
          <w:lang w:val="ro-RO"/>
        </w:rPr>
        <w:tab/>
        <w:t>să fie dotate cu instalație de iluminat corespunzătoare desfășurării activității în orice perioadă a zilei;</w:t>
      </w:r>
    </w:p>
    <w:p>
      <w:pPr>
        <w:rPr>
          <w:sz w:val="20"/>
          <w:lang w:val="ro-RO"/>
        </w:rPr>
      </w:pPr>
      <w:r>
        <w:rPr>
          <w:sz w:val="20"/>
          <w:lang w:val="ro-RO"/>
        </w:rPr>
        <w:t>j)</w:t>
      </w:r>
      <w:r>
        <w:rPr>
          <w:sz w:val="20"/>
          <w:lang w:val="ro-RO"/>
        </w:rPr>
        <w:tab/>
        <w:t>să fie prevăzute cu mijloace tehnice de apărare împotriva incendiilor destinate prevenirii, limitării și stingerii acestora, conform cerințelor impuse prin avize/autorizații de către autorităților competente;</w:t>
      </w:r>
    </w:p>
    <w:p>
      <w:pPr>
        <w:rPr>
          <w:sz w:val="20"/>
          <w:lang w:val="ro-RO"/>
        </w:rPr>
      </w:pPr>
      <w:r>
        <w:rPr>
          <w:sz w:val="20"/>
          <w:lang w:val="ro-RO"/>
        </w:rPr>
        <w:t>k)</w:t>
      </w:r>
      <w:r>
        <w:rPr>
          <w:sz w:val="20"/>
          <w:lang w:val="ro-RO"/>
        </w:rPr>
        <w:tab/>
        <w:t>să asigure, conform specificațiilor tehnice ale instalației, captarea și dirijarea emisiilor rezultate din procesele de tratare biologică spre instalații adecvate de tratare și neutralizare.</w:t>
      </w:r>
    </w:p>
    <w:p>
      <w:pPr>
        <w:numPr>
          <w:ilvl w:val="0"/>
          <w:numId w:val="1"/>
        </w:numPr>
        <w:ind w:left="284"/>
        <w:contextualSpacing/>
        <w:rPr>
          <w:sz w:val="20"/>
          <w:lang w:val="ro-RO"/>
        </w:rPr>
      </w:pPr>
      <w:r>
        <w:rPr>
          <w:sz w:val="20"/>
          <w:lang w:val="ro-RO"/>
        </w:rPr>
        <w:t xml:space="preserve">Componentele, caracteristicile tehnice principale, procesele tehnologice și parametrii de funcționare ai stației/instalațiilor de digestie anaerobă din cadrul  </w:t>
      </w:r>
      <w:r>
        <w:rPr>
          <w:i/>
          <w:sz w:val="20"/>
          <w:lang w:val="ro-RO"/>
        </w:rPr>
        <w:t>Stației de tratare mecano-biologică cu digestie anaerobă și recuperare de energie Galați</w:t>
      </w:r>
      <w:r>
        <w:rPr>
          <w:i/>
          <w:iCs/>
          <w:sz w:val="20"/>
          <w:lang w:val="ro-RO"/>
        </w:rPr>
        <w:t xml:space="preserve"> </w:t>
      </w:r>
      <w:r>
        <w:rPr>
          <w:sz w:val="20"/>
          <w:lang w:val="ro-RO"/>
        </w:rPr>
        <w:t>sunt prezentate în anexa nr. 3 a caietului, Studiul de Fundamentare.</w:t>
      </w:r>
    </w:p>
    <w:p>
      <w:pPr>
        <w:numPr>
          <w:ilvl w:val="0"/>
          <w:numId w:val="1"/>
        </w:numPr>
        <w:ind w:left="284"/>
        <w:contextualSpacing/>
        <w:rPr>
          <w:sz w:val="20"/>
          <w:lang w:val="ro-RO"/>
        </w:rPr>
      </w:pPr>
      <w:r>
        <w:rPr>
          <w:sz w:val="20"/>
          <w:lang w:val="ro-RO"/>
        </w:rPr>
        <w:t xml:space="preserve">Instrucțiunile de operare al stației/instalațiilor de digestie anaerobă din cadrul </w:t>
      </w:r>
      <w:r>
        <w:rPr>
          <w:i/>
          <w:sz w:val="20"/>
          <w:lang w:val="ro-RO"/>
        </w:rPr>
        <w:t>Stației de tratare mecano-biologică cu digestie anaerobă și recuperare de energie Galați</w:t>
      </w:r>
      <w:r>
        <w:rPr>
          <w:i/>
          <w:iCs/>
          <w:sz w:val="20"/>
          <w:lang w:val="ro-RO"/>
        </w:rPr>
        <w:t xml:space="preserve"> </w:t>
      </w:r>
      <w:r>
        <w:rPr>
          <w:sz w:val="20"/>
          <w:lang w:val="ro-RO"/>
        </w:rPr>
        <w:t>se regăsesc în anexa nr. 6 a caietului, Studiul de Fundamentare.</w:t>
      </w:r>
    </w:p>
    <w:p>
      <w:pPr>
        <w:numPr>
          <w:ilvl w:val="0"/>
          <w:numId w:val="1"/>
        </w:numPr>
        <w:ind w:left="284"/>
        <w:contextualSpacing/>
        <w:rPr>
          <w:i/>
          <w:iCs/>
          <w:sz w:val="20"/>
          <w:lang w:val="ro-RO"/>
        </w:rPr>
      </w:pPr>
      <w:r>
        <w:rPr>
          <w:sz w:val="20"/>
          <w:lang w:val="ro-RO"/>
        </w:rPr>
        <w:t>Operatorul trebuie să asigure echipamentele/utilajele necesare pentru prestarea activității, prevăzute în lista de investiții în sarcina operatorului, de natura bunurilor de retur, conform cerințelor din subcapitolul 3.1.1.6.</w:t>
      </w:r>
      <w:r>
        <w:rPr>
          <w:i/>
          <w:iCs/>
          <w:sz w:val="20"/>
          <w:lang w:val="ro-RO"/>
        </w:rPr>
        <w:t xml:space="preserve"> </w:t>
      </w:r>
    </w:p>
    <w:p>
      <w:pPr>
        <w:ind w:left="284"/>
        <w:contextualSpacing/>
        <w:rPr>
          <w:iCs/>
          <w:sz w:val="20"/>
          <w:lang w:val="ro-RO"/>
        </w:rPr>
      </w:pPr>
    </w:p>
    <w:tbl>
      <w:tblPr>
        <w:tblStyle w:val="TableGrid"/>
        <w:tblW w:w="0" w:type="auto"/>
        <w:tblLook w:val="04A0" w:firstRow="1" w:lastRow="0" w:firstColumn="1" w:lastColumn="0" w:noHBand="0" w:noVBand="1"/>
      </w:tblPr>
      <w:tblGrid>
        <w:gridCol w:w="3256"/>
        <w:gridCol w:w="3402"/>
        <w:gridCol w:w="2947"/>
      </w:tblGrid>
      <w:tr>
        <w:tc>
          <w:tcPr>
            <w:tcW w:w="9605" w:type="dxa"/>
            <w:gridSpan w:val="3"/>
          </w:tcPr>
          <w:p>
            <w:pPr>
              <w:ind w:left="284"/>
              <w:contextualSpacing/>
              <w:rPr>
                <w:b/>
                <w:iCs/>
                <w:sz w:val="20"/>
              </w:rPr>
            </w:pPr>
            <w:r>
              <w:rPr>
                <w:iCs/>
                <w:sz w:val="20"/>
              </w:rPr>
              <w:t xml:space="preserve">Stația/instalațiile de digestie anaerobă: </w:t>
            </w:r>
            <w:r>
              <w:rPr>
                <w:i/>
                <w:iCs/>
                <w:sz w:val="20"/>
              </w:rPr>
              <w:t>Stația de tratare mecano-biologică cu digestie anaerobă și recuperare de energie Galați</w:t>
            </w:r>
          </w:p>
        </w:tc>
      </w:tr>
      <w:tr>
        <w:tc>
          <w:tcPr>
            <w:tcW w:w="3256" w:type="dxa"/>
          </w:tcPr>
          <w:p>
            <w:pPr>
              <w:ind w:left="284"/>
              <w:contextualSpacing/>
              <w:rPr>
                <w:iCs/>
                <w:sz w:val="20"/>
              </w:rPr>
            </w:pPr>
            <w:r>
              <w:rPr>
                <w:iCs/>
                <w:sz w:val="20"/>
              </w:rPr>
              <w:t>Denumire echipament/utilaj</w:t>
            </w:r>
          </w:p>
        </w:tc>
        <w:tc>
          <w:tcPr>
            <w:tcW w:w="3402" w:type="dxa"/>
          </w:tcPr>
          <w:p>
            <w:pPr>
              <w:ind w:left="284"/>
              <w:contextualSpacing/>
              <w:rPr>
                <w:iCs/>
                <w:sz w:val="20"/>
              </w:rPr>
            </w:pPr>
            <w:r>
              <w:rPr>
                <w:iCs/>
                <w:sz w:val="20"/>
              </w:rPr>
              <w:t>Tip echipament/utilaj</w:t>
            </w:r>
          </w:p>
        </w:tc>
        <w:tc>
          <w:tcPr>
            <w:tcW w:w="2947" w:type="dxa"/>
          </w:tcPr>
          <w:p>
            <w:pPr>
              <w:ind w:left="284"/>
              <w:contextualSpacing/>
              <w:rPr>
                <w:iCs/>
                <w:sz w:val="20"/>
              </w:rPr>
            </w:pPr>
            <w:r>
              <w:rPr>
                <w:iCs/>
                <w:sz w:val="20"/>
              </w:rPr>
              <w:t>Număr</w:t>
            </w:r>
          </w:p>
        </w:tc>
      </w:tr>
      <w:tr>
        <w:tc>
          <w:tcPr>
            <w:tcW w:w="3256" w:type="dxa"/>
          </w:tcPr>
          <w:p>
            <w:pPr>
              <w:rPr>
                <w:iCs/>
                <w:sz w:val="20"/>
              </w:rPr>
            </w:pPr>
            <w:r>
              <w:rPr>
                <w:iCs/>
                <w:sz w:val="20"/>
              </w:rPr>
              <w:t>Cuvă de alimentare/vizualizare a biodeşeurilor colectate separat, alte echipamente specifice pentru asigurarea unei purități suficiente a biodeșeurilor colectate separate înainte de introducerea în digestor</w:t>
            </w:r>
          </w:p>
        </w:tc>
        <w:tc>
          <w:tcPr>
            <w:tcW w:w="3402" w:type="dxa"/>
          </w:tcPr>
          <w:p>
            <w:pPr>
              <w:rPr>
                <w:iCs/>
                <w:sz w:val="20"/>
              </w:rPr>
            </w:pPr>
            <w:r>
              <w:rPr>
                <w:iCs/>
                <w:sz w:val="20"/>
                <w:lang w:val="ro-RO"/>
              </w:rPr>
              <w:t>Cuvă de alimentare cu posibilitate de inspecţie vizuală şi de înlăturare a corpurilor mari, indezirabile, alte echipamente specifice cu excepția buncar de alimentare, tocător,  tanc de sedimentare, rezervor tampon</w:t>
            </w:r>
          </w:p>
        </w:tc>
        <w:tc>
          <w:tcPr>
            <w:tcW w:w="2947" w:type="dxa"/>
          </w:tcPr>
          <w:p>
            <w:pPr>
              <w:ind w:left="40"/>
              <w:contextualSpacing/>
              <w:rPr>
                <w:iCs/>
                <w:sz w:val="20"/>
              </w:rPr>
            </w:pPr>
            <w:r>
              <w:rPr>
                <w:iCs/>
                <w:sz w:val="20"/>
              </w:rPr>
              <w:t>1 buc/Conform experienței operatorului</w:t>
            </w:r>
          </w:p>
        </w:tc>
      </w:tr>
      <w:tr>
        <w:tc>
          <w:tcPr>
            <w:tcW w:w="3256" w:type="dxa"/>
          </w:tcPr>
          <w:p>
            <w:pPr>
              <w:rPr>
                <w:iCs/>
                <w:sz w:val="20"/>
              </w:rPr>
            </w:pPr>
            <w:r>
              <w:rPr>
                <w:iCs/>
                <w:sz w:val="20"/>
              </w:rPr>
              <w:t>Instalaţie de cogenerare energie electrică şi termică (ansamblu cu turbină).</w:t>
            </w:r>
          </w:p>
        </w:tc>
        <w:tc>
          <w:tcPr>
            <w:tcW w:w="3402" w:type="dxa"/>
          </w:tcPr>
          <w:p>
            <w:pPr>
              <w:rPr>
                <w:iCs/>
                <w:sz w:val="20"/>
                <w:lang w:val="ro-RO"/>
              </w:rPr>
            </w:pPr>
            <w:r>
              <w:rPr>
                <w:iCs/>
                <w:sz w:val="20"/>
                <w:lang w:val="ro-RO"/>
              </w:rPr>
              <w:t>Pentru producerea de energie electrică din biogaz</w:t>
            </w:r>
          </w:p>
        </w:tc>
        <w:tc>
          <w:tcPr>
            <w:tcW w:w="2947" w:type="dxa"/>
          </w:tcPr>
          <w:p>
            <w:pPr>
              <w:ind w:left="40"/>
              <w:contextualSpacing/>
              <w:rPr>
                <w:iCs/>
                <w:sz w:val="20"/>
              </w:rPr>
            </w:pPr>
            <w:r>
              <w:rPr>
                <w:iCs/>
                <w:sz w:val="20"/>
              </w:rPr>
              <w:t>1 buc/Conform experienței operatorului</w:t>
            </w:r>
          </w:p>
        </w:tc>
      </w:tr>
      <w:tr>
        <w:tc>
          <w:tcPr>
            <w:tcW w:w="3256" w:type="dxa"/>
          </w:tcPr>
          <w:p>
            <w:pPr>
              <w:rPr>
                <w:iCs/>
                <w:sz w:val="20"/>
              </w:rPr>
            </w:pPr>
            <w:r>
              <w:rPr>
                <w:iCs/>
                <w:sz w:val="20"/>
              </w:rPr>
              <w:t xml:space="preserve">Instalație de compostare a digestatului din biodeșeuri colectate separat și stabilizare aerobă a digestatului din </w:t>
            </w:r>
            <w:r>
              <w:rPr>
                <w:iCs/>
                <w:sz w:val="20"/>
              </w:rPr>
              <w:lastRenderedPageBreak/>
              <w:t xml:space="preserve">deșeuri reziduale cu toate echipamentele şi materialele </w:t>
            </w:r>
          </w:p>
          <w:p>
            <w:pPr>
              <w:rPr>
                <w:iCs/>
                <w:sz w:val="20"/>
              </w:rPr>
            </w:pPr>
            <w:r>
              <w:rPr>
                <w:iCs/>
                <w:sz w:val="20"/>
              </w:rPr>
              <w:t>Notă: instalația va fi prevăzută cu 2 zone distincte, separate functional, câte una pentru fiecare tip de digestat tratat aerob</w:t>
            </w:r>
          </w:p>
        </w:tc>
        <w:tc>
          <w:tcPr>
            <w:tcW w:w="3402" w:type="dxa"/>
          </w:tcPr>
          <w:p>
            <w:pPr>
              <w:rPr>
                <w:iCs/>
                <w:sz w:val="20"/>
                <w:lang w:val="ro-RO"/>
              </w:rPr>
            </w:pPr>
            <w:r>
              <w:rPr>
                <w:iCs/>
                <w:sz w:val="20"/>
                <w:lang w:val="ro-RO"/>
              </w:rPr>
              <w:lastRenderedPageBreak/>
              <w:t xml:space="preserve">Necesar organizării şi desfăşurării procesului de obţinere a unui compost </w:t>
            </w:r>
            <w:r>
              <w:rPr>
                <w:iCs/>
                <w:sz w:val="20"/>
                <w:lang w:val="ro-RO"/>
              </w:rPr>
              <w:lastRenderedPageBreak/>
              <w:t>valorificabil și a unui material stabilizat biologic</w:t>
            </w:r>
          </w:p>
        </w:tc>
        <w:tc>
          <w:tcPr>
            <w:tcW w:w="2947" w:type="dxa"/>
          </w:tcPr>
          <w:p>
            <w:pPr>
              <w:ind w:left="40"/>
              <w:contextualSpacing/>
              <w:rPr>
                <w:iCs/>
                <w:sz w:val="20"/>
              </w:rPr>
            </w:pPr>
            <w:r>
              <w:rPr>
                <w:iCs/>
                <w:sz w:val="20"/>
              </w:rPr>
              <w:lastRenderedPageBreak/>
              <w:t>1 buc/Conform experienței operatorului</w:t>
            </w:r>
          </w:p>
        </w:tc>
      </w:tr>
      <w:tr>
        <w:tc>
          <w:tcPr>
            <w:tcW w:w="3256" w:type="dxa"/>
          </w:tcPr>
          <w:p>
            <w:pPr>
              <w:rPr>
                <w:iCs/>
                <w:sz w:val="20"/>
              </w:rPr>
            </w:pPr>
            <w:r>
              <w:rPr>
                <w:iCs/>
                <w:sz w:val="20"/>
              </w:rPr>
              <w:t>Ciur pentru compost</w:t>
            </w:r>
          </w:p>
        </w:tc>
        <w:tc>
          <w:tcPr>
            <w:tcW w:w="3402" w:type="dxa"/>
          </w:tcPr>
          <w:p>
            <w:pPr>
              <w:rPr>
                <w:iCs/>
                <w:sz w:val="20"/>
                <w:lang w:val="ro-RO"/>
              </w:rPr>
            </w:pPr>
            <w:r>
              <w:rPr>
                <w:iCs/>
                <w:sz w:val="20"/>
                <w:lang w:val="ro-RO"/>
              </w:rPr>
              <w:t>Necesar pentru obținerea unei granulații corespunzătoare a compostului</w:t>
            </w:r>
          </w:p>
        </w:tc>
        <w:tc>
          <w:tcPr>
            <w:tcW w:w="2947" w:type="dxa"/>
          </w:tcPr>
          <w:p>
            <w:pPr>
              <w:ind w:left="40"/>
              <w:contextualSpacing/>
              <w:rPr>
                <w:iCs/>
                <w:sz w:val="20"/>
              </w:rPr>
            </w:pPr>
            <w:r>
              <w:rPr>
                <w:iCs/>
                <w:sz w:val="20"/>
              </w:rPr>
              <w:t>1 buc/Conform experienței operatorului</w:t>
            </w:r>
          </w:p>
        </w:tc>
      </w:tr>
      <w:tr>
        <w:tc>
          <w:tcPr>
            <w:tcW w:w="3256" w:type="dxa"/>
          </w:tcPr>
          <w:p>
            <w:pPr>
              <w:rPr>
                <w:iCs/>
                <w:sz w:val="20"/>
              </w:rPr>
            </w:pPr>
            <w:r>
              <w:rPr>
                <w:iCs/>
                <w:sz w:val="20"/>
              </w:rPr>
              <w:t>Mașina de întors brazde</w:t>
            </w:r>
          </w:p>
        </w:tc>
        <w:tc>
          <w:tcPr>
            <w:tcW w:w="3402" w:type="dxa"/>
          </w:tcPr>
          <w:p>
            <w:pPr>
              <w:rPr>
                <w:iCs/>
                <w:sz w:val="20"/>
                <w:lang w:val="ro-RO"/>
              </w:rPr>
            </w:pPr>
            <w:r>
              <w:rPr>
                <w:iCs/>
                <w:sz w:val="20"/>
                <w:lang w:val="ro-RO"/>
              </w:rPr>
              <w:t>Necesară pentru derularea corectă a procesului de post tratare aerobă a digestatului</w:t>
            </w:r>
          </w:p>
        </w:tc>
        <w:tc>
          <w:tcPr>
            <w:tcW w:w="2947" w:type="dxa"/>
          </w:tcPr>
          <w:p>
            <w:pPr>
              <w:ind w:left="40"/>
              <w:contextualSpacing/>
              <w:rPr>
                <w:iCs/>
                <w:sz w:val="20"/>
              </w:rPr>
            </w:pPr>
            <w:r>
              <w:rPr>
                <w:iCs/>
                <w:sz w:val="20"/>
              </w:rPr>
              <w:t>1 buc/Conform experienței operatorului</w:t>
            </w:r>
          </w:p>
        </w:tc>
      </w:tr>
      <w:tr>
        <w:tc>
          <w:tcPr>
            <w:tcW w:w="3256" w:type="dxa"/>
          </w:tcPr>
          <w:p>
            <w:pPr>
              <w:rPr>
                <w:iCs/>
                <w:sz w:val="20"/>
              </w:rPr>
            </w:pPr>
            <w:r>
              <w:rPr>
                <w:iCs/>
                <w:sz w:val="20"/>
              </w:rPr>
              <w:t xml:space="preserve">Dotarea laboratorului propriu </w:t>
            </w:r>
          </w:p>
        </w:tc>
        <w:tc>
          <w:tcPr>
            <w:tcW w:w="3402" w:type="dxa"/>
          </w:tcPr>
          <w:p>
            <w:pPr>
              <w:rPr>
                <w:iCs/>
                <w:sz w:val="20"/>
              </w:rPr>
            </w:pPr>
            <w:r>
              <w:rPr>
                <w:iCs/>
                <w:sz w:val="20"/>
              </w:rPr>
              <w:t>pentru a răspunde cerinţelor de monitorizare şi măsurare a parametrilor şi performanţelor cerute astfel incat laboratorul sa fie acreditat conform cerinţelor nationale si europene</w:t>
            </w:r>
          </w:p>
        </w:tc>
        <w:tc>
          <w:tcPr>
            <w:tcW w:w="2947" w:type="dxa"/>
          </w:tcPr>
          <w:p>
            <w:pPr>
              <w:ind w:left="40"/>
              <w:contextualSpacing/>
              <w:rPr>
                <w:iCs/>
                <w:sz w:val="20"/>
              </w:rPr>
            </w:pPr>
            <w:r>
              <w:rPr>
                <w:iCs/>
                <w:sz w:val="20"/>
              </w:rPr>
              <w:t>Conform experienței operatorului</w:t>
            </w:r>
          </w:p>
        </w:tc>
      </w:tr>
    </w:tbl>
    <w:p>
      <w:pPr>
        <w:numPr>
          <w:ilvl w:val="0"/>
          <w:numId w:val="1"/>
        </w:numPr>
        <w:ind w:left="284"/>
        <w:contextualSpacing/>
        <w:rPr>
          <w:iCs/>
          <w:sz w:val="20"/>
        </w:rPr>
      </w:pPr>
      <w:r>
        <w:rPr>
          <w:iCs/>
          <w:sz w:val="20"/>
        </w:rPr>
        <w:t>În cazul încetării înainte de termen a contractului de delegare, din motive neimputabile operatorului, delegatarul va plăti operatorului valoarea rămasă neamortizată a investițiilor realizate în bunuri de natura celor de retur, în conformitate cu prevederile art. 37 alin. (2) și (3) din Legea nr. 101/2006, republicată, cu modificările și completările ulterioare.</w:t>
      </w:r>
    </w:p>
    <w:p>
      <w:pPr>
        <w:numPr>
          <w:ilvl w:val="0"/>
          <w:numId w:val="1"/>
        </w:numPr>
        <w:ind w:left="284"/>
        <w:contextualSpacing/>
        <w:rPr>
          <w:iCs/>
          <w:sz w:val="20"/>
        </w:rPr>
      </w:pPr>
      <w:r>
        <w:rPr>
          <w:sz w:val="20"/>
          <w:lang w:val="ro-RO"/>
        </w:rPr>
        <w:t>Operatorul are obligația să obțină, pe numele său, toate avizele/autorizațiile necesare prestării activității, conform prevederilor legale în vigoare.</w:t>
      </w:r>
    </w:p>
    <w:p>
      <w:pPr>
        <w:tabs>
          <w:tab w:val="left" w:pos="2294"/>
        </w:tabs>
        <w:rPr>
          <w:sz w:val="20"/>
          <w:szCs w:val="20"/>
          <w:lang w:val="ro-RO"/>
        </w:rPr>
      </w:pPr>
    </w:p>
    <w:p>
      <w:pPr>
        <w:keepNext/>
        <w:keepLines/>
        <w:spacing w:before="40" w:after="0"/>
        <w:outlineLvl w:val="4"/>
        <w:rPr>
          <w:rFonts w:eastAsiaTheme="majorEastAsia" w:cstheme="majorBidi"/>
          <w:b/>
          <w:sz w:val="20"/>
          <w:lang w:val="ro-RO"/>
        </w:rPr>
      </w:pPr>
      <w:r>
        <w:rPr>
          <w:rFonts w:eastAsiaTheme="majorEastAsia" w:cstheme="majorBidi"/>
          <w:b/>
          <w:sz w:val="20"/>
          <w:lang w:val="ro-RO"/>
        </w:rPr>
        <w:t xml:space="preserve">3.1.1.5.2 Tratarea mecano-biologică a deșeurilor reziduale în instalațiile de tratare mecano-biologice, inclusiv transportul deșeurilor stabilizate biologic și al deșeurilor reziduale care nu mai pot fi valorificate la depozitele de deșeuri și al deșeurilor reziduale valorificabile energetic la instalațiile de valorificare energetică. </w:t>
      </w:r>
      <w:r>
        <w:rPr>
          <w:rFonts w:eastAsiaTheme="majorEastAsia" w:cstheme="majorBidi"/>
          <w:b/>
          <w:i/>
          <w:sz w:val="20"/>
          <w:lang w:val="ro-RO"/>
        </w:rPr>
        <w:t>Tratarea anaerobă a deșeurilor reziduale în instalații de tratare mecano-biologică cu digestie anaerobă</w:t>
      </w:r>
    </w:p>
    <w:p>
      <w:pPr>
        <w:rPr>
          <w:sz w:val="20"/>
          <w:lang w:val="ro-RO"/>
        </w:rPr>
      </w:pPr>
    </w:p>
    <w:p>
      <w:pPr>
        <w:numPr>
          <w:ilvl w:val="0"/>
          <w:numId w:val="74"/>
        </w:numPr>
        <w:ind w:left="284"/>
        <w:contextualSpacing/>
        <w:rPr>
          <w:sz w:val="20"/>
          <w:lang w:val="ro-RO"/>
        </w:rPr>
      </w:pPr>
      <w:r>
        <w:rPr>
          <w:sz w:val="20"/>
          <w:lang w:val="ro-RO"/>
        </w:rPr>
        <w:t>Operatorul are obligația de a desfășura activitatea de tratare mecano-biologică a deșeurilor reziduale,</w:t>
      </w:r>
      <w:r>
        <w:rPr>
          <w:b/>
          <w:bCs/>
          <w:sz w:val="20"/>
          <w:lang w:val="ro-RO"/>
        </w:rPr>
        <w:t xml:space="preserve"> </w:t>
      </w:r>
      <w:r>
        <w:rPr>
          <w:sz w:val="20"/>
          <w:lang w:val="ro-RO"/>
        </w:rPr>
        <w:t>inclusiv transportul deșeurilor tratate stabilizate biologic și al reziduurilor la depozitele de deșeuri și al deșeurilor cu potențial de valorificare energetică la instalațiile de valorificare energetică, în condițiile legii, la Stația de tratare mecano-biologică cu digestie anaerobă și recuperare de energie Galați</w:t>
      </w:r>
      <w:r>
        <w:rPr>
          <w:iCs/>
          <w:sz w:val="20"/>
          <w:lang w:val="ro-RO"/>
        </w:rPr>
        <w:t>.</w:t>
      </w:r>
    </w:p>
    <w:p>
      <w:pPr>
        <w:numPr>
          <w:ilvl w:val="0"/>
          <w:numId w:val="74"/>
        </w:numPr>
        <w:ind w:left="284"/>
        <w:contextualSpacing/>
        <w:rPr>
          <w:sz w:val="20"/>
          <w:lang w:val="ro-RO"/>
        </w:rPr>
      </w:pPr>
      <w:r>
        <w:rPr>
          <w:sz w:val="20"/>
          <w:lang w:val="ro-RO"/>
        </w:rPr>
        <w:t>La Stația de tratare mecano-biologică cu digestie anaerobă și recuperare de energie Galați vor fi tratate deșeurile reziduale colectate de pe raza teritorială a județului Galați, reziduuri de la stațiile de sortare și compostare.</w:t>
      </w:r>
    </w:p>
    <w:p>
      <w:pPr>
        <w:numPr>
          <w:ilvl w:val="0"/>
          <w:numId w:val="74"/>
        </w:numPr>
        <w:ind w:left="284"/>
        <w:contextualSpacing/>
        <w:rPr>
          <w:sz w:val="20"/>
          <w:lang w:val="ro-RO"/>
        </w:rPr>
      </w:pPr>
      <w:r>
        <w:rPr>
          <w:sz w:val="20"/>
          <w:lang w:val="ro-RO"/>
        </w:rPr>
        <w:t>Cantitatea totală anuală de deșeuri reziduale și reziduuri estimată a fi tratată, în primul an de operare, la instalațiile de tratare mecano-biologică este de 50.103 tone/an, la Stația de tratare mecano-biologică cu digestie anaerobă și recuperare de energie Galați.</w:t>
      </w:r>
    </w:p>
    <w:p>
      <w:pPr>
        <w:numPr>
          <w:ilvl w:val="0"/>
          <w:numId w:val="74"/>
        </w:numPr>
        <w:contextualSpacing/>
        <w:rPr>
          <w:sz w:val="20"/>
          <w:lang w:val="ro-RO"/>
        </w:rPr>
      </w:pPr>
      <w:r>
        <w:rPr>
          <w:sz w:val="20"/>
          <w:lang w:val="ro-RO"/>
        </w:rPr>
        <w:t>Indicatorii de performanță pentru operarea instalațiilor TMB sunt prevăzuți în anexa nr. 5 (indicatorii 1-5), și în Studiul de fundamentare, cap 3.2. În studiul de fundamentare cap. 3.2 sunt prezentate de asemenea informații referitoare la modalitățile de calcul pentru indicatorii de performanță aferenți TMB.</w:t>
      </w:r>
    </w:p>
    <w:p>
      <w:pPr>
        <w:numPr>
          <w:ilvl w:val="0"/>
          <w:numId w:val="74"/>
        </w:numPr>
        <w:ind w:left="284"/>
        <w:contextualSpacing/>
        <w:rPr>
          <w:sz w:val="20"/>
          <w:lang w:val="ro-RO"/>
        </w:rPr>
      </w:pPr>
      <w:r>
        <w:rPr>
          <w:sz w:val="20"/>
          <w:lang w:val="ro-RO"/>
        </w:rPr>
        <w:t>Cantitatea totală de deșeuri reciclabile de hârtie, metal, plastic și sticlă estimată predată la reciclare, în primul an de operare, la instalațiile de tratare mecano-biologică este</w:t>
      </w:r>
      <w:r>
        <w:rPr>
          <w:i/>
          <w:iCs/>
          <w:sz w:val="20"/>
          <w:lang w:val="ro-RO"/>
        </w:rPr>
        <w:t xml:space="preserve"> </w:t>
      </w:r>
      <w:r>
        <w:rPr>
          <w:sz w:val="20"/>
          <w:lang w:val="ro-RO"/>
        </w:rPr>
        <w:t>de 2.505 tone/an (</w:t>
      </w:r>
      <w:r>
        <w:rPr>
          <w:i/>
          <w:iCs/>
          <w:sz w:val="20"/>
          <w:lang w:val="ro-RO"/>
        </w:rPr>
        <w:t>deșeuri reciclabile rezultate din tratarea deșeurilor reziduale și trimise la reciclare).</w:t>
      </w:r>
    </w:p>
    <w:p>
      <w:pPr>
        <w:numPr>
          <w:ilvl w:val="0"/>
          <w:numId w:val="74"/>
        </w:numPr>
        <w:contextualSpacing/>
        <w:rPr>
          <w:sz w:val="20"/>
          <w:lang w:val="ro-RO"/>
        </w:rPr>
      </w:pPr>
      <w:r>
        <w:rPr>
          <w:sz w:val="20"/>
          <w:lang w:val="ro-RO"/>
        </w:rPr>
        <w:t>Cantitatea totală estimată de deșeuri care vor necesita transport la depozitul de deșeuri Valea Mărului (reziduuri din tratarea mecanică și biologică și digestat din deșeuri reziduale), în primul an de operare, este de 23.095 tone/an (</w:t>
      </w:r>
      <w:r>
        <w:rPr>
          <w:i/>
          <w:iCs/>
          <w:sz w:val="20"/>
          <w:lang w:val="ro-RO"/>
        </w:rPr>
        <w:t>total reziduuri trimise la depozitare</w:t>
      </w:r>
      <w:r>
        <w:rPr>
          <w:sz w:val="20"/>
          <w:lang w:val="ro-RO"/>
        </w:rPr>
        <w:t>).</w:t>
      </w:r>
    </w:p>
    <w:p>
      <w:pPr>
        <w:numPr>
          <w:ilvl w:val="0"/>
          <w:numId w:val="74"/>
        </w:numPr>
        <w:ind w:left="284"/>
        <w:contextualSpacing/>
        <w:rPr>
          <w:sz w:val="20"/>
          <w:lang w:val="ro-RO"/>
        </w:rPr>
      </w:pPr>
      <w:r>
        <w:rPr>
          <w:sz w:val="20"/>
          <w:lang w:val="ro-RO"/>
        </w:rPr>
        <w:lastRenderedPageBreak/>
        <w:t>Operatorul va asigura prelucrarea reziduurilor de la tratarea mecanică a deșeurilor colectate din intregul județ în vederea obținerii de RDF. Cantitatea totală estimată de deșeuri combustibile care necesită prelucrare pentru obtinerea de RDF, în primul an de funcționare a TMB, este de 18.103 tone.</w:t>
      </w:r>
    </w:p>
    <w:p>
      <w:pPr>
        <w:numPr>
          <w:ilvl w:val="0"/>
          <w:numId w:val="74"/>
        </w:numPr>
        <w:ind w:left="284"/>
        <w:contextualSpacing/>
        <w:rPr>
          <w:sz w:val="20"/>
          <w:lang w:val="ro-RO"/>
        </w:rPr>
      </w:pPr>
      <w:r>
        <w:rPr>
          <w:sz w:val="20"/>
          <w:lang w:val="ro-RO"/>
        </w:rPr>
        <w:t>Cantitatea totală estimată de RDF obținut în primul an de funcționare a instalației TMB este de 14.482 tone.</w:t>
      </w:r>
    </w:p>
    <w:p>
      <w:pPr>
        <w:numPr>
          <w:ilvl w:val="0"/>
          <w:numId w:val="74"/>
        </w:numPr>
        <w:ind w:left="284"/>
        <w:contextualSpacing/>
        <w:rPr>
          <w:sz w:val="20"/>
          <w:lang w:val="ro-RO"/>
        </w:rPr>
      </w:pPr>
      <w:r>
        <w:rPr>
          <w:sz w:val="20"/>
          <w:lang w:val="ro-RO"/>
        </w:rPr>
        <w:t>Operatorul are sarcina de a asigura predarea și comercializarea deșeurilor reciclabile rezultate din procesul de tratare a deșeurilor reziduale către operatorii economici autorizați să desfășoare activități de reciclare. Veniturile estimate a fi obținute de operator din vânzarea/valorificarea deșeurilor reciclabile nu se includ în structura tarifului, sub sancțiunea declarării ofertei ca neconformă.</w:t>
      </w:r>
    </w:p>
    <w:p>
      <w:pPr>
        <w:numPr>
          <w:ilvl w:val="0"/>
          <w:numId w:val="74"/>
        </w:numPr>
        <w:ind w:left="284"/>
        <w:contextualSpacing/>
        <w:rPr>
          <w:sz w:val="20"/>
          <w:lang w:val="ro-RO"/>
        </w:rPr>
      </w:pPr>
      <w:r>
        <w:rPr>
          <w:sz w:val="20"/>
          <w:lang w:val="ro-RO"/>
        </w:rPr>
        <w:t xml:space="preserve">Operatorul are sarcina de a încheia contracte de prestări servicii cu operatorii economici autorizați să desfășoare activități de incinerare în instalații cu eficiență energetică ridicată a deșeurilor., reprezentând estimativ 14.482 toneîn primul an de funcționare a instalației </w:t>
      </w:r>
    </w:p>
    <w:p>
      <w:pPr>
        <w:numPr>
          <w:ilvl w:val="0"/>
          <w:numId w:val="74"/>
        </w:numPr>
        <w:ind w:left="284"/>
        <w:contextualSpacing/>
        <w:rPr>
          <w:sz w:val="20"/>
          <w:lang w:val="ro-RO"/>
        </w:rPr>
      </w:pPr>
      <w:r>
        <w:rPr>
          <w:sz w:val="20"/>
          <w:lang w:val="ro-RO"/>
        </w:rPr>
        <w:t>Cheltuielile cu valorificarea energetică, care cuprind cheltuielile cu transportul deșeurilor cu potențial de valorificare energetică de la stația/instalațiile de tratare mecano-biologică la instalațiile de incinerare cu eficiență energetică ridicată și cheltuielile cu incinerarea acestor deșeuri, stabilite conform contractului încheiat între operator și operatorul economic autorizat să desfășoare activități de incinerare/coincinerare a deșeurilor, se includ în tariful de tratare mecano-biologică.</w:t>
      </w:r>
    </w:p>
    <w:p>
      <w:pPr>
        <w:numPr>
          <w:ilvl w:val="0"/>
          <w:numId w:val="74"/>
        </w:numPr>
        <w:contextualSpacing/>
        <w:rPr>
          <w:sz w:val="20"/>
          <w:szCs w:val="20"/>
          <w:lang w:val="ro-RO"/>
        </w:rPr>
      </w:pPr>
      <w:r>
        <w:rPr>
          <w:sz w:val="20"/>
          <w:lang w:val="ro-RO"/>
        </w:rPr>
        <w:t>Operatorul are obligația de a valorifica CLO obținut din deșeuri reziduale, cu respectarea tuturor regulilor și reglementărilor referitoare la calitatea și conținutul compostului, atât timp cât acest CLO îndeplinește cerințele legale aplicabile.  Este estimată obținerea a 2.209 tone de CLO în primul an de funcționare a TMB.</w:t>
      </w:r>
    </w:p>
    <w:p>
      <w:pPr>
        <w:numPr>
          <w:ilvl w:val="0"/>
          <w:numId w:val="74"/>
        </w:numPr>
        <w:contextualSpacing/>
        <w:rPr>
          <w:sz w:val="20"/>
          <w:szCs w:val="20"/>
          <w:lang w:val="ro-RO"/>
        </w:rPr>
      </w:pPr>
      <w:r>
        <w:rPr>
          <w:sz w:val="20"/>
          <w:szCs w:val="20"/>
          <w:lang w:val="ro-RO"/>
        </w:rPr>
        <w:t>Pentru ca CLO rezultat din stabilizarea digestatului obținut din deșeuri reziduale să poată îndeplini condiţiile de valorificare, este necesară realizarea de analize de laborator pe fiecare sarjă rezultata din procesul de digestie.</w:t>
      </w:r>
    </w:p>
    <w:p>
      <w:pPr>
        <w:numPr>
          <w:ilvl w:val="0"/>
          <w:numId w:val="74"/>
        </w:numPr>
        <w:contextualSpacing/>
        <w:rPr>
          <w:sz w:val="20"/>
          <w:szCs w:val="20"/>
          <w:lang w:val="ro-RO"/>
        </w:rPr>
      </w:pPr>
      <w:r>
        <w:rPr>
          <w:sz w:val="20"/>
          <w:szCs w:val="20"/>
          <w:lang w:val="ro-RO"/>
        </w:rPr>
        <w:t>Instalația de stabilizare aerobă a digestatului din deșeuri reziduale va fi asigurată de către Operator.</w:t>
      </w:r>
    </w:p>
    <w:p>
      <w:pPr>
        <w:numPr>
          <w:ilvl w:val="0"/>
          <w:numId w:val="74"/>
        </w:numPr>
        <w:contextualSpacing/>
        <w:rPr>
          <w:sz w:val="20"/>
          <w:lang w:val="ro-RO"/>
        </w:rPr>
      </w:pPr>
      <w:r>
        <w:rPr>
          <w:sz w:val="20"/>
          <w:lang w:val="ro-RO"/>
        </w:rPr>
        <w:t>Operatorul are sarcina de a încheia contracte de prestări servicii cu operatorii economici autorizați să desfășoare activități de valorificare a CLO, în condițiile legii (</w:t>
      </w:r>
      <w:r>
        <w:rPr>
          <w:rFonts w:cs="Times"/>
          <w:color w:val="000000"/>
          <w:sz w:val="20"/>
          <w:szCs w:val="20"/>
          <w:lang w:val="ro-RO"/>
        </w:rPr>
        <w:t xml:space="preserve">valorificare </w:t>
      </w:r>
      <w:r>
        <w:rPr>
          <w:sz w:val="20"/>
          <w:szCs w:val="20"/>
          <w:lang w:val="ro-RO"/>
        </w:rPr>
        <w:t>ca material pentru straturile de suport şi de acoperire a depozitelor de deșeuri, pentru reabilitarea minelor abandonate şi/sau a terenurilor contaminate. Cantitatea estimată de CLO obținut în primul an de funcționare a instalației este de 2.209 tone. În cazul în care CLO nu îndeplinește condițiile legale sau nu există reglementări clare referitoare la calitatea CLO, acest produs va fi depozitat la depozitul Valea Mărului, cu plata corespunzătoare a CEC.</w:t>
      </w:r>
    </w:p>
    <w:p>
      <w:pPr>
        <w:numPr>
          <w:ilvl w:val="0"/>
          <w:numId w:val="74"/>
        </w:numPr>
        <w:ind w:left="284"/>
        <w:contextualSpacing/>
        <w:rPr>
          <w:sz w:val="20"/>
          <w:lang w:val="ro-RO"/>
        </w:rPr>
      </w:pPr>
      <w:r>
        <w:rPr>
          <w:sz w:val="20"/>
          <w:lang w:val="ro-RO"/>
        </w:rPr>
        <w:t>Cheltuielile cu transportul CLO către instalațiile de valorificare se includ în tariful de tratare mecano-biologică.</w:t>
      </w:r>
    </w:p>
    <w:p>
      <w:pPr>
        <w:numPr>
          <w:ilvl w:val="0"/>
          <w:numId w:val="74"/>
        </w:numPr>
        <w:ind w:left="284"/>
        <w:contextualSpacing/>
        <w:rPr>
          <w:sz w:val="20"/>
          <w:lang w:val="ro-RO"/>
        </w:rPr>
      </w:pPr>
      <w:r>
        <w:rPr>
          <w:sz w:val="20"/>
          <w:lang w:val="ro-RO"/>
        </w:rPr>
        <w:t>Pentru operarea stației/instalațiilor de tratare mecano-biologică se fundamentează/stabilește un tarif de tratare mecano-biologică prin raportare la cantitatea totală anuală de deșeuri reziduale estimată a fi tratată,  în primul an de operare, la stația/instalațiile de tratare mecano-biologică. În structura tarifului se includ numai cheltuielile aferente prestării activității.</w:t>
      </w:r>
    </w:p>
    <w:p>
      <w:pPr>
        <w:numPr>
          <w:ilvl w:val="0"/>
          <w:numId w:val="74"/>
        </w:numPr>
        <w:ind w:left="284"/>
        <w:contextualSpacing/>
        <w:rPr>
          <w:sz w:val="20"/>
          <w:lang w:val="ro-RO"/>
        </w:rPr>
      </w:pPr>
      <w:r>
        <w:rPr>
          <w:sz w:val="20"/>
          <w:lang w:val="ro-RO"/>
        </w:rPr>
        <w:t>Contravaloarea cheltuielilor cu alte activități de salubrizare desfășurate de operatori pe fluxul deșeurilor și contravaloarea contribuției pentru economia circulară nu se includ în tarif.</w:t>
      </w:r>
    </w:p>
    <w:p>
      <w:pPr>
        <w:numPr>
          <w:ilvl w:val="0"/>
          <w:numId w:val="74"/>
        </w:numPr>
        <w:ind w:left="284"/>
        <w:contextualSpacing/>
        <w:rPr>
          <w:strike/>
          <w:sz w:val="20"/>
          <w:lang w:val="ro-RO"/>
        </w:rPr>
      </w:pPr>
      <w:r>
        <w:rPr>
          <w:sz w:val="20"/>
          <w:lang w:val="ro-RO"/>
        </w:rPr>
        <w:t>Biogazul produs în urma proceselor de tratare biologică prin fermentaţie anaerobă va fi folosit pentru producerea de energie termică necesară derulării proceselor TMB, iar excesul, pentru producerea de energie electrică destinată funcţionării utilajelor. Surplusul de energie electrică poate fi furnizat în reteaua națională.</w:t>
      </w:r>
    </w:p>
    <w:p>
      <w:pPr>
        <w:numPr>
          <w:ilvl w:val="0"/>
          <w:numId w:val="74"/>
        </w:numPr>
        <w:ind w:left="284"/>
        <w:contextualSpacing/>
        <w:rPr>
          <w:sz w:val="20"/>
          <w:lang w:val="ro-RO"/>
        </w:rPr>
      </w:pPr>
      <w:r>
        <w:rPr>
          <w:sz w:val="20"/>
          <w:lang w:val="ro-RO"/>
        </w:rPr>
        <w:t>Materialul care în urma procesului de digestie anaerobă nu îndeplinește cerințele categoriilor de folosință pentru a fi comercializat/valorificat va fi eliminat la depozitul de deșeuri de la Valea Mărului.</w:t>
      </w:r>
    </w:p>
    <w:p>
      <w:pPr>
        <w:numPr>
          <w:ilvl w:val="0"/>
          <w:numId w:val="74"/>
        </w:numPr>
        <w:ind w:left="284"/>
        <w:contextualSpacing/>
        <w:rPr>
          <w:sz w:val="20"/>
          <w:lang w:val="ro-RO"/>
        </w:rPr>
      </w:pPr>
      <w:r>
        <w:rPr>
          <w:sz w:val="20"/>
          <w:lang w:val="ro-RO"/>
        </w:rPr>
        <w:t>Veniturile estimate a fi obținute de operator din vânzarea/valorificarea deșeurilor reciclabile,  și energiei, după caz, nu se includ în structura tarifului, sub sancțiunea declarării ofertei ca neconformă.</w:t>
      </w:r>
    </w:p>
    <w:p>
      <w:pPr>
        <w:numPr>
          <w:ilvl w:val="0"/>
          <w:numId w:val="74"/>
        </w:numPr>
        <w:ind w:left="284"/>
        <w:contextualSpacing/>
        <w:rPr>
          <w:sz w:val="20"/>
          <w:lang w:val="ro-RO"/>
        </w:rPr>
      </w:pPr>
      <w:r>
        <w:rPr>
          <w:sz w:val="20"/>
          <w:lang w:val="ro-RO"/>
        </w:rPr>
        <w:t xml:space="preserve">Veniturile realizate de operator din vânzarea/valorificarea deșeurilor reciclabile și energiei se vor raporta lunar delegatarului și vor fi păstrate de către operator, într-un cont distinct, în vederea acoperirii diferenței de tarif dintre tariful de operare și tariful de facturare aprobat </w:t>
      </w:r>
      <w:r>
        <w:rPr>
          <w:sz w:val="20"/>
          <w:lang w:val="ro-RO"/>
        </w:rPr>
        <w:lastRenderedPageBreak/>
        <w:t>de delegatar, în conformitate cu prevederile art. 44 alin. (5) – (7) din Legea nr. 101/2006, republicată, cu modificările și completările ulterioare.</w:t>
      </w:r>
    </w:p>
    <w:p>
      <w:pPr>
        <w:numPr>
          <w:ilvl w:val="0"/>
          <w:numId w:val="74"/>
        </w:numPr>
        <w:ind w:left="284"/>
        <w:contextualSpacing/>
        <w:rPr>
          <w:sz w:val="20"/>
          <w:lang w:val="ro-RO"/>
        </w:rPr>
      </w:pPr>
      <w:r>
        <w:rPr>
          <w:sz w:val="20"/>
          <w:lang w:val="ro-RO"/>
        </w:rPr>
        <w:t xml:space="preserve">Spațiile în care se realizează activitatea de tratare mecano-biologică a deșeurilor reziduale trebuie să îndeplinească următoarele cerințe minime:  </w:t>
      </w:r>
    </w:p>
    <w:p>
      <w:pPr>
        <w:numPr>
          <w:ilvl w:val="2"/>
          <w:numId w:val="75"/>
        </w:numPr>
        <w:contextualSpacing/>
        <w:rPr>
          <w:sz w:val="20"/>
          <w:lang w:val="ro-RO"/>
        </w:rPr>
      </w:pPr>
      <w:r>
        <w:rPr>
          <w:sz w:val="20"/>
          <w:lang w:val="ro-RO"/>
        </w:rPr>
        <w:t>să dispună de o platformă betonată cu o suprafață suficientă pentru primirea deșeurilor reziduale și pentru stocarea temporară a acestora, în vederea tratării;</w:t>
      </w:r>
    </w:p>
    <w:p>
      <w:pPr>
        <w:numPr>
          <w:ilvl w:val="2"/>
          <w:numId w:val="75"/>
        </w:numPr>
        <w:contextualSpacing/>
        <w:rPr>
          <w:sz w:val="20"/>
          <w:lang w:val="ro-RO"/>
        </w:rPr>
      </w:pPr>
      <w:r>
        <w:rPr>
          <w:sz w:val="20"/>
          <w:lang w:val="ro-RO"/>
        </w:rPr>
        <w:t>să fie prevăzute cu cântar pentru cântărirea la intrarea și ieșirea din stația/instalațiile de tratare mecano-biologică a autospecialelor de transport deșeuri reziduale;</w:t>
      </w:r>
    </w:p>
    <w:p>
      <w:pPr>
        <w:numPr>
          <w:ilvl w:val="2"/>
          <w:numId w:val="75"/>
        </w:numPr>
        <w:contextualSpacing/>
        <w:rPr>
          <w:sz w:val="20"/>
          <w:lang w:val="ro-RO"/>
        </w:rPr>
      </w:pPr>
      <w:r>
        <w:rPr>
          <w:sz w:val="20"/>
          <w:lang w:val="ro-RO"/>
        </w:rPr>
        <w:t>să fie prevăzute cu sisteme de colectare a apelor uzate tehnologice, apelor pluviale și levigatului;</w:t>
      </w:r>
    </w:p>
    <w:p>
      <w:pPr>
        <w:numPr>
          <w:ilvl w:val="2"/>
          <w:numId w:val="75"/>
        </w:numPr>
        <w:contextualSpacing/>
        <w:rPr>
          <w:sz w:val="20"/>
          <w:lang w:val="ro-RO"/>
        </w:rPr>
      </w:pPr>
      <w:r>
        <w:rPr>
          <w:sz w:val="20"/>
          <w:lang w:val="ro-RO"/>
        </w:rPr>
        <w:t>să fie prevăzute cu bazine/tancuri de stocare a digestatului;</w:t>
      </w:r>
    </w:p>
    <w:p>
      <w:pPr>
        <w:numPr>
          <w:ilvl w:val="2"/>
          <w:numId w:val="75"/>
        </w:numPr>
        <w:contextualSpacing/>
        <w:rPr>
          <w:sz w:val="20"/>
          <w:lang w:val="ro-RO"/>
        </w:rPr>
      </w:pPr>
      <w:r>
        <w:rPr>
          <w:sz w:val="20"/>
          <w:lang w:val="ro-RO"/>
        </w:rPr>
        <w:t xml:space="preserve">să fie prevăzute cu puncte de prelevare probe digestat; </w:t>
      </w:r>
    </w:p>
    <w:p>
      <w:pPr>
        <w:numPr>
          <w:ilvl w:val="2"/>
          <w:numId w:val="75"/>
        </w:numPr>
        <w:contextualSpacing/>
        <w:rPr>
          <w:sz w:val="20"/>
          <w:lang w:val="ro-RO"/>
        </w:rPr>
      </w:pPr>
      <w:r>
        <w:rPr>
          <w:sz w:val="20"/>
          <w:lang w:val="ro-RO"/>
        </w:rPr>
        <w:t>să fie prevăzute cu instalații de spălare și dezinfectare;</w:t>
      </w:r>
    </w:p>
    <w:p>
      <w:pPr>
        <w:numPr>
          <w:ilvl w:val="2"/>
          <w:numId w:val="75"/>
        </w:numPr>
        <w:contextualSpacing/>
        <w:rPr>
          <w:sz w:val="20"/>
          <w:lang w:val="ro-RO"/>
        </w:rPr>
      </w:pPr>
      <w:r>
        <w:rPr>
          <w:sz w:val="20"/>
          <w:lang w:val="ro-RO"/>
        </w:rPr>
        <w:t xml:space="preserve">să fie prevăzute cu puncte de prelevare probe ape uzate; </w:t>
      </w:r>
    </w:p>
    <w:p>
      <w:pPr>
        <w:numPr>
          <w:ilvl w:val="2"/>
          <w:numId w:val="75"/>
        </w:numPr>
        <w:contextualSpacing/>
        <w:rPr>
          <w:sz w:val="20"/>
          <w:lang w:val="ro-RO"/>
        </w:rPr>
      </w:pPr>
      <w:r>
        <w:rPr>
          <w:sz w:val="20"/>
          <w:lang w:val="ro-RO"/>
        </w:rPr>
        <w:t>să fie prevăzute cu grupuri sanitare și vestiare conform normativelor în vigoare;</w:t>
      </w:r>
    </w:p>
    <w:p>
      <w:pPr>
        <w:numPr>
          <w:ilvl w:val="2"/>
          <w:numId w:val="75"/>
        </w:numPr>
        <w:contextualSpacing/>
        <w:rPr>
          <w:sz w:val="20"/>
          <w:lang w:val="ro-RO"/>
        </w:rPr>
      </w:pPr>
      <w:r>
        <w:rPr>
          <w:sz w:val="20"/>
          <w:lang w:val="ro-RO"/>
        </w:rPr>
        <w:t>să fie dotate cu instalație de iluminat corespunzătoare desfășurării activității în orice perioadă a zilei;</w:t>
      </w:r>
    </w:p>
    <w:p>
      <w:pPr>
        <w:numPr>
          <w:ilvl w:val="2"/>
          <w:numId w:val="75"/>
        </w:numPr>
        <w:contextualSpacing/>
        <w:rPr>
          <w:sz w:val="20"/>
          <w:lang w:val="ro-RO"/>
        </w:rPr>
      </w:pPr>
      <w:r>
        <w:rPr>
          <w:sz w:val="20"/>
          <w:lang w:val="ro-RO"/>
        </w:rPr>
        <w:t>să fie prevăzute cu mijloace tehnice de apărare împotriva incendiilor destinate prevenirii, limitării și stingerii acestora, conform cerințelor impuse prin avize/autorizații de către autorităților competente;</w:t>
      </w:r>
    </w:p>
    <w:p>
      <w:pPr>
        <w:numPr>
          <w:ilvl w:val="2"/>
          <w:numId w:val="75"/>
        </w:numPr>
        <w:contextualSpacing/>
        <w:rPr>
          <w:sz w:val="20"/>
          <w:lang w:val="ro-RO"/>
        </w:rPr>
      </w:pPr>
      <w:r>
        <w:rPr>
          <w:sz w:val="20"/>
          <w:lang w:val="ro-RO"/>
        </w:rPr>
        <w:t>să asigure, conform specificațiilor tehnice ale instalației, captarea și dirijarea emisiilor rezultate din procesele de tratare biologică spre instalații adecvate de tratare și neutralizare.</w:t>
      </w:r>
    </w:p>
    <w:p>
      <w:pPr>
        <w:ind w:left="284"/>
        <w:contextualSpacing/>
        <w:rPr>
          <w:sz w:val="20"/>
          <w:lang w:val="ro-RO"/>
        </w:rPr>
      </w:pPr>
    </w:p>
    <w:p>
      <w:pPr>
        <w:numPr>
          <w:ilvl w:val="0"/>
          <w:numId w:val="74"/>
        </w:numPr>
        <w:ind w:left="284"/>
        <w:contextualSpacing/>
        <w:rPr>
          <w:sz w:val="20"/>
          <w:lang w:val="ro-RO"/>
        </w:rPr>
      </w:pPr>
      <w:r>
        <w:rPr>
          <w:sz w:val="20"/>
          <w:lang w:val="ro-RO"/>
        </w:rPr>
        <w:t xml:space="preserve">Componentele, caracteristicile tehnice principale, procesele tehnologice și parametrii de funcționare ai stației/instalațiilor de tratare mecano-biologică din cadrul  </w:t>
      </w:r>
      <w:r>
        <w:rPr>
          <w:i/>
          <w:sz w:val="20"/>
          <w:lang w:val="ro-RO"/>
        </w:rPr>
        <w:t>Stației de tratare mecano-biologică cu digestie anaerobă și recuperare de energie Galați</w:t>
      </w:r>
      <w:r>
        <w:rPr>
          <w:i/>
          <w:iCs/>
          <w:sz w:val="20"/>
          <w:lang w:val="ro-RO"/>
        </w:rPr>
        <w:t xml:space="preserve"> </w:t>
      </w:r>
      <w:r>
        <w:rPr>
          <w:sz w:val="20"/>
          <w:lang w:val="ro-RO"/>
        </w:rPr>
        <w:t>sunt prezentate în anexa nr. 6 a caietului, Studiul de Fundamentare.</w:t>
      </w:r>
    </w:p>
    <w:p>
      <w:pPr>
        <w:numPr>
          <w:ilvl w:val="0"/>
          <w:numId w:val="74"/>
        </w:numPr>
        <w:ind w:left="284"/>
        <w:contextualSpacing/>
        <w:rPr>
          <w:sz w:val="20"/>
          <w:lang w:val="ro-RO"/>
        </w:rPr>
      </w:pPr>
      <w:r>
        <w:rPr>
          <w:sz w:val="20"/>
          <w:lang w:val="ro-RO"/>
        </w:rPr>
        <w:t xml:space="preserve">Instrucțiunile de operare al stației/instalațiilor de tratare mecano-biologică din cadrul </w:t>
      </w:r>
      <w:r>
        <w:rPr>
          <w:i/>
          <w:sz w:val="20"/>
          <w:lang w:val="ro-RO"/>
        </w:rPr>
        <w:t>Stației de tratare mecano-biologică cu digestie anaerobă și recuperare de energie Galați</w:t>
      </w:r>
      <w:r>
        <w:rPr>
          <w:i/>
          <w:iCs/>
          <w:sz w:val="20"/>
          <w:lang w:val="ro-RO"/>
        </w:rPr>
        <w:t xml:space="preserve"> </w:t>
      </w:r>
      <w:r>
        <w:rPr>
          <w:sz w:val="20"/>
          <w:lang w:val="ro-RO"/>
        </w:rPr>
        <w:t>se regăsesc în anexa nr. 6 a caietului, Studiul de Fundamentare.</w:t>
      </w:r>
    </w:p>
    <w:p>
      <w:pPr>
        <w:numPr>
          <w:ilvl w:val="0"/>
          <w:numId w:val="74"/>
        </w:numPr>
        <w:ind w:left="284"/>
        <w:contextualSpacing/>
        <w:rPr>
          <w:sz w:val="20"/>
          <w:lang w:val="ro-RO"/>
        </w:rPr>
      </w:pPr>
      <w:r>
        <w:rPr>
          <w:sz w:val="20"/>
          <w:lang w:val="ro-RO"/>
        </w:rPr>
        <w:t xml:space="preserve">Operatorul trebuie să asigure echipamentele/utilajele necesare pentru prestarea activității, prevăzute în lista de investiții în sarcina operatorului, de natura bunurilor de retur, conform cerințelor din subcapitolul 3.1.1.6. </w:t>
      </w:r>
    </w:p>
    <w:p>
      <w:pPr>
        <w:ind w:left="284"/>
        <w:contextualSpacing/>
        <w:rPr>
          <w:sz w:val="20"/>
          <w:lang w:val="ro-RO"/>
        </w:rPr>
      </w:pPr>
    </w:p>
    <w:tbl>
      <w:tblPr>
        <w:tblStyle w:val="TableGrid"/>
        <w:tblW w:w="0" w:type="auto"/>
        <w:tblLook w:val="04A0" w:firstRow="1" w:lastRow="0" w:firstColumn="1" w:lastColumn="0" w:noHBand="0" w:noVBand="1"/>
      </w:tblPr>
      <w:tblGrid>
        <w:gridCol w:w="3256"/>
        <w:gridCol w:w="3402"/>
        <w:gridCol w:w="2947"/>
      </w:tblGrid>
      <w:tr>
        <w:tc>
          <w:tcPr>
            <w:tcW w:w="9605" w:type="dxa"/>
            <w:gridSpan w:val="3"/>
          </w:tcPr>
          <w:p>
            <w:pPr>
              <w:ind w:left="284"/>
              <w:contextualSpacing/>
              <w:rPr>
                <w:i/>
                <w:iCs/>
                <w:sz w:val="20"/>
                <w:lang w:val="ro-RO"/>
              </w:rPr>
            </w:pPr>
            <w:r>
              <w:rPr>
                <w:iCs/>
                <w:sz w:val="20"/>
                <w:lang w:val="ro-RO"/>
              </w:rPr>
              <w:t xml:space="preserve">Stația/instalațiile de tratare mecano-biologică: </w:t>
            </w:r>
            <w:r>
              <w:rPr>
                <w:i/>
                <w:iCs/>
                <w:sz w:val="20"/>
                <w:lang w:val="ro-RO"/>
              </w:rPr>
              <w:t>Stația de tratare mecano-biologică cu digestie anaerobă și recuperare de energie Galați</w:t>
            </w:r>
          </w:p>
          <w:p>
            <w:pPr>
              <w:ind w:left="284"/>
              <w:contextualSpacing/>
              <w:rPr>
                <w:i/>
                <w:iCs/>
                <w:sz w:val="20"/>
                <w:lang w:val="ro-RO"/>
              </w:rPr>
            </w:pPr>
            <w:r>
              <w:rPr>
                <w:i/>
                <w:iCs/>
                <w:sz w:val="20"/>
                <w:lang w:val="ro-RO"/>
              </w:rPr>
              <w:t>(se trece denumirea și locația stației/instalațiilor de tratare mecano-biologică)</w:t>
            </w:r>
          </w:p>
        </w:tc>
      </w:tr>
      <w:tr>
        <w:tc>
          <w:tcPr>
            <w:tcW w:w="3256" w:type="dxa"/>
          </w:tcPr>
          <w:p>
            <w:pPr>
              <w:ind w:left="284"/>
              <w:contextualSpacing/>
              <w:rPr>
                <w:iCs/>
                <w:sz w:val="20"/>
              </w:rPr>
            </w:pPr>
            <w:r>
              <w:rPr>
                <w:iCs/>
                <w:sz w:val="20"/>
              </w:rPr>
              <w:t>Denumire echipament/utilaj</w:t>
            </w:r>
          </w:p>
        </w:tc>
        <w:tc>
          <w:tcPr>
            <w:tcW w:w="3402" w:type="dxa"/>
          </w:tcPr>
          <w:p>
            <w:pPr>
              <w:ind w:left="284"/>
              <w:contextualSpacing/>
              <w:rPr>
                <w:iCs/>
                <w:sz w:val="20"/>
              </w:rPr>
            </w:pPr>
            <w:r>
              <w:rPr>
                <w:iCs/>
                <w:sz w:val="20"/>
              </w:rPr>
              <w:t>Tip echipament/utilaj</w:t>
            </w:r>
          </w:p>
        </w:tc>
        <w:tc>
          <w:tcPr>
            <w:tcW w:w="2947" w:type="dxa"/>
          </w:tcPr>
          <w:p>
            <w:pPr>
              <w:ind w:left="284"/>
              <w:contextualSpacing/>
              <w:rPr>
                <w:iCs/>
                <w:sz w:val="20"/>
              </w:rPr>
            </w:pPr>
            <w:r>
              <w:rPr>
                <w:iCs/>
                <w:sz w:val="20"/>
              </w:rPr>
              <w:t>Număr</w:t>
            </w:r>
          </w:p>
        </w:tc>
      </w:tr>
      <w:tr>
        <w:tc>
          <w:tcPr>
            <w:tcW w:w="3256" w:type="dxa"/>
          </w:tcPr>
          <w:p>
            <w:pPr>
              <w:rPr>
                <w:iCs/>
                <w:sz w:val="20"/>
              </w:rPr>
            </w:pPr>
            <w:r>
              <w:rPr>
                <w:iCs/>
                <w:sz w:val="20"/>
              </w:rPr>
              <w:t xml:space="preserve">Instalaţie RDF </w:t>
            </w:r>
          </w:p>
        </w:tc>
        <w:tc>
          <w:tcPr>
            <w:tcW w:w="3402" w:type="dxa"/>
          </w:tcPr>
          <w:p>
            <w:pPr>
              <w:rPr>
                <w:iCs/>
                <w:sz w:val="20"/>
              </w:rPr>
            </w:pPr>
            <w:r>
              <w:rPr>
                <w:iCs/>
                <w:sz w:val="20"/>
              </w:rPr>
              <w:t>pentru pregătirea RDF (refuse derived fuel) din deşeuri combustibile</w:t>
            </w:r>
          </w:p>
        </w:tc>
        <w:tc>
          <w:tcPr>
            <w:tcW w:w="2947" w:type="dxa"/>
          </w:tcPr>
          <w:p>
            <w:pPr>
              <w:ind w:left="40"/>
              <w:contextualSpacing/>
              <w:rPr>
                <w:iCs/>
                <w:sz w:val="20"/>
              </w:rPr>
            </w:pPr>
            <w:r>
              <w:rPr>
                <w:iCs/>
                <w:sz w:val="20"/>
              </w:rPr>
              <w:t>1 buc/Conform experienței operatorului</w:t>
            </w:r>
          </w:p>
        </w:tc>
      </w:tr>
      <w:tr>
        <w:tc>
          <w:tcPr>
            <w:tcW w:w="3256" w:type="dxa"/>
          </w:tcPr>
          <w:p>
            <w:pPr>
              <w:rPr>
                <w:iCs/>
                <w:sz w:val="20"/>
              </w:rPr>
            </w:pPr>
            <w:r>
              <w:rPr>
                <w:iCs/>
                <w:sz w:val="20"/>
              </w:rPr>
              <w:t xml:space="preserve">Concasor de capacitate mică </w:t>
            </w:r>
          </w:p>
        </w:tc>
        <w:tc>
          <w:tcPr>
            <w:tcW w:w="3402" w:type="dxa"/>
          </w:tcPr>
          <w:p>
            <w:pPr>
              <w:rPr>
                <w:iCs/>
                <w:sz w:val="20"/>
                <w:lang w:val="ro-RO"/>
              </w:rPr>
            </w:pPr>
            <w:r>
              <w:rPr>
                <w:iCs/>
                <w:sz w:val="20"/>
              </w:rPr>
              <w:t>pentru materiale sanitare, materiale de construcţii ce vor fi separate din masa deşeurilor reziduale în etapa de tratare mecanică</w:t>
            </w:r>
          </w:p>
        </w:tc>
        <w:tc>
          <w:tcPr>
            <w:tcW w:w="2947" w:type="dxa"/>
          </w:tcPr>
          <w:p>
            <w:pPr>
              <w:ind w:left="40"/>
              <w:contextualSpacing/>
              <w:rPr>
                <w:iCs/>
                <w:sz w:val="20"/>
              </w:rPr>
            </w:pPr>
            <w:r>
              <w:rPr>
                <w:iCs/>
                <w:sz w:val="20"/>
              </w:rPr>
              <w:t>1 buc/Conform experienței operatorului</w:t>
            </w:r>
          </w:p>
        </w:tc>
      </w:tr>
    </w:tbl>
    <w:p>
      <w:pPr>
        <w:rPr>
          <w:sz w:val="20"/>
          <w:lang w:val="ro-RO"/>
        </w:rPr>
      </w:pPr>
    </w:p>
    <w:p>
      <w:pPr>
        <w:numPr>
          <w:ilvl w:val="0"/>
          <w:numId w:val="74"/>
        </w:numPr>
        <w:ind w:left="284"/>
        <w:contextualSpacing/>
        <w:rPr>
          <w:iCs/>
          <w:sz w:val="20"/>
        </w:rPr>
      </w:pPr>
      <w:r>
        <w:rPr>
          <w:iCs/>
          <w:sz w:val="20"/>
          <w:lang w:val="ro-RO"/>
        </w:rPr>
        <w:t xml:space="preserve">În cazul încetării înainte de termen a contractului de delegare, din motive neimputabile operatorului, delegatarul va plăti operatorului valoarea rămasă neamortizată a investițiilor realizate în bunuri de natura celor de retur, în conformitate cu prevederile art. 37 alin. </w:t>
      </w:r>
      <w:r>
        <w:rPr>
          <w:iCs/>
          <w:sz w:val="20"/>
        </w:rPr>
        <w:t>(2) și (3) din Legea nr. 101/2006, republicată, cu modificările și completările ulterioare.</w:t>
      </w:r>
    </w:p>
    <w:p>
      <w:pPr>
        <w:numPr>
          <w:ilvl w:val="0"/>
          <w:numId w:val="74"/>
        </w:numPr>
        <w:ind w:left="284"/>
        <w:contextualSpacing/>
        <w:rPr>
          <w:iCs/>
          <w:sz w:val="20"/>
        </w:rPr>
      </w:pPr>
      <w:r>
        <w:rPr>
          <w:sz w:val="20"/>
          <w:lang w:val="ro-RO"/>
        </w:rPr>
        <w:t>Operatorul are obligația să obțină, pe numele său, toate avizele/autorizațiile necesare prestării activității, conform prevederilor legale în vigoare</w:t>
      </w:r>
      <w:r>
        <w:rPr>
          <w:iCs/>
          <w:sz w:val="20"/>
        </w:rPr>
        <w:t>.</w:t>
      </w:r>
    </w:p>
    <w:p>
      <w:pPr>
        <w:tabs>
          <w:tab w:val="left" w:pos="2294"/>
        </w:tabs>
        <w:rPr>
          <w:sz w:val="20"/>
          <w:szCs w:val="20"/>
          <w:lang w:val="ro-RO"/>
        </w:rPr>
      </w:pPr>
    </w:p>
    <w:p>
      <w:pPr>
        <w:pStyle w:val="Heading4"/>
        <w:rPr>
          <w:sz w:val="20"/>
          <w:szCs w:val="20"/>
          <w:lang w:val="ro-RO"/>
        </w:rPr>
      </w:pPr>
      <w:r>
        <w:rPr>
          <w:sz w:val="20"/>
          <w:szCs w:val="20"/>
          <w:lang w:val="ro-RO"/>
        </w:rPr>
        <w:lastRenderedPageBreak/>
        <w:t>3.1.1.6 Investiţii realizate de Antreprenor</w:t>
      </w:r>
    </w:p>
    <w:p>
      <w:pPr>
        <w:tabs>
          <w:tab w:val="left" w:pos="2294"/>
        </w:tabs>
        <w:rPr>
          <w:sz w:val="20"/>
          <w:szCs w:val="20"/>
          <w:lang w:val="ro-RO"/>
        </w:rPr>
      </w:pPr>
      <w:r>
        <w:rPr>
          <w:sz w:val="20"/>
          <w:szCs w:val="20"/>
          <w:lang w:val="ro-RO"/>
        </w:rPr>
        <w:t>În urma proceselor de tratare mecanică, ca parte a produselor rezultate se vor regăsi deşeuri combustibile, pretabile pentru valorificare energetică.</w:t>
      </w:r>
    </w:p>
    <w:p>
      <w:pPr>
        <w:tabs>
          <w:tab w:val="left" w:pos="2294"/>
        </w:tabs>
        <w:rPr>
          <w:sz w:val="20"/>
          <w:szCs w:val="20"/>
          <w:lang w:val="ro-RO"/>
        </w:rPr>
      </w:pPr>
      <w:r>
        <w:rPr>
          <w:sz w:val="20"/>
          <w:szCs w:val="20"/>
          <w:lang w:val="ro-RO"/>
        </w:rPr>
        <w:t>Instalaţia pentru pregătirea RDF (refuse derived fuel) din deşeuri combustibile va fi asigurată de către Antreprenor.</w:t>
      </w:r>
    </w:p>
    <w:p>
      <w:pPr>
        <w:tabs>
          <w:tab w:val="left" w:pos="2294"/>
        </w:tabs>
        <w:rPr>
          <w:sz w:val="20"/>
          <w:szCs w:val="20"/>
          <w:lang w:val="ro-RO"/>
        </w:rPr>
      </w:pPr>
      <w:r>
        <w:rPr>
          <w:sz w:val="20"/>
          <w:szCs w:val="20"/>
          <w:lang w:val="ro-RO"/>
        </w:rPr>
        <w:t>Pentru derularea conformă a procesului de tratare biologică, este necesar ca biodeşeurile colectate separat să fie supuse unui proces de pretratare, prin inspecţie vizuală şi înlăturarea unor produse indezirabile (în general materiale anorganice, inerte de dimensiuni importante, ambalaje, resturi nemetalice si metalice etc).</w:t>
      </w:r>
    </w:p>
    <w:p>
      <w:pPr>
        <w:tabs>
          <w:tab w:val="left" w:pos="2294"/>
        </w:tabs>
        <w:rPr>
          <w:sz w:val="20"/>
          <w:szCs w:val="20"/>
          <w:lang w:val="ro-RO"/>
        </w:rPr>
      </w:pPr>
      <w:r>
        <w:rPr>
          <w:sz w:val="20"/>
          <w:szCs w:val="20"/>
          <w:lang w:val="ro-RO"/>
        </w:rPr>
        <w:t>O cuvă de alimentare a biodeşeurilor colectate separat, cu posibilitate de inspecţie vizuală şi de înlăturare a corpurilor mari, indezirabile, precum și orice echipamente necesare pretratării biodeseurilor înainte de introducerea în procesul de tratare biologică, vor fi asigurate de Antreprenor. Acestea vor fi suplimentare buncărului de alimentare, instalației de marunțire, tancului de sedimentare și rezervorului tampon.</w:t>
      </w:r>
    </w:p>
    <w:p>
      <w:pPr>
        <w:tabs>
          <w:tab w:val="left" w:pos="2294"/>
        </w:tabs>
        <w:rPr>
          <w:sz w:val="20"/>
          <w:szCs w:val="20"/>
          <w:lang w:val="ro-RO"/>
        </w:rPr>
      </w:pPr>
      <w:r>
        <w:rPr>
          <w:sz w:val="20"/>
          <w:szCs w:val="20"/>
          <w:lang w:val="ro-RO"/>
        </w:rPr>
        <w:t>În urma proceselor de tratare biologică din TMB, ca parte a produselor rezultate se vor regăsi biogaz, digestat rezultat din biodeşeuri colectate separat, digestat din deșeuri reziduale.</w:t>
      </w:r>
    </w:p>
    <w:p>
      <w:pPr>
        <w:tabs>
          <w:tab w:val="left" w:pos="2294"/>
        </w:tabs>
        <w:rPr>
          <w:sz w:val="20"/>
          <w:szCs w:val="20"/>
          <w:lang w:val="ro-RO"/>
        </w:rPr>
      </w:pPr>
      <w:r>
        <w:rPr>
          <w:sz w:val="20"/>
          <w:szCs w:val="20"/>
          <w:lang w:val="ro-RO"/>
        </w:rPr>
        <w:t xml:space="preserve">Biogazul produs în urma proceselor de tratare biologică prin fermentaţie anaerobă va fi folosit pentru producerea de energie termică necesară derulării proceselor TMB, iar excesul pentru producerea de energie electrică destinată funcţionării utilajelor. Producerea de energie electrică din biogaz este condiţionată de achiziţionarea </w:t>
      </w:r>
      <w:r>
        <w:rPr>
          <w:b/>
          <w:bCs/>
          <w:sz w:val="20"/>
          <w:szCs w:val="20"/>
          <w:lang w:val="ro-RO"/>
        </w:rPr>
        <w:t>unei instalaţii de cogenerare energie electrică şi termică</w:t>
      </w:r>
      <w:r>
        <w:rPr>
          <w:sz w:val="20"/>
          <w:szCs w:val="20"/>
          <w:lang w:val="ro-RO"/>
        </w:rPr>
        <w:t xml:space="preserve"> Costurile achiziţionării (transport, montaj, intretinere, exploatare) instalaţiei de cogenerare revin Antreprenorului. Antreprenorul are libertatea de a propune soluția optimă privind instalația de cogenerare astfel încât să fie atinși indicatorii de performantă menționați în documentația de atribuire. Instalația de cogenerare trebuie achiziționată de către Antreprenor si integrata in fluxul tehnologic propus. </w:t>
      </w:r>
    </w:p>
    <w:p>
      <w:pPr>
        <w:tabs>
          <w:tab w:val="left" w:pos="2294"/>
        </w:tabs>
        <w:rPr>
          <w:sz w:val="20"/>
          <w:szCs w:val="20"/>
          <w:lang w:val="ro-RO"/>
        </w:rPr>
      </w:pPr>
      <w:r>
        <w:rPr>
          <w:sz w:val="20"/>
          <w:szCs w:val="20"/>
          <w:lang w:val="ro-RO"/>
        </w:rPr>
        <w:t>Pentru ca digestatul rezultat din tratarea biodeşeurilor colectate separat să poată îndeplini condiţiile de valorificare, este necesară realizarea de analize de laborator pe fiecare sarja rezultata din procesul de digestie.</w:t>
      </w:r>
    </w:p>
    <w:p>
      <w:pPr>
        <w:tabs>
          <w:tab w:val="left" w:pos="2294"/>
        </w:tabs>
        <w:rPr>
          <w:sz w:val="20"/>
          <w:szCs w:val="20"/>
          <w:lang w:val="ro-RO"/>
        </w:rPr>
      </w:pPr>
      <w:r>
        <w:rPr>
          <w:sz w:val="20"/>
          <w:szCs w:val="20"/>
          <w:lang w:val="ro-RO"/>
        </w:rPr>
        <w:t>Instalația de compostare a digestatului din biodeșeuri colectate separat și de stabilizare a digestatului din biodeșeuri şi toate echipamentele şi materialele necesare organizării şi desfăşurării procesului de obţinere a unui compost valorificabil și a unui digestat stabilizat vor fi asigurate de către Antreprenor.</w:t>
      </w:r>
    </w:p>
    <w:p>
      <w:pPr>
        <w:tabs>
          <w:tab w:val="left" w:pos="2294"/>
        </w:tabs>
        <w:rPr>
          <w:sz w:val="20"/>
          <w:szCs w:val="20"/>
          <w:lang w:val="ro-RO"/>
        </w:rPr>
      </w:pPr>
      <w:r>
        <w:rPr>
          <w:sz w:val="20"/>
          <w:szCs w:val="20"/>
          <w:lang w:val="ro-RO"/>
        </w:rPr>
        <w:t>Instalația va conține două zone distincte, delimitate funcțional, una pentru compostarea digestatului din biodeșeuri, alta pentru stabilizarea digestatului din deșeuri reziduale, fără posibilitatea intersectării celor 2 fluxuri de tratare și amestecării celor două produse.</w:t>
      </w:r>
    </w:p>
    <w:p>
      <w:pPr>
        <w:tabs>
          <w:tab w:val="left" w:pos="2294"/>
        </w:tabs>
        <w:rPr>
          <w:sz w:val="20"/>
          <w:szCs w:val="20"/>
          <w:lang w:val="ro-RO"/>
        </w:rPr>
      </w:pPr>
      <w:r>
        <w:rPr>
          <w:sz w:val="20"/>
          <w:szCs w:val="20"/>
          <w:lang w:val="ro-RO"/>
        </w:rPr>
        <w:t>Instalația de compostare și stabilizare trebuie să fie operaţională odată cu instalația de tratare prin digestie anaerobă.</w:t>
      </w:r>
    </w:p>
    <w:p>
      <w:pPr>
        <w:tabs>
          <w:tab w:val="left" w:pos="2294"/>
        </w:tabs>
        <w:rPr>
          <w:sz w:val="20"/>
          <w:szCs w:val="20"/>
          <w:lang w:val="ro-RO"/>
        </w:rPr>
      </w:pPr>
      <w:r>
        <w:rPr>
          <w:sz w:val="20"/>
          <w:szCs w:val="20"/>
          <w:lang w:val="ro-RO"/>
        </w:rPr>
        <w:t>Antreprenorul va asigura şi un concasor de capacitate mică pentru pentru materiale sanitare, materiale de construcţii ce vor fi separate din masa deşeurilor reziduale în etapa de tratare mecanică.</w:t>
      </w:r>
    </w:p>
    <w:p>
      <w:pPr>
        <w:tabs>
          <w:tab w:val="left" w:pos="2294"/>
        </w:tabs>
        <w:rPr>
          <w:sz w:val="20"/>
          <w:szCs w:val="20"/>
          <w:lang w:val="ro-RO"/>
        </w:rPr>
      </w:pPr>
      <w:r>
        <w:rPr>
          <w:sz w:val="20"/>
          <w:szCs w:val="20"/>
          <w:lang w:val="ro-RO"/>
        </w:rPr>
        <w:t>Antreprenorul va asigura dotarea laboratorului propriu pentru a răspunde cerinţelor de monitorizare şi măsurare a parametrilor şi performanţelor cerute astfel incat laboratorul sa fie acreditat conform cerinţelor nationale si europene.</w:t>
      </w:r>
    </w:p>
    <w:p>
      <w:pPr>
        <w:tabs>
          <w:tab w:val="left" w:pos="2294"/>
        </w:tabs>
        <w:rPr>
          <w:sz w:val="20"/>
          <w:szCs w:val="20"/>
          <w:lang w:val="ro-RO"/>
        </w:rPr>
      </w:pPr>
      <w:r>
        <w:rPr>
          <w:sz w:val="20"/>
          <w:szCs w:val="20"/>
          <w:lang w:val="ro-RO"/>
        </w:rPr>
        <w:t>Antreprenorul va asigura o mașina de intors brazde pentru derularea procesului de post tratare aerobă a digestatului si un ciur mobil pentru asigurarea unei granulații corespunzătoare a compostului obținut din digestatul din biodeșeuri colectate separat.</w:t>
      </w:r>
    </w:p>
    <w:p>
      <w:pPr>
        <w:tabs>
          <w:tab w:val="left" w:pos="2294"/>
        </w:tabs>
        <w:rPr>
          <w:sz w:val="20"/>
          <w:szCs w:val="20"/>
          <w:lang w:val="ro-RO"/>
        </w:rPr>
      </w:pPr>
      <w:r>
        <w:rPr>
          <w:sz w:val="20"/>
          <w:szCs w:val="20"/>
          <w:lang w:val="ro-RO"/>
        </w:rPr>
        <w:t>Informații centralizate referitoare la investițiile realizate de Antreprenor sunt prevăzute in tabelele din subcapitolele 3.1.1.5.1 si 3.1.1.5.2.</w:t>
      </w:r>
    </w:p>
    <w:p>
      <w:pPr>
        <w:tabs>
          <w:tab w:val="left" w:pos="2294"/>
        </w:tabs>
        <w:rPr>
          <w:sz w:val="20"/>
          <w:szCs w:val="20"/>
          <w:lang w:val="ro-RO"/>
        </w:rPr>
      </w:pPr>
      <w:r>
        <w:rPr>
          <w:sz w:val="20"/>
          <w:szCs w:val="20"/>
          <w:lang w:val="ro-RO"/>
        </w:rPr>
        <w:t>Contractul fiind de tip proiectare–execuție-operare, Antreprenorul va propune tehnologia optimă necesară astfel încât să fie îndepliniți toți indicatorii de performantă, inclusiv cel privind raportul dintre energia generată și cea consumată.</w:t>
      </w:r>
    </w:p>
    <w:p>
      <w:pPr>
        <w:tabs>
          <w:tab w:val="left" w:pos="2294"/>
        </w:tabs>
        <w:rPr>
          <w:sz w:val="20"/>
          <w:szCs w:val="20"/>
          <w:lang w:val="ro-RO"/>
        </w:rPr>
      </w:pPr>
      <w:r>
        <w:rPr>
          <w:sz w:val="20"/>
          <w:szCs w:val="20"/>
          <w:lang w:val="ro-RO"/>
        </w:rPr>
        <w:lastRenderedPageBreak/>
        <w:t>Costurile cu investiţiile realizate de Antreprenor vor fi recuperate din tarif, sub forma amortizării investiţiilor proprii.</w:t>
      </w:r>
    </w:p>
    <w:p>
      <w:pPr>
        <w:tabs>
          <w:tab w:val="left" w:pos="2294"/>
        </w:tabs>
        <w:rPr>
          <w:sz w:val="20"/>
          <w:szCs w:val="20"/>
          <w:lang w:val="ro-RO"/>
        </w:rPr>
      </w:pPr>
    </w:p>
    <w:p>
      <w:pPr>
        <w:pStyle w:val="Heading3"/>
        <w:rPr>
          <w:sz w:val="20"/>
          <w:szCs w:val="20"/>
          <w:lang w:val="ro-RO"/>
        </w:rPr>
      </w:pPr>
      <w:bookmarkStart w:id="53" w:name="_Toc227161528"/>
      <w:r>
        <w:rPr>
          <w:sz w:val="20"/>
          <w:szCs w:val="20"/>
          <w:lang w:val="ro-RO"/>
        </w:rPr>
        <w:t>3.1.2 Staţia de transfer Galaţi</w:t>
      </w:r>
      <w:bookmarkEnd w:id="53"/>
    </w:p>
    <w:p>
      <w:pPr>
        <w:pStyle w:val="Heading4"/>
        <w:rPr>
          <w:sz w:val="20"/>
          <w:szCs w:val="20"/>
          <w:lang w:val="ro-RO"/>
        </w:rPr>
      </w:pPr>
      <w:r>
        <w:rPr>
          <w:sz w:val="20"/>
          <w:szCs w:val="20"/>
          <w:lang w:val="ro-RO"/>
        </w:rPr>
        <w:t>3.1.2.1 Amplasare</w:t>
      </w:r>
    </w:p>
    <w:p>
      <w:pPr>
        <w:tabs>
          <w:tab w:val="left" w:pos="2294"/>
        </w:tabs>
        <w:rPr>
          <w:sz w:val="20"/>
          <w:szCs w:val="20"/>
          <w:lang w:val="ro-RO"/>
        </w:rPr>
      </w:pPr>
      <w:r>
        <w:rPr>
          <w:sz w:val="20"/>
          <w:szCs w:val="20"/>
          <w:lang w:val="ro-RO"/>
        </w:rPr>
        <w:t>Amplasamentul staţiei de transfer Galaţi este situat în partea de sud-vest a Municipiului Galaţi şi ocupă o suprafaţă de 9,5 ha, din care 6.000 m2 sunt alocate staţiei de transfer. Staţia de transfer este localizată pe acelaşi amplasament cu stația TMB.</w:t>
      </w:r>
    </w:p>
    <w:p>
      <w:pPr>
        <w:tabs>
          <w:tab w:val="left" w:pos="2294"/>
        </w:tabs>
        <w:rPr>
          <w:sz w:val="20"/>
          <w:szCs w:val="20"/>
          <w:lang w:val="ro-RO"/>
        </w:rPr>
      </w:pPr>
      <w:r>
        <w:rPr>
          <w:sz w:val="20"/>
          <w:szCs w:val="20"/>
          <w:lang w:val="ro-RO"/>
        </w:rPr>
        <w:t>Terenul se află în proprietatea publică a judeţului Galaţi.</w:t>
      </w:r>
    </w:p>
    <w:p>
      <w:pPr>
        <w:tabs>
          <w:tab w:val="left" w:pos="2294"/>
        </w:tabs>
        <w:rPr>
          <w:sz w:val="20"/>
          <w:szCs w:val="20"/>
          <w:lang w:val="ro-RO"/>
        </w:rPr>
      </w:pPr>
      <w:r>
        <w:rPr>
          <w:sz w:val="20"/>
          <w:szCs w:val="20"/>
          <w:lang w:val="ro-RO"/>
        </w:rPr>
        <w:t>Accesul rutier se realizează din DN 2B (E87) prin intermediul unui drum betonat, modernizat, cu o lungime de cca 660 m, lăţime de 7 m, 2 benzi (1 banda pe sens), destinat traficului greu.</w:t>
      </w:r>
    </w:p>
    <w:p>
      <w:pPr>
        <w:pStyle w:val="Heading4"/>
        <w:rPr>
          <w:sz w:val="20"/>
          <w:szCs w:val="20"/>
          <w:lang w:val="ro-RO"/>
        </w:rPr>
      </w:pPr>
      <w:r>
        <w:rPr>
          <w:sz w:val="20"/>
          <w:szCs w:val="20"/>
          <w:lang w:val="ro-RO"/>
        </w:rPr>
        <w:t>3.1.2.2 Aria deservită</w:t>
      </w:r>
    </w:p>
    <w:p>
      <w:pPr>
        <w:tabs>
          <w:tab w:val="left" w:pos="2294"/>
        </w:tabs>
        <w:rPr>
          <w:sz w:val="20"/>
          <w:szCs w:val="20"/>
          <w:lang w:val="ro-RO"/>
        </w:rPr>
      </w:pPr>
      <w:r>
        <w:rPr>
          <w:sz w:val="20"/>
          <w:szCs w:val="20"/>
          <w:lang w:val="ro-RO"/>
        </w:rPr>
        <w:t>Staţia de transfer Galaţi, cu o capacitate proiectată de 23.000 tone/an, va asigura:</w:t>
      </w:r>
    </w:p>
    <w:p>
      <w:pPr>
        <w:pStyle w:val="ListParagraph"/>
        <w:numPr>
          <w:ilvl w:val="0"/>
          <w:numId w:val="65"/>
        </w:numPr>
        <w:tabs>
          <w:tab w:val="left" w:pos="2294"/>
        </w:tabs>
        <w:rPr>
          <w:sz w:val="20"/>
          <w:szCs w:val="20"/>
          <w:lang w:val="ro-RO"/>
        </w:rPr>
      </w:pPr>
      <w:r>
        <w:rPr>
          <w:sz w:val="20"/>
          <w:szCs w:val="20"/>
          <w:lang w:val="ro-RO"/>
        </w:rPr>
        <w:t>transferul deşeurilor reciclabile colectate separat din zona 1 (cu excepţia Municipiului Galaţi) către staţia de sortare Valea Mărului;</w:t>
      </w:r>
    </w:p>
    <w:p>
      <w:pPr>
        <w:pStyle w:val="ListParagraph"/>
        <w:numPr>
          <w:ilvl w:val="0"/>
          <w:numId w:val="65"/>
        </w:numPr>
        <w:tabs>
          <w:tab w:val="left" w:pos="2294"/>
        </w:tabs>
        <w:rPr>
          <w:sz w:val="20"/>
          <w:szCs w:val="20"/>
          <w:lang w:val="ro-RO"/>
        </w:rPr>
      </w:pPr>
      <w:r>
        <w:rPr>
          <w:sz w:val="20"/>
          <w:szCs w:val="20"/>
          <w:lang w:val="ro-RO"/>
        </w:rPr>
        <w:t>transferul refuzurilor şi a digestatului rezidual de la TMB Galaţi către depozitul de deşeuri Valea Mărului.</w:t>
      </w:r>
    </w:p>
    <w:p>
      <w:pPr>
        <w:pStyle w:val="ListParagraph"/>
        <w:numPr>
          <w:ilvl w:val="0"/>
          <w:numId w:val="65"/>
        </w:numPr>
        <w:tabs>
          <w:tab w:val="left" w:pos="2294"/>
        </w:tabs>
        <w:rPr>
          <w:sz w:val="20"/>
          <w:szCs w:val="20"/>
          <w:lang w:val="ro-RO"/>
        </w:rPr>
      </w:pPr>
      <w:r>
        <w:rPr>
          <w:sz w:val="20"/>
          <w:szCs w:val="20"/>
          <w:lang w:val="ro-RO"/>
        </w:rPr>
        <w:t xml:space="preserve">transferul deșeurilor </w:t>
      </w:r>
      <w:r>
        <w:rPr>
          <w:rFonts w:cs="Arial"/>
          <w:color w:val="000000" w:themeColor="text1"/>
          <w:sz w:val="20"/>
          <w:szCs w:val="20"/>
          <w:lang w:val="ro-RO"/>
        </w:rPr>
        <w:t>textile colectate separat din zona 1 (cu excepția Mun. Galați) la Hală fluxuri speciale Tecuci;</w:t>
      </w:r>
    </w:p>
    <w:p>
      <w:pPr>
        <w:pStyle w:val="ListParagraph"/>
        <w:numPr>
          <w:ilvl w:val="0"/>
          <w:numId w:val="65"/>
        </w:numPr>
        <w:tabs>
          <w:tab w:val="left" w:pos="2294"/>
        </w:tabs>
        <w:rPr>
          <w:sz w:val="20"/>
          <w:szCs w:val="20"/>
          <w:lang w:val="ro-RO"/>
        </w:rPr>
      </w:pPr>
      <w:r>
        <w:rPr>
          <w:sz w:val="20"/>
          <w:szCs w:val="20"/>
          <w:lang w:val="ro-RO"/>
        </w:rPr>
        <w:t>transferul deșeurilor voluminoase colectate separat din zona 1 (cu excepția Mun. Galați) la Hală fluxuri speciale Tecuci;</w:t>
      </w:r>
    </w:p>
    <w:p>
      <w:pPr>
        <w:pStyle w:val="ListParagraph"/>
        <w:numPr>
          <w:ilvl w:val="0"/>
          <w:numId w:val="65"/>
        </w:numPr>
        <w:tabs>
          <w:tab w:val="left" w:pos="2294"/>
        </w:tabs>
        <w:rPr>
          <w:sz w:val="20"/>
          <w:szCs w:val="20"/>
          <w:lang w:val="ro-RO"/>
        </w:rPr>
      </w:pPr>
      <w:r>
        <w:rPr>
          <w:b/>
          <w:bCs/>
          <w:sz w:val="20"/>
          <w:szCs w:val="20"/>
          <w:lang w:val="ro-RO"/>
        </w:rPr>
        <w:t>stocarea temporară</w:t>
      </w:r>
      <w:r>
        <w:rPr>
          <w:sz w:val="20"/>
          <w:szCs w:val="20"/>
          <w:lang w:val="ro-RO"/>
        </w:rPr>
        <w:t xml:space="preserve"> a deșeurilor menajere periculoase colectate separat din zona 1 (cu excepția Mun. Galați)</w:t>
      </w:r>
    </w:p>
    <w:p>
      <w:pPr>
        <w:pStyle w:val="ListParagraph"/>
        <w:numPr>
          <w:ilvl w:val="0"/>
          <w:numId w:val="65"/>
        </w:numPr>
        <w:tabs>
          <w:tab w:val="left" w:pos="2294"/>
        </w:tabs>
        <w:rPr>
          <w:sz w:val="20"/>
          <w:szCs w:val="20"/>
          <w:lang w:val="ro-RO"/>
        </w:rPr>
      </w:pPr>
    </w:p>
    <w:p>
      <w:pPr>
        <w:tabs>
          <w:tab w:val="left" w:pos="2294"/>
        </w:tabs>
        <w:rPr>
          <w:sz w:val="20"/>
          <w:szCs w:val="20"/>
          <w:lang w:val="ro-RO"/>
        </w:rPr>
      </w:pPr>
      <w:r>
        <w:rPr>
          <w:sz w:val="20"/>
          <w:szCs w:val="20"/>
          <w:lang w:val="ro-RO"/>
        </w:rPr>
        <w:t>Unităţile teritorial administrative care fac parte din Zona 1 şi care vor fi deservite de staţia de transfer Galaţi sunt: Braniştea, Smârdan, Şendreni, Tuluceşti, Folteşti, Frumuşiţa, Fundeni, Scânteieşti, Cuza Vodă, Schela, Independenţa, Piscu, Tudor Vladimirescu, Slobozia Conachi, Nămoloasa, Lieşti, Vânători.</w:t>
      </w:r>
    </w:p>
    <w:p>
      <w:pPr>
        <w:pStyle w:val="Heading4"/>
        <w:rPr>
          <w:sz w:val="20"/>
          <w:szCs w:val="20"/>
          <w:lang w:val="ro-RO"/>
        </w:rPr>
      </w:pPr>
      <w:r>
        <w:rPr>
          <w:sz w:val="20"/>
          <w:szCs w:val="20"/>
          <w:lang w:val="ro-RO"/>
        </w:rPr>
        <w:t>3.1.2.3 Tipuri şi cantităţi de deşeuri transferate</w:t>
      </w:r>
    </w:p>
    <w:p>
      <w:pPr>
        <w:tabs>
          <w:tab w:val="left" w:pos="2294"/>
        </w:tabs>
        <w:rPr>
          <w:sz w:val="20"/>
          <w:szCs w:val="20"/>
          <w:lang w:val="ro-RO"/>
        </w:rPr>
      </w:pPr>
      <w:r>
        <w:rPr>
          <w:sz w:val="20"/>
          <w:szCs w:val="20"/>
          <w:lang w:val="ro-RO"/>
        </w:rPr>
        <w:t>Prin staţia de transfer de la Galaţi se va asigura transferul:</w:t>
      </w:r>
    </w:p>
    <w:p>
      <w:pPr>
        <w:pStyle w:val="ListParagraph"/>
        <w:numPr>
          <w:ilvl w:val="0"/>
          <w:numId w:val="65"/>
        </w:numPr>
        <w:contextualSpacing w:val="0"/>
        <w:rPr>
          <w:rFonts w:cs="Arial"/>
          <w:color w:val="000000" w:themeColor="text1"/>
          <w:sz w:val="20"/>
          <w:szCs w:val="20"/>
          <w:lang w:val="ro-RO"/>
        </w:rPr>
      </w:pPr>
      <w:r>
        <w:rPr>
          <w:rFonts w:cs="Arial"/>
          <w:color w:val="000000" w:themeColor="text1"/>
          <w:sz w:val="20"/>
          <w:szCs w:val="20"/>
          <w:lang w:val="ro-RO"/>
        </w:rPr>
        <w:t>Deșeurilor reciclabile colectate separat din zona 1 (cu excepția Mun. Galați) către stația de sortare Valea Mărului;</w:t>
      </w:r>
    </w:p>
    <w:p>
      <w:pPr>
        <w:pStyle w:val="ListParagraph"/>
        <w:numPr>
          <w:ilvl w:val="0"/>
          <w:numId w:val="65"/>
        </w:numPr>
        <w:contextualSpacing w:val="0"/>
        <w:rPr>
          <w:rFonts w:cs="Arial"/>
          <w:color w:val="000000" w:themeColor="text1"/>
          <w:sz w:val="20"/>
          <w:szCs w:val="20"/>
          <w:lang w:val="ro-RO"/>
        </w:rPr>
      </w:pPr>
      <w:r>
        <w:rPr>
          <w:rFonts w:cs="Arial"/>
          <w:color w:val="000000" w:themeColor="text1"/>
          <w:sz w:val="20"/>
          <w:szCs w:val="20"/>
          <w:lang w:val="ro-RO"/>
        </w:rPr>
        <w:t>Reziduurilor si digestatului stabilizat din deșeuri reziduale de la instalația TMB Galați către depozitul conform de la Valea Mărului;</w:t>
      </w:r>
    </w:p>
    <w:p>
      <w:pPr>
        <w:pStyle w:val="ListParagraph"/>
        <w:numPr>
          <w:ilvl w:val="0"/>
          <w:numId w:val="65"/>
        </w:numPr>
        <w:contextualSpacing w:val="0"/>
        <w:rPr>
          <w:rFonts w:cs="Arial"/>
          <w:color w:val="000000" w:themeColor="text1"/>
          <w:sz w:val="20"/>
          <w:szCs w:val="20"/>
          <w:lang w:val="ro-RO"/>
        </w:rPr>
      </w:pPr>
      <w:r>
        <w:rPr>
          <w:rFonts w:cs="Arial"/>
          <w:color w:val="000000" w:themeColor="text1"/>
          <w:sz w:val="20"/>
          <w:szCs w:val="20"/>
          <w:lang w:val="ro-RO"/>
        </w:rPr>
        <w:t>Deșeurilor textile colectate separat din zona 1 (cu excepția Mun. Galați) la Hală fluxuri speciale Tecuci;</w:t>
      </w:r>
    </w:p>
    <w:p>
      <w:pPr>
        <w:pStyle w:val="ListParagraph"/>
        <w:numPr>
          <w:ilvl w:val="0"/>
          <w:numId w:val="65"/>
        </w:numPr>
        <w:contextualSpacing w:val="0"/>
        <w:rPr>
          <w:rFonts w:cs="Arial"/>
          <w:color w:val="000000" w:themeColor="text1"/>
          <w:sz w:val="20"/>
          <w:szCs w:val="20"/>
          <w:lang w:val="ro-RO"/>
        </w:rPr>
      </w:pPr>
      <w:r>
        <w:rPr>
          <w:rFonts w:cs="Arial"/>
          <w:color w:val="000000" w:themeColor="text1"/>
          <w:sz w:val="20"/>
          <w:szCs w:val="20"/>
          <w:lang w:val="ro-RO"/>
        </w:rPr>
        <w:t>Deșeurilor voluminoase colectate separat din zona 1 (cu excepția Mun. Galați) la Hală fluxuri speciale Tecuci.</w:t>
      </w:r>
    </w:p>
    <w:p>
      <w:pPr>
        <w:spacing w:before="120"/>
        <w:rPr>
          <w:rFonts w:cs="Arial"/>
          <w:sz w:val="20"/>
          <w:szCs w:val="20"/>
          <w:lang w:val="pt-BR"/>
        </w:rPr>
      </w:pPr>
      <w:r>
        <w:rPr>
          <w:rFonts w:cs="Arial"/>
          <w:sz w:val="20"/>
          <w:szCs w:val="20"/>
          <w:lang w:val="ro-RO"/>
        </w:rPr>
        <w:t xml:space="preserve">Notă: în stația de transfer Galați vor fi introduse și deșeuri menajere periculoase colectate din Zona 1, fără Municipiul Galați. Acestea vor fi </w:t>
      </w:r>
      <w:r>
        <w:rPr>
          <w:rFonts w:cs="Arial"/>
          <w:b/>
          <w:bCs/>
          <w:sz w:val="20"/>
          <w:szCs w:val="20"/>
          <w:lang w:val="ro-RO"/>
        </w:rPr>
        <w:t>doar stocate temporar</w:t>
      </w:r>
      <w:r>
        <w:rPr>
          <w:rFonts w:cs="Arial"/>
          <w:sz w:val="20"/>
          <w:szCs w:val="20"/>
          <w:lang w:val="ro-RO"/>
        </w:rPr>
        <w:t xml:space="preserve"> până la preluarea de către operatori specializați  de tratare/neutralizare. </w:t>
      </w:r>
      <w:r>
        <w:rPr>
          <w:rFonts w:cs="Arial"/>
          <w:sz w:val="20"/>
          <w:szCs w:val="20"/>
          <w:lang w:val="pt-BR"/>
        </w:rPr>
        <w:t>Este apreciată recepția a maxim 175 t de deșeuri periculoase/an.</w:t>
      </w:r>
    </w:p>
    <w:p>
      <w:pPr>
        <w:tabs>
          <w:tab w:val="left" w:pos="2294"/>
        </w:tabs>
        <w:rPr>
          <w:sz w:val="20"/>
          <w:szCs w:val="20"/>
          <w:lang w:val="ro-RO"/>
        </w:rPr>
      </w:pPr>
      <w:r>
        <w:rPr>
          <w:sz w:val="20"/>
          <w:szCs w:val="20"/>
          <w:lang w:val="ro-RO"/>
        </w:rPr>
        <w:t>Conform estimărilor realizate, cantităţile de deşeuri transferate prin staţia de transfer Galaţi sau stocate temporar în cadrul acesteia sunt prezentate în secţiunea 1.3.4. Perioada analizată corespunde orizontului de timp 2030 - 2040.</w:t>
      </w:r>
    </w:p>
    <w:p>
      <w:pPr>
        <w:rPr>
          <w:sz w:val="20"/>
          <w:szCs w:val="20"/>
          <w:lang w:val="ro-RO"/>
        </w:rPr>
      </w:pPr>
      <w:r>
        <w:rPr>
          <w:sz w:val="20"/>
          <w:szCs w:val="20"/>
          <w:lang w:val="ro-RO"/>
        </w:rPr>
        <w:t>Datorită capacităţii proiectate şi a intrărilor de deşeuri în staţia de transfer, stația va funcționa în 1,5 schimburi (12 ore/zi).</w:t>
      </w:r>
    </w:p>
    <w:p>
      <w:pPr>
        <w:tabs>
          <w:tab w:val="left" w:pos="2294"/>
        </w:tabs>
        <w:rPr>
          <w:sz w:val="20"/>
          <w:szCs w:val="20"/>
          <w:lang w:val="ro-RO"/>
        </w:rPr>
      </w:pPr>
      <w:r>
        <w:rPr>
          <w:sz w:val="20"/>
          <w:szCs w:val="20"/>
          <w:lang w:val="ro-RO"/>
        </w:rPr>
        <w:lastRenderedPageBreak/>
        <w:t>Estimările au fost realizate în cadrul Studiului de fundamentare (2026) şi se bazează pe ipoteze care nu sunt verificate prin măsurători (cantităţi generate în prezent, procentul de deşeuri similare din cele menajere etc.). În consecinţă cantităţile de deşeuri pot varia cu până la 15%.</w:t>
      </w:r>
    </w:p>
    <w:p>
      <w:pPr>
        <w:pStyle w:val="Heading4"/>
        <w:rPr>
          <w:sz w:val="20"/>
          <w:szCs w:val="20"/>
          <w:lang w:val="ro-RO"/>
        </w:rPr>
      </w:pPr>
      <w:r>
        <w:rPr>
          <w:sz w:val="20"/>
          <w:szCs w:val="20"/>
          <w:lang w:val="ro-RO"/>
        </w:rPr>
        <w:t>3.1.2.4 Descrierea procesului tehnologic</w:t>
      </w:r>
    </w:p>
    <w:p>
      <w:pPr>
        <w:tabs>
          <w:tab w:val="left" w:pos="2294"/>
        </w:tabs>
        <w:rPr>
          <w:sz w:val="20"/>
          <w:szCs w:val="20"/>
          <w:lang w:val="ro-RO"/>
        </w:rPr>
      </w:pPr>
      <w:r>
        <w:rPr>
          <w:sz w:val="20"/>
          <w:szCs w:val="20"/>
          <w:lang w:val="ro-RO"/>
        </w:rPr>
        <w:t>Tipul de staţie de transfer este cu compactare fixă. În zona de transfer a staţiei, aflată pe o platformă la nivel superior, autogunoierele descarcă deşeurile prin intermediul a două puncte de descărcare în două staţii de compactare care vor presa deşeurile în containere metalice cu volume de minim 24 m3.</w:t>
      </w:r>
    </w:p>
    <w:p>
      <w:pPr>
        <w:tabs>
          <w:tab w:val="left" w:pos="2294"/>
        </w:tabs>
        <w:rPr>
          <w:sz w:val="20"/>
          <w:szCs w:val="20"/>
          <w:lang w:val="ro-RO"/>
        </w:rPr>
      </w:pPr>
      <w:r>
        <w:rPr>
          <w:sz w:val="20"/>
          <w:szCs w:val="20"/>
          <w:lang w:val="ro-RO"/>
        </w:rPr>
        <w:t>Fiecare linie de compactare este alcătuită din: un coş care deserveşte un camion de descărcare, compactor orizontal şi dispozitiv automat de schimbare a şinei pentru 3 containere. Echipamentul de compactare este de tip hidraulic ce asigură un raport de compactare de minimum 1:5. Ritmicitatea de transfer către staţia de sortare/depozitul de deşeuri Valea Mărului este de cca 92 m3/zi (3 transporturi/zi) în prima perioadă.</w:t>
      </w:r>
    </w:p>
    <w:p>
      <w:pPr>
        <w:tabs>
          <w:tab w:val="left" w:pos="2294"/>
        </w:tabs>
        <w:rPr>
          <w:sz w:val="20"/>
          <w:szCs w:val="20"/>
          <w:lang w:val="ro-RO"/>
        </w:rPr>
      </w:pPr>
      <w:r>
        <w:rPr>
          <w:sz w:val="20"/>
          <w:szCs w:val="20"/>
          <w:lang w:val="ro-RO"/>
        </w:rPr>
        <w:t>Procesul de transfer/transport de deşeuri între staţia de transfer Galaţi şi staţia de sortare Valea Mărului se va realiza utilizând aceleaşi camioane, care vor transporta deşeuri reciclabile de la ST Galaţi la Valea Mărului şi se va intoarce de la SS Valea Mărului la TMB cu transport de reziduuri de sortare şi deşeuri combustibile destinate RDF.</w:t>
      </w:r>
    </w:p>
    <w:p>
      <w:pPr>
        <w:tabs>
          <w:tab w:val="left" w:pos="2294"/>
        </w:tabs>
        <w:rPr>
          <w:sz w:val="20"/>
          <w:szCs w:val="20"/>
          <w:lang w:val="ro-RO"/>
        </w:rPr>
      </w:pPr>
      <w:r>
        <w:rPr>
          <w:sz w:val="20"/>
          <w:szCs w:val="20"/>
          <w:lang w:val="ro-RO"/>
        </w:rPr>
        <w:t>Pe lângă liniile propriu-zise de compactare, staţia de transfer mai conţine un cântar şi o cabină de recepţie (destinate inclusiv TMB) şi zone pentru depozitarea containerelor goale, a celor pline în cazul în care nu este disponibil imediat un vehicul de transport şi a containerelor specializate (deşeuri menajere periculoase).</w:t>
      </w:r>
    </w:p>
    <w:p>
      <w:pPr>
        <w:pStyle w:val="Heading4"/>
        <w:rPr>
          <w:sz w:val="20"/>
          <w:szCs w:val="20"/>
          <w:lang w:val="ro-RO"/>
        </w:rPr>
      </w:pPr>
      <w:r>
        <w:rPr>
          <w:sz w:val="20"/>
          <w:szCs w:val="20"/>
          <w:lang w:val="ro-RO"/>
        </w:rPr>
        <w:t>3.1.2.5 Cerinţe minime de operare</w:t>
      </w:r>
    </w:p>
    <w:p>
      <w:pPr>
        <w:numPr>
          <w:ilvl w:val="0"/>
          <w:numId w:val="77"/>
        </w:numPr>
        <w:tabs>
          <w:tab w:val="left" w:pos="2294"/>
        </w:tabs>
        <w:ind w:left="284"/>
        <w:contextualSpacing/>
        <w:rPr>
          <w:sz w:val="20"/>
          <w:szCs w:val="20"/>
          <w:lang w:val="ro-RO"/>
        </w:rPr>
      </w:pPr>
      <w:r>
        <w:rPr>
          <w:sz w:val="20"/>
          <w:szCs w:val="20"/>
          <w:lang w:val="ro-RO"/>
        </w:rPr>
        <w:t>Procesul de transfer al deşeurilor trebuie să se desfăşoare astfel încât să fie respectate cerinţele documentaţiei de atribuire.</w:t>
      </w:r>
    </w:p>
    <w:p>
      <w:pPr>
        <w:numPr>
          <w:ilvl w:val="0"/>
          <w:numId w:val="77"/>
        </w:numPr>
        <w:tabs>
          <w:tab w:val="left" w:pos="2294"/>
        </w:tabs>
        <w:ind w:left="284"/>
        <w:contextualSpacing/>
        <w:rPr>
          <w:sz w:val="20"/>
          <w:szCs w:val="20"/>
          <w:lang w:val="ro-RO"/>
        </w:rPr>
      </w:pPr>
      <w:r>
        <w:rPr>
          <w:sz w:val="20"/>
          <w:szCs w:val="20"/>
          <w:lang w:val="ro-RO"/>
        </w:rPr>
        <w:t>La stația de transfer de la Galați</w:t>
      </w:r>
      <w:r>
        <w:rPr>
          <w:i/>
          <w:iCs/>
          <w:sz w:val="20"/>
          <w:szCs w:val="20"/>
          <w:lang w:val="ro-RO"/>
        </w:rPr>
        <w:t xml:space="preserve"> </w:t>
      </w:r>
      <w:r>
        <w:rPr>
          <w:sz w:val="20"/>
          <w:szCs w:val="20"/>
          <w:lang w:val="ro-RO"/>
        </w:rPr>
        <w:t xml:space="preserve">care deservește Zona 1 de colectare sunt stocate temporar și transferate următoarele fracții de deșeuri: </w:t>
      </w:r>
    </w:p>
    <w:p>
      <w:pPr>
        <w:numPr>
          <w:ilvl w:val="0"/>
          <w:numId w:val="76"/>
        </w:numPr>
        <w:tabs>
          <w:tab w:val="left" w:pos="2294"/>
        </w:tabs>
        <w:contextualSpacing/>
        <w:rPr>
          <w:sz w:val="20"/>
          <w:szCs w:val="20"/>
          <w:lang w:val="ro-RO"/>
        </w:rPr>
      </w:pPr>
      <w:r>
        <w:rPr>
          <w:sz w:val="20"/>
          <w:szCs w:val="20"/>
          <w:lang w:val="ro-RO"/>
        </w:rPr>
        <w:t>Deşeuri reciclabile colectate separat din zona 1, cu excepţia Mun. Galaţi- hârtie/carton, plastic, metal, sticlă.</w:t>
      </w:r>
    </w:p>
    <w:p>
      <w:pPr>
        <w:numPr>
          <w:ilvl w:val="0"/>
          <w:numId w:val="76"/>
        </w:numPr>
        <w:tabs>
          <w:tab w:val="left" w:pos="2294"/>
        </w:tabs>
        <w:contextualSpacing/>
        <w:rPr>
          <w:sz w:val="20"/>
          <w:szCs w:val="20"/>
          <w:lang w:val="ro-RO"/>
        </w:rPr>
      </w:pPr>
      <w:r>
        <w:rPr>
          <w:sz w:val="20"/>
          <w:szCs w:val="20"/>
          <w:lang w:val="ro-RO"/>
        </w:rPr>
        <w:t>Refuzuri și digestat stabilizat din deșeuri reziduale provenite de la TMB;</w:t>
      </w:r>
    </w:p>
    <w:p>
      <w:pPr>
        <w:numPr>
          <w:ilvl w:val="0"/>
          <w:numId w:val="76"/>
        </w:numPr>
        <w:tabs>
          <w:tab w:val="left" w:pos="2294"/>
        </w:tabs>
        <w:contextualSpacing/>
        <w:rPr>
          <w:sz w:val="20"/>
          <w:szCs w:val="20"/>
          <w:lang w:val="ro-RO"/>
        </w:rPr>
      </w:pPr>
      <w:r>
        <w:rPr>
          <w:sz w:val="20"/>
          <w:szCs w:val="20"/>
          <w:lang w:val="ro-RO"/>
        </w:rPr>
        <w:t>Deșeuri textile colectate separat din zona 1 (cu excepția Mun. Galați);</w:t>
      </w:r>
    </w:p>
    <w:p>
      <w:pPr>
        <w:numPr>
          <w:ilvl w:val="0"/>
          <w:numId w:val="76"/>
        </w:numPr>
        <w:tabs>
          <w:tab w:val="left" w:pos="2294"/>
        </w:tabs>
        <w:contextualSpacing/>
        <w:rPr>
          <w:sz w:val="20"/>
          <w:szCs w:val="20"/>
          <w:lang w:val="ro-RO"/>
        </w:rPr>
      </w:pPr>
      <w:r>
        <w:rPr>
          <w:sz w:val="20"/>
          <w:szCs w:val="20"/>
          <w:lang w:val="ro-RO"/>
        </w:rPr>
        <w:t>Deșeuri voluminoase colectate separat din zona 1 (cu excepția Mun. Galați).</w:t>
      </w:r>
    </w:p>
    <w:p>
      <w:pPr>
        <w:numPr>
          <w:ilvl w:val="0"/>
          <w:numId w:val="76"/>
        </w:numPr>
        <w:tabs>
          <w:tab w:val="left" w:pos="2294"/>
        </w:tabs>
        <w:contextualSpacing/>
        <w:rPr>
          <w:sz w:val="20"/>
          <w:szCs w:val="20"/>
          <w:lang w:val="ro-RO"/>
        </w:rPr>
      </w:pPr>
      <w:r>
        <w:rPr>
          <w:sz w:val="20"/>
          <w:szCs w:val="20"/>
          <w:lang w:val="ro-RO"/>
        </w:rPr>
        <w:t xml:space="preserve">Deșeuri menajere periculoase colectate separat </w:t>
      </w:r>
      <w:r>
        <w:rPr>
          <w:rFonts w:cs="Arial"/>
          <w:color w:val="000000" w:themeColor="text1"/>
          <w:sz w:val="20"/>
          <w:szCs w:val="20"/>
          <w:lang w:val="ro-RO"/>
        </w:rPr>
        <w:t>din zona 1 (cu excepția Mun. Galați).</w:t>
      </w:r>
    </w:p>
    <w:p>
      <w:pPr>
        <w:tabs>
          <w:tab w:val="left" w:pos="2294"/>
        </w:tabs>
        <w:rPr>
          <w:sz w:val="20"/>
          <w:szCs w:val="20"/>
          <w:lang w:val="ro-RO"/>
        </w:rPr>
      </w:pPr>
      <w:r>
        <w:rPr>
          <w:sz w:val="20"/>
          <w:szCs w:val="20"/>
          <w:lang w:val="ro-RO"/>
        </w:rPr>
        <w:t>Deșeurile reciclabile colectate separat, cu excepţia Mun. Galaţi, de hârtie/carton, plastic, metal și sticlă colectate din zona 1 vor fi transferate la stația de sortare de la Valea Mărului (</w:t>
      </w:r>
      <w:r>
        <w:rPr>
          <w:i/>
          <w:iCs/>
          <w:sz w:val="20"/>
          <w:szCs w:val="20"/>
          <w:lang w:val="ro-RO"/>
        </w:rPr>
        <w:t>se completează cu numele și locația stației de sortare sau, după caz, cu numele și locația instalației integrate de tratare a deșeurilor</w:t>
      </w:r>
      <w:r>
        <w:rPr>
          <w:sz w:val="20"/>
          <w:szCs w:val="20"/>
          <w:lang w:val="ro-RO"/>
        </w:rPr>
        <w:t>).</w:t>
      </w:r>
    </w:p>
    <w:p>
      <w:pPr>
        <w:tabs>
          <w:tab w:val="left" w:pos="2294"/>
        </w:tabs>
        <w:rPr>
          <w:sz w:val="20"/>
          <w:szCs w:val="20"/>
          <w:lang w:val="ro-RO"/>
        </w:rPr>
      </w:pPr>
      <w:r>
        <w:rPr>
          <w:sz w:val="20"/>
          <w:szCs w:val="20"/>
          <w:lang w:val="ro-RO"/>
        </w:rPr>
        <w:t>Refuzurile provenite de la TMB și digestatul din deşeuri reziduale provenit de la TMB vor fi transferate către depozitul de deșeuri de la Valea Mărului.</w:t>
      </w:r>
    </w:p>
    <w:p>
      <w:pPr>
        <w:tabs>
          <w:tab w:val="left" w:pos="2294"/>
        </w:tabs>
        <w:rPr>
          <w:sz w:val="20"/>
          <w:szCs w:val="20"/>
          <w:lang w:val="ro-RO"/>
        </w:rPr>
      </w:pPr>
      <w:r>
        <w:rPr>
          <w:sz w:val="20"/>
          <w:szCs w:val="20"/>
          <w:lang w:val="ro-RO"/>
        </w:rPr>
        <w:t>Deșeurile textile și deșeurile voluminoase colectate separat din zona 1 (cu excepția mun. Galați) vor fi transferate la Hala fluxuri speciale Tecuci.</w:t>
      </w:r>
    </w:p>
    <w:p>
      <w:pPr>
        <w:tabs>
          <w:tab w:val="left" w:pos="2294"/>
        </w:tabs>
        <w:rPr>
          <w:sz w:val="20"/>
          <w:szCs w:val="20"/>
          <w:lang w:val="ro-RO"/>
        </w:rPr>
      </w:pPr>
      <w:r>
        <w:rPr>
          <w:sz w:val="20"/>
          <w:szCs w:val="20"/>
          <w:lang w:val="ro-RO"/>
        </w:rPr>
        <w:t>Deșeurile menajere periculoase vor fi doar stocate temporar până la preluarea de către operatori specializați de tratare/neurralizare.</w:t>
      </w:r>
    </w:p>
    <w:p>
      <w:pPr>
        <w:numPr>
          <w:ilvl w:val="0"/>
          <w:numId w:val="77"/>
        </w:numPr>
        <w:tabs>
          <w:tab w:val="left" w:pos="2294"/>
        </w:tabs>
        <w:ind w:left="284"/>
        <w:contextualSpacing/>
        <w:rPr>
          <w:sz w:val="20"/>
          <w:szCs w:val="20"/>
          <w:lang w:val="ro-RO"/>
        </w:rPr>
      </w:pPr>
      <w:r>
        <w:rPr>
          <w:sz w:val="20"/>
          <w:szCs w:val="20"/>
          <w:lang w:val="ro-RO"/>
        </w:rPr>
        <w:t>Cantitatea totală anuală de deșeuri reciclabile de hârtie/carton, plastic, metal și sticlă colectate din zona 1 (fără mun. Galați), estimată a fi transferată, în primul an de operare, este de 3.582 tone/an.</w:t>
      </w:r>
    </w:p>
    <w:p>
      <w:pPr>
        <w:numPr>
          <w:ilvl w:val="0"/>
          <w:numId w:val="77"/>
        </w:numPr>
        <w:tabs>
          <w:tab w:val="left" w:pos="2294"/>
        </w:tabs>
        <w:ind w:left="284"/>
        <w:contextualSpacing/>
        <w:rPr>
          <w:sz w:val="20"/>
          <w:szCs w:val="20"/>
          <w:lang w:val="ro-RO"/>
        </w:rPr>
      </w:pPr>
      <w:r>
        <w:rPr>
          <w:sz w:val="20"/>
          <w:szCs w:val="20"/>
          <w:lang w:val="ro-RO"/>
        </w:rPr>
        <w:t>Cantitatea totală anuală de refuzuri provenite de la TMB și digestat din deşeuri reziduale provenit de la TMB, estimată a fi transferată către depozitul de deșeuri Valea Mărului, în primul an de operare, este de 23.095 tone/an.</w:t>
      </w:r>
    </w:p>
    <w:p>
      <w:pPr>
        <w:numPr>
          <w:ilvl w:val="0"/>
          <w:numId w:val="77"/>
        </w:numPr>
        <w:tabs>
          <w:tab w:val="left" w:pos="2294"/>
        </w:tabs>
        <w:ind w:left="284"/>
        <w:contextualSpacing/>
        <w:rPr>
          <w:sz w:val="20"/>
          <w:szCs w:val="20"/>
          <w:lang w:val="ro-RO"/>
        </w:rPr>
      </w:pPr>
      <w:r>
        <w:rPr>
          <w:sz w:val="20"/>
          <w:szCs w:val="20"/>
          <w:lang w:val="ro-RO"/>
        </w:rPr>
        <w:t>Cantitatea totală anuală de deșeuri textile colectate separat din zona 1 (fără mun. Galați), estimată a fi transferată către hala fluxuri speciale Tecuci, în primul an de operare, este de 246 tone/an.</w:t>
      </w:r>
    </w:p>
    <w:p>
      <w:pPr>
        <w:numPr>
          <w:ilvl w:val="0"/>
          <w:numId w:val="77"/>
        </w:numPr>
        <w:tabs>
          <w:tab w:val="left" w:pos="2294"/>
        </w:tabs>
        <w:ind w:left="284"/>
        <w:contextualSpacing/>
        <w:rPr>
          <w:sz w:val="20"/>
          <w:szCs w:val="20"/>
          <w:lang w:val="ro-RO"/>
        </w:rPr>
      </w:pPr>
      <w:r>
        <w:rPr>
          <w:sz w:val="20"/>
          <w:szCs w:val="20"/>
          <w:lang w:val="ro-RO"/>
        </w:rPr>
        <w:lastRenderedPageBreak/>
        <w:t>Cantitatea totală anuală de deșeuri voluminoase colectate separat din zona 1 (fără mun. Galați), estimată a fi transferată către hala fluxuri speciale Tecuci, în primul an de operare, este de 486 tone/an.</w:t>
      </w:r>
    </w:p>
    <w:p>
      <w:pPr>
        <w:pStyle w:val="ListParagraph"/>
        <w:numPr>
          <w:ilvl w:val="0"/>
          <w:numId w:val="77"/>
        </w:numPr>
        <w:ind w:left="284"/>
        <w:rPr>
          <w:rFonts w:cs="TrebuchetMS"/>
          <w:sz w:val="20"/>
          <w:szCs w:val="20"/>
          <w:lang w:val="ro-RO"/>
        </w:rPr>
      </w:pPr>
      <w:r>
        <w:rPr>
          <w:rFonts w:cs="TrebuchetMS"/>
          <w:sz w:val="20"/>
          <w:szCs w:val="20"/>
          <w:lang w:val="ro-RO"/>
        </w:rPr>
        <w:t>Cantitatea anuală de deșeuri menajere periculoase stocate temporar până la preluarea de către operatori specializați este estimată la 175 tone/an, în primul an de operare.</w:t>
      </w:r>
    </w:p>
    <w:p>
      <w:pPr>
        <w:numPr>
          <w:ilvl w:val="0"/>
          <w:numId w:val="77"/>
        </w:numPr>
        <w:tabs>
          <w:tab w:val="left" w:pos="2294"/>
        </w:tabs>
        <w:ind w:left="284"/>
        <w:contextualSpacing/>
        <w:rPr>
          <w:sz w:val="20"/>
          <w:szCs w:val="20"/>
          <w:lang w:val="ro-RO"/>
        </w:rPr>
      </w:pPr>
      <w:r>
        <w:rPr>
          <w:sz w:val="20"/>
          <w:szCs w:val="20"/>
          <w:lang w:val="ro-RO"/>
        </w:rPr>
        <w:t>Transferul deșeurilor trebuie realizat fără ca fracțiile de deșeuri municipale colectate separat să fie amestecate.</w:t>
      </w:r>
    </w:p>
    <w:p>
      <w:pPr>
        <w:numPr>
          <w:ilvl w:val="0"/>
          <w:numId w:val="77"/>
        </w:numPr>
        <w:tabs>
          <w:tab w:val="left" w:pos="2294"/>
        </w:tabs>
        <w:ind w:left="284"/>
        <w:contextualSpacing/>
        <w:rPr>
          <w:sz w:val="20"/>
          <w:szCs w:val="20"/>
          <w:lang w:val="ro-RO"/>
        </w:rPr>
      </w:pPr>
      <w:r>
        <w:rPr>
          <w:sz w:val="20"/>
          <w:szCs w:val="20"/>
          <w:lang w:val="ro-RO"/>
        </w:rPr>
        <w:t>Pentru transferul deșeurilor se fundamentează/stabilesc 2 (două) tarife de transfer prin raportare la cantitățile totale anuale estimate a fi transferate, în primul an de operare, în conformitate cu Normele metodologice de stabilire, ajustare sau modificare a tarifelor pentru activitățile de salubrizare, precum și de calculare a tarifelor/taxelor distincte pentru gestionarea deșeurilor și a taxelor de salubrizare aprobate prin Ordinul președintelui ANRSC nr. 640/2022, cu modificările și completările ulterioare.</w:t>
      </w:r>
    </w:p>
    <w:p>
      <w:pPr>
        <w:numPr>
          <w:ilvl w:val="0"/>
          <w:numId w:val="77"/>
        </w:numPr>
        <w:tabs>
          <w:tab w:val="left" w:pos="2294"/>
        </w:tabs>
        <w:ind w:left="284"/>
        <w:contextualSpacing/>
        <w:rPr>
          <w:sz w:val="20"/>
          <w:szCs w:val="20"/>
          <w:lang w:val="ro-RO"/>
        </w:rPr>
      </w:pPr>
      <w:r>
        <w:rPr>
          <w:sz w:val="20"/>
          <w:szCs w:val="20"/>
          <w:lang w:val="ro-RO"/>
        </w:rPr>
        <w:t xml:space="preserve">Spațiile în care se realizează transferul deșeurilor trebuie să îndeplinească următoarele cerințe minime:  </w:t>
      </w:r>
    </w:p>
    <w:p>
      <w:pPr>
        <w:tabs>
          <w:tab w:val="left" w:pos="284"/>
        </w:tabs>
        <w:rPr>
          <w:sz w:val="20"/>
          <w:szCs w:val="20"/>
          <w:lang w:val="ro-RO"/>
        </w:rPr>
      </w:pPr>
      <w:r>
        <w:rPr>
          <w:sz w:val="20"/>
          <w:szCs w:val="20"/>
          <w:lang w:val="ro-RO"/>
        </w:rPr>
        <w:t>a)</w:t>
      </w:r>
      <w:r>
        <w:rPr>
          <w:sz w:val="20"/>
          <w:szCs w:val="20"/>
          <w:lang w:val="ro-RO"/>
        </w:rPr>
        <w:tab/>
        <w:t>să dispună de o platformă betonată cu o suprafață suficientă pentru primirea deșeurilor și pentru stocarea temporară, separată, a fiecărei fracții de deșeuri;</w:t>
      </w:r>
    </w:p>
    <w:p>
      <w:pPr>
        <w:tabs>
          <w:tab w:val="left" w:pos="284"/>
        </w:tabs>
        <w:rPr>
          <w:sz w:val="20"/>
          <w:szCs w:val="20"/>
          <w:lang w:val="ro-RO"/>
        </w:rPr>
      </w:pPr>
      <w:r>
        <w:rPr>
          <w:sz w:val="20"/>
          <w:szCs w:val="20"/>
          <w:lang w:val="ro-RO"/>
        </w:rPr>
        <w:t>b)</w:t>
      </w:r>
      <w:r>
        <w:rPr>
          <w:sz w:val="20"/>
          <w:szCs w:val="20"/>
          <w:lang w:val="ro-RO"/>
        </w:rPr>
        <w:tab/>
        <w:t>să fie prevăzute cu cântar pentru cântărirea la intrarea și ieșirea din stația de transfer a autospecialelor de transport deșeuri;</w:t>
      </w:r>
    </w:p>
    <w:p>
      <w:pPr>
        <w:tabs>
          <w:tab w:val="left" w:pos="284"/>
        </w:tabs>
        <w:rPr>
          <w:sz w:val="20"/>
          <w:szCs w:val="20"/>
          <w:lang w:val="ro-RO"/>
        </w:rPr>
      </w:pPr>
      <w:r>
        <w:rPr>
          <w:sz w:val="20"/>
          <w:szCs w:val="20"/>
          <w:lang w:val="ro-RO"/>
        </w:rPr>
        <w:t>c)</w:t>
      </w:r>
      <w:r>
        <w:rPr>
          <w:sz w:val="20"/>
          <w:szCs w:val="20"/>
          <w:lang w:val="ro-RO"/>
        </w:rPr>
        <w:tab/>
        <w:t>să aibă instalație de spălare și dezinfectare;</w:t>
      </w:r>
    </w:p>
    <w:p>
      <w:pPr>
        <w:tabs>
          <w:tab w:val="left" w:pos="284"/>
        </w:tabs>
        <w:rPr>
          <w:sz w:val="20"/>
          <w:szCs w:val="20"/>
          <w:lang w:val="ro-RO"/>
        </w:rPr>
      </w:pPr>
      <w:r>
        <w:rPr>
          <w:sz w:val="20"/>
          <w:szCs w:val="20"/>
          <w:lang w:val="ro-RO"/>
        </w:rPr>
        <w:t>d)</w:t>
      </w:r>
      <w:r>
        <w:rPr>
          <w:sz w:val="20"/>
          <w:szCs w:val="20"/>
          <w:lang w:val="ro-RO"/>
        </w:rPr>
        <w:tab/>
        <w:t>să fie prevăzute cu sisteme colectare a apelor uzate și pluviale;</w:t>
      </w:r>
    </w:p>
    <w:p>
      <w:pPr>
        <w:tabs>
          <w:tab w:val="left" w:pos="284"/>
        </w:tabs>
        <w:rPr>
          <w:sz w:val="20"/>
          <w:szCs w:val="20"/>
          <w:lang w:val="ro-RO"/>
        </w:rPr>
      </w:pPr>
      <w:r>
        <w:rPr>
          <w:sz w:val="20"/>
          <w:szCs w:val="20"/>
          <w:lang w:val="ro-RO"/>
        </w:rPr>
        <w:t>e)</w:t>
      </w:r>
      <w:r>
        <w:rPr>
          <w:sz w:val="20"/>
          <w:szCs w:val="20"/>
          <w:lang w:val="ro-RO"/>
        </w:rPr>
        <w:tab/>
        <w:t>să fie prevăzute cu mijloace tehnice de apărare împotriva incendiilor destinate prevenirii, limitării și stingerii acestora, conform cerințelor impuse prin avize/autorizații de către autorităților competente;</w:t>
      </w:r>
    </w:p>
    <w:p>
      <w:pPr>
        <w:tabs>
          <w:tab w:val="left" w:pos="284"/>
        </w:tabs>
        <w:rPr>
          <w:sz w:val="20"/>
          <w:szCs w:val="20"/>
          <w:lang w:val="ro-RO"/>
        </w:rPr>
      </w:pPr>
      <w:r>
        <w:rPr>
          <w:sz w:val="20"/>
          <w:szCs w:val="20"/>
          <w:lang w:val="ro-RO"/>
        </w:rPr>
        <w:t>f)</w:t>
      </w:r>
      <w:r>
        <w:rPr>
          <w:sz w:val="20"/>
          <w:szCs w:val="20"/>
          <w:lang w:val="ro-RO"/>
        </w:rPr>
        <w:tab/>
        <w:t>să existe posibilitatea de acces în fiecare zonă de stocare, fără a exista posibilitatea de amestec/contaminare a diferitelor fracții/tipuri de deșeuri;</w:t>
      </w:r>
    </w:p>
    <w:p>
      <w:pPr>
        <w:tabs>
          <w:tab w:val="left" w:pos="284"/>
        </w:tabs>
        <w:rPr>
          <w:sz w:val="20"/>
          <w:szCs w:val="20"/>
          <w:lang w:val="ro-RO"/>
        </w:rPr>
      </w:pPr>
      <w:r>
        <w:rPr>
          <w:sz w:val="20"/>
          <w:szCs w:val="20"/>
          <w:lang w:val="ro-RO"/>
        </w:rPr>
        <w:t>g)</w:t>
      </w:r>
      <w:r>
        <w:rPr>
          <w:sz w:val="20"/>
          <w:szCs w:val="20"/>
          <w:lang w:val="ro-RO"/>
        </w:rPr>
        <w:tab/>
        <w:t>să existe grupuri sanitare și vestiare conform normativelor în vigoare;</w:t>
      </w:r>
    </w:p>
    <w:p>
      <w:pPr>
        <w:tabs>
          <w:tab w:val="left" w:pos="284"/>
        </w:tabs>
        <w:rPr>
          <w:sz w:val="20"/>
          <w:szCs w:val="20"/>
          <w:lang w:val="ro-RO"/>
        </w:rPr>
      </w:pPr>
      <w:r>
        <w:rPr>
          <w:sz w:val="20"/>
          <w:szCs w:val="20"/>
          <w:lang w:val="ro-RO"/>
        </w:rPr>
        <w:t>h)</w:t>
      </w:r>
      <w:r>
        <w:rPr>
          <w:sz w:val="20"/>
          <w:szCs w:val="20"/>
          <w:lang w:val="ro-RO"/>
        </w:rPr>
        <w:tab/>
        <w:t>să fie dotate cu instalație de iluminat corespunzătoare desfășurării activității în orice perioadă a zilei;</w:t>
      </w:r>
    </w:p>
    <w:p>
      <w:pPr>
        <w:tabs>
          <w:tab w:val="left" w:pos="284"/>
        </w:tabs>
        <w:rPr>
          <w:sz w:val="20"/>
          <w:szCs w:val="20"/>
          <w:lang w:val="ro-RO"/>
        </w:rPr>
      </w:pPr>
      <w:r>
        <w:rPr>
          <w:sz w:val="20"/>
          <w:szCs w:val="20"/>
          <w:lang w:val="ro-RO"/>
        </w:rPr>
        <w:t>i)</w:t>
      </w:r>
      <w:r>
        <w:rPr>
          <w:sz w:val="20"/>
          <w:szCs w:val="20"/>
          <w:lang w:val="ro-RO"/>
        </w:rPr>
        <w:tab/>
        <w:t>să fie prevăzute cu toate dotările impuse prin avizele, acordurile și autorizațiile necesare funcționării emise de autoritățile competente.</w:t>
      </w:r>
    </w:p>
    <w:p>
      <w:pPr>
        <w:numPr>
          <w:ilvl w:val="0"/>
          <w:numId w:val="77"/>
        </w:numPr>
        <w:tabs>
          <w:tab w:val="left" w:pos="2294"/>
        </w:tabs>
        <w:ind w:left="284"/>
        <w:contextualSpacing/>
        <w:rPr>
          <w:sz w:val="20"/>
          <w:szCs w:val="20"/>
          <w:lang w:val="ro-RO"/>
        </w:rPr>
      </w:pPr>
      <w:r>
        <w:rPr>
          <w:sz w:val="20"/>
          <w:szCs w:val="20"/>
          <w:lang w:val="ro-RO"/>
        </w:rPr>
        <w:t>Pentru stocarea corespunzătoare a deșeurilor menajere periculoase înaintea eliminării, Operatorul va organiza o zonă delimitată distinct, acoperită, cu pardoseală impermeabilă propice pentru stocarea în siguranță a acestor tipuri de deșeuri, precum și recipiente adecvate de stocare. Deșeurile periculoase vor fi stocate pe compatibilități și vor fi asigurate toate măsurile de protecție a mediului, de securitate de muncii și de PSI.</w:t>
      </w:r>
    </w:p>
    <w:p>
      <w:pPr>
        <w:tabs>
          <w:tab w:val="left" w:pos="284"/>
        </w:tabs>
        <w:rPr>
          <w:sz w:val="20"/>
          <w:szCs w:val="20"/>
          <w:lang w:val="ro-RO"/>
        </w:rPr>
      </w:pPr>
    </w:p>
    <w:p>
      <w:pPr>
        <w:pStyle w:val="Heading2"/>
        <w:rPr>
          <w:sz w:val="20"/>
          <w:szCs w:val="20"/>
          <w:lang w:val="ro-RO"/>
        </w:rPr>
      </w:pPr>
      <w:bookmarkStart w:id="54" w:name="_Toc227161529"/>
      <w:r>
        <w:rPr>
          <w:sz w:val="20"/>
          <w:szCs w:val="20"/>
          <w:lang w:val="ro-RO"/>
        </w:rPr>
        <w:t>3.2 CERINŢE ORGANIZATORICE MINIMALE</w:t>
      </w:r>
      <w:bookmarkEnd w:id="54"/>
    </w:p>
    <w:p>
      <w:pPr>
        <w:pStyle w:val="Heading3"/>
        <w:rPr>
          <w:sz w:val="20"/>
          <w:szCs w:val="20"/>
          <w:lang w:val="ro-RO"/>
        </w:rPr>
      </w:pPr>
      <w:bookmarkStart w:id="55" w:name="_Toc227161530"/>
      <w:r>
        <w:rPr>
          <w:sz w:val="20"/>
          <w:szCs w:val="20"/>
          <w:lang w:val="ro-RO"/>
        </w:rPr>
        <w:t>3.2.1</w:t>
      </w:r>
      <w:r>
        <w:rPr>
          <w:sz w:val="20"/>
          <w:szCs w:val="20"/>
          <w:lang w:val="ro-RO"/>
        </w:rPr>
        <w:tab/>
        <w:t>Scopul serviciilor exprimate in secţiunea 3</w:t>
      </w:r>
      <w:bookmarkEnd w:id="55"/>
    </w:p>
    <w:p>
      <w:pPr>
        <w:tabs>
          <w:tab w:val="left" w:pos="2294"/>
        </w:tabs>
        <w:rPr>
          <w:sz w:val="20"/>
          <w:szCs w:val="20"/>
          <w:lang w:val="ro-RO"/>
        </w:rPr>
      </w:pPr>
      <w:r>
        <w:rPr>
          <w:sz w:val="20"/>
          <w:szCs w:val="20"/>
          <w:lang w:val="ro-RO"/>
        </w:rPr>
        <w:t>Scopul serviciilor exprimate in secţiunea 3 a caietului de sarcini îl reprezintă organizarea activităţilor şi operarea stației de tratare mecano-biologică şi a staţiei de transfer a deşeurilor Galaţi.</w:t>
      </w:r>
    </w:p>
    <w:p>
      <w:pPr>
        <w:pStyle w:val="Heading3"/>
        <w:rPr>
          <w:sz w:val="20"/>
          <w:szCs w:val="20"/>
          <w:lang w:val="ro-RO"/>
        </w:rPr>
      </w:pPr>
      <w:bookmarkStart w:id="56" w:name="_Toc227161531"/>
      <w:r>
        <w:rPr>
          <w:sz w:val="20"/>
          <w:szCs w:val="20"/>
          <w:lang w:val="ro-RO"/>
        </w:rPr>
        <w:t>3.2.2 Perioada de mobilizare şi data programată pentru începere</w:t>
      </w:r>
      <w:bookmarkEnd w:id="56"/>
    </w:p>
    <w:p>
      <w:pPr>
        <w:tabs>
          <w:tab w:val="left" w:pos="2294"/>
        </w:tabs>
        <w:rPr>
          <w:sz w:val="20"/>
          <w:szCs w:val="20"/>
          <w:lang w:val="ro-RO"/>
        </w:rPr>
      </w:pPr>
      <w:r>
        <w:rPr>
          <w:sz w:val="20"/>
          <w:szCs w:val="20"/>
          <w:lang w:val="ro-RO"/>
        </w:rPr>
        <w:t xml:space="preserve">Perioada de mobilizare cuprinde perioada dintre receptia la terminarea lucrarilor şi data începerii efective a operarii instalatiilor in conformitate cu prevederile clauzei 35 a din conditiile contractuale generale si poate fi de maxim 90 de zile, in vederea obţinerii Autorizatiei de Mediu. În timpul Perioadei de mobilizare, Beneficiarul va anunţa operatorii economici care colectează deşeurile municipale, operatorii staţiilor de transfer, sortare, compostare, centrelor de stocare </w:t>
      </w:r>
      <w:r>
        <w:rPr>
          <w:sz w:val="20"/>
          <w:szCs w:val="20"/>
          <w:lang w:val="ro-RO"/>
        </w:rPr>
        <w:lastRenderedPageBreak/>
        <w:t>temporară, operatorul depozitului precum şi pe alţi operatori posibil interesaţi despre detaliile serviciilor ce vor fi furnizate în baza acestui Contract.</w:t>
      </w:r>
    </w:p>
    <w:p>
      <w:pPr>
        <w:tabs>
          <w:tab w:val="left" w:pos="2294"/>
        </w:tabs>
        <w:rPr>
          <w:sz w:val="20"/>
          <w:szCs w:val="20"/>
          <w:lang w:val="ro-RO"/>
        </w:rPr>
      </w:pPr>
      <w:r>
        <w:rPr>
          <w:sz w:val="20"/>
          <w:szCs w:val="20"/>
          <w:lang w:val="ro-RO"/>
        </w:rPr>
        <w:t>Perioada de mobilizare va fi în conformitate cu Oferta.</w:t>
      </w:r>
    </w:p>
    <w:p>
      <w:pPr>
        <w:tabs>
          <w:tab w:val="left" w:pos="2294"/>
        </w:tabs>
        <w:rPr>
          <w:sz w:val="20"/>
          <w:szCs w:val="20"/>
          <w:lang w:val="ro-RO"/>
        </w:rPr>
      </w:pPr>
      <w:r>
        <w:rPr>
          <w:sz w:val="20"/>
          <w:szCs w:val="20"/>
          <w:lang w:val="ro-RO"/>
        </w:rPr>
        <w:t>În timpul Perioadei de mobilizare, Ofertantul se va pregăti complet pentru executarea serviciilor de operare a stației TMB şi a staţiei de transfer. Ofertantul va obţine orice echipament suplimentar, vehicule şi facilitaţi pe care le va considera necesare pentru a putea executa complet serviciile, va angaja şi va pregăti personalul, va lua în posesie bunurile, va implementa sistemul informatic necesar, va finaliza procedurile operaţionale etc.</w:t>
      </w:r>
    </w:p>
    <w:p>
      <w:pPr>
        <w:tabs>
          <w:tab w:val="left" w:pos="2294"/>
        </w:tabs>
        <w:rPr>
          <w:sz w:val="20"/>
          <w:szCs w:val="20"/>
          <w:lang w:val="ro-RO"/>
        </w:rPr>
      </w:pPr>
      <w:r>
        <w:rPr>
          <w:sz w:val="20"/>
          <w:szCs w:val="20"/>
          <w:lang w:val="ro-RO"/>
        </w:rPr>
        <w:t>În timpul Perioadei de Mobilizare, Antreprenorul va furniza Delegatarului ADI ECOSERV un raport de progres lunar care să includă:</w:t>
      </w:r>
    </w:p>
    <w:p>
      <w:pPr>
        <w:pStyle w:val="ListParagraph"/>
        <w:numPr>
          <w:ilvl w:val="0"/>
          <w:numId w:val="65"/>
        </w:numPr>
        <w:tabs>
          <w:tab w:val="left" w:pos="2294"/>
        </w:tabs>
        <w:rPr>
          <w:sz w:val="20"/>
          <w:szCs w:val="20"/>
          <w:lang w:val="ro-RO"/>
        </w:rPr>
      </w:pPr>
      <w:r>
        <w:rPr>
          <w:sz w:val="20"/>
          <w:szCs w:val="20"/>
          <w:lang w:val="ro-RO"/>
        </w:rPr>
        <w:t>programul de mobilizare a proiectului şi progresele la data respectivă;</w:t>
      </w:r>
    </w:p>
    <w:p>
      <w:pPr>
        <w:pStyle w:val="ListParagraph"/>
        <w:numPr>
          <w:ilvl w:val="0"/>
          <w:numId w:val="65"/>
        </w:numPr>
        <w:tabs>
          <w:tab w:val="left" w:pos="2294"/>
        </w:tabs>
        <w:rPr>
          <w:sz w:val="20"/>
          <w:szCs w:val="20"/>
          <w:lang w:val="ro-RO"/>
        </w:rPr>
      </w:pPr>
      <w:r>
        <w:rPr>
          <w:sz w:val="20"/>
          <w:szCs w:val="20"/>
          <w:lang w:val="ro-RO"/>
        </w:rPr>
        <w:t>devieri de la programul de mobilizare, motive şi masuri de soluţionare;</w:t>
      </w:r>
    </w:p>
    <w:p>
      <w:pPr>
        <w:pStyle w:val="ListParagraph"/>
        <w:numPr>
          <w:ilvl w:val="0"/>
          <w:numId w:val="65"/>
        </w:numPr>
        <w:tabs>
          <w:tab w:val="left" w:pos="2294"/>
        </w:tabs>
        <w:rPr>
          <w:sz w:val="20"/>
          <w:szCs w:val="20"/>
          <w:lang w:val="ro-RO"/>
        </w:rPr>
      </w:pPr>
      <w:r>
        <w:rPr>
          <w:sz w:val="20"/>
          <w:szCs w:val="20"/>
          <w:lang w:val="ro-RO"/>
        </w:rPr>
        <w:t>detalii asupra implementării sistemului informatic;</w:t>
      </w:r>
    </w:p>
    <w:p>
      <w:pPr>
        <w:pStyle w:val="ListParagraph"/>
        <w:numPr>
          <w:ilvl w:val="0"/>
          <w:numId w:val="65"/>
        </w:numPr>
        <w:tabs>
          <w:tab w:val="left" w:pos="2294"/>
        </w:tabs>
        <w:rPr>
          <w:sz w:val="20"/>
          <w:szCs w:val="20"/>
          <w:lang w:val="ro-RO"/>
        </w:rPr>
      </w:pPr>
      <w:r>
        <w:rPr>
          <w:sz w:val="20"/>
          <w:szCs w:val="20"/>
          <w:lang w:val="ro-RO"/>
        </w:rPr>
        <w:t>alte informaţii, dacă este cazul.</w:t>
      </w:r>
    </w:p>
    <w:p>
      <w:pPr>
        <w:tabs>
          <w:tab w:val="left" w:pos="2294"/>
        </w:tabs>
        <w:rPr>
          <w:sz w:val="20"/>
          <w:szCs w:val="20"/>
          <w:lang w:val="ro-RO"/>
        </w:rPr>
      </w:pPr>
      <w:r>
        <w:rPr>
          <w:sz w:val="20"/>
          <w:szCs w:val="20"/>
          <w:lang w:val="ro-RO"/>
        </w:rPr>
        <w:t>Raportul de progres lunar va fi transmis în maxim 5 zile lucratoare de la încheierea perioadei de raportare.</w:t>
      </w:r>
    </w:p>
    <w:p>
      <w:pPr>
        <w:tabs>
          <w:tab w:val="left" w:pos="2294"/>
        </w:tabs>
        <w:rPr>
          <w:sz w:val="20"/>
          <w:szCs w:val="20"/>
          <w:u w:val="single"/>
          <w:lang w:val="ro-RO"/>
        </w:rPr>
      </w:pPr>
      <w:r>
        <w:rPr>
          <w:sz w:val="20"/>
          <w:szCs w:val="20"/>
          <w:u w:val="single"/>
          <w:lang w:val="ro-RO"/>
        </w:rPr>
        <w:t>Primirea/predarea amplasamentului</w:t>
      </w:r>
    </w:p>
    <w:p>
      <w:pPr>
        <w:tabs>
          <w:tab w:val="left" w:pos="2294"/>
        </w:tabs>
        <w:rPr>
          <w:sz w:val="20"/>
          <w:szCs w:val="20"/>
          <w:lang w:val="ro-RO"/>
        </w:rPr>
      </w:pPr>
      <w:r>
        <w:rPr>
          <w:sz w:val="20"/>
          <w:szCs w:val="20"/>
          <w:lang w:val="ro-RO"/>
        </w:rPr>
        <w:t>Nu sunt disponibile informatii privind calitatea factorilor de mediu pe amplasamentul instalaţiilor.</w:t>
      </w:r>
    </w:p>
    <w:p>
      <w:pPr>
        <w:pStyle w:val="Heading3"/>
        <w:rPr>
          <w:sz w:val="20"/>
          <w:szCs w:val="20"/>
          <w:lang w:val="ro-RO"/>
        </w:rPr>
      </w:pPr>
      <w:bookmarkStart w:id="57" w:name="_Toc227161532"/>
      <w:r>
        <w:rPr>
          <w:sz w:val="20"/>
          <w:szCs w:val="20"/>
          <w:lang w:val="ro-RO"/>
        </w:rPr>
        <w:t>3.2.3 Legislaţie, standarde şi linii directoare</w:t>
      </w:r>
      <w:bookmarkEnd w:id="57"/>
    </w:p>
    <w:p>
      <w:pPr>
        <w:tabs>
          <w:tab w:val="left" w:pos="2294"/>
        </w:tabs>
        <w:rPr>
          <w:sz w:val="20"/>
          <w:szCs w:val="20"/>
          <w:lang w:val="ro-RO"/>
        </w:rPr>
      </w:pPr>
      <w:r>
        <w:rPr>
          <w:sz w:val="20"/>
          <w:szCs w:val="20"/>
          <w:lang w:val="ro-RO"/>
        </w:rPr>
        <w:t>Produsele şi serviciile furnizate de Ofertant vor fi în deplin acord cu toate legile generale şi specifice româneşti. Serviciile vor fi conforme cu toate reglementările regionale şi locale.</w:t>
      </w:r>
    </w:p>
    <w:p>
      <w:pPr>
        <w:tabs>
          <w:tab w:val="left" w:pos="2294"/>
        </w:tabs>
        <w:rPr>
          <w:sz w:val="20"/>
          <w:szCs w:val="20"/>
          <w:lang w:val="ro-RO"/>
        </w:rPr>
      </w:pPr>
      <w:r>
        <w:rPr>
          <w:sz w:val="20"/>
          <w:szCs w:val="20"/>
          <w:lang w:val="ro-RO"/>
        </w:rPr>
        <w:t>Autoritatea Contractantă şi Autorităţile Administraţiei Publice Locale vor implementa regulamentele cadru locale necesare facilitării Serviciilor aşa cum este specificat în prezentul Caiet de sarcini, prin elaborarea de hotărâri privind gestionarea deşeurilor, in conformitate cu prevederile Legii 101/2006, Art.9, alin.1, lit (f).</w:t>
      </w:r>
    </w:p>
    <w:p>
      <w:pPr>
        <w:pStyle w:val="Heading3"/>
        <w:rPr>
          <w:sz w:val="20"/>
          <w:szCs w:val="20"/>
          <w:lang w:val="ro-RO"/>
        </w:rPr>
      </w:pPr>
      <w:bookmarkStart w:id="58" w:name="_Toc227161533"/>
      <w:r>
        <w:rPr>
          <w:sz w:val="20"/>
          <w:szCs w:val="20"/>
          <w:lang w:val="ro-RO"/>
        </w:rPr>
        <w:t>3.2.4</w:t>
      </w:r>
      <w:r>
        <w:rPr>
          <w:sz w:val="20"/>
          <w:szCs w:val="20"/>
          <w:lang w:val="ro-RO"/>
        </w:rPr>
        <w:tab/>
        <w:t>Autorizaţii, permise şi licenţe</w:t>
      </w:r>
      <w:bookmarkEnd w:id="58"/>
    </w:p>
    <w:p>
      <w:pPr>
        <w:tabs>
          <w:tab w:val="left" w:pos="2294"/>
        </w:tabs>
        <w:rPr>
          <w:sz w:val="20"/>
          <w:szCs w:val="20"/>
          <w:lang w:val="ro-RO"/>
        </w:rPr>
      </w:pPr>
      <w:r>
        <w:rPr>
          <w:sz w:val="20"/>
          <w:szCs w:val="20"/>
          <w:lang w:val="ro-RO"/>
        </w:rPr>
        <w:t>Ofertantul va obţine şi va menţine valabile pe toata perioada Contractului, toate permisele, aprobările sau autorizaţiile necesare (inclusiv autorizaţia de mediu, autorizaţia de gospodărire a apelor, autorizaţia ISU etc în conformitate cu prevederile legale) în vederea operării stației TMB şi a staţiei de transfer Galaţi cat si contracte de eliminare a deseurilor destinate eliminarii si valorificarii.</w:t>
      </w:r>
    </w:p>
    <w:p>
      <w:pPr>
        <w:pStyle w:val="Heading3"/>
        <w:rPr>
          <w:sz w:val="20"/>
          <w:szCs w:val="20"/>
          <w:lang w:val="ro-RO"/>
        </w:rPr>
      </w:pPr>
      <w:bookmarkStart w:id="59" w:name="_Toc227161534"/>
      <w:r>
        <w:rPr>
          <w:sz w:val="20"/>
          <w:szCs w:val="20"/>
          <w:lang w:val="ro-RO"/>
        </w:rPr>
        <w:t>3.2.5</w:t>
      </w:r>
      <w:r>
        <w:rPr>
          <w:sz w:val="20"/>
          <w:szCs w:val="20"/>
          <w:lang w:val="ro-RO"/>
        </w:rPr>
        <w:tab/>
        <w:t>Operare şi întreţinere</w:t>
      </w:r>
      <w:bookmarkEnd w:id="59"/>
    </w:p>
    <w:p>
      <w:pPr>
        <w:tabs>
          <w:tab w:val="left" w:pos="2294"/>
        </w:tabs>
        <w:rPr>
          <w:sz w:val="20"/>
          <w:szCs w:val="20"/>
          <w:lang w:val="ro-RO"/>
        </w:rPr>
      </w:pPr>
      <w:r>
        <w:rPr>
          <w:sz w:val="20"/>
          <w:szCs w:val="20"/>
          <w:lang w:val="ro-RO"/>
        </w:rPr>
        <w:t>Instalaţiile trebuie sa fie utilizate doar în scopurile proiectate.</w:t>
      </w:r>
    </w:p>
    <w:p>
      <w:pPr>
        <w:tabs>
          <w:tab w:val="left" w:pos="2294"/>
        </w:tabs>
        <w:rPr>
          <w:sz w:val="20"/>
          <w:szCs w:val="20"/>
          <w:lang w:val="ro-RO"/>
        </w:rPr>
      </w:pPr>
      <w:r>
        <w:rPr>
          <w:sz w:val="20"/>
          <w:szCs w:val="20"/>
          <w:lang w:val="ro-RO"/>
        </w:rPr>
        <w:t>În perioada de mobilizare, Antreprenorul se va asigura ca toate echipamentele şi instalaţiile au revizia tehnică valabilă şi că funcţionează la parametrii proiectaţi şi că deţin toate autorizaţiile de funcţionare necesare.</w:t>
      </w:r>
    </w:p>
    <w:p>
      <w:pPr>
        <w:tabs>
          <w:tab w:val="left" w:pos="2294"/>
        </w:tabs>
        <w:rPr>
          <w:sz w:val="20"/>
          <w:szCs w:val="20"/>
          <w:lang w:val="ro-RO"/>
        </w:rPr>
      </w:pPr>
      <w:r>
        <w:rPr>
          <w:sz w:val="20"/>
          <w:szCs w:val="20"/>
          <w:lang w:val="ro-RO"/>
        </w:rPr>
        <w:t>Obligativitatea încheierii contractelor de întreţinere şi mentenanţă a instalaţiilor şi echipamentelor revine Antreprenorului.</w:t>
      </w:r>
    </w:p>
    <w:p>
      <w:pPr>
        <w:tabs>
          <w:tab w:val="left" w:pos="2294"/>
        </w:tabs>
        <w:rPr>
          <w:sz w:val="20"/>
          <w:szCs w:val="20"/>
          <w:lang w:val="ro-RO"/>
        </w:rPr>
      </w:pPr>
      <w:r>
        <w:rPr>
          <w:sz w:val="20"/>
          <w:szCs w:val="20"/>
          <w:lang w:val="ro-RO"/>
        </w:rPr>
        <w:t>Antreprenorul va păstra obiectivele în stare bună, curată şi sigură şi în condiţii sanitare corespunzătoare. Antreprenorul va pune la dispoziţie suficiente piese de rezervă şi consumabile pentru a asigura funcţionarea neîntreruptă şi continuă a Serviciului. Antreprenorul va completa toate piesele de rezerva şi consumabilele din obiective imediat după ce acestea au fost scoase.</w:t>
      </w:r>
    </w:p>
    <w:p>
      <w:pPr>
        <w:tabs>
          <w:tab w:val="left" w:pos="2294"/>
        </w:tabs>
        <w:rPr>
          <w:sz w:val="20"/>
          <w:szCs w:val="20"/>
          <w:lang w:val="ro-RO"/>
        </w:rPr>
      </w:pPr>
      <w:r>
        <w:rPr>
          <w:sz w:val="20"/>
          <w:szCs w:val="20"/>
          <w:lang w:val="ro-RO"/>
        </w:rPr>
        <w:t>Operatorul va asigura inspecții regulate ale obiectivelor/instalațiilor și va acționa imediat pentru reparare în caz că se identifică deteriorări sau riscul de producere a unor incidente/avarii. Operatorul va reabilita imediat instalațiile sau înlocui orice echipament sau componentă sau orice vehicul necesar pentru operare, pe propria cheltuială, în baza unei notificări transmise  delegatarului și al acceptului acestuia cu privire la costurile aferente, urmând ca respectivele costuri să fie recunoscute în tarif la solicitarea de modificare a tarifului.</w:t>
      </w:r>
    </w:p>
    <w:p>
      <w:pPr>
        <w:tabs>
          <w:tab w:val="left" w:pos="2294"/>
        </w:tabs>
        <w:rPr>
          <w:sz w:val="20"/>
          <w:szCs w:val="20"/>
          <w:lang w:val="ro-RO"/>
        </w:rPr>
      </w:pPr>
      <w:r>
        <w:rPr>
          <w:sz w:val="20"/>
          <w:szCs w:val="20"/>
          <w:lang w:val="ro-RO"/>
        </w:rPr>
        <w:lastRenderedPageBreak/>
        <w:t>In conformitate cu prevederile Conditiilor contractuale generale clauza 35b.11 Sume reţinute pentru intretinere, in Perioada de Operare, Sumele Reţinute pentru Întreţinere vor fi reţinute din Situaţiile cu defalcarea prestaţiei Serviciilor de Operare, ca o metodă de plată aferentă obligaţiilor Antreprenorului de a presta Serviciile de Operare până la Data Expirării. O valoare procentuală de 3% va fi reţinută din valoarea fiecare Situaţie cu defalcarea prestaţiei Serviciilor de Operare, certificată de Beneficiarul Asociaţia după Data Începerii Operării până la ultima Situaţie cu defalcarea prestaţiei Serviciilor de Operare sau până la momentul la care valoarea Sumelor Reţinute pentru Întreţinere este cel puţin egală cu valoarea stabilită prin Acordul Contractual.</w:t>
      </w:r>
    </w:p>
    <w:p>
      <w:pPr>
        <w:tabs>
          <w:tab w:val="left" w:pos="2294"/>
        </w:tabs>
        <w:rPr>
          <w:sz w:val="20"/>
          <w:szCs w:val="20"/>
          <w:lang w:val="ro-RO"/>
        </w:rPr>
      </w:pPr>
      <w:r>
        <w:rPr>
          <w:sz w:val="20"/>
          <w:szCs w:val="20"/>
          <w:lang w:val="ro-RO"/>
        </w:rPr>
        <w:t>Antreprenorul se va asigura că Garanţia pentru Întreţinere este valabilă şi în vigoare până la emiterea Certificatului de Finalizare.</w:t>
      </w:r>
    </w:p>
    <w:p>
      <w:pPr>
        <w:tabs>
          <w:tab w:val="left" w:pos="2294"/>
        </w:tabs>
        <w:rPr>
          <w:sz w:val="20"/>
          <w:szCs w:val="20"/>
          <w:lang w:val="ro-RO"/>
        </w:rPr>
      </w:pPr>
      <w:r>
        <w:rPr>
          <w:sz w:val="20"/>
          <w:szCs w:val="20"/>
          <w:lang w:val="ro-RO"/>
        </w:rPr>
        <w:t>Întreţinerea va fi executata numai în conformitate cu cerinţele producătorilor şi cu Manualele de operare şi întreţinere elaborate de către Ofertant. Întreţinerea trebuie să fie asigurata într-o maniera pro-activă, astfel încât să se întreprindă acţiuni preventive înainte sa fie necesare reparaţii majore.</w:t>
      </w:r>
    </w:p>
    <w:p>
      <w:pPr>
        <w:tabs>
          <w:tab w:val="left" w:pos="2294"/>
        </w:tabs>
        <w:rPr>
          <w:sz w:val="20"/>
          <w:szCs w:val="20"/>
          <w:lang w:val="ro-RO"/>
        </w:rPr>
      </w:pPr>
      <w:r>
        <w:rPr>
          <w:sz w:val="20"/>
          <w:szCs w:val="20"/>
          <w:lang w:val="ro-RO"/>
        </w:rPr>
        <w:t>Personalul de întreţinere de la faţa locului se va ocupa de operaţiunile regulate. Operaţiunile majore, reparaţiile generale sau activităţile specializate se pot derula în afara incintei de către companii specializate, aprobate şi acceptate de către Antreprenor sau firme de întreţinere aprobate de către producător.</w:t>
      </w:r>
    </w:p>
    <w:p>
      <w:pPr>
        <w:tabs>
          <w:tab w:val="left" w:pos="2294"/>
        </w:tabs>
        <w:rPr>
          <w:sz w:val="20"/>
          <w:szCs w:val="20"/>
          <w:lang w:val="ro-RO"/>
        </w:rPr>
      </w:pPr>
      <w:r>
        <w:rPr>
          <w:sz w:val="20"/>
          <w:szCs w:val="20"/>
          <w:lang w:val="ro-RO"/>
        </w:rPr>
        <w:t>În Baza de Date a Operaţiunilor se va completa un registru electronic pentru toate problemele legate de inspecţii şi întreţinere (în care vor fi înregistrate atât reparaţiile planificate cât şi cele neplanificate).</w:t>
      </w:r>
    </w:p>
    <w:p>
      <w:pPr>
        <w:tabs>
          <w:tab w:val="left" w:pos="2294"/>
        </w:tabs>
        <w:rPr>
          <w:sz w:val="20"/>
          <w:szCs w:val="20"/>
          <w:lang w:val="ro-RO"/>
        </w:rPr>
      </w:pPr>
      <w:r>
        <w:rPr>
          <w:sz w:val="20"/>
          <w:szCs w:val="20"/>
          <w:lang w:val="ro-RO"/>
        </w:rPr>
        <w:t>Antreprenorul va fi responsabil de întreţinerea şi curăţarea drumurilor din incintă.</w:t>
      </w:r>
    </w:p>
    <w:p>
      <w:pPr>
        <w:tabs>
          <w:tab w:val="left" w:pos="2294"/>
        </w:tabs>
        <w:rPr>
          <w:sz w:val="20"/>
          <w:szCs w:val="20"/>
          <w:lang w:val="ro-RO"/>
        </w:rPr>
      </w:pPr>
      <w:r>
        <w:rPr>
          <w:sz w:val="20"/>
          <w:szCs w:val="20"/>
          <w:lang w:val="ro-RO"/>
        </w:rPr>
        <w:t>Antreprenorul va răspunde de plata tuturor cheltuielilor şi costurilor asociate întreţinerii şi utilizării clădirilor, a instalaţiilor şi a utilităţilor concesionate.</w:t>
      </w:r>
    </w:p>
    <w:p>
      <w:pPr>
        <w:tabs>
          <w:tab w:val="left" w:pos="2294"/>
        </w:tabs>
        <w:rPr>
          <w:sz w:val="20"/>
          <w:szCs w:val="20"/>
          <w:lang w:val="ro-RO"/>
        </w:rPr>
      </w:pPr>
      <w:r>
        <w:rPr>
          <w:sz w:val="20"/>
          <w:szCs w:val="20"/>
          <w:lang w:val="ro-RO"/>
        </w:rPr>
        <w:t>Toată întreţinerea activităţilor va avea în vedere protecţia mediului. Se va acorda o atenţie deosebita manipulării combustibililor şi lubrifianţilor (benzina, petrol şi ulei) şi solvenţilor pentru a preveni vărsarea acestora şi infiltrarea lor în sol.</w:t>
      </w:r>
    </w:p>
    <w:p>
      <w:pPr>
        <w:tabs>
          <w:tab w:val="left" w:pos="2294"/>
        </w:tabs>
        <w:rPr>
          <w:sz w:val="20"/>
          <w:szCs w:val="20"/>
          <w:lang w:val="ro-RO"/>
        </w:rPr>
      </w:pPr>
      <w:r>
        <w:rPr>
          <w:sz w:val="20"/>
          <w:szCs w:val="20"/>
          <w:lang w:val="ro-RO"/>
        </w:rPr>
        <w:t>Levigatul şi apa provenita din scurgeri care a fost în contact cu deşeurile, precum şi apa provenita din staţia de curăţare a echipamentului contaminat (zona de spălare a roţilor), vor fi direcţionate către sistemul de colectare a levigatului pentru tratare în staţia de epurare în vederea tratării, conform Manualului/Instrucțiunilor de operare a instalației. Antreprenorul, în funcție de tehnologia propusă, va gestiona, depozita și trata, prin metodele proprii pe care le propune în oferta tehnică cantitățile în surplus de lichid. Antreprenorul va include în costurile de operare inclusiv costul cu diversele procese și operații de gestionare a materialului în surplus.</w:t>
      </w:r>
    </w:p>
    <w:p>
      <w:pPr>
        <w:tabs>
          <w:tab w:val="left" w:pos="2294"/>
        </w:tabs>
        <w:rPr>
          <w:sz w:val="20"/>
          <w:szCs w:val="20"/>
          <w:lang w:val="ro-RO"/>
        </w:rPr>
      </w:pPr>
      <w:r>
        <w:rPr>
          <w:sz w:val="20"/>
          <w:szCs w:val="20"/>
          <w:lang w:val="ro-RO"/>
        </w:rPr>
        <w:t>Refuzul şi digestatul din deşeuri reziduale de la TMB, vor fi transportate de către Antreprenor la depozitul conform de la Valea Mărului în mai puţin de douăzecisipatru 24 ore de la momentul introducerii în staţia de transfer, pentru a preveni mirosurile, formarea de levigat şi atragerea faunei oportuniste.</w:t>
      </w:r>
    </w:p>
    <w:p>
      <w:pPr>
        <w:tabs>
          <w:tab w:val="left" w:pos="2294"/>
        </w:tabs>
        <w:rPr>
          <w:sz w:val="20"/>
          <w:szCs w:val="20"/>
          <w:lang w:val="ro-RO"/>
        </w:rPr>
      </w:pPr>
      <w:r>
        <w:rPr>
          <w:sz w:val="20"/>
          <w:szCs w:val="20"/>
          <w:lang w:val="ro-RO"/>
        </w:rPr>
        <w:t>Antreprenorul trebuie să reducă la minimum posibilitatea antrenării de către vânt a deşeurilor din incinta obiectivului şi va lua toate măsurile necesare pentru a evita împrăştierea acestor deşeuri în exteriorul incintei și/sau pe traseele de transport a deșeurilor.</w:t>
      </w:r>
    </w:p>
    <w:p>
      <w:pPr>
        <w:tabs>
          <w:tab w:val="left" w:pos="2294"/>
        </w:tabs>
        <w:rPr>
          <w:sz w:val="20"/>
          <w:szCs w:val="20"/>
          <w:lang w:val="ro-RO"/>
        </w:rPr>
      </w:pPr>
      <w:r>
        <w:rPr>
          <w:sz w:val="20"/>
          <w:szCs w:val="20"/>
          <w:lang w:val="ro-RO"/>
        </w:rPr>
        <w:t>Antreprenorul va opera obiectivele în aşa fel încât să minimizeze mirosurile atribuibile gestionării deşeurilor sau altor elemente asociate.</w:t>
      </w:r>
    </w:p>
    <w:p>
      <w:pPr>
        <w:tabs>
          <w:tab w:val="left" w:pos="2294"/>
        </w:tabs>
        <w:rPr>
          <w:sz w:val="20"/>
          <w:szCs w:val="20"/>
          <w:lang w:val="ro-RO"/>
        </w:rPr>
      </w:pPr>
      <w:r>
        <w:rPr>
          <w:sz w:val="20"/>
          <w:szCs w:val="20"/>
          <w:lang w:val="ro-RO"/>
        </w:rPr>
        <w:t>Operatorul va asigura realizarea tratamentelor de dezinsecție, dezinfecție și deratizare la obiectivele concesionate/date în administrare. Antreprenorul va lua măsurile necesare pentru a controla formarea prafului, precum limitarea vitezei de deplasare a vehiculelor, stropirea drumurilor în timpul sezonului uscat şi curăţarea regulată a drumurilor.</w:t>
      </w:r>
    </w:p>
    <w:p>
      <w:pPr>
        <w:tabs>
          <w:tab w:val="left" w:pos="2294"/>
        </w:tabs>
        <w:rPr>
          <w:sz w:val="20"/>
          <w:szCs w:val="20"/>
          <w:lang w:val="ro-RO"/>
        </w:rPr>
      </w:pPr>
      <w:r>
        <w:rPr>
          <w:sz w:val="20"/>
          <w:szCs w:val="20"/>
          <w:lang w:val="ro-RO"/>
        </w:rPr>
        <w:t>Antreprenorul va lua măsurile adecvate pentru prevenirea atragerii paraziţilor, a insectelor, rozătoarelor şi a păsărilor şi pentru prevenirea răspândirii bolilor.</w:t>
      </w:r>
    </w:p>
    <w:p>
      <w:pPr>
        <w:tabs>
          <w:tab w:val="left" w:pos="2294"/>
        </w:tabs>
        <w:rPr>
          <w:sz w:val="20"/>
          <w:szCs w:val="20"/>
          <w:lang w:val="ro-RO"/>
        </w:rPr>
      </w:pPr>
      <w:r>
        <w:rPr>
          <w:sz w:val="20"/>
          <w:szCs w:val="20"/>
          <w:lang w:val="ro-RO"/>
        </w:rPr>
        <w:lastRenderedPageBreak/>
        <w:t>Antreprenorul va lua toate măsurile necesare pentru prevenirea împrăştierii deşeurilor şi/sau scurgerilor de levigat în timpul transportului şi va fi răspunzător pentru remedierea imediată a unor astfel de probleme.</w:t>
      </w:r>
    </w:p>
    <w:p>
      <w:pPr>
        <w:tabs>
          <w:tab w:val="left" w:pos="2294"/>
        </w:tabs>
        <w:rPr>
          <w:sz w:val="20"/>
          <w:szCs w:val="20"/>
          <w:lang w:val="ro-RO"/>
        </w:rPr>
      </w:pPr>
      <w:r>
        <w:rPr>
          <w:sz w:val="20"/>
          <w:szCs w:val="20"/>
          <w:lang w:val="ro-RO"/>
        </w:rPr>
        <w:t>Antreprenorul va asigura toate condiţiile de stocare temporară, manipulare şi transport a deşeurilor menajere periculoase, astfel încât să fie respectate cerinţele legale referitoare la protecţia mediului, sănătate şi securitate în muncă, situaţii de urgenţă, siguranţa traficului. Vehiculele de transport vor fi adaptate transportului ADR şi conducătorii acestora vor deţine certificate de instruire in acest sens.</w:t>
      </w:r>
    </w:p>
    <w:p>
      <w:pPr>
        <w:tabs>
          <w:tab w:val="left" w:pos="2294"/>
        </w:tabs>
        <w:rPr>
          <w:sz w:val="20"/>
          <w:szCs w:val="20"/>
          <w:lang w:val="ro-RO"/>
        </w:rPr>
      </w:pPr>
      <w:r>
        <w:rPr>
          <w:sz w:val="20"/>
          <w:szCs w:val="20"/>
          <w:lang w:val="ro-RO"/>
        </w:rPr>
        <w:t>Toate bunurile concesionate/puse la dispoziție de delegatar trebuie exploatate în condiții de siguranță în funcționare, cu respectarea prevederilor din Manualele de operare și întreținere, din prescripțiile/specificațiile tehnice aferente instalațiilor, echipamentelor și utilajelor utilizate, precum și a legislației privind protecția mediului, securitatea și sănătatea în muncă.</w:t>
      </w:r>
      <w:r>
        <w:rPr>
          <w:sz w:val="20"/>
          <w:lang w:val="ro-RO"/>
        </w:rPr>
        <w:t xml:space="preserve"> </w:t>
      </w:r>
    </w:p>
    <w:p>
      <w:pPr>
        <w:tabs>
          <w:tab w:val="left" w:pos="2294"/>
        </w:tabs>
        <w:rPr>
          <w:sz w:val="20"/>
          <w:szCs w:val="20"/>
          <w:lang w:val="ro-RO"/>
        </w:rPr>
      </w:pPr>
      <w:r>
        <w:rPr>
          <w:sz w:val="20"/>
          <w:szCs w:val="20"/>
          <w:lang w:val="ro-RO"/>
        </w:rPr>
        <w:t>Operatorul va monitoriza factorii de mediu și va îndeplini cerințele privind respectarea condițiilor de protecție a mediului stabilite prin autorizații și orice altă cerință suplimentară impusă de o autoritate competentă privind exploatarea în regim normal a obiectivelor.</w:t>
      </w:r>
    </w:p>
    <w:p>
      <w:pPr>
        <w:tabs>
          <w:tab w:val="left" w:pos="2294"/>
        </w:tabs>
        <w:rPr>
          <w:sz w:val="20"/>
          <w:szCs w:val="20"/>
          <w:lang w:val="ro-RO"/>
        </w:rPr>
      </w:pPr>
      <w:r>
        <w:rPr>
          <w:sz w:val="20"/>
          <w:szCs w:val="20"/>
          <w:lang w:val="ro-RO"/>
        </w:rPr>
        <w:t>Operatorul va constitui un stoc suficient de piese de rezervă și consumabile pentru a asigura funcționarea neîntreruptă și continuă a activității. Operatorul va completa toate piesele de rezervă și consumabilele imediat după ce acestea au fost date în folosință.</w:t>
      </w:r>
    </w:p>
    <w:p>
      <w:pPr>
        <w:tabs>
          <w:tab w:val="left" w:pos="2294"/>
        </w:tabs>
        <w:rPr>
          <w:sz w:val="20"/>
          <w:szCs w:val="20"/>
          <w:lang w:val="ro-RO"/>
        </w:rPr>
      </w:pPr>
      <w:r>
        <w:rPr>
          <w:sz w:val="20"/>
          <w:szCs w:val="20"/>
          <w:lang w:val="ro-RO"/>
        </w:rPr>
        <w:t>Întreținerea curentă a echipamentelor și instalațiilor va fi asigurată de personalul de exploatare. Reparațiile majore și reparațiile generale pot fi efectuate și de către companii specializate.</w:t>
      </w:r>
      <w:r>
        <w:rPr>
          <w:sz w:val="20"/>
          <w:szCs w:val="20"/>
          <w:highlight w:val="yellow"/>
          <w:lang w:val="ro-RO"/>
        </w:rPr>
        <w:t xml:space="preserve"> </w:t>
      </w:r>
    </w:p>
    <w:p>
      <w:pPr>
        <w:tabs>
          <w:tab w:val="left" w:pos="2294"/>
        </w:tabs>
        <w:rPr>
          <w:sz w:val="20"/>
          <w:szCs w:val="20"/>
          <w:lang w:val="ro-RO"/>
        </w:rPr>
      </w:pPr>
      <w:r>
        <w:rPr>
          <w:sz w:val="20"/>
          <w:szCs w:val="20"/>
          <w:lang w:val="ro-RO"/>
        </w:rPr>
        <w:t>Operatorul va încheia contracte cu furnizorii de utilități, după cum este necesar pentru buna funcționare a activității, în nume propriu.</w:t>
      </w:r>
      <w:r>
        <w:rPr>
          <w:sz w:val="20"/>
          <w:szCs w:val="20"/>
          <w:highlight w:val="yellow"/>
          <w:lang w:val="ro-RO"/>
        </w:rPr>
        <w:t xml:space="preserve"> </w:t>
      </w:r>
    </w:p>
    <w:p>
      <w:pPr>
        <w:tabs>
          <w:tab w:val="left" w:pos="2294"/>
        </w:tabs>
        <w:rPr>
          <w:sz w:val="20"/>
          <w:szCs w:val="20"/>
          <w:lang w:val="ro-RO"/>
        </w:rPr>
      </w:pPr>
      <w:r>
        <w:rPr>
          <w:sz w:val="20"/>
          <w:szCs w:val="20"/>
          <w:lang w:val="ro-RO"/>
        </w:rPr>
        <w:t xml:space="preserve">Asigurarea unei noi utilități, precum și renunțarea la o utilitate existentă care deservește obiectivul/instalația, fată de momentul semnării contractului va putea fi realizată de către operator numai cu acordul prealabil al delegatarului. </w:t>
      </w:r>
    </w:p>
    <w:p>
      <w:pPr>
        <w:tabs>
          <w:tab w:val="left" w:pos="2294"/>
        </w:tabs>
        <w:rPr>
          <w:sz w:val="20"/>
          <w:szCs w:val="20"/>
          <w:lang w:val="ro-RO"/>
        </w:rPr>
      </w:pPr>
      <w:r>
        <w:rPr>
          <w:sz w:val="20"/>
          <w:szCs w:val="20"/>
          <w:lang w:val="ro-RO"/>
        </w:rPr>
        <w:t>Operatorul va asigura personalul necesar desfășurării activității.</w:t>
      </w:r>
    </w:p>
    <w:p>
      <w:pPr>
        <w:tabs>
          <w:tab w:val="left" w:pos="2294"/>
        </w:tabs>
        <w:rPr>
          <w:sz w:val="20"/>
          <w:szCs w:val="20"/>
          <w:lang w:val="ro-RO"/>
        </w:rPr>
      </w:pPr>
      <w:r>
        <w:rPr>
          <w:sz w:val="20"/>
          <w:szCs w:val="20"/>
          <w:lang w:val="ro-RO"/>
        </w:rPr>
        <w:t>Operatorul va obține și menține valabile pe toată perioada prestării activității:</w:t>
      </w:r>
    </w:p>
    <w:p>
      <w:pPr>
        <w:tabs>
          <w:tab w:val="left" w:pos="284"/>
        </w:tabs>
        <w:rPr>
          <w:sz w:val="20"/>
          <w:szCs w:val="20"/>
          <w:lang w:val="ro-RO"/>
        </w:rPr>
      </w:pPr>
      <w:r>
        <w:rPr>
          <w:sz w:val="20"/>
          <w:szCs w:val="20"/>
          <w:lang w:val="ro-RO"/>
        </w:rPr>
        <w:t>a)</w:t>
      </w:r>
      <w:r>
        <w:rPr>
          <w:sz w:val="20"/>
          <w:szCs w:val="20"/>
          <w:lang w:val="ro-RO"/>
        </w:rPr>
        <w:tab/>
        <w:t>licențele necesare pentru prestarea activității/activităților specifice serviciului de salubrizare eliberate de A.N.R.S.C., în conformitate cu prevederile legale în vigoare;</w:t>
      </w:r>
    </w:p>
    <w:p>
      <w:pPr>
        <w:tabs>
          <w:tab w:val="left" w:pos="284"/>
        </w:tabs>
        <w:rPr>
          <w:sz w:val="20"/>
          <w:szCs w:val="20"/>
          <w:lang w:val="ro-RO"/>
        </w:rPr>
      </w:pPr>
      <w:r>
        <w:rPr>
          <w:sz w:val="20"/>
          <w:szCs w:val="20"/>
          <w:lang w:val="ro-RO"/>
        </w:rPr>
        <w:t>b)</w:t>
      </w:r>
      <w:r>
        <w:rPr>
          <w:sz w:val="20"/>
          <w:szCs w:val="20"/>
          <w:lang w:val="ro-RO"/>
        </w:rPr>
        <w:tab/>
        <w:t>orice alte permise, aprobări sau autorizații, inclusiv autorizația de funcționare, autorizația de mediu, de gospodărire a apelor sau autorizația integrată de mediu, după caz, în conformitate cu prevederile legale.</w:t>
      </w:r>
    </w:p>
    <w:p>
      <w:pPr>
        <w:pStyle w:val="Heading3"/>
        <w:rPr>
          <w:sz w:val="20"/>
          <w:szCs w:val="20"/>
          <w:lang w:val="ro-RO"/>
        </w:rPr>
      </w:pPr>
      <w:bookmarkStart w:id="60" w:name="_Toc227161535"/>
      <w:r>
        <w:rPr>
          <w:sz w:val="20"/>
          <w:szCs w:val="20"/>
          <w:lang w:val="ro-RO"/>
        </w:rPr>
        <w:t>3.2.6 Personal şi instructaj</w:t>
      </w:r>
      <w:bookmarkEnd w:id="60"/>
    </w:p>
    <w:p>
      <w:pPr>
        <w:tabs>
          <w:tab w:val="left" w:pos="2294"/>
        </w:tabs>
        <w:rPr>
          <w:sz w:val="20"/>
          <w:szCs w:val="20"/>
          <w:lang w:val="ro-RO"/>
        </w:rPr>
      </w:pPr>
      <w:r>
        <w:rPr>
          <w:sz w:val="20"/>
          <w:szCs w:val="20"/>
          <w:lang w:val="ro-RO"/>
        </w:rPr>
        <w:t>Antreprenorul va elabora şi păstra o listă a tuturor resurselor umane angajate în scopul prestării serviciului de operare a TMB şi a staţiei de transfer. Lista va menţiona numele tuturor angajaţilor şi categoria lor de muncă. Calificările profesionale şi istoria locurilor de muncă anterioare trebuie precizate în cazul personalului de conducere.</w:t>
      </w:r>
    </w:p>
    <w:p>
      <w:pPr>
        <w:tabs>
          <w:tab w:val="left" w:pos="2294"/>
        </w:tabs>
        <w:rPr>
          <w:sz w:val="20"/>
          <w:szCs w:val="20"/>
          <w:lang w:val="ro-RO"/>
        </w:rPr>
      </w:pPr>
      <w:r>
        <w:rPr>
          <w:sz w:val="20"/>
          <w:szCs w:val="20"/>
          <w:lang w:val="ro-RO"/>
        </w:rPr>
        <w:t>Personalul minim cheie obligatoriu pe care Antreprenorul trebuie să îl asigure pentru operarea TMB şi a staţiei de transfer Galaţi este: manager/responsabil tehnic, responsabil calitate şi mediu şi responsabil cu securitatea şi sănătatea muncii.</w:t>
      </w:r>
    </w:p>
    <w:p>
      <w:pPr>
        <w:tabs>
          <w:tab w:val="left" w:pos="2294"/>
        </w:tabs>
        <w:rPr>
          <w:sz w:val="20"/>
          <w:szCs w:val="20"/>
          <w:lang w:val="ro-RO"/>
        </w:rPr>
      </w:pPr>
      <w:r>
        <w:rPr>
          <w:sz w:val="20"/>
          <w:szCs w:val="20"/>
          <w:lang w:val="ro-RO"/>
        </w:rPr>
        <w:t>Antreprenorul îşi va angaja propria echipă şi va fi responsabil de comportamentul acesteia pe timpul desfăşurării activităţii. Toţi salariaţii trebuie să deţină calificări relevante şi vor fi instruiţi în mod corespunzător şi calificaţi pentru sarcinile lor şi trebuie să fie informaţi cu privire la utilizarea în siguranţă a echipamentelor, maşinilor şi a vehiculelor aflate în sarcina lor pentru a se asigura că acestea sunt exploatate şi întreţinute în conformitate cu cerinţele contractuale.</w:t>
      </w:r>
    </w:p>
    <w:p>
      <w:pPr>
        <w:tabs>
          <w:tab w:val="left" w:pos="2294"/>
        </w:tabs>
        <w:rPr>
          <w:sz w:val="20"/>
          <w:szCs w:val="20"/>
          <w:lang w:val="ro-RO"/>
        </w:rPr>
      </w:pPr>
      <w:r>
        <w:rPr>
          <w:sz w:val="20"/>
          <w:szCs w:val="20"/>
          <w:lang w:val="ro-RO"/>
        </w:rPr>
        <w:t xml:space="preserve">Pe toată durata derulării contractului de delegare, operatorul are obligația să prezinte, la solicitarea delegatarului, lista nominală cu personalul angajat pentru prestarea activității/activităților de salubrizare, pe categorii de personal, cu specificarea specializărilor/calificărilor profesionale ale personalului de conducere și ale personalului de </w:t>
      </w:r>
      <w:r>
        <w:rPr>
          <w:sz w:val="20"/>
          <w:szCs w:val="20"/>
          <w:lang w:val="ro-RO"/>
        </w:rPr>
        <w:lastRenderedPageBreak/>
        <w:t xml:space="preserve">execuție și cu indicarea numărului de salariați angajați cu salariul minim brut pe țară garantat la plată. </w:t>
      </w:r>
    </w:p>
    <w:p>
      <w:pPr>
        <w:tabs>
          <w:tab w:val="left" w:pos="2294"/>
        </w:tabs>
        <w:rPr>
          <w:sz w:val="20"/>
          <w:szCs w:val="20"/>
          <w:lang w:val="ro-RO"/>
        </w:rPr>
      </w:pPr>
      <w:r>
        <w:rPr>
          <w:sz w:val="20"/>
          <w:szCs w:val="20"/>
          <w:lang w:val="ro-RO"/>
        </w:rPr>
        <w:t>Antreprenorul trebuie să poată în orice moment să înlocuiască membri din echipă în caz de concediu, boală etc. Orice membru al echipei, care poate intra în contact direct cu furnizorii de deşeuri intrate şi cu clienţii deşeurilor ieşite de la stația TMB şi de la staţia de transfer trebuie să fie capabil să înţeleagă, vorbească şi să citească în limba română.</w:t>
      </w:r>
    </w:p>
    <w:p>
      <w:pPr>
        <w:tabs>
          <w:tab w:val="left" w:pos="2294"/>
        </w:tabs>
        <w:rPr>
          <w:sz w:val="20"/>
          <w:szCs w:val="20"/>
          <w:lang w:val="ro-RO"/>
        </w:rPr>
      </w:pPr>
      <w:r>
        <w:rPr>
          <w:sz w:val="20"/>
          <w:szCs w:val="20"/>
          <w:lang w:val="ro-RO"/>
        </w:rPr>
        <w:t>Antreprenorul va face cunoscută Delegatarului persoana care va gestiona şi supraveghea operarea stației TMB şi a staţiei de transfer în numele său. În absenţa persoanei autorizate (pe motiv de concediu, boală etc.) trebuie precizat numele înlocuitorului.</w:t>
      </w:r>
      <w:r>
        <w:rPr>
          <w:lang w:val="pt-BR"/>
        </w:rPr>
        <w:t xml:space="preserve"> </w:t>
      </w:r>
      <w:r>
        <w:rPr>
          <w:sz w:val="20"/>
          <w:szCs w:val="20"/>
          <w:lang w:val="ro-RO"/>
        </w:rPr>
        <w:t>Personalul de conducere și înlocuitorii acestuia trebuie să aibă cunoștințe temeinice tehnice și trebuie să fie capabili să înțeleagă, să vorbească, să scrie și să citească în limba română.</w:t>
      </w:r>
    </w:p>
    <w:p>
      <w:pPr>
        <w:tabs>
          <w:tab w:val="left" w:pos="2294"/>
        </w:tabs>
        <w:rPr>
          <w:sz w:val="20"/>
          <w:szCs w:val="20"/>
          <w:lang w:val="ro-RO"/>
        </w:rPr>
      </w:pPr>
      <w:r>
        <w:rPr>
          <w:sz w:val="20"/>
          <w:szCs w:val="20"/>
          <w:lang w:val="ro-RO"/>
        </w:rPr>
        <w:t>Persoana cu responsabilităţi de conducere trebuie să fie autorizată/împuternicită să negocieze şi să încheie acorduri cu delegatarul cu privire la executarea lucrărilor cu efect de angajare faţă de Delegatar. Când Delegatarul o solicită, el trebuie să poată fi contactat şi să fie la locul convenit într-un termen rezonabil, în funcţie de amploarea problemei.</w:t>
      </w:r>
    </w:p>
    <w:p>
      <w:pPr>
        <w:tabs>
          <w:tab w:val="left" w:pos="2294"/>
        </w:tabs>
        <w:rPr>
          <w:sz w:val="20"/>
          <w:szCs w:val="20"/>
          <w:lang w:val="ro-RO"/>
        </w:rPr>
      </w:pPr>
      <w:r>
        <w:rPr>
          <w:sz w:val="20"/>
          <w:szCs w:val="20"/>
          <w:lang w:val="ro-RO"/>
        </w:rPr>
        <w:t>Periodic, Antreprenorul va efectua, conform prevederilor legale în vigoare, instructaje suplimentare pentru ca personalul să fie permanent la curent cu aspectele operaţionale, de sănătate şi siguranţă în muncă şi de protecţia mediului, PSI, siguranţa în exploatare a instalaţiilor, precum şi orice alte aspecte în legătură cu care personalul Antreprenorului trebuie instruit conform contractului încheiat cu Delegatarul.</w:t>
      </w:r>
    </w:p>
    <w:p>
      <w:pPr>
        <w:tabs>
          <w:tab w:val="left" w:pos="2294"/>
        </w:tabs>
        <w:rPr>
          <w:sz w:val="20"/>
          <w:szCs w:val="20"/>
          <w:lang w:val="ro-RO"/>
        </w:rPr>
      </w:pPr>
      <w:r>
        <w:rPr>
          <w:sz w:val="20"/>
          <w:szCs w:val="20"/>
          <w:lang w:val="ro-RO"/>
        </w:rPr>
        <w:t>Operatorului nu i se permite să schimbe fluxul deșeurilor, fără permisiunea delegatarului.</w:t>
      </w:r>
    </w:p>
    <w:p>
      <w:pPr>
        <w:tabs>
          <w:tab w:val="left" w:pos="2294"/>
        </w:tabs>
        <w:rPr>
          <w:sz w:val="20"/>
          <w:szCs w:val="20"/>
          <w:lang w:val="ro-RO"/>
        </w:rPr>
      </w:pPr>
      <w:r>
        <w:rPr>
          <w:sz w:val="20"/>
          <w:szCs w:val="20"/>
          <w:lang w:val="ro-RO"/>
        </w:rPr>
        <w:t>Antreprenorul va identifica filiere de valorificare a deşeurilor reciclabile sortate, a digestatului şi a compostului rezultate din procesarea mecanică şi biologică a deşeurilor și a CLO, va negocia şi va incheia, în condiţiile legii, contracte de valorificare cu operatori economici. Toate contractele vor fi notificate Delegatarului, care, nu poate avea drept de refuzare a acestora nejustificat. Nu este permisă vânzarea sau distribuirea deşeurilor primite/produselor obţinute în urma proceselor mecanice/biologice/materiale rezultate în urma operaţiunilor desfăşurate pe ampasament unor alte entităţi ori persoane fizice sau juridice decât cele cu care sunt incheiate contracte notificate Delegatarului.</w:t>
      </w:r>
    </w:p>
    <w:p>
      <w:pPr>
        <w:tabs>
          <w:tab w:val="left" w:pos="2294"/>
        </w:tabs>
        <w:rPr>
          <w:sz w:val="20"/>
          <w:szCs w:val="20"/>
          <w:lang w:val="ro-RO"/>
        </w:rPr>
      </w:pPr>
      <w:r>
        <w:rPr>
          <w:sz w:val="20"/>
          <w:szCs w:val="20"/>
          <w:lang w:val="ro-RO"/>
        </w:rPr>
        <w:t xml:space="preserve">Autoritatea Contractantă nu tolerează formarea de stocuri de deșeuri valorificabile și păstrarea acestora în alte zone decât cele proiectate și definite în acest scop. Autoritatea Contractantă solicită proiectarea și operarea facilităților prin tehnologiile proprii ale ofertanților (inclusiv organizarea fluxurilor) astfel încât să fie atinși indicatorii de performanță solicitați. </w:t>
      </w:r>
    </w:p>
    <w:p>
      <w:pPr>
        <w:tabs>
          <w:tab w:val="left" w:pos="2294"/>
        </w:tabs>
        <w:rPr>
          <w:sz w:val="20"/>
          <w:szCs w:val="20"/>
          <w:lang w:val="ro-RO"/>
        </w:rPr>
      </w:pPr>
      <w:r>
        <w:rPr>
          <w:sz w:val="20"/>
          <w:szCs w:val="20"/>
          <w:lang w:val="ro-RO"/>
        </w:rPr>
        <w:t>Pentru operațiunile de valorificare, se recomandă a fi consultată Anexa 3 a OUG 92/2021, cu modificările ulterioare. Pentru stabilirea operațiunilor de valorificare, va fi luată în calcul ierarhia deșeurilor.</w:t>
      </w:r>
    </w:p>
    <w:p>
      <w:pPr>
        <w:tabs>
          <w:tab w:val="left" w:pos="2294"/>
        </w:tabs>
        <w:rPr>
          <w:sz w:val="20"/>
          <w:szCs w:val="20"/>
          <w:lang w:val="ro-RO"/>
        </w:rPr>
      </w:pPr>
      <w:r>
        <w:rPr>
          <w:sz w:val="20"/>
          <w:szCs w:val="20"/>
          <w:lang w:val="ro-RO"/>
        </w:rPr>
        <w:t>În timpul executării serviciilor, echipei Antreprenorului nu îi este permis să ceară sau să primească vreo formă de compensaţie sau gratificaţii din parte altor operatori în scopul extinderii sau îmbunătăţirii calităţii serviciului. Dacă o astfel de practică iese la iveală, Antreprenorul va lua măsurile legale care se impun cu privire la personalul implicat.</w:t>
      </w:r>
    </w:p>
    <w:p>
      <w:pPr>
        <w:tabs>
          <w:tab w:val="left" w:pos="2294"/>
        </w:tabs>
        <w:rPr>
          <w:sz w:val="20"/>
          <w:szCs w:val="20"/>
          <w:lang w:val="ro-RO"/>
        </w:rPr>
      </w:pPr>
      <w:r>
        <w:rPr>
          <w:sz w:val="20"/>
          <w:szCs w:val="20"/>
          <w:lang w:val="ro-RO"/>
        </w:rPr>
        <w:t xml:space="preserve">Operatorul este responsabil de asigurarea echipamentului individual de protecție și de desfășurarea tuturor operațiunilor și activităților în conformitate cu prevederile legale și normele privind sănătatea și securitatea în muncă. </w:t>
      </w:r>
    </w:p>
    <w:p>
      <w:pPr>
        <w:tabs>
          <w:tab w:val="left" w:pos="2294"/>
        </w:tabs>
        <w:rPr>
          <w:sz w:val="20"/>
          <w:szCs w:val="20"/>
          <w:lang w:val="ro-RO"/>
        </w:rPr>
      </w:pPr>
      <w:r>
        <w:rPr>
          <w:sz w:val="20"/>
          <w:szCs w:val="20"/>
          <w:lang w:val="ro-RO"/>
        </w:rPr>
        <w:t xml:space="preserve">Prevenirea situațiilor de urgență și măsurile de protecție vor fi asigurate și menținute conform prevederilor legale în vigoare. </w:t>
      </w:r>
    </w:p>
    <w:p>
      <w:pPr>
        <w:pStyle w:val="Heading3"/>
        <w:rPr>
          <w:sz w:val="20"/>
          <w:szCs w:val="20"/>
          <w:lang w:val="ro-RO"/>
        </w:rPr>
      </w:pPr>
      <w:bookmarkStart w:id="61" w:name="_Toc227161536"/>
      <w:r>
        <w:rPr>
          <w:sz w:val="20"/>
          <w:szCs w:val="20"/>
          <w:lang w:val="ro-RO"/>
        </w:rPr>
        <w:t>3.2.7</w:t>
      </w:r>
      <w:r>
        <w:rPr>
          <w:sz w:val="20"/>
          <w:szCs w:val="20"/>
          <w:lang w:val="ro-RO"/>
        </w:rPr>
        <w:tab/>
        <w:t>Operaţiuni de urgenţă</w:t>
      </w:r>
      <w:bookmarkEnd w:id="61"/>
    </w:p>
    <w:p>
      <w:pPr>
        <w:tabs>
          <w:tab w:val="left" w:pos="2294"/>
        </w:tabs>
        <w:rPr>
          <w:sz w:val="20"/>
          <w:szCs w:val="20"/>
          <w:lang w:val="ro-RO"/>
        </w:rPr>
      </w:pPr>
      <w:r>
        <w:rPr>
          <w:sz w:val="20"/>
          <w:szCs w:val="20"/>
          <w:lang w:val="ro-RO"/>
        </w:rPr>
        <w:t>Antreprenorul va pregăti şi implementa un Plan de intervenţii în caz de evenimente neprevăzute şi îşi va instrui personalul referitor la conţinutul acestui plan, pentru a fi pregătit în cazul urgentelor cum ar fi explozii, incendii, fum şi scurgeri de materiale periculoase/poluante. De asemenea, Antreprenorul va asigura pe perioada de derulare a contractului toate materialele necesare pentru intervenţia proprie în caz de evenimente neprevăzute.</w:t>
      </w:r>
    </w:p>
    <w:p>
      <w:pPr>
        <w:tabs>
          <w:tab w:val="left" w:pos="2294"/>
        </w:tabs>
        <w:rPr>
          <w:sz w:val="20"/>
          <w:szCs w:val="20"/>
          <w:lang w:val="ro-RO"/>
        </w:rPr>
      </w:pPr>
      <w:r>
        <w:rPr>
          <w:sz w:val="20"/>
          <w:szCs w:val="20"/>
          <w:lang w:val="ro-RO"/>
        </w:rPr>
        <w:lastRenderedPageBreak/>
        <w:t>Planul va fi pregătit în Perioada de mobilizare, va fi comunicat Delegatarului şi va fi operaţional numai după avizarea acestuia.</w:t>
      </w:r>
    </w:p>
    <w:p>
      <w:pPr>
        <w:pStyle w:val="Heading3"/>
        <w:rPr>
          <w:sz w:val="20"/>
          <w:szCs w:val="20"/>
          <w:lang w:val="ro-RO"/>
        </w:rPr>
      </w:pPr>
      <w:bookmarkStart w:id="62" w:name="_Toc227161537"/>
      <w:r>
        <w:rPr>
          <w:sz w:val="20"/>
          <w:szCs w:val="20"/>
          <w:lang w:val="ro-RO"/>
        </w:rPr>
        <w:t>3.2.8 Supravegherea</w:t>
      </w:r>
      <w:bookmarkEnd w:id="62"/>
    </w:p>
    <w:p>
      <w:pPr>
        <w:tabs>
          <w:tab w:val="left" w:pos="2294"/>
        </w:tabs>
        <w:rPr>
          <w:sz w:val="20"/>
          <w:szCs w:val="20"/>
          <w:lang w:val="ro-RO"/>
        </w:rPr>
      </w:pPr>
      <w:r>
        <w:rPr>
          <w:sz w:val="20"/>
          <w:szCs w:val="20"/>
          <w:lang w:val="ro-RO"/>
        </w:rPr>
        <w:t>Antreprenorul va coopera pe deplin cu Delegatarul pentru a monitoriza şi controla serviciile şi va permite permanent Delegatarului sa inspecteze toate înregistrările şi documentele păstrate de Antreprenor privind serviciile prestate, inclusiv cele contabile şi să inspecteze toate facilităţile de pe amplasament (inclusiv vehicule, echipamente, personal etc.), în legătură cu activitățile de salubrizare atribuite.</w:t>
      </w:r>
    </w:p>
    <w:p>
      <w:pPr>
        <w:tabs>
          <w:tab w:val="left" w:pos="2294"/>
        </w:tabs>
        <w:rPr>
          <w:sz w:val="20"/>
          <w:szCs w:val="20"/>
          <w:lang w:val="ro-RO"/>
        </w:rPr>
      </w:pPr>
      <w:r>
        <w:rPr>
          <w:sz w:val="20"/>
          <w:szCs w:val="20"/>
          <w:lang w:val="ro-RO"/>
        </w:rPr>
        <w:t>Delegatarul va fi informat despre şi va putea participa la orice inspecţie programată de alte autorităţi.</w:t>
      </w:r>
    </w:p>
    <w:p>
      <w:pPr>
        <w:tabs>
          <w:tab w:val="left" w:pos="2294"/>
        </w:tabs>
        <w:rPr>
          <w:sz w:val="20"/>
          <w:szCs w:val="20"/>
          <w:lang w:val="ro-RO"/>
        </w:rPr>
      </w:pPr>
      <w:r>
        <w:rPr>
          <w:sz w:val="20"/>
          <w:szCs w:val="20"/>
          <w:lang w:val="ro-RO"/>
        </w:rPr>
        <w:t xml:space="preserve">Delegatarul va organiza şedinţele de management al serviciilor cu participarea Antreprenorului. Delegatarul are dreptul să organizeze ședințele de management al serviciilor cu participarea operatorului și, dacă este cazul, a altor operatori care prestează activități pe fluxul deșeurilor. </w:t>
      </w:r>
    </w:p>
    <w:p>
      <w:pPr>
        <w:tabs>
          <w:tab w:val="left" w:pos="2294"/>
        </w:tabs>
        <w:rPr>
          <w:sz w:val="20"/>
          <w:szCs w:val="20"/>
          <w:lang w:val="ro-RO"/>
        </w:rPr>
      </w:pPr>
      <w:r>
        <w:rPr>
          <w:sz w:val="20"/>
          <w:szCs w:val="20"/>
          <w:lang w:val="ro-RO"/>
        </w:rPr>
        <w:t xml:space="preserve">Delegatarul are dreptul să monitorizeze continuitatea și calitatea activității prestate de operator, în condițiile prevăzute în contractul de delegare sau în hotărârea de dare în administrare, după caz. </w:t>
      </w:r>
    </w:p>
    <w:p>
      <w:pPr>
        <w:tabs>
          <w:tab w:val="left" w:pos="2294"/>
        </w:tabs>
        <w:rPr>
          <w:sz w:val="20"/>
          <w:szCs w:val="20"/>
          <w:lang w:val="ro-RO"/>
        </w:rPr>
      </w:pPr>
      <w:r>
        <w:rPr>
          <w:sz w:val="20"/>
          <w:szCs w:val="20"/>
          <w:lang w:val="ro-RO"/>
        </w:rPr>
        <w:t xml:space="preserve">Operatorul are obligația să permită delegatarului să inspecteze toate instalațiile, echipamentele și vehiculele utilizate la prestarea activității/activităților de salubrizare atribuite. </w:t>
      </w:r>
    </w:p>
    <w:p>
      <w:pPr>
        <w:tabs>
          <w:tab w:val="left" w:pos="2294"/>
        </w:tabs>
        <w:rPr>
          <w:sz w:val="20"/>
          <w:szCs w:val="20"/>
          <w:lang w:val="ro-RO"/>
        </w:rPr>
      </w:pPr>
      <w:r>
        <w:rPr>
          <w:sz w:val="20"/>
          <w:szCs w:val="20"/>
          <w:lang w:val="ro-RO"/>
        </w:rPr>
        <w:t>Pentru activitățile de salubrizare desfășurate pe căile publice, delegatarul va desemna persoane pentru recepția serviciilor executate. Recepția se va face zilnic, la sfârșitul programului de lucru, în prezența unui reprezentant al operatorului, încheindu-se proces verbal de recepție semnat de ambele părți. Reprezentantul delegatarului va nota observațiile sale în procesul verbal de recepție. În situația în care nu se realizează recepția serviciilor până la sfârșitul programului, se consideră că respectivele servicii au fost executate în condiții optime. Litigiile legate de recepția serviciilor se soluționează pe cale amiabilă în termen de 15 zile de la data apariției lor sau, în caz contrar, de către instanța de judecată competentă.</w:t>
      </w:r>
    </w:p>
    <w:p>
      <w:pPr>
        <w:pStyle w:val="Heading3"/>
        <w:rPr>
          <w:sz w:val="20"/>
          <w:szCs w:val="20"/>
          <w:lang w:val="ro-RO"/>
        </w:rPr>
      </w:pPr>
      <w:bookmarkStart w:id="63" w:name="_Toc227161538"/>
      <w:r>
        <w:rPr>
          <w:sz w:val="20"/>
          <w:szCs w:val="20"/>
          <w:lang w:val="ro-RO"/>
        </w:rPr>
        <w:t>3.2.9 Comunicare</w:t>
      </w:r>
      <w:bookmarkEnd w:id="63"/>
    </w:p>
    <w:p>
      <w:pPr>
        <w:pStyle w:val="Heading4"/>
        <w:rPr>
          <w:sz w:val="20"/>
          <w:szCs w:val="20"/>
          <w:lang w:val="ro-RO"/>
        </w:rPr>
      </w:pPr>
      <w:r>
        <w:rPr>
          <w:sz w:val="20"/>
          <w:szCs w:val="20"/>
          <w:lang w:val="ro-RO"/>
        </w:rPr>
        <w:t>3.2.9.1 Comunicarea cu Delegatarul</w:t>
      </w:r>
    </w:p>
    <w:p>
      <w:pPr>
        <w:tabs>
          <w:tab w:val="left" w:pos="2294"/>
        </w:tabs>
        <w:rPr>
          <w:sz w:val="20"/>
          <w:szCs w:val="20"/>
          <w:lang w:val="ro-RO"/>
        </w:rPr>
      </w:pPr>
      <w:r>
        <w:rPr>
          <w:sz w:val="20"/>
          <w:szCs w:val="20"/>
          <w:lang w:val="ro-RO"/>
        </w:rPr>
        <w:t>Antreprenorul va informa Delegatarul imediat referitor la orice probleme ce afectează prestarea Serviciului. Asemenea probleme vor fi prezentate în scris, împreună cu propunerile de rezolvare a situaţiei.</w:t>
      </w:r>
    </w:p>
    <w:p>
      <w:pPr>
        <w:tabs>
          <w:tab w:val="left" w:pos="2294"/>
        </w:tabs>
        <w:rPr>
          <w:sz w:val="20"/>
          <w:szCs w:val="20"/>
          <w:lang w:val="ro-RO"/>
        </w:rPr>
      </w:pPr>
      <w:r>
        <w:rPr>
          <w:sz w:val="20"/>
          <w:szCs w:val="20"/>
          <w:lang w:val="ro-RO"/>
        </w:rPr>
        <w:t>Numai ordinele scrise date de Delegatar Antreprenorului vor fi obligatorii.</w:t>
      </w:r>
    </w:p>
    <w:p>
      <w:pPr>
        <w:tabs>
          <w:tab w:val="left" w:pos="2294"/>
        </w:tabs>
        <w:rPr>
          <w:sz w:val="20"/>
          <w:szCs w:val="20"/>
          <w:lang w:val="ro-RO"/>
        </w:rPr>
      </w:pPr>
      <w:r>
        <w:rPr>
          <w:sz w:val="20"/>
          <w:szCs w:val="20"/>
          <w:lang w:val="ro-RO"/>
        </w:rPr>
        <w:t xml:space="preserve">Operatorii au obligația să facă publice propriile date de contact la care utilizatorii pot depune sesizări/petiții cu privire la activitățile de salubrizare prestate, inclusiv să înființeze, la solicitarea delegatarului, un serviciu de dispecerat. </w:t>
      </w:r>
    </w:p>
    <w:p>
      <w:pPr>
        <w:tabs>
          <w:tab w:val="left" w:pos="2294"/>
        </w:tabs>
        <w:rPr>
          <w:sz w:val="20"/>
          <w:szCs w:val="20"/>
          <w:lang w:val="ro-RO"/>
        </w:rPr>
      </w:pPr>
      <w:r>
        <w:rPr>
          <w:sz w:val="20"/>
          <w:szCs w:val="20"/>
          <w:lang w:val="ro-RO"/>
        </w:rPr>
        <w:t xml:space="preserve">Operatorul nu va condiționa prestarea serviciului de existența unei reclamații de la utilizator. La sfârșitul fiecărei perioade de raportare prevăzută în actul de atribuire a activității, operatorul are obligația să informeze delegatarul cu privire la numărul cererilor sau reclamațiilor privind prestarea serviciului și asupra modului de rezolvare a acestora. </w:t>
      </w:r>
    </w:p>
    <w:p>
      <w:pPr>
        <w:tabs>
          <w:tab w:val="left" w:pos="2294"/>
        </w:tabs>
        <w:rPr>
          <w:sz w:val="20"/>
          <w:szCs w:val="20"/>
          <w:lang w:val="ro-RO"/>
        </w:rPr>
      </w:pPr>
      <w:r>
        <w:rPr>
          <w:sz w:val="20"/>
          <w:szCs w:val="20"/>
          <w:lang w:val="ro-RO"/>
        </w:rPr>
        <w:t xml:space="preserve">Operatorul va rezolva problemele privind colectarea deșeurilor separate incorect ce pot apărea în relația cu utilizatorii, în conformitate cu Procedura de colectare a deșeurilor separate incorect, convenită împreună cu delegatarul și aprobată de acesta în perioada de mobilizare, până la data începerii prestării activității. </w:t>
      </w:r>
    </w:p>
    <w:p>
      <w:pPr>
        <w:tabs>
          <w:tab w:val="left" w:pos="2294"/>
        </w:tabs>
        <w:rPr>
          <w:sz w:val="20"/>
          <w:szCs w:val="20"/>
          <w:lang w:val="ro-RO"/>
        </w:rPr>
      </w:pPr>
      <w:r>
        <w:rPr>
          <w:sz w:val="20"/>
          <w:szCs w:val="20"/>
          <w:lang w:val="ro-RO"/>
        </w:rPr>
        <w:t>Operatorul va rezolva problemele privind acceptarea deșeurilor la stațiile/instalațiile de tratare a deșeurilor ce pot apărea în relația cu alți operatori care desfășoară activități pe fluxul deșeurilor, în conformitate cu Procedura de acceptare a deșeurilor, convenită de către delegatar împreună cu operatorul stației/instalației de tratare a deșeurilor și aprobată de delegatar.</w:t>
      </w:r>
    </w:p>
    <w:p>
      <w:pPr>
        <w:pStyle w:val="Heading4"/>
        <w:rPr>
          <w:sz w:val="20"/>
          <w:szCs w:val="20"/>
          <w:lang w:val="ro-RO"/>
        </w:rPr>
      </w:pPr>
      <w:r>
        <w:rPr>
          <w:sz w:val="20"/>
          <w:szCs w:val="20"/>
          <w:lang w:val="ro-RO"/>
        </w:rPr>
        <w:t>3.2.9.2 Comunicarea cu Furnizorii şi Clienţii</w:t>
      </w:r>
    </w:p>
    <w:p>
      <w:pPr>
        <w:tabs>
          <w:tab w:val="left" w:pos="2294"/>
        </w:tabs>
        <w:rPr>
          <w:sz w:val="20"/>
          <w:szCs w:val="20"/>
          <w:lang w:val="ro-RO"/>
        </w:rPr>
      </w:pPr>
      <w:r>
        <w:rPr>
          <w:sz w:val="20"/>
          <w:szCs w:val="20"/>
          <w:lang w:val="ro-RO"/>
        </w:rPr>
        <w:t>Antreprenorul va informa Furnizorii de deşeuri (colectori, transportatori, personal staţii de transfer, staţii de sortare, staţii de compostare, centre de stocare temporară deşeuri) despre:</w:t>
      </w:r>
    </w:p>
    <w:p>
      <w:pPr>
        <w:pStyle w:val="ListParagraph"/>
        <w:numPr>
          <w:ilvl w:val="0"/>
          <w:numId w:val="67"/>
        </w:numPr>
        <w:tabs>
          <w:tab w:val="left" w:pos="2294"/>
        </w:tabs>
        <w:rPr>
          <w:sz w:val="20"/>
          <w:szCs w:val="20"/>
          <w:lang w:val="ro-RO"/>
        </w:rPr>
      </w:pPr>
      <w:r>
        <w:rPr>
          <w:sz w:val="20"/>
          <w:szCs w:val="20"/>
          <w:lang w:val="ro-RO"/>
        </w:rPr>
        <w:lastRenderedPageBreak/>
        <w:t>Tipurile şi categoriile de deşeuri ce sunt acceptate la staţia de transfer şi obligativitatea colectării separate a acestora;</w:t>
      </w:r>
    </w:p>
    <w:p>
      <w:pPr>
        <w:pStyle w:val="ListParagraph"/>
        <w:numPr>
          <w:ilvl w:val="0"/>
          <w:numId w:val="67"/>
        </w:numPr>
        <w:tabs>
          <w:tab w:val="left" w:pos="2294"/>
        </w:tabs>
        <w:rPr>
          <w:sz w:val="20"/>
          <w:szCs w:val="20"/>
          <w:lang w:val="ro-RO"/>
        </w:rPr>
      </w:pPr>
      <w:r>
        <w:rPr>
          <w:sz w:val="20"/>
          <w:szCs w:val="20"/>
          <w:lang w:val="ro-RO"/>
        </w:rPr>
        <w:t>Tipurile de deşeuri ce sunt acceptate la stația de tratare mecano-biologică;</w:t>
      </w:r>
    </w:p>
    <w:p>
      <w:pPr>
        <w:pStyle w:val="ListParagraph"/>
        <w:numPr>
          <w:ilvl w:val="0"/>
          <w:numId w:val="67"/>
        </w:numPr>
        <w:tabs>
          <w:tab w:val="left" w:pos="2294"/>
        </w:tabs>
        <w:rPr>
          <w:sz w:val="20"/>
          <w:szCs w:val="20"/>
          <w:lang w:val="ro-RO"/>
        </w:rPr>
      </w:pPr>
      <w:r>
        <w:rPr>
          <w:sz w:val="20"/>
          <w:szCs w:val="20"/>
          <w:lang w:val="ro-RO"/>
        </w:rPr>
        <w:t>Orarul de funcţionare a zonelor de recepţie deşeuri.</w:t>
      </w:r>
    </w:p>
    <w:p>
      <w:pPr>
        <w:tabs>
          <w:tab w:val="left" w:pos="2294"/>
        </w:tabs>
        <w:rPr>
          <w:sz w:val="20"/>
          <w:szCs w:val="20"/>
          <w:lang w:val="ro-RO"/>
        </w:rPr>
      </w:pPr>
      <w:r>
        <w:rPr>
          <w:sz w:val="20"/>
          <w:szCs w:val="20"/>
          <w:lang w:val="ro-RO"/>
        </w:rPr>
        <w:t>Antreprenorul îşi va informa Clienţii deşeurilor (depozit Valea Mărului, staţie de sortare Valea Mărului, reciclatori, instalaţii de tratare a deşeurilor periculoase etc):</w:t>
      </w:r>
    </w:p>
    <w:p>
      <w:pPr>
        <w:pStyle w:val="ListParagraph"/>
        <w:numPr>
          <w:ilvl w:val="0"/>
          <w:numId w:val="67"/>
        </w:numPr>
        <w:tabs>
          <w:tab w:val="left" w:pos="2294"/>
        </w:tabs>
        <w:rPr>
          <w:sz w:val="20"/>
          <w:szCs w:val="20"/>
          <w:lang w:val="ro-RO"/>
        </w:rPr>
      </w:pPr>
      <w:r>
        <w:rPr>
          <w:sz w:val="20"/>
          <w:szCs w:val="20"/>
          <w:lang w:val="ro-RO"/>
        </w:rPr>
        <w:t>Tipurile de deşeuri predate acestora;</w:t>
      </w:r>
    </w:p>
    <w:p>
      <w:pPr>
        <w:pStyle w:val="ListParagraph"/>
        <w:numPr>
          <w:ilvl w:val="0"/>
          <w:numId w:val="67"/>
        </w:numPr>
        <w:tabs>
          <w:tab w:val="left" w:pos="2294"/>
        </w:tabs>
        <w:rPr>
          <w:sz w:val="20"/>
          <w:szCs w:val="20"/>
          <w:lang w:val="ro-RO"/>
        </w:rPr>
      </w:pPr>
      <w:r>
        <w:rPr>
          <w:sz w:val="20"/>
          <w:szCs w:val="20"/>
          <w:lang w:val="ro-RO"/>
        </w:rPr>
        <w:t>Orice caracteristici ale deşeurilor predate, necesare pentru respectarea cerinţelor legale, de reglementare şi a îndeplinirii standardelor/exigenţelor privind valorificarea/eliminarea controlată;</w:t>
      </w:r>
    </w:p>
    <w:p>
      <w:pPr>
        <w:pStyle w:val="ListParagraph"/>
        <w:numPr>
          <w:ilvl w:val="0"/>
          <w:numId w:val="67"/>
        </w:numPr>
        <w:tabs>
          <w:tab w:val="left" w:pos="2294"/>
        </w:tabs>
        <w:rPr>
          <w:sz w:val="20"/>
          <w:szCs w:val="20"/>
          <w:lang w:val="ro-RO"/>
        </w:rPr>
      </w:pPr>
      <w:r>
        <w:rPr>
          <w:sz w:val="20"/>
          <w:szCs w:val="20"/>
          <w:lang w:val="ro-RO"/>
        </w:rPr>
        <w:t>Orarul de funcţionare a zonelor de livrare a deşeurilor şi, dacă este necesar, cadenţa transporturilor.</w:t>
      </w:r>
    </w:p>
    <w:p>
      <w:pPr>
        <w:tabs>
          <w:tab w:val="left" w:pos="2294"/>
        </w:tabs>
        <w:rPr>
          <w:sz w:val="20"/>
          <w:szCs w:val="20"/>
          <w:lang w:val="ro-RO"/>
        </w:rPr>
      </w:pPr>
      <w:r>
        <w:rPr>
          <w:sz w:val="20"/>
          <w:szCs w:val="20"/>
          <w:lang w:val="ro-RO"/>
        </w:rPr>
        <w:t>La intrarea pe amplasament va fi pus un anunţ cu minim următoarele informaţii:</w:t>
      </w:r>
    </w:p>
    <w:p>
      <w:pPr>
        <w:pStyle w:val="ListParagraph"/>
        <w:numPr>
          <w:ilvl w:val="0"/>
          <w:numId w:val="67"/>
        </w:numPr>
        <w:tabs>
          <w:tab w:val="left" w:pos="2294"/>
        </w:tabs>
        <w:rPr>
          <w:sz w:val="20"/>
          <w:szCs w:val="20"/>
          <w:lang w:val="ro-RO"/>
        </w:rPr>
      </w:pPr>
      <w:r>
        <w:rPr>
          <w:sz w:val="20"/>
          <w:szCs w:val="20"/>
          <w:lang w:val="ro-RO"/>
        </w:rPr>
        <w:t>numele obiectivului;</w:t>
      </w:r>
    </w:p>
    <w:p>
      <w:pPr>
        <w:pStyle w:val="ListParagraph"/>
        <w:numPr>
          <w:ilvl w:val="0"/>
          <w:numId w:val="67"/>
        </w:numPr>
        <w:tabs>
          <w:tab w:val="left" w:pos="2294"/>
        </w:tabs>
        <w:rPr>
          <w:sz w:val="20"/>
          <w:szCs w:val="20"/>
          <w:lang w:val="ro-RO"/>
        </w:rPr>
      </w:pPr>
      <w:r>
        <w:rPr>
          <w:sz w:val="20"/>
          <w:szCs w:val="20"/>
          <w:lang w:val="ro-RO"/>
        </w:rPr>
        <w:t>numele operatorului;</w:t>
      </w:r>
    </w:p>
    <w:p>
      <w:pPr>
        <w:pStyle w:val="ListParagraph"/>
        <w:numPr>
          <w:ilvl w:val="0"/>
          <w:numId w:val="67"/>
        </w:numPr>
        <w:tabs>
          <w:tab w:val="left" w:pos="2294"/>
        </w:tabs>
        <w:rPr>
          <w:sz w:val="20"/>
          <w:szCs w:val="20"/>
          <w:lang w:val="ro-RO"/>
        </w:rPr>
      </w:pPr>
      <w:r>
        <w:rPr>
          <w:sz w:val="20"/>
          <w:szCs w:val="20"/>
          <w:lang w:val="ro-RO"/>
        </w:rPr>
        <w:t>adresa operatorului;</w:t>
      </w:r>
    </w:p>
    <w:p>
      <w:pPr>
        <w:pStyle w:val="ListParagraph"/>
        <w:numPr>
          <w:ilvl w:val="0"/>
          <w:numId w:val="67"/>
        </w:numPr>
        <w:tabs>
          <w:tab w:val="left" w:pos="2294"/>
        </w:tabs>
        <w:rPr>
          <w:sz w:val="20"/>
          <w:szCs w:val="20"/>
          <w:lang w:val="ro-RO"/>
        </w:rPr>
      </w:pPr>
      <w:r>
        <w:rPr>
          <w:sz w:val="20"/>
          <w:szCs w:val="20"/>
          <w:lang w:val="ro-RO"/>
        </w:rPr>
        <w:t>telefoane de contact / urgenţă;</w:t>
      </w:r>
    </w:p>
    <w:p>
      <w:pPr>
        <w:pStyle w:val="ListParagraph"/>
        <w:numPr>
          <w:ilvl w:val="0"/>
          <w:numId w:val="67"/>
        </w:numPr>
        <w:tabs>
          <w:tab w:val="left" w:pos="2294"/>
        </w:tabs>
        <w:rPr>
          <w:sz w:val="20"/>
          <w:szCs w:val="20"/>
          <w:lang w:val="ro-RO"/>
        </w:rPr>
      </w:pPr>
      <w:r>
        <w:rPr>
          <w:sz w:val="20"/>
          <w:szCs w:val="20"/>
          <w:lang w:val="ro-RO"/>
        </w:rPr>
        <w:t>accesul este permis numai vehiculelor autorizate pentru transportul deşeurilor;</w:t>
      </w:r>
    </w:p>
    <w:p>
      <w:pPr>
        <w:pStyle w:val="ListParagraph"/>
        <w:numPr>
          <w:ilvl w:val="0"/>
          <w:numId w:val="67"/>
        </w:numPr>
        <w:tabs>
          <w:tab w:val="left" w:pos="2294"/>
        </w:tabs>
        <w:rPr>
          <w:sz w:val="20"/>
          <w:szCs w:val="20"/>
          <w:lang w:val="ro-RO"/>
        </w:rPr>
      </w:pPr>
      <w:r>
        <w:rPr>
          <w:sz w:val="20"/>
          <w:szCs w:val="20"/>
          <w:lang w:val="ro-RO"/>
        </w:rPr>
        <w:t>orarul de funcţionare;</w:t>
      </w:r>
    </w:p>
    <w:p>
      <w:pPr>
        <w:pStyle w:val="ListParagraph"/>
        <w:numPr>
          <w:ilvl w:val="0"/>
          <w:numId w:val="67"/>
        </w:numPr>
        <w:tabs>
          <w:tab w:val="left" w:pos="2294"/>
        </w:tabs>
        <w:rPr>
          <w:sz w:val="20"/>
          <w:szCs w:val="20"/>
          <w:lang w:val="ro-RO"/>
        </w:rPr>
      </w:pPr>
      <w:r>
        <w:rPr>
          <w:sz w:val="20"/>
          <w:szCs w:val="20"/>
          <w:lang w:val="ro-RO"/>
        </w:rPr>
        <w:t>plan de acces cu evidenţierea traseelor obligatorii şi a zonelor de interes (puncte de descărcare/preluare).</w:t>
      </w:r>
    </w:p>
    <w:p>
      <w:pPr>
        <w:tabs>
          <w:tab w:val="left" w:pos="2294"/>
        </w:tabs>
        <w:rPr>
          <w:sz w:val="20"/>
          <w:szCs w:val="20"/>
          <w:lang w:val="ro-RO"/>
        </w:rPr>
      </w:pPr>
      <w:r>
        <w:rPr>
          <w:sz w:val="20"/>
          <w:szCs w:val="20"/>
          <w:lang w:val="ro-RO"/>
        </w:rPr>
        <w:t>Antreprenorul va implementa o procedura de gestionare a reclamaţiilor (preluare, răspuns şi acţiune corectivă/preventivă dacă este necesar).</w:t>
      </w:r>
    </w:p>
    <w:p>
      <w:pPr>
        <w:tabs>
          <w:tab w:val="left" w:pos="2294"/>
        </w:tabs>
        <w:rPr>
          <w:sz w:val="20"/>
          <w:szCs w:val="20"/>
          <w:lang w:val="ro-RO"/>
        </w:rPr>
      </w:pPr>
      <w:r>
        <w:rPr>
          <w:sz w:val="20"/>
          <w:szCs w:val="20"/>
          <w:lang w:val="ro-RO"/>
        </w:rPr>
        <w:t>În niciun caz, Antreprenorul nu poate condiţiona prestarea serviciului de existenţa unei reclamaţii de la utilizatorii serviciului de salubrizare.</w:t>
      </w:r>
    </w:p>
    <w:p>
      <w:pPr>
        <w:tabs>
          <w:tab w:val="left" w:pos="2294"/>
        </w:tabs>
        <w:rPr>
          <w:sz w:val="20"/>
          <w:szCs w:val="20"/>
          <w:lang w:val="ro-RO"/>
        </w:rPr>
      </w:pPr>
      <w:r>
        <w:rPr>
          <w:sz w:val="20"/>
          <w:szCs w:val="20"/>
          <w:lang w:val="ro-RO"/>
        </w:rPr>
        <w:t>Antreprenorul va păstra pe timp de minim trei ani înregistrări ale tuturor reclamaţiilor primite şi ale măsurilor luate legate de asemenea reclamaţii, în Baza de Date a Operaţiunilor, înregistrări ce vor fi păstrate la dispoziţia Delegatarului.</w:t>
      </w:r>
    </w:p>
    <w:p>
      <w:pPr>
        <w:tabs>
          <w:tab w:val="left" w:pos="2294"/>
        </w:tabs>
        <w:rPr>
          <w:sz w:val="20"/>
          <w:szCs w:val="20"/>
          <w:lang w:val="ro-RO"/>
        </w:rPr>
      </w:pPr>
      <w:r>
        <w:rPr>
          <w:sz w:val="20"/>
          <w:szCs w:val="20"/>
          <w:lang w:val="ro-RO"/>
        </w:rPr>
        <w:t>Antreprenorul este pe deplin răspunzător de toate situaţiile care cad sub incidenţa Directivei 2004/35/CE transpusă prin OUG 68/2007 privind răspunderea de mediu.</w:t>
      </w:r>
    </w:p>
    <w:p>
      <w:pPr>
        <w:tabs>
          <w:tab w:val="left" w:pos="2294"/>
        </w:tabs>
        <w:rPr>
          <w:sz w:val="20"/>
          <w:szCs w:val="20"/>
          <w:lang w:val="ro-RO"/>
        </w:rPr>
      </w:pPr>
      <w:r>
        <w:rPr>
          <w:sz w:val="20"/>
          <w:szCs w:val="20"/>
          <w:lang w:val="ro-RO"/>
        </w:rPr>
        <w:t>Antreprenorul are obligaţia sa informeze Delegatarul asupra lor şi a modul de rezolvare. La sfârşitul fiecărei perioade de raportare, Antreprenorul va transmite numărul cererilor, reclamaţiilor sau plângerilor cu privire la prestarea serviciului.</w:t>
      </w:r>
    </w:p>
    <w:p>
      <w:pPr>
        <w:tabs>
          <w:tab w:val="left" w:pos="2294"/>
        </w:tabs>
        <w:rPr>
          <w:sz w:val="20"/>
          <w:szCs w:val="20"/>
          <w:lang w:val="ro-RO"/>
        </w:rPr>
      </w:pPr>
      <w:r>
        <w:rPr>
          <w:sz w:val="20"/>
          <w:szCs w:val="20"/>
          <w:lang w:val="ro-RO"/>
        </w:rPr>
        <w:t>Antreprenorul are de asemenea obligaţia transmiterii, în termenele legale, a tuturor raportărilor impuse de către legislaţia aplicabilă şi acttele de reglementare, către toate autorităţile de resort. Delegatarul va fi înştiinţat despre toate informările transmise de către Antreprenor către o terţă parte.</w:t>
      </w:r>
    </w:p>
    <w:p>
      <w:pPr>
        <w:pStyle w:val="Heading3"/>
        <w:rPr>
          <w:sz w:val="20"/>
          <w:szCs w:val="20"/>
          <w:lang w:val="ro-RO"/>
        </w:rPr>
      </w:pPr>
      <w:bookmarkStart w:id="64" w:name="_Toc227161539"/>
      <w:r>
        <w:rPr>
          <w:sz w:val="20"/>
          <w:szCs w:val="20"/>
          <w:lang w:val="ro-RO"/>
        </w:rPr>
        <w:t>3.2.10 Programul de lucru</w:t>
      </w:r>
      <w:bookmarkEnd w:id="64"/>
    </w:p>
    <w:p>
      <w:pPr>
        <w:tabs>
          <w:tab w:val="left" w:pos="2294"/>
        </w:tabs>
        <w:rPr>
          <w:sz w:val="20"/>
          <w:szCs w:val="20"/>
          <w:lang w:val="ro-RO"/>
        </w:rPr>
      </w:pPr>
      <w:r>
        <w:rPr>
          <w:sz w:val="20"/>
          <w:szCs w:val="20"/>
          <w:lang w:val="ro-RO"/>
        </w:rPr>
        <w:t>Delegatul va respecta legislaţia naţională referitoare la programul de lucru al angajaţilor.</w:t>
      </w:r>
    </w:p>
    <w:p>
      <w:pPr>
        <w:pStyle w:val="Heading3"/>
        <w:rPr>
          <w:sz w:val="20"/>
          <w:szCs w:val="20"/>
          <w:lang w:val="ro-RO"/>
        </w:rPr>
      </w:pPr>
      <w:bookmarkStart w:id="65" w:name="_Toc227161540"/>
      <w:r>
        <w:rPr>
          <w:sz w:val="20"/>
          <w:szCs w:val="20"/>
          <w:lang w:val="ro-RO"/>
        </w:rPr>
        <w:t>3.2.11 Programul de funcţionare</w:t>
      </w:r>
      <w:bookmarkEnd w:id="65"/>
    </w:p>
    <w:p>
      <w:pPr>
        <w:tabs>
          <w:tab w:val="left" w:pos="2294"/>
        </w:tabs>
        <w:rPr>
          <w:sz w:val="20"/>
          <w:szCs w:val="20"/>
          <w:lang w:val="ro-RO"/>
        </w:rPr>
      </w:pPr>
      <w:r>
        <w:rPr>
          <w:sz w:val="20"/>
          <w:szCs w:val="20"/>
          <w:lang w:val="ro-RO"/>
        </w:rPr>
        <w:t>Programul de funcţionare va fi stabilit, în Perioada de Mobilizare, de comun acord cu Delegatarul.</w:t>
      </w:r>
    </w:p>
    <w:p>
      <w:pPr>
        <w:tabs>
          <w:tab w:val="left" w:pos="2294"/>
        </w:tabs>
        <w:rPr>
          <w:sz w:val="20"/>
          <w:szCs w:val="20"/>
          <w:lang w:val="ro-RO"/>
        </w:rPr>
      </w:pPr>
      <w:r>
        <w:rPr>
          <w:sz w:val="20"/>
          <w:szCs w:val="20"/>
          <w:lang w:val="ro-RO"/>
        </w:rPr>
        <w:t>Antreprenorul va consulta operatorii serviciilor de colectare, transport, transfer, sortare şi depozitare a deşeurilor pentru a se asigura ca programul de funcţionare este compatibil cu obligaţiile contractuale pe care aceştia le au fata de Delegatar.</w:t>
      </w:r>
    </w:p>
    <w:p>
      <w:pPr>
        <w:tabs>
          <w:tab w:val="left" w:pos="2294"/>
        </w:tabs>
        <w:rPr>
          <w:sz w:val="20"/>
          <w:szCs w:val="20"/>
          <w:lang w:val="ro-RO"/>
        </w:rPr>
      </w:pPr>
      <w:r>
        <w:rPr>
          <w:sz w:val="20"/>
          <w:szCs w:val="20"/>
          <w:lang w:val="ro-RO"/>
        </w:rPr>
        <w:t>Programul de funcţionare va fi stabilit astfel încât să poată fi asigurată funcţionarea instalaţiilor la parametri proiectaţi şi să fie atinşi indicatorii de performanţă. Se va ţine cont de necesitatea funcţionării continue a instalaţiei de tratare biologică a deşeurilor.</w:t>
      </w:r>
    </w:p>
    <w:p>
      <w:pPr>
        <w:pStyle w:val="Heading3"/>
        <w:rPr>
          <w:sz w:val="20"/>
          <w:szCs w:val="20"/>
          <w:lang w:val="ro-RO"/>
        </w:rPr>
      </w:pPr>
      <w:bookmarkStart w:id="66" w:name="_Toc227161541"/>
      <w:r>
        <w:rPr>
          <w:sz w:val="20"/>
          <w:szCs w:val="20"/>
          <w:lang w:val="ro-RO"/>
        </w:rPr>
        <w:t>3.2.12 Deşeuri admise şi neadmise</w:t>
      </w:r>
      <w:bookmarkEnd w:id="66"/>
    </w:p>
    <w:p>
      <w:pPr>
        <w:tabs>
          <w:tab w:val="left" w:pos="2294"/>
        </w:tabs>
        <w:rPr>
          <w:sz w:val="20"/>
          <w:szCs w:val="20"/>
          <w:lang w:val="ro-RO"/>
        </w:rPr>
      </w:pPr>
      <w:r>
        <w:rPr>
          <w:sz w:val="20"/>
          <w:szCs w:val="20"/>
          <w:lang w:val="ro-RO"/>
        </w:rPr>
        <w:t>Antreprenorul va permite accesul în obiective, după cum urmează:</w:t>
      </w:r>
    </w:p>
    <w:p>
      <w:pPr>
        <w:pStyle w:val="ListParagraph"/>
        <w:numPr>
          <w:ilvl w:val="0"/>
          <w:numId w:val="58"/>
        </w:numPr>
        <w:tabs>
          <w:tab w:val="left" w:pos="2294"/>
        </w:tabs>
        <w:rPr>
          <w:sz w:val="20"/>
          <w:szCs w:val="20"/>
          <w:lang w:val="ro-RO"/>
        </w:rPr>
      </w:pPr>
      <w:r>
        <w:rPr>
          <w:sz w:val="20"/>
          <w:szCs w:val="20"/>
          <w:lang w:val="ro-RO"/>
        </w:rPr>
        <w:lastRenderedPageBreak/>
        <w:t>la Staţia de transfer:</w:t>
      </w:r>
    </w:p>
    <w:p>
      <w:pPr>
        <w:pStyle w:val="ListParagraph"/>
        <w:numPr>
          <w:ilvl w:val="0"/>
          <w:numId w:val="68"/>
        </w:numPr>
        <w:tabs>
          <w:tab w:val="left" w:pos="2294"/>
        </w:tabs>
        <w:ind w:left="1134"/>
        <w:rPr>
          <w:sz w:val="20"/>
          <w:szCs w:val="20"/>
          <w:lang w:val="ro-RO"/>
        </w:rPr>
      </w:pPr>
      <w:r>
        <w:rPr>
          <w:sz w:val="20"/>
          <w:szCs w:val="20"/>
          <w:lang w:val="ro-RO"/>
        </w:rPr>
        <w:t>Deşeurile municipale reciclabile colectate separat din zona 1, cu excepţia municipiului Galaţi. Prin faptul că deşeurile reciclabile provin exclusiv din mediul rural, colectarea separată se realizează pe 3 fracţii: hârtie/carton,plastic/metal şi sticlă. Acestea vor fi transferate la Staţia de sortare Valea Mărului;</w:t>
      </w:r>
    </w:p>
    <w:p>
      <w:pPr>
        <w:pStyle w:val="ListParagraph"/>
        <w:numPr>
          <w:ilvl w:val="0"/>
          <w:numId w:val="68"/>
        </w:numPr>
        <w:tabs>
          <w:tab w:val="left" w:pos="2294"/>
        </w:tabs>
        <w:ind w:left="1134"/>
        <w:rPr>
          <w:sz w:val="20"/>
          <w:szCs w:val="20"/>
          <w:lang w:val="ro-RO"/>
        </w:rPr>
      </w:pPr>
      <w:r>
        <w:rPr>
          <w:sz w:val="20"/>
          <w:szCs w:val="20"/>
          <w:lang w:val="ro-RO"/>
        </w:rPr>
        <w:t>Digestat stabilizat din deşeuri reziduale şi reziduuri de procesare mecanică şi biologică provenite de la TMB. Acestea vor fi direcţionate către depozitul conform Valea Mărului;</w:t>
      </w:r>
    </w:p>
    <w:p>
      <w:pPr>
        <w:pStyle w:val="ListParagraph"/>
        <w:numPr>
          <w:ilvl w:val="0"/>
          <w:numId w:val="68"/>
        </w:numPr>
        <w:tabs>
          <w:tab w:val="left" w:pos="2294"/>
        </w:tabs>
        <w:ind w:left="1134"/>
        <w:rPr>
          <w:sz w:val="20"/>
          <w:szCs w:val="20"/>
          <w:lang w:val="ro-RO"/>
        </w:rPr>
      </w:pPr>
      <w:r>
        <w:rPr>
          <w:sz w:val="20"/>
          <w:szCs w:val="20"/>
          <w:lang w:val="ro-RO"/>
        </w:rPr>
        <w:t>Deșeuri textile colectate separat din zona 1, cu excepţia municipiului Galaţi. Acestea vor fi transferate la hala fluxuri speciale Tecuci;</w:t>
      </w:r>
    </w:p>
    <w:p>
      <w:pPr>
        <w:pStyle w:val="ListParagraph"/>
        <w:numPr>
          <w:ilvl w:val="0"/>
          <w:numId w:val="68"/>
        </w:numPr>
        <w:tabs>
          <w:tab w:val="left" w:pos="2294"/>
        </w:tabs>
        <w:ind w:left="1134"/>
        <w:rPr>
          <w:sz w:val="20"/>
          <w:szCs w:val="20"/>
          <w:lang w:val="ro-RO"/>
        </w:rPr>
      </w:pPr>
      <w:r>
        <w:rPr>
          <w:sz w:val="20"/>
          <w:szCs w:val="20"/>
          <w:lang w:val="ro-RO"/>
        </w:rPr>
        <w:t>Deșeuri voluminoase colectate separat din zona 1, cu excepţia municipiului Galaţi. Acestea vor fi transferate la hala fluxuri speciale Tecuci;</w:t>
      </w:r>
    </w:p>
    <w:p>
      <w:pPr>
        <w:pStyle w:val="ListParagraph"/>
        <w:numPr>
          <w:ilvl w:val="0"/>
          <w:numId w:val="68"/>
        </w:numPr>
        <w:tabs>
          <w:tab w:val="left" w:pos="2294"/>
        </w:tabs>
        <w:ind w:left="1134"/>
        <w:rPr>
          <w:sz w:val="20"/>
          <w:szCs w:val="20"/>
          <w:lang w:val="ro-RO"/>
        </w:rPr>
      </w:pPr>
      <w:r>
        <w:rPr>
          <w:sz w:val="20"/>
          <w:szCs w:val="20"/>
          <w:lang w:val="ro-RO"/>
        </w:rPr>
        <w:t xml:space="preserve">Deșeuri menajere periculoase colectate separat din zona 1, cu excepția municipiului Galați. Acestea </w:t>
      </w:r>
      <w:r>
        <w:rPr>
          <w:rFonts w:cs="Arial"/>
          <w:sz w:val="20"/>
          <w:szCs w:val="20"/>
          <w:lang w:val="ro-RO"/>
        </w:rPr>
        <w:t xml:space="preserve">vor fi </w:t>
      </w:r>
      <w:r>
        <w:rPr>
          <w:rFonts w:cs="Arial"/>
          <w:b/>
          <w:bCs/>
          <w:sz w:val="20"/>
          <w:szCs w:val="20"/>
          <w:lang w:val="ro-RO"/>
        </w:rPr>
        <w:t>doar stocate temporar</w:t>
      </w:r>
      <w:r>
        <w:rPr>
          <w:rFonts w:cs="Arial"/>
          <w:sz w:val="20"/>
          <w:szCs w:val="20"/>
          <w:lang w:val="ro-RO"/>
        </w:rPr>
        <w:t xml:space="preserve"> până la preluarea de către operatori specializați  de tratare/neutralizare.</w:t>
      </w:r>
    </w:p>
    <w:p>
      <w:pPr>
        <w:pStyle w:val="ListParagraph"/>
        <w:numPr>
          <w:ilvl w:val="0"/>
          <w:numId w:val="58"/>
        </w:numPr>
        <w:tabs>
          <w:tab w:val="left" w:pos="2294"/>
        </w:tabs>
        <w:rPr>
          <w:sz w:val="20"/>
          <w:szCs w:val="20"/>
          <w:lang w:val="ro-RO"/>
        </w:rPr>
      </w:pPr>
      <w:r>
        <w:rPr>
          <w:sz w:val="20"/>
          <w:szCs w:val="20"/>
          <w:lang w:val="ro-RO"/>
        </w:rPr>
        <w:t>la Stația de Tratare Mecano-Biologică:</w:t>
      </w:r>
    </w:p>
    <w:p>
      <w:pPr>
        <w:pStyle w:val="ListParagraph"/>
        <w:numPr>
          <w:ilvl w:val="0"/>
          <w:numId w:val="69"/>
        </w:numPr>
        <w:tabs>
          <w:tab w:val="left" w:pos="2294"/>
        </w:tabs>
        <w:ind w:left="1134"/>
        <w:rPr>
          <w:sz w:val="20"/>
          <w:szCs w:val="20"/>
          <w:lang w:val="ro-RO"/>
        </w:rPr>
      </w:pPr>
      <w:r>
        <w:rPr>
          <w:sz w:val="20"/>
          <w:szCs w:val="20"/>
          <w:lang w:val="ro-RO"/>
        </w:rPr>
        <w:t>Deşeuri municipale colectate în amestec din întreg judeţul Galaţi (deşeuri menajere, similare, din pieţe, reziduuri din parcuri şi grădini, deşeuri stradale altele decât de la măturat) şi reziduurile de la staţiile de sortare şi compostare din judeţ. Acestea vor fi introduse în instalaţia mecanică a TMB;</w:t>
      </w:r>
    </w:p>
    <w:p>
      <w:pPr>
        <w:pStyle w:val="ListParagraph"/>
        <w:numPr>
          <w:ilvl w:val="0"/>
          <w:numId w:val="69"/>
        </w:numPr>
        <w:tabs>
          <w:tab w:val="left" w:pos="2294"/>
        </w:tabs>
        <w:ind w:left="1134"/>
        <w:rPr>
          <w:sz w:val="20"/>
          <w:szCs w:val="20"/>
          <w:lang w:val="ro-RO"/>
        </w:rPr>
      </w:pPr>
      <w:r>
        <w:rPr>
          <w:sz w:val="20"/>
          <w:szCs w:val="20"/>
          <w:lang w:val="ro-RO"/>
        </w:rPr>
        <w:t>Biodeşeuri menajere, similare şi din pieţe colectate separat din întreg judeţul Galaţi. Acestea vor fi tratate distinct faţă de deşeurile reziduale (pretratare mecanică urmată de introducere în digestor dedicat).</w:t>
      </w:r>
    </w:p>
    <w:p>
      <w:pPr>
        <w:tabs>
          <w:tab w:val="left" w:pos="2294"/>
        </w:tabs>
        <w:rPr>
          <w:sz w:val="20"/>
          <w:szCs w:val="20"/>
          <w:lang w:val="ro-RO"/>
        </w:rPr>
      </w:pPr>
      <w:r>
        <w:rPr>
          <w:sz w:val="20"/>
          <w:szCs w:val="20"/>
          <w:lang w:val="ro-RO"/>
        </w:rPr>
        <w:t>Delegatarul, nicio altă autoritate a administraţiei publice locale din judeţ şi niciun generator de deşeuri nu ii va cere Ofertantului sa accepte şi nu va accepta, niciun fel de alte deşeuri decât cele menţionate anterior.</w:t>
      </w:r>
    </w:p>
    <w:p>
      <w:pPr>
        <w:tabs>
          <w:tab w:val="left" w:pos="2294"/>
        </w:tabs>
        <w:rPr>
          <w:sz w:val="20"/>
          <w:szCs w:val="20"/>
          <w:lang w:val="ro-RO"/>
        </w:rPr>
      </w:pPr>
      <w:r>
        <w:rPr>
          <w:sz w:val="20"/>
          <w:szCs w:val="20"/>
          <w:lang w:val="ro-RO"/>
        </w:rPr>
        <w:t>Compoziţia şi cantitatea deşeurilor estimate a fi primite poate varia pe parcursul unui an sau de la an la an. Cantitatea aferentă fiecărei luni poate varia din cauza schimbărilor sezoniere. Antreprenorul trebuie sa fie pregătit sa gestioneze cantităţile de deşeuri independent de fluctuaţiile anuale, lunare şi zilnice şi trebuie sa poată face faţă valorilor de vârf.</w:t>
      </w:r>
    </w:p>
    <w:p>
      <w:pPr>
        <w:pStyle w:val="Heading3"/>
        <w:rPr>
          <w:sz w:val="20"/>
          <w:szCs w:val="20"/>
          <w:lang w:val="ro-RO"/>
        </w:rPr>
      </w:pPr>
      <w:bookmarkStart w:id="67" w:name="_Toc227161542"/>
      <w:r>
        <w:rPr>
          <w:sz w:val="20"/>
          <w:szCs w:val="20"/>
          <w:lang w:val="ro-RO"/>
        </w:rPr>
        <w:t>3.2.13 Conştientizarea publicului</w:t>
      </w:r>
      <w:bookmarkEnd w:id="67"/>
    </w:p>
    <w:p>
      <w:pPr>
        <w:tabs>
          <w:tab w:val="left" w:pos="2294"/>
        </w:tabs>
        <w:rPr>
          <w:sz w:val="20"/>
          <w:szCs w:val="20"/>
          <w:lang w:val="ro-RO"/>
        </w:rPr>
      </w:pPr>
      <w:r>
        <w:rPr>
          <w:sz w:val="20"/>
          <w:szCs w:val="20"/>
          <w:lang w:val="ro-RO"/>
        </w:rPr>
        <w:t>Antreprenorul va asista Delegatarul şi celelalte autorităţi ale administraţiei publice locale şi se va implica în procesul de informare a colectorilor şi generatorilor de deşeuri cu privire la gestionarea deşeurilor şi cerinţele de livrare.</w:t>
      </w:r>
    </w:p>
    <w:p>
      <w:pPr>
        <w:autoSpaceDE w:val="0"/>
        <w:autoSpaceDN w:val="0"/>
        <w:adjustRightInd w:val="0"/>
        <w:spacing w:line="259" w:lineRule="auto"/>
        <w:rPr>
          <w:rFonts w:cs="TrebuchetMS"/>
          <w:sz w:val="20"/>
          <w:szCs w:val="20"/>
          <w:lang w:val="ro-RO"/>
        </w:rPr>
      </w:pPr>
      <w:r>
        <w:rPr>
          <w:rFonts w:cs="TrebuchetMS"/>
          <w:sz w:val="20"/>
          <w:szCs w:val="20"/>
          <w:lang w:val="ro-RO"/>
        </w:rPr>
        <w:t>Delegatul se va implica în procesul de informare a colectorilor și generatorilor de deșeuri cu privire la gestionarea deșeurilor și cerințele de livrare / condițiile de primire în instalații. Ofertantul va prezenta, în oferta sa tehnică, propuneri privind campaniile de conștientizare și frecvența acestora, în conformitate cu Regulamentul serviciului județean de salubrizare Galați, revizuit octombrie 2024, parte integrantă din documentația de atribuire.</w:t>
      </w:r>
    </w:p>
    <w:p>
      <w:pPr>
        <w:tabs>
          <w:tab w:val="left" w:pos="2294"/>
        </w:tabs>
        <w:rPr>
          <w:sz w:val="20"/>
          <w:szCs w:val="20"/>
          <w:lang w:val="ro-RO"/>
        </w:rPr>
      </w:pPr>
      <w:r>
        <w:rPr>
          <w:rFonts w:cs="TrebuchetMS"/>
          <w:sz w:val="20"/>
          <w:szCs w:val="20"/>
          <w:lang w:val="ro-RO"/>
        </w:rPr>
        <w:t>Cu titlu de exemplu, în anul 2026 este planificată o caravană cu 138 de evenimente organizate în Galați, Tecuci, Tg. Bujor și în comunele județului pentru informarea şi conștientizarea publicului larg asupra avantajelor realizării unui sistem integrat de management al deșeurilor in județul Galați. Populația va fi informată cu privire la noul sistem de gestionare a deșeurilor, la ceea ce se așteaptă de la consumatori, la necesitatea separării deșeurilor din ambalaje de celelalte şi depozitarea lor in containerele speciale care vor fi instalate în acest scop. Evenimentele sunt organizate de CJ Galați.</w:t>
      </w:r>
    </w:p>
    <w:p>
      <w:pPr>
        <w:pStyle w:val="Heading3"/>
        <w:rPr>
          <w:sz w:val="20"/>
          <w:szCs w:val="20"/>
          <w:lang w:val="ro-RO"/>
        </w:rPr>
      </w:pPr>
      <w:bookmarkStart w:id="68" w:name="_Toc227161543"/>
      <w:r>
        <w:rPr>
          <w:sz w:val="20"/>
          <w:szCs w:val="20"/>
          <w:lang w:val="ro-RO"/>
        </w:rPr>
        <w:t>3.2.14 Identitatea firmei şi identificarea personalului</w:t>
      </w:r>
      <w:bookmarkEnd w:id="68"/>
    </w:p>
    <w:p>
      <w:pPr>
        <w:tabs>
          <w:tab w:val="left" w:pos="2294"/>
        </w:tabs>
        <w:rPr>
          <w:sz w:val="20"/>
          <w:szCs w:val="20"/>
          <w:lang w:val="ro-RO"/>
        </w:rPr>
      </w:pPr>
      <w:r>
        <w:rPr>
          <w:sz w:val="20"/>
          <w:szCs w:val="20"/>
          <w:lang w:val="ro-RO"/>
        </w:rPr>
        <w:t>Antreprenorul va funcţiona sub numele propriei firme sau a liderului consorţiului, marcând tot echipamentul, vehiculele, publicaţiile şi obiectivul cu acelaşi logo sau slogan. Personalul operaţional va purta îmbrăcămintea Antreprenorului economic în timpul orelor de program.</w:t>
      </w:r>
    </w:p>
    <w:p>
      <w:pPr>
        <w:tabs>
          <w:tab w:val="left" w:pos="2294"/>
        </w:tabs>
        <w:rPr>
          <w:sz w:val="20"/>
          <w:szCs w:val="20"/>
          <w:lang w:val="ro-RO"/>
        </w:rPr>
      </w:pPr>
      <w:r>
        <w:rPr>
          <w:sz w:val="20"/>
          <w:szCs w:val="20"/>
          <w:lang w:val="ro-RO"/>
        </w:rPr>
        <w:t>Antreprenorul va furniza personalului carduri de identificare, conţinând numele, fotografia, şi numărul de identificare şi le va cere sa poarte aceste carduri de identificare pe toată perioada lucrului, în scopuri de monitorizare.</w:t>
      </w:r>
    </w:p>
    <w:p>
      <w:pPr>
        <w:tabs>
          <w:tab w:val="left" w:pos="2294"/>
        </w:tabs>
        <w:rPr>
          <w:sz w:val="20"/>
          <w:szCs w:val="20"/>
          <w:lang w:val="ro-RO"/>
        </w:rPr>
      </w:pPr>
      <w:r>
        <w:rPr>
          <w:sz w:val="20"/>
          <w:szCs w:val="20"/>
          <w:lang w:val="ro-RO"/>
        </w:rPr>
        <w:lastRenderedPageBreak/>
        <w:t>Accesul personalului pe amplasament se va realiza pe baza cardurilor de identificare.</w:t>
      </w:r>
    </w:p>
    <w:p>
      <w:pPr>
        <w:pStyle w:val="Heading3"/>
        <w:rPr>
          <w:sz w:val="20"/>
          <w:szCs w:val="20"/>
          <w:lang w:val="ro-RO"/>
        </w:rPr>
      </w:pPr>
      <w:bookmarkStart w:id="69" w:name="_Toc227161544"/>
      <w:r>
        <w:rPr>
          <w:sz w:val="20"/>
          <w:szCs w:val="20"/>
          <w:lang w:val="ro-RO"/>
        </w:rPr>
        <w:t>3.2.15 Echipament de protecţie şi siguranţă</w:t>
      </w:r>
      <w:bookmarkEnd w:id="69"/>
    </w:p>
    <w:p>
      <w:pPr>
        <w:tabs>
          <w:tab w:val="left" w:pos="2294"/>
        </w:tabs>
        <w:rPr>
          <w:sz w:val="20"/>
          <w:szCs w:val="20"/>
          <w:lang w:val="ro-RO"/>
        </w:rPr>
      </w:pPr>
      <w:r>
        <w:rPr>
          <w:sz w:val="20"/>
          <w:szCs w:val="20"/>
          <w:lang w:val="ro-RO"/>
        </w:rPr>
        <w:t>Antreprenorul este responsabil cu desfăşurarea tuturor operaţiunilor şi activităţilor în conformitate cu prevederile legale şi normele proprii privind sănătatea şi securitatea în muncă.</w:t>
      </w:r>
    </w:p>
    <w:p>
      <w:pPr>
        <w:tabs>
          <w:tab w:val="left" w:pos="2294"/>
        </w:tabs>
        <w:rPr>
          <w:sz w:val="20"/>
          <w:szCs w:val="20"/>
          <w:lang w:val="ro-RO"/>
        </w:rPr>
      </w:pPr>
      <w:r>
        <w:rPr>
          <w:sz w:val="20"/>
          <w:szCs w:val="20"/>
          <w:lang w:val="ro-RO"/>
        </w:rPr>
        <w:t>Antreprenorul va lua toate masurile necesare pentru protejarea sănătăţii persoanelor care au dreptul de a se afla în obiective.</w:t>
      </w:r>
    </w:p>
    <w:p>
      <w:pPr>
        <w:tabs>
          <w:tab w:val="left" w:pos="2294"/>
        </w:tabs>
        <w:rPr>
          <w:sz w:val="20"/>
          <w:szCs w:val="20"/>
          <w:lang w:val="ro-RO"/>
        </w:rPr>
      </w:pPr>
      <w:r>
        <w:rPr>
          <w:sz w:val="20"/>
          <w:szCs w:val="20"/>
          <w:lang w:val="ro-RO"/>
        </w:rPr>
        <w:t>Prevenirea incendiilor şi masurile de protecţie vor fi asigurate şi menţinute conform legislaţiei romaneşti şi a practicilor internaţionale.</w:t>
      </w:r>
    </w:p>
    <w:p>
      <w:pPr>
        <w:pStyle w:val="Heading3"/>
        <w:rPr>
          <w:sz w:val="20"/>
          <w:szCs w:val="20"/>
          <w:lang w:val="ro-RO"/>
        </w:rPr>
      </w:pPr>
      <w:bookmarkStart w:id="70" w:name="_Toc227161545"/>
      <w:r>
        <w:rPr>
          <w:sz w:val="20"/>
          <w:szCs w:val="20"/>
          <w:lang w:val="ro-RO"/>
        </w:rPr>
        <w:t>3.2.16 Asigurarea utilităţilor</w:t>
      </w:r>
      <w:bookmarkEnd w:id="70"/>
    </w:p>
    <w:p>
      <w:pPr>
        <w:tabs>
          <w:tab w:val="left" w:pos="2294"/>
        </w:tabs>
        <w:rPr>
          <w:sz w:val="20"/>
          <w:szCs w:val="20"/>
          <w:lang w:val="ro-RO"/>
        </w:rPr>
      </w:pPr>
      <w:r>
        <w:rPr>
          <w:sz w:val="20"/>
          <w:szCs w:val="20"/>
          <w:lang w:val="ro-RO"/>
        </w:rPr>
        <w:t>Antreprenorul va încheia contracte cu furnizorii de utilităţi, după cum este necesar pentru buna funcţionare a activităţii, în nume propriu.</w:t>
      </w:r>
    </w:p>
    <w:p>
      <w:pPr>
        <w:tabs>
          <w:tab w:val="left" w:pos="2294"/>
        </w:tabs>
        <w:rPr>
          <w:sz w:val="20"/>
          <w:szCs w:val="20"/>
          <w:lang w:val="ro-RO"/>
        </w:rPr>
      </w:pPr>
      <w:r>
        <w:rPr>
          <w:sz w:val="20"/>
          <w:szCs w:val="20"/>
          <w:lang w:val="ro-RO"/>
        </w:rPr>
        <w:t>Asigurarea unei noi utilităţi precum şi renunţarea la o utilitate existenta pe amplasamente faţă de momentul semnării contractului nu vor putea fi realizate de către Antreprenor decât cu acordul preliminar, care nu va putea fi refuzat nejustificat, al Delegatarului.</w:t>
      </w:r>
    </w:p>
    <w:p>
      <w:pPr>
        <w:tabs>
          <w:tab w:val="left" w:pos="2294"/>
        </w:tabs>
        <w:rPr>
          <w:sz w:val="20"/>
          <w:szCs w:val="20"/>
          <w:lang w:val="ro-RO"/>
        </w:rPr>
      </w:pPr>
      <w:r>
        <w:rPr>
          <w:sz w:val="20"/>
          <w:szCs w:val="20"/>
          <w:lang w:val="ro-RO"/>
        </w:rPr>
        <w:t>Antreprenorul este liber sa decidă asupra masurilor de asigurare permanenta a utilităţilor (instalaţii de rezerva) astfel încât standardul de calitate a serviciilor sa nu fie afectat.</w:t>
      </w:r>
    </w:p>
    <w:p>
      <w:pPr>
        <w:pStyle w:val="Heading3"/>
        <w:rPr>
          <w:sz w:val="20"/>
          <w:szCs w:val="20"/>
          <w:lang w:val="ro-RO"/>
        </w:rPr>
      </w:pPr>
      <w:bookmarkStart w:id="71" w:name="_Toc227161546"/>
      <w:r>
        <w:rPr>
          <w:sz w:val="20"/>
          <w:szCs w:val="20"/>
          <w:lang w:val="ro-RO"/>
        </w:rPr>
        <w:t>3.2.17 Securitatea obiectivului</w:t>
      </w:r>
      <w:bookmarkEnd w:id="71"/>
    </w:p>
    <w:p>
      <w:pPr>
        <w:tabs>
          <w:tab w:val="left" w:pos="2294"/>
        </w:tabs>
        <w:rPr>
          <w:sz w:val="20"/>
          <w:szCs w:val="20"/>
          <w:lang w:val="ro-RO"/>
        </w:rPr>
      </w:pPr>
      <w:r>
        <w:rPr>
          <w:sz w:val="20"/>
          <w:szCs w:val="20"/>
          <w:lang w:val="ro-RO"/>
        </w:rPr>
        <w:t>Intrarea în obiectivele administrate de operator va fi controlată de Antreprenor şi limitată de către acesta la persoanele autorizate să intre în incintă pentru motive asociate cu operarea, întreţinerea, controlul şi monitorizarea activităţilor şi la operatorii care livrează deşeuri. Alte persoane, cum ar fi vizitatori sau grupuri organizate în scopuri educative, vor fi admise numai cu acceptul scris al Delegatarului. În această ultimă situaţie vor fi stabilite trasee dedicate şi vor fi asigurate toate măsurile şi echipamentele de protecţie necesare.</w:t>
      </w:r>
    </w:p>
    <w:p>
      <w:pPr>
        <w:tabs>
          <w:tab w:val="left" w:pos="2294"/>
        </w:tabs>
        <w:rPr>
          <w:sz w:val="20"/>
          <w:szCs w:val="20"/>
          <w:lang w:val="ro-RO"/>
        </w:rPr>
      </w:pPr>
      <w:r>
        <w:rPr>
          <w:sz w:val="20"/>
          <w:szCs w:val="20"/>
          <w:lang w:val="ro-RO"/>
        </w:rPr>
        <w:t>Regulile privind accesul la obiective vor fi stabilite de către Antreprenor şi vor fi comunicate Delegatarului în Perioada de mobilizare.</w:t>
      </w:r>
    </w:p>
    <w:p>
      <w:pPr>
        <w:tabs>
          <w:tab w:val="left" w:pos="2294"/>
        </w:tabs>
        <w:rPr>
          <w:sz w:val="20"/>
          <w:szCs w:val="20"/>
          <w:lang w:val="ro-RO"/>
        </w:rPr>
      </w:pPr>
      <w:r>
        <w:rPr>
          <w:sz w:val="20"/>
          <w:szCs w:val="20"/>
          <w:lang w:val="ro-RO"/>
        </w:rPr>
        <w:t>Antreprenorul este pe deplin responsabil cu asigurarea pazei şi a integrităţii protecţiei perimetrale (gardul) pentru întreg amplasamentul și toate obiectivele.</w:t>
      </w:r>
    </w:p>
    <w:p>
      <w:pPr>
        <w:tabs>
          <w:tab w:val="left" w:pos="2294"/>
        </w:tabs>
        <w:rPr>
          <w:sz w:val="20"/>
          <w:szCs w:val="20"/>
          <w:lang w:val="ro-RO"/>
        </w:rPr>
      </w:pPr>
      <w:r>
        <w:rPr>
          <w:sz w:val="20"/>
          <w:szCs w:val="20"/>
          <w:lang w:val="ro-RO"/>
        </w:rPr>
        <w:t>Orice incident neobişnuit privind securitatea va fi notificat autorităţilor competente de ordine publică şi va fi înregistrat în Baza de Date a Operaţiunilor. Antreprenorul va raporta Delegatarului orice incident semnificativ legat de pătrunderi, stricăciuni sau pierderi. Antreprenorul şi Delegatarul vor examina periodic orice astfel de incident semnificativ şi vor evalua caracterul adecvat al măsurilor de securitate luate pentru evitarea apariţiei unor evenimente asemănătoare pe viitor.</w:t>
      </w:r>
    </w:p>
    <w:p>
      <w:pPr>
        <w:tabs>
          <w:tab w:val="left" w:pos="2294"/>
        </w:tabs>
        <w:rPr>
          <w:sz w:val="20"/>
          <w:szCs w:val="20"/>
          <w:lang w:val="ro-RO"/>
        </w:rPr>
      </w:pPr>
      <w:r>
        <w:rPr>
          <w:sz w:val="20"/>
          <w:szCs w:val="20"/>
          <w:lang w:val="ro-RO"/>
        </w:rPr>
        <w:t xml:space="preserve">Operatorul are obligația să implementeze un plan de intervenții în caz de evenimente neprevăzute și să instruiască personalul pentru a fi pregătit să intervină în cazul situațiilor de urgență, cum ar fi incendii, fum și scurgeri de materiale periculoase. </w:t>
      </w:r>
    </w:p>
    <w:p>
      <w:pPr>
        <w:pStyle w:val="Heading3"/>
        <w:rPr>
          <w:rStyle w:val="Heading3Char"/>
          <w:b/>
          <w:sz w:val="20"/>
          <w:szCs w:val="20"/>
          <w:lang w:val="ro-RO"/>
        </w:rPr>
      </w:pPr>
      <w:bookmarkStart w:id="72" w:name="_Toc227161547"/>
      <w:r>
        <w:rPr>
          <w:sz w:val="20"/>
          <w:szCs w:val="20"/>
          <w:lang w:val="ro-RO"/>
        </w:rPr>
        <w:t>3</w:t>
      </w:r>
      <w:r>
        <w:rPr>
          <w:rStyle w:val="Heading3Char"/>
          <w:b/>
          <w:sz w:val="20"/>
          <w:szCs w:val="20"/>
          <w:lang w:val="ro-RO"/>
        </w:rPr>
        <w:t>.2.18 Controlul şi monitorizarea mediului</w:t>
      </w:r>
      <w:bookmarkEnd w:id="72"/>
    </w:p>
    <w:p>
      <w:pPr>
        <w:tabs>
          <w:tab w:val="left" w:pos="2294"/>
        </w:tabs>
        <w:rPr>
          <w:sz w:val="20"/>
          <w:szCs w:val="20"/>
          <w:lang w:val="ro-RO"/>
        </w:rPr>
      </w:pPr>
      <w:r>
        <w:rPr>
          <w:sz w:val="20"/>
          <w:szCs w:val="20"/>
          <w:lang w:val="ro-RO"/>
        </w:rPr>
        <w:t>Antreprenorul va respecta cerinţele privind monitorizarea stabilite prin Autorizaţia de mediu, Autorizaţia de Gospodărire a Apelor, Autorizaţia ISU precum şi orice altă cerinţă suplimentară impusă de o autoritate competentă privind prestarea serviciilor şi exploatarea în regim normal a obiectivului.</w:t>
      </w:r>
    </w:p>
    <w:p>
      <w:pPr>
        <w:tabs>
          <w:tab w:val="left" w:pos="2294"/>
        </w:tabs>
        <w:rPr>
          <w:sz w:val="20"/>
          <w:szCs w:val="20"/>
          <w:lang w:val="ro-RO"/>
        </w:rPr>
      </w:pPr>
      <w:r>
        <w:rPr>
          <w:sz w:val="20"/>
          <w:szCs w:val="20"/>
          <w:lang w:val="ro-RO"/>
        </w:rPr>
        <w:t>Monitorizarea va fi realizată utilizând serviciile laboratorului propriu care trebuie sa fie utilat cu minim următoarele ECHIPAMENTE:</w:t>
      </w:r>
    </w:p>
    <w:p>
      <w:pPr>
        <w:pStyle w:val="ListParagraph"/>
        <w:numPr>
          <w:ilvl w:val="0"/>
          <w:numId w:val="70"/>
        </w:numPr>
        <w:tabs>
          <w:tab w:val="left" w:pos="2294"/>
        </w:tabs>
        <w:rPr>
          <w:sz w:val="20"/>
          <w:szCs w:val="20"/>
          <w:lang w:val="ro-RO"/>
        </w:rPr>
      </w:pPr>
      <w:r>
        <w:rPr>
          <w:sz w:val="20"/>
          <w:szCs w:val="20"/>
          <w:lang w:val="ro-RO"/>
        </w:rPr>
        <w:t>SISTEM DE CROMATOGRAFIE IONICĂ</w:t>
      </w:r>
    </w:p>
    <w:p>
      <w:pPr>
        <w:pStyle w:val="ListParagraph"/>
        <w:numPr>
          <w:ilvl w:val="0"/>
          <w:numId w:val="70"/>
        </w:numPr>
        <w:tabs>
          <w:tab w:val="left" w:pos="2294"/>
        </w:tabs>
        <w:rPr>
          <w:sz w:val="20"/>
          <w:szCs w:val="20"/>
          <w:lang w:val="ro-RO"/>
        </w:rPr>
      </w:pPr>
      <w:r>
        <w:rPr>
          <w:sz w:val="20"/>
          <w:szCs w:val="20"/>
          <w:lang w:val="ro-RO"/>
        </w:rPr>
        <w:t xml:space="preserve">SPECTROMETRU DE EMISIE OPTICĂ CU PLASMĂ CUPLATĂ INDUCTIV </w:t>
      </w:r>
    </w:p>
    <w:p>
      <w:pPr>
        <w:pStyle w:val="ListParagraph"/>
        <w:numPr>
          <w:ilvl w:val="0"/>
          <w:numId w:val="70"/>
        </w:numPr>
        <w:tabs>
          <w:tab w:val="left" w:pos="2294"/>
        </w:tabs>
        <w:rPr>
          <w:sz w:val="20"/>
          <w:szCs w:val="20"/>
          <w:lang w:val="ro-RO"/>
        </w:rPr>
      </w:pPr>
      <w:r>
        <w:rPr>
          <w:sz w:val="20"/>
          <w:szCs w:val="20"/>
          <w:lang w:val="ro-RO"/>
        </w:rPr>
        <w:t xml:space="preserve">APARAT PENTRU ANALIZA DE CARBON ORGANIC TOTAL (TOC) </w:t>
      </w:r>
    </w:p>
    <w:p>
      <w:pPr>
        <w:pStyle w:val="ListParagraph"/>
        <w:numPr>
          <w:ilvl w:val="0"/>
          <w:numId w:val="70"/>
        </w:numPr>
        <w:tabs>
          <w:tab w:val="left" w:pos="2294"/>
        </w:tabs>
        <w:rPr>
          <w:sz w:val="20"/>
          <w:szCs w:val="20"/>
          <w:lang w:val="ro-RO"/>
        </w:rPr>
      </w:pPr>
      <w:r>
        <w:rPr>
          <w:sz w:val="20"/>
          <w:szCs w:val="20"/>
          <w:lang w:val="ro-RO"/>
        </w:rPr>
        <w:t xml:space="preserve">APARAT PENTRU ANALIZA DE CARBON ORGANIC DIZOLVAT (DOC) </w:t>
      </w:r>
    </w:p>
    <w:p>
      <w:pPr>
        <w:pStyle w:val="ListParagraph"/>
        <w:numPr>
          <w:ilvl w:val="0"/>
          <w:numId w:val="70"/>
        </w:numPr>
        <w:tabs>
          <w:tab w:val="left" w:pos="2294"/>
        </w:tabs>
        <w:rPr>
          <w:sz w:val="20"/>
          <w:szCs w:val="20"/>
          <w:lang w:val="ro-RO"/>
        </w:rPr>
      </w:pPr>
      <w:r>
        <w:rPr>
          <w:sz w:val="20"/>
          <w:szCs w:val="20"/>
          <w:lang w:val="ro-RO"/>
        </w:rPr>
        <w:t xml:space="preserve">APARAT APA ULTRA-PURA DlSPENSER (TOK) </w:t>
      </w:r>
    </w:p>
    <w:p>
      <w:pPr>
        <w:pStyle w:val="ListParagraph"/>
        <w:numPr>
          <w:ilvl w:val="0"/>
          <w:numId w:val="70"/>
        </w:numPr>
        <w:tabs>
          <w:tab w:val="left" w:pos="2294"/>
        </w:tabs>
        <w:rPr>
          <w:sz w:val="20"/>
          <w:szCs w:val="20"/>
          <w:lang w:val="ro-RO"/>
        </w:rPr>
      </w:pPr>
      <w:r>
        <w:rPr>
          <w:sz w:val="20"/>
          <w:szCs w:val="20"/>
          <w:lang w:val="ro-RO"/>
        </w:rPr>
        <w:t xml:space="preserve">AGITATOR (SHAKER) </w:t>
      </w:r>
    </w:p>
    <w:p>
      <w:pPr>
        <w:pStyle w:val="ListParagraph"/>
        <w:numPr>
          <w:ilvl w:val="0"/>
          <w:numId w:val="70"/>
        </w:numPr>
        <w:tabs>
          <w:tab w:val="left" w:pos="2294"/>
        </w:tabs>
        <w:rPr>
          <w:sz w:val="20"/>
          <w:szCs w:val="20"/>
          <w:lang w:val="ro-RO"/>
        </w:rPr>
      </w:pPr>
      <w:r>
        <w:rPr>
          <w:sz w:val="20"/>
          <w:szCs w:val="20"/>
          <w:lang w:val="ro-RO"/>
        </w:rPr>
        <w:lastRenderedPageBreak/>
        <w:t>POMPĂ DE VID</w:t>
      </w:r>
    </w:p>
    <w:p>
      <w:pPr>
        <w:pStyle w:val="ListParagraph"/>
        <w:numPr>
          <w:ilvl w:val="0"/>
          <w:numId w:val="70"/>
        </w:numPr>
        <w:tabs>
          <w:tab w:val="left" w:pos="2294"/>
        </w:tabs>
        <w:rPr>
          <w:sz w:val="20"/>
          <w:szCs w:val="20"/>
          <w:lang w:val="ro-RO"/>
        </w:rPr>
      </w:pPr>
      <w:r>
        <w:rPr>
          <w:sz w:val="20"/>
          <w:szCs w:val="20"/>
          <w:lang w:val="ro-RO"/>
        </w:rPr>
        <w:t>FRIGIDER</w:t>
      </w:r>
    </w:p>
    <w:p>
      <w:pPr>
        <w:pStyle w:val="ListParagraph"/>
        <w:numPr>
          <w:ilvl w:val="0"/>
          <w:numId w:val="70"/>
        </w:numPr>
        <w:tabs>
          <w:tab w:val="left" w:pos="2294"/>
        </w:tabs>
        <w:rPr>
          <w:sz w:val="20"/>
          <w:szCs w:val="20"/>
          <w:lang w:val="ro-RO"/>
        </w:rPr>
      </w:pPr>
      <w:r>
        <w:rPr>
          <w:sz w:val="20"/>
          <w:szCs w:val="20"/>
          <w:lang w:val="ro-RO"/>
        </w:rPr>
        <w:t>BAIE CU ULTRASUNERE</w:t>
      </w:r>
    </w:p>
    <w:p>
      <w:pPr>
        <w:pStyle w:val="ListParagraph"/>
        <w:numPr>
          <w:ilvl w:val="0"/>
          <w:numId w:val="70"/>
        </w:numPr>
        <w:tabs>
          <w:tab w:val="left" w:pos="2294"/>
        </w:tabs>
        <w:rPr>
          <w:sz w:val="20"/>
          <w:szCs w:val="20"/>
          <w:lang w:val="ro-RO"/>
        </w:rPr>
      </w:pPr>
      <w:r>
        <w:rPr>
          <w:sz w:val="20"/>
          <w:szCs w:val="20"/>
          <w:lang w:val="ro-RO"/>
        </w:rPr>
        <w:t>AGITATOR MAGNETIC CU ÎNCĂLZIRE</w:t>
      </w:r>
    </w:p>
    <w:p>
      <w:pPr>
        <w:pStyle w:val="ListParagraph"/>
        <w:numPr>
          <w:ilvl w:val="0"/>
          <w:numId w:val="70"/>
        </w:numPr>
        <w:tabs>
          <w:tab w:val="left" w:pos="2294"/>
        </w:tabs>
        <w:rPr>
          <w:sz w:val="20"/>
          <w:szCs w:val="20"/>
          <w:lang w:val="ro-RO"/>
        </w:rPr>
      </w:pPr>
      <w:r>
        <w:rPr>
          <w:sz w:val="20"/>
          <w:szCs w:val="20"/>
          <w:lang w:val="ro-RO"/>
        </w:rPr>
        <w:t>ETUVĂ</w:t>
      </w:r>
    </w:p>
    <w:p>
      <w:pPr>
        <w:pStyle w:val="ListParagraph"/>
        <w:numPr>
          <w:ilvl w:val="0"/>
          <w:numId w:val="70"/>
        </w:numPr>
        <w:tabs>
          <w:tab w:val="left" w:pos="2294"/>
        </w:tabs>
        <w:rPr>
          <w:sz w:val="20"/>
          <w:szCs w:val="20"/>
          <w:lang w:val="ro-RO"/>
        </w:rPr>
      </w:pPr>
      <w:r>
        <w:rPr>
          <w:sz w:val="20"/>
          <w:szCs w:val="20"/>
          <w:lang w:val="ro-RO"/>
        </w:rPr>
        <w:t xml:space="preserve">CUPTOR CENUŞĂ </w:t>
      </w:r>
    </w:p>
    <w:p>
      <w:pPr>
        <w:pStyle w:val="ListParagraph"/>
        <w:numPr>
          <w:ilvl w:val="0"/>
          <w:numId w:val="70"/>
        </w:numPr>
        <w:tabs>
          <w:tab w:val="left" w:pos="2294"/>
        </w:tabs>
        <w:rPr>
          <w:sz w:val="20"/>
          <w:szCs w:val="20"/>
          <w:lang w:val="ro-RO"/>
        </w:rPr>
      </w:pPr>
      <w:r>
        <w:rPr>
          <w:sz w:val="20"/>
          <w:szCs w:val="20"/>
          <w:lang w:val="ro-RO"/>
        </w:rPr>
        <w:t xml:space="preserve">pH METRU </w:t>
      </w:r>
    </w:p>
    <w:p>
      <w:pPr>
        <w:pStyle w:val="ListParagraph"/>
        <w:numPr>
          <w:ilvl w:val="0"/>
          <w:numId w:val="70"/>
        </w:numPr>
        <w:tabs>
          <w:tab w:val="left" w:pos="2294"/>
        </w:tabs>
        <w:rPr>
          <w:sz w:val="20"/>
          <w:szCs w:val="20"/>
          <w:lang w:val="ro-RO"/>
        </w:rPr>
      </w:pPr>
      <w:r>
        <w:rPr>
          <w:sz w:val="20"/>
          <w:szCs w:val="20"/>
          <w:lang w:val="ro-RO"/>
        </w:rPr>
        <w:t xml:space="preserve">CONDUCTOMETRU </w:t>
      </w:r>
    </w:p>
    <w:p>
      <w:pPr>
        <w:pStyle w:val="ListParagraph"/>
        <w:numPr>
          <w:ilvl w:val="0"/>
          <w:numId w:val="70"/>
        </w:numPr>
        <w:tabs>
          <w:tab w:val="left" w:pos="2294"/>
        </w:tabs>
        <w:rPr>
          <w:sz w:val="20"/>
          <w:szCs w:val="20"/>
          <w:lang w:val="ro-RO"/>
        </w:rPr>
      </w:pPr>
      <w:r>
        <w:rPr>
          <w:sz w:val="20"/>
          <w:szCs w:val="20"/>
          <w:lang w:val="ro-RO"/>
        </w:rPr>
        <w:t xml:space="preserve">SITĂ 8 mm </w:t>
      </w:r>
    </w:p>
    <w:p>
      <w:pPr>
        <w:pStyle w:val="ListParagraph"/>
        <w:numPr>
          <w:ilvl w:val="0"/>
          <w:numId w:val="70"/>
        </w:numPr>
        <w:tabs>
          <w:tab w:val="left" w:pos="2294"/>
        </w:tabs>
        <w:rPr>
          <w:sz w:val="20"/>
          <w:szCs w:val="20"/>
          <w:lang w:val="ro-RO"/>
        </w:rPr>
      </w:pPr>
      <w:r>
        <w:rPr>
          <w:sz w:val="20"/>
          <w:szCs w:val="20"/>
          <w:lang w:val="ro-RO"/>
        </w:rPr>
        <w:t xml:space="preserve">SITĂ 10 mm </w:t>
      </w:r>
    </w:p>
    <w:p>
      <w:pPr>
        <w:pStyle w:val="ListParagraph"/>
        <w:numPr>
          <w:ilvl w:val="0"/>
          <w:numId w:val="70"/>
        </w:numPr>
        <w:tabs>
          <w:tab w:val="left" w:pos="2294"/>
        </w:tabs>
        <w:rPr>
          <w:sz w:val="20"/>
          <w:szCs w:val="20"/>
          <w:lang w:val="ro-RO"/>
        </w:rPr>
      </w:pPr>
      <w:r>
        <w:rPr>
          <w:sz w:val="20"/>
          <w:szCs w:val="20"/>
          <w:lang w:val="ro-RO"/>
        </w:rPr>
        <w:t>PIPETĂ AUTOMATĂ</w:t>
      </w:r>
    </w:p>
    <w:p>
      <w:pPr>
        <w:pStyle w:val="ListParagraph"/>
        <w:numPr>
          <w:ilvl w:val="0"/>
          <w:numId w:val="70"/>
        </w:numPr>
        <w:tabs>
          <w:tab w:val="left" w:pos="2294"/>
        </w:tabs>
        <w:rPr>
          <w:sz w:val="20"/>
          <w:szCs w:val="20"/>
          <w:lang w:val="ro-RO"/>
        </w:rPr>
      </w:pPr>
      <w:r>
        <w:rPr>
          <w:sz w:val="20"/>
          <w:szCs w:val="20"/>
          <w:lang w:val="ro-RO"/>
        </w:rPr>
        <w:t xml:space="preserve">APARAT MICROUNDE (sistem de ardere/dizolvare a probei) </w:t>
      </w:r>
    </w:p>
    <w:p>
      <w:pPr>
        <w:pStyle w:val="ListParagraph"/>
        <w:numPr>
          <w:ilvl w:val="0"/>
          <w:numId w:val="70"/>
        </w:numPr>
        <w:tabs>
          <w:tab w:val="left" w:pos="2294"/>
        </w:tabs>
        <w:rPr>
          <w:sz w:val="20"/>
          <w:szCs w:val="20"/>
          <w:lang w:val="ro-RO"/>
        </w:rPr>
      </w:pPr>
      <w:r>
        <w:rPr>
          <w:sz w:val="20"/>
          <w:szCs w:val="20"/>
          <w:lang w:val="ro-RO"/>
        </w:rPr>
        <w:t>pH-CONDUCTO-METRU</w:t>
      </w:r>
    </w:p>
    <w:p>
      <w:pPr>
        <w:pStyle w:val="ListParagraph"/>
        <w:numPr>
          <w:ilvl w:val="0"/>
          <w:numId w:val="70"/>
        </w:numPr>
        <w:tabs>
          <w:tab w:val="left" w:pos="2294"/>
        </w:tabs>
        <w:rPr>
          <w:sz w:val="20"/>
          <w:szCs w:val="20"/>
          <w:lang w:val="ro-RO"/>
        </w:rPr>
      </w:pPr>
      <w:r>
        <w:rPr>
          <w:sz w:val="20"/>
          <w:szCs w:val="20"/>
          <w:lang w:val="ro-RO"/>
        </w:rPr>
        <w:t xml:space="preserve">APARAT MASURARE UMIDITATE-TEMPERATURA-PRESIUNE </w:t>
      </w:r>
    </w:p>
    <w:p>
      <w:pPr>
        <w:pStyle w:val="ListParagraph"/>
        <w:numPr>
          <w:ilvl w:val="0"/>
          <w:numId w:val="70"/>
        </w:numPr>
        <w:tabs>
          <w:tab w:val="left" w:pos="2294"/>
        </w:tabs>
        <w:rPr>
          <w:sz w:val="20"/>
          <w:szCs w:val="20"/>
          <w:lang w:val="ro-RO"/>
        </w:rPr>
      </w:pPr>
      <w:r>
        <w:rPr>
          <w:sz w:val="20"/>
          <w:szCs w:val="20"/>
          <w:lang w:val="ro-RO"/>
        </w:rPr>
        <w:t xml:space="preserve">PIPETE-TITRATOARE AUTOMATE - 5 bucati </w:t>
      </w:r>
    </w:p>
    <w:p>
      <w:pPr>
        <w:pStyle w:val="ListParagraph"/>
        <w:numPr>
          <w:ilvl w:val="0"/>
          <w:numId w:val="70"/>
        </w:numPr>
        <w:tabs>
          <w:tab w:val="left" w:pos="2294"/>
        </w:tabs>
        <w:rPr>
          <w:sz w:val="20"/>
          <w:szCs w:val="20"/>
          <w:lang w:val="ro-RO"/>
        </w:rPr>
      </w:pPr>
      <w:r>
        <w:rPr>
          <w:sz w:val="20"/>
          <w:szCs w:val="20"/>
          <w:lang w:val="ro-RO"/>
        </w:rPr>
        <w:t xml:space="preserve">APARATURA DETERMINARE PUNCT DE TOPIRE </w:t>
      </w:r>
    </w:p>
    <w:p>
      <w:pPr>
        <w:pStyle w:val="ListParagraph"/>
        <w:numPr>
          <w:ilvl w:val="0"/>
          <w:numId w:val="70"/>
        </w:numPr>
        <w:tabs>
          <w:tab w:val="left" w:pos="2294"/>
        </w:tabs>
        <w:rPr>
          <w:sz w:val="20"/>
          <w:szCs w:val="20"/>
          <w:lang w:val="ro-RO"/>
        </w:rPr>
      </w:pPr>
      <w:r>
        <w:rPr>
          <w:sz w:val="20"/>
          <w:szCs w:val="20"/>
          <w:lang w:val="ro-RO"/>
        </w:rPr>
        <w:t>CALORIMETRU</w:t>
      </w:r>
    </w:p>
    <w:p>
      <w:pPr>
        <w:pStyle w:val="ListParagraph"/>
        <w:numPr>
          <w:ilvl w:val="0"/>
          <w:numId w:val="70"/>
        </w:numPr>
        <w:tabs>
          <w:tab w:val="left" w:pos="2294"/>
        </w:tabs>
        <w:rPr>
          <w:sz w:val="20"/>
          <w:szCs w:val="20"/>
          <w:lang w:val="ro-RO"/>
        </w:rPr>
      </w:pPr>
      <w:r>
        <w:rPr>
          <w:sz w:val="20"/>
          <w:szCs w:val="20"/>
          <w:lang w:val="ro-RO"/>
        </w:rPr>
        <w:t>APARAT MĂSURARE UMIDITATE</w:t>
      </w:r>
    </w:p>
    <w:p>
      <w:pPr>
        <w:pStyle w:val="ListParagraph"/>
        <w:numPr>
          <w:ilvl w:val="0"/>
          <w:numId w:val="70"/>
        </w:numPr>
        <w:tabs>
          <w:tab w:val="left" w:pos="2294"/>
        </w:tabs>
        <w:rPr>
          <w:sz w:val="20"/>
          <w:szCs w:val="20"/>
          <w:lang w:val="ro-RO"/>
        </w:rPr>
      </w:pPr>
      <w:r>
        <w:rPr>
          <w:sz w:val="20"/>
          <w:szCs w:val="20"/>
          <w:lang w:val="ro-RO"/>
        </w:rPr>
        <w:t>FRIGIDER</w:t>
      </w:r>
    </w:p>
    <w:p>
      <w:pPr>
        <w:pStyle w:val="ListParagraph"/>
        <w:numPr>
          <w:ilvl w:val="0"/>
          <w:numId w:val="70"/>
        </w:numPr>
        <w:tabs>
          <w:tab w:val="left" w:pos="2294"/>
        </w:tabs>
        <w:rPr>
          <w:sz w:val="20"/>
          <w:szCs w:val="20"/>
          <w:lang w:val="ro-RO"/>
        </w:rPr>
      </w:pPr>
      <w:r>
        <w:rPr>
          <w:sz w:val="20"/>
          <w:szCs w:val="20"/>
          <w:lang w:val="ro-RO"/>
        </w:rPr>
        <w:t>CONGELATOR</w:t>
      </w:r>
    </w:p>
    <w:p>
      <w:pPr>
        <w:pStyle w:val="ListParagraph"/>
        <w:numPr>
          <w:ilvl w:val="0"/>
          <w:numId w:val="70"/>
        </w:numPr>
        <w:tabs>
          <w:tab w:val="left" w:pos="2294"/>
        </w:tabs>
        <w:rPr>
          <w:sz w:val="20"/>
          <w:szCs w:val="20"/>
          <w:lang w:val="ro-RO"/>
        </w:rPr>
      </w:pPr>
      <w:r>
        <w:rPr>
          <w:sz w:val="20"/>
          <w:szCs w:val="20"/>
          <w:lang w:val="ro-RO"/>
        </w:rPr>
        <w:t>APARAT MĂSURARE UMIDITATE ŞI TEMPERATURĂ (Dispozitiv principal)</w:t>
      </w:r>
    </w:p>
    <w:p>
      <w:pPr>
        <w:pStyle w:val="ListParagraph"/>
        <w:numPr>
          <w:ilvl w:val="0"/>
          <w:numId w:val="70"/>
        </w:numPr>
        <w:tabs>
          <w:tab w:val="left" w:pos="2294"/>
        </w:tabs>
        <w:rPr>
          <w:sz w:val="20"/>
          <w:szCs w:val="20"/>
          <w:lang w:val="ro-RO"/>
        </w:rPr>
      </w:pPr>
      <w:r>
        <w:rPr>
          <w:sz w:val="20"/>
          <w:szCs w:val="20"/>
          <w:lang w:val="ro-RO"/>
        </w:rPr>
        <w:t xml:space="preserve">APARAT MĂSURARE UMIDITATE ŞI TEMPERATURĂ (laborator) </w:t>
      </w:r>
    </w:p>
    <w:p>
      <w:pPr>
        <w:pStyle w:val="ListParagraph"/>
        <w:numPr>
          <w:ilvl w:val="0"/>
          <w:numId w:val="70"/>
        </w:numPr>
        <w:tabs>
          <w:tab w:val="left" w:pos="2294"/>
        </w:tabs>
        <w:rPr>
          <w:sz w:val="20"/>
          <w:szCs w:val="20"/>
          <w:lang w:val="ro-RO"/>
        </w:rPr>
      </w:pPr>
      <w:r>
        <w:rPr>
          <w:sz w:val="20"/>
          <w:szCs w:val="20"/>
          <w:lang w:val="ro-RO"/>
        </w:rPr>
        <w:t xml:space="preserve">APARAT MĂSURARE UMIDITATE ŞI TEMPERATURĂ (depozit de mostre) </w:t>
      </w:r>
    </w:p>
    <w:p>
      <w:pPr>
        <w:pStyle w:val="ListParagraph"/>
        <w:numPr>
          <w:ilvl w:val="0"/>
          <w:numId w:val="70"/>
        </w:numPr>
        <w:tabs>
          <w:tab w:val="left" w:pos="2294"/>
        </w:tabs>
        <w:rPr>
          <w:sz w:val="20"/>
          <w:szCs w:val="20"/>
          <w:lang w:val="ro-RO"/>
        </w:rPr>
      </w:pPr>
      <w:r>
        <w:rPr>
          <w:sz w:val="20"/>
          <w:szCs w:val="20"/>
          <w:lang w:val="ro-RO"/>
        </w:rPr>
        <w:t xml:space="preserve">APARAT MĂSURARE UMIDITATE ŞI TEMPERATURĂ (depozit chimic) </w:t>
      </w:r>
    </w:p>
    <w:p>
      <w:pPr>
        <w:pStyle w:val="ListParagraph"/>
        <w:numPr>
          <w:ilvl w:val="0"/>
          <w:numId w:val="70"/>
        </w:numPr>
        <w:tabs>
          <w:tab w:val="left" w:pos="2294"/>
        </w:tabs>
        <w:rPr>
          <w:sz w:val="20"/>
          <w:szCs w:val="20"/>
          <w:lang w:val="ro-RO"/>
        </w:rPr>
      </w:pPr>
      <w:r>
        <w:rPr>
          <w:sz w:val="20"/>
          <w:szCs w:val="20"/>
          <w:lang w:val="ro-RO"/>
        </w:rPr>
        <w:t xml:space="preserve">APARAT MĂSURARE UMIDITATE ŞI TEMPERATURĂ (cameră de cântărire) </w:t>
      </w:r>
    </w:p>
    <w:p>
      <w:pPr>
        <w:pStyle w:val="ListParagraph"/>
        <w:numPr>
          <w:ilvl w:val="0"/>
          <w:numId w:val="70"/>
        </w:numPr>
        <w:tabs>
          <w:tab w:val="left" w:pos="2294"/>
        </w:tabs>
        <w:rPr>
          <w:sz w:val="20"/>
          <w:szCs w:val="20"/>
          <w:lang w:val="ro-RO"/>
        </w:rPr>
      </w:pPr>
      <w:r>
        <w:rPr>
          <w:sz w:val="20"/>
          <w:szCs w:val="20"/>
          <w:lang w:val="ro-RO"/>
        </w:rPr>
        <w:t xml:space="preserve">APARAT MĂSURARE UMIDITATE ŞI TEMPERATURĂ (pre-tratament) </w:t>
      </w:r>
    </w:p>
    <w:p>
      <w:pPr>
        <w:pStyle w:val="ListParagraph"/>
        <w:numPr>
          <w:ilvl w:val="0"/>
          <w:numId w:val="70"/>
        </w:numPr>
        <w:tabs>
          <w:tab w:val="left" w:pos="2294"/>
        </w:tabs>
        <w:rPr>
          <w:sz w:val="20"/>
          <w:szCs w:val="20"/>
          <w:lang w:val="ro-RO"/>
        </w:rPr>
      </w:pPr>
      <w:r>
        <w:rPr>
          <w:sz w:val="20"/>
          <w:szCs w:val="20"/>
          <w:lang w:val="ro-RO"/>
        </w:rPr>
        <w:t>APARAT MĂSURARE TEMPERATURĂ CU DISPLAY 3 bucati</w:t>
      </w:r>
    </w:p>
    <w:p>
      <w:pPr>
        <w:pStyle w:val="ListParagraph"/>
        <w:numPr>
          <w:ilvl w:val="0"/>
          <w:numId w:val="70"/>
        </w:numPr>
        <w:tabs>
          <w:tab w:val="left" w:pos="2294"/>
        </w:tabs>
        <w:rPr>
          <w:sz w:val="20"/>
          <w:szCs w:val="20"/>
          <w:lang w:val="ro-RO"/>
        </w:rPr>
      </w:pPr>
      <w:r>
        <w:rPr>
          <w:sz w:val="20"/>
          <w:szCs w:val="20"/>
          <w:lang w:val="ro-RO"/>
        </w:rPr>
        <w:t>PIPETE AUTOMATĂ 10-100 ul minim 10 bucati</w:t>
      </w:r>
    </w:p>
    <w:p>
      <w:pPr>
        <w:pStyle w:val="ListParagraph"/>
        <w:numPr>
          <w:ilvl w:val="0"/>
          <w:numId w:val="70"/>
        </w:numPr>
        <w:tabs>
          <w:tab w:val="left" w:pos="2294"/>
        </w:tabs>
        <w:rPr>
          <w:sz w:val="20"/>
          <w:szCs w:val="20"/>
          <w:lang w:val="ro-RO"/>
        </w:rPr>
      </w:pPr>
      <w:r>
        <w:rPr>
          <w:sz w:val="20"/>
          <w:szCs w:val="20"/>
          <w:lang w:val="ro-RO"/>
        </w:rPr>
        <w:t>Incubator</w:t>
      </w:r>
    </w:p>
    <w:p>
      <w:pPr>
        <w:pStyle w:val="ListParagraph"/>
        <w:numPr>
          <w:ilvl w:val="0"/>
          <w:numId w:val="70"/>
        </w:numPr>
        <w:tabs>
          <w:tab w:val="left" w:pos="2294"/>
        </w:tabs>
        <w:rPr>
          <w:sz w:val="20"/>
          <w:szCs w:val="20"/>
          <w:lang w:val="ro-RO"/>
        </w:rPr>
      </w:pPr>
      <w:r>
        <w:rPr>
          <w:sz w:val="20"/>
          <w:szCs w:val="20"/>
          <w:lang w:val="ro-RO"/>
        </w:rPr>
        <w:t>BAIE CU APĂ CU AGITARE</w:t>
      </w:r>
    </w:p>
    <w:p>
      <w:pPr>
        <w:pStyle w:val="ListParagraph"/>
        <w:numPr>
          <w:ilvl w:val="0"/>
          <w:numId w:val="70"/>
        </w:numPr>
        <w:tabs>
          <w:tab w:val="left" w:pos="2294"/>
        </w:tabs>
        <w:rPr>
          <w:sz w:val="20"/>
          <w:szCs w:val="20"/>
          <w:lang w:val="ro-RO"/>
        </w:rPr>
      </w:pPr>
      <w:r>
        <w:rPr>
          <w:sz w:val="20"/>
          <w:szCs w:val="20"/>
          <w:lang w:val="ro-RO"/>
        </w:rPr>
        <w:t>AGITATOARE</w:t>
      </w:r>
    </w:p>
    <w:p>
      <w:pPr>
        <w:pStyle w:val="ListParagraph"/>
        <w:numPr>
          <w:ilvl w:val="0"/>
          <w:numId w:val="70"/>
        </w:numPr>
        <w:tabs>
          <w:tab w:val="left" w:pos="2294"/>
        </w:tabs>
        <w:rPr>
          <w:sz w:val="20"/>
          <w:szCs w:val="20"/>
          <w:lang w:val="ro-RO"/>
        </w:rPr>
      </w:pPr>
      <w:r>
        <w:rPr>
          <w:sz w:val="20"/>
          <w:szCs w:val="20"/>
          <w:lang w:val="ro-RO"/>
        </w:rPr>
        <w:t>MOARĂ</w:t>
      </w:r>
    </w:p>
    <w:p>
      <w:pPr>
        <w:pStyle w:val="ListParagraph"/>
        <w:numPr>
          <w:ilvl w:val="0"/>
          <w:numId w:val="70"/>
        </w:numPr>
        <w:tabs>
          <w:tab w:val="left" w:pos="2294"/>
        </w:tabs>
        <w:rPr>
          <w:sz w:val="20"/>
          <w:szCs w:val="20"/>
          <w:lang w:val="ro-RO"/>
        </w:rPr>
      </w:pPr>
      <w:r>
        <w:rPr>
          <w:sz w:val="20"/>
          <w:szCs w:val="20"/>
          <w:lang w:val="ro-RO"/>
        </w:rPr>
        <w:t>AUTOCLAVĂ</w:t>
      </w:r>
    </w:p>
    <w:p>
      <w:pPr>
        <w:pStyle w:val="ListParagraph"/>
        <w:numPr>
          <w:ilvl w:val="0"/>
          <w:numId w:val="70"/>
        </w:numPr>
        <w:tabs>
          <w:tab w:val="left" w:pos="2294"/>
        </w:tabs>
        <w:rPr>
          <w:sz w:val="20"/>
          <w:szCs w:val="20"/>
          <w:lang w:val="ro-RO"/>
        </w:rPr>
      </w:pPr>
      <w:r>
        <w:rPr>
          <w:sz w:val="20"/>
          <w:szCs w:val="20"/>
          <w:lang w:val="ro-RO"/>
        </w:rPr>
        <w:t>CANTAR DE PRECIZIE minim 3 bucati</w:t>
      </w:r>
    </w:p>
    <w:p>
      <w:pPr>
        <w:pStyle w:val="ListParagraph"/>
        <w:numPr>
          <w:ilvl w:val="0"/>
          <w:numId w:val="70"/>
        </w:numPr>
        <w:tabs>
          <w:tab w:val="left" w:pos="2294"/>
        </w:tabs>
        <w:rPr>
          <w:sz w:val="20"/>
          <w:szCs w:val="20"/>
          <w:lang w:val="ro-RO"/>
        </w:rPr>
      </w:pPr>
      <w:r>
        <w:rPr>
          <w:sz w:val="20"/>
          <w:szCs w:val="20"/>
          <w:lang w:val="ro-RO"/>
        </w:rPr>
        <w:t>GREUTĂŢI -1-5-10 gr</w:t>
      </w:r>
    </w:p>
    <w:p>
      <w:pPr>
        <w:pStyle w:val="ListParagraph"/>
        <w:numPr>
          <w:ilvl w:val="0"/>
          <w:numId w:val="70"/>
        </w:numPr>
        <w:tabs>
          <w:tab w:val="left" w:pos="2294"/>
        </w:tabs>
        <w:rPr>
          <w:sz w:val="20"/>
          <w:szCs w:val="20"/>
          <w:lang w:val="ro-RO"/>
        </w:rPr>
      </w:pPr>
      <w:r>
        <w:rPr>
          <w:sz w:val="20"/>
          <w:szCs w:val="20"/>
          <w:lang w:val="ro-RO"/>
        </w:rPr>
        <w:t xml:space="preserve">pH-CONDUCTO-METRU </w:t>
      </w:r>
    </w:p>
    <w:p>
      <w:pPr>
        <w:pStyle w:val="ListParagraph"/>
        <w:numPr>
          <w:ilvl w:val="0"/>
          <w:numId w:val="70"/>
        </w:numPr>
        <w:tabs>
          <w:tab w:val="left" w:pos="2294"/>
        </w:tabs>
        <w:rPr>
          <w:sz w:val="20"/>
          <w:szCs w:val="20"/>
          <w:lang w:val="ro-RO"/>
        </w:rPr>
      </w:pPr>
      <w:r>
        <w:rPr>
          <w:sz w:val="20"/>
          <w:szCs w:val="20"/>
          <w:lang w:val="ro-RO"/>
        </w:rPr>
        <w:t>SITĂ 0,2 mm</w:t>
      </w:r>
    </w:p>
    <w:p>
      <w:pPr>
        <w:pStyle w:val="ListParagraph"/>
        <w:numPr>
          <w:ilvl w:val="0"/>
          <w:numId w:val="70"/>
        </w:numPr>
        <w:tabs>
          <w:tab w:val="left" w:pos="2294"/>
        </w:tabs>
        <w:rPr>
          <w:sz w:val="20"/>
          <w:szCs w:val="20"/>
          <w:lang w:val="ro-RO"/>
        </w:rPr>
      </w:pPr>
      <w:r>
        <w:rPr>
          <w:sz w:val="20"/>
          <w:szCs w:val="20"/>
          <w:lang w:val="ro-RO"/>
        </w:rPr>
        <w:t>SET POMPĂ DE PRELEVARE</w:t>
      </w:r>
    </w:p>
    <w:p>
      <w:pPr>
        <w:pStyle w:val="ListParagraph"/>
        <w:numPr>
          <w:ilvl w:val="0"/>
          <w:numId w:val="70"/>
        </w:numPr>
        <w:tabs>
          <w:tab w:val="left" w:pos="2294"/>
        </w:tabs>
        <w:rPr>
          <w:sz w:val="20"/>
          <w:szCs w:val="20"/>
          <w:lang w:val="ro-RO"/>
        </w:rPr>
      </w:pPr>
      <w:r>
        <w:rPr>
          <w:sz w:val="20"/>
          <w:szCs w:val="20"/>
          <w:lang w:val="ro-RO"/>
        </w:rPr>
        <w:t>SISTEM DE DISTILARE</w:t>
      </w:r>
    </w:p>
    <w:p>
      <w:pPr>
        <w:pStyle w:val="ListParagraph"/>
        <w:numPr>
          <w:ilvl w:val="0"/>
          <w:numId w:val="70"/>
        </w:numPr>
        <w:tabs>
          <w:tab w:val="left" w:pos="2294"/>
        </w:tabs>
        <w:rPr>
          <w:sz w:val="20"/>
          <w:szCs w:val="20"/>
          <w:lang w:val="ro-RO"/>
        </w:rPr>
      </w:pPr>
      <w:r>
        <w:rPr>
          <w:sz w:val="20"/>
          <w:szCs w:val="20"/>
          <w:lang w:val="ro-RO"/>
        </w:rPr>
        <w:t>SISTEM DE ARDERE</w:t>
      </w:r>
    </w:p>
    <w:p>
      <w:pPr>
        <w:pStyle w:val="ListParagraph"/>
        <w:numPr>
          <w:ilvl w:val="0"/>
          <w:numId w:val="70"/>
        </w:numPr>
        <w:tabs>
          <w:tab w:val="left" w:pos="2294"/>
        </w:tabs>
        <w:rPr>
          <w:sz w:val="20"/>
          <w:szCs w:val="20"/>
          <w:lang w:val="ro-RO"/>
        </w:rPr>
      </w:pPr>
      <w:r>
        <w:rPr>
          <w:sz w:val="20"/>
          <w:szCs w:val="20"/>
          <w:lang w:val="ro-RO"/>
        </w:rPr>
        <w:t>CENTRIFUGĂ</w:t>
      </w:r>
    </w:p>
    <w:p>
      <w:pPr>
        <w:pStyle w:val="ListParagraph"/>
        <w:numPr>
          <w:ilvl w:val="0"/>
          <w:numId w:val="70"/>
        </w:numPr>
        <w:tabs>
          <w:tab w:val="left" w:pos="2294"/>
        </w:tabs>
        <w:rPr>
          <w:sz w:val="20"/>
          <w:szCs w:val="20"/>
          <w:lang w:val="ro-RO"/>
        </w:rPr>
      </w:pPr>
      <w:r>
        <w:rPr>
          <w:sz w:val="20"/>
          <w:szCs w:val="20"/>
          <w:lang w:val="ro-RO"/>
        </w:rPr>
        <w:t xml:space="preserve">APARAT DETERMINARE ACIZI GRAŞI ESENŢIALI </w:t>
      </w:r>
    </w:p>
    <w:p>
      <w:pPr>
        <w:pStyle w:val="ListParagraph"/>
        <w:numPr>
          <w:ilvl w:val="0"/>
          <w:numId w:val="70"/>
        </w:numPr>
        <w:tabs>
          <w:tab w:val="left" w:pos="2294"/>
        </w:tabs>
        <w:rPr>
          <w:sz w:val="20"/>
          <w:szCs w:val="20"/>
          <w:lang w:val="ro-RO"/>
        </w:rPr>
      </w:pPr>
      <w:r>
        <w:rPr>
          <w:sz w:val="20"/>
          <w:szCs w:val="20"/>
          <w:lang w:val="ro-RO"/>
        </w:rPr>
        <w:t xml:space="preserve">NIŞĂ CHIMICĂ </w:t>
      </w:r>
    </w:p>
    <w:p>
      <w:pPr>
        <w:pStyle w:val="ListParagraph"/>
        <w:numPr>
          <w:ilvl w:val="0"/>
          <w:numId w:val="70"/>
        </w:numPr>
        <w:tabs>
          <w:tab w:val="left" w:pos="2294"/>
        </w:tabs>
        <w:rPr>
          <w:sz w:val="20"/>
          <w:szCs w:val="20"/>
          <w:lang w:val="ro-RO"/>
        </w:rPr>
      </w:pPr>
      <w:r>
        <w:rPr>
          <w:sz w:val="20"/>
          <w:szCs w:val="20"/>
          <w:lang w:val="ro-RO"/>
        </w:rPr>
        <w:t>DlSPENSER minim 5 bucati</w:t>
      </w:r>
    </w:p>
    <w:p>
      <w:pPr>
        <w:pStyle w:val="ListParagraph"/>
        <w:numPr>
          <w:ilvl w:val="0"/>
          <w:numId w:val="70"/>
        </w:numPr>
        <w:tabs>
          <w:tab w:val="left" w:pos="2294"/>
        </w:tabs>
        <w:rPr>
          <w:sz w:val="20"/>
          <w:szCs w:val="20"/>
          <w:lang w:val="ro-RO"/>
        </w:rPr>
      </w:pPr>
      <w:r>
        <w:rPr>
          <w:sz w:val="20"/>
          <w:szCs w:val="20"/>
          <w:lang w:val="ro-RO"/>
        </w:rPr>
        <w:t>SISTEM DETERMINARE CONSUM CHIMIC DE OXIGEN</w:t>
      </w:r>
    </w:p>
    <w:p>
      <w:pPr>
        <w:pStyle w:val="ListParagraph"/>
        <w:numPr>
          <w:ilvl w:val="0"/>
          <w:numId w:val="70"/>
        </w:numPr>
        <w:tabs>
          <w:tab w:val="left" w:pos="2294"/>
        </w:tabs>
        <w:rPr>
          <w:sz w:val="20"/>
          <w:szCs w:val="20"/>
          <w:lang w:val="ro-RO"/>
        </w:rPr>
      </w:pPr>
      <w:r>
        <w:rPr>
          <w:sz w:val="20"/>
          <w:szCs w:val="20"/>
          <w:lang w:val="ro-RO"/>
        </w:rPr>
        <w:t>DISPOZITIV MONITORIZARE TEMPERATURĂ AMBIENTALĂ</w:t>
      </w:r>
    </w:p>
    <w:p>
      <w:pPr>
        <w:pStyle w:val="ListParagraph"/>
        <w:numPr>
          <w:ilvl w:val="0"/>
          <w:numId w:val="70"/>
        </w:numPr>
        <w:tabs>
          <w:tab w:val="left" w:pos="2294"/>
        </w:tabs>
        <w:rPr>
          <w:sz w:val="20"/>
          <w:szCs w:val="20"/>
          <w:lang w:val="ro-RO"/>
        </w:rPr>
      </w:pPr>
      <w:r>
        <w:rPr>
          <w:sz w:val="20"/>
          <w:szCs w:val="20"/>
          <w:lang w:val="ro-RO"/>
        </w:rPr>
        <w:t>APARAT MĂSURARE TEMPERATURĂ CU DISPLAY</w:t>
      </w:r>
    </w:p>
    <w:p>
      <w:pPr>
        <w:pStyle w:val="ListParagraph"/>
        <w:numPr>
          <w:ilvl w:val="0"/>
          <w:numId w:val="70"/>
        </w:numPr>
        <w:tabs>
          <w:tab w:val="left" w:pos="2294"/>
        </w:tabs>
        <w:rPr>
          <w:sz w:val="20"/>
          <w:szCs w:val="20"/>
          <w:lang w:val="ro-RO"/>
        </w:rPr>
      </w:pPr>
      <w:r>
        <w:rPr>
          <w:sz w:val="20"/>
          <w:szCs w:val="20"/>
          <w:lang w:val="ro-RO"/>
        </w:rPr>
        <w:t>SITĂ 0,250mm</w:t>
      </w:r>
    </w:p>
    <w:p>
      <w:pPr>
        <w:pStyle w:val="ListParagraph"/>
        <w:numPr>
          <w:ilvl w:val="0"/>
          <w:numId w:val="70"/>
        </w:numPr>
        <w:tabs>
          <w:tab w:val="left" w:pos="2294"/>
        </w:tabs>
        <w:rPr>
          <w:sz w:val="20"/>
          <w:szCs w:val="20"/>
          <w:lang w:val="ro-RO"/>
        </w:rPr>
      </w:pPr>
      <w:r>
        <w:rPr>
          <w:sz w:val="20"/>
          <w:szCs w:val="20"/>
          <w:lang w:val="ro-RO"/>
        </w:rPr>
        <w:t>SITĂ 2mm</w:t>
      </w:r>
    </w:p>
    <w:p>
      <w:pPr>
        <w:pStyle w:val="ListParagraph"/>
        <w:numPr>
          <w:ilvl w:val="0"/>
          <w:numId w:val="70"/>
        </w:numPr>
        <w:tabs>
          <w:tab w:val="left" w:pos="2294"/>
        </w:tabs>
        <w:rPr>
          <w:sz w:val="20"/>
          <w:szCs w:val="20"/>
          <w:lang w:val="ro-RO"/>
        </w:rPr>
      </w:pPr>
      <w:r>
        <w:rPr>
          <w:sz w:val="20"/>
          <w:szCs w:val="20"/>
          <w:lang w:val="ro-RO"/>
        </w:rPr>
        <w:t xml:space="preserve">GREUTĂŢI 10g </w:t>
      </w:r>
    </w:p>
    <w:p>
      <w:pPr>
        <w:pStyle w:val="ListParagraph"/>
        <w:numPr>
          <w:ilvl w:val="0"/>
          <w:numId w:val="70"/>
        </w:numPr>
        <w:tabs>
          <w:tab w:val="left" w:pos="2294"/>
        </w:tabs>
        <w:rPr>
          <w:sz w:val="20"/>
          <w:szCs w:val="20"/>
          <w:lang w:val="ro-RO"/>
        </w:rPr>
      </w:pPr>
      <w:r>
        <w:rPr>
          <w:sz w:val="20"/>
          <w:szCs w:val="20"/>
          <w:lang w:val="ro-RO"/>
        </w:rPr>
        <w:t>SONDĂ TIP K</w:t>
      </w:r>
    </w:p>
    <w:p>
      <w:pPr>
        <w:pStyle w:val="ListParagraph"/>
        <w:numPr>
          <w:ilvl w:val="0"/>
          <w:numId w:val="70"/>
        </w:numPr>
        <w:tabs>
          <w:tab w:val="left" w:pos="2294"/>
        </w:tabs>
        <w:rPr>
          <w:sz w:val="20"/>
          <w:szCs w:val="20"/>
          <w:lang w:val="ro-RO"/>
        </w:rPr>
      </w:pPr>
      <w:r>
        <w:rPr>
          <w:sz w:val="20"/>
          <w:szCs w:val="20"/>
          <w:lang w:val="ro-RO"/>
        </w:rPr>
        <w:t>SITĂ 0,125mm</w:t>
      </w:r>
    </w:p>
    <w:p>
      <w:pPr>
        <w:pStyle w:val="ListParagraph"/>
        <w:numPr>
          <w:ilvl w:val="0"/>
          <w:numId w:val="70"/>
        </w:numPr>
        <w:tabs>
          <w:tab w:val="left" w:pos="2294"/>
        </w:tabs>
        <w:rPr>
          <w:sz w:val="20"/>
          <w:szCs w:val="20"/>
          <w:lang w:val="ro-RO"/>
        </w:rPr>
      </w:pPr>
      <w:r>
        <w:rPr>
          <w:sz w:val="20"/>
          <w:szCs w:val="20"/>
          <w:lang w:val="ro-RO"/>
        </w:rPr>
        <w:t>TITRATOR AUTOMAT</w:t>
      </w:r>
    </w:p>
    <w:p>
      <w:pPr>
        <w:pStyle w:val="Heading3"/>
        <w:rPr>
          <w:sz w:val="20"/>
          <w:szCs w:val="20"/>
          <w:lang w:val="ro-RO"/>
        </w:rPr>
      </w:pPr>
      <w:bookmarkStart w:id="73" w:name="_Toc227161548"/>
      <w:r>
        <w:rPr>
          <w:sz w:val="20"/>
          <w:szCs w:val="20"/>
          <w:lang w:val="ro-RO"/>
        </w:rPr>
        <w:t>3.2.19 Monitorizarea tehnologică</w:t>
      </w:r>
      <w:bookmarkEnd w:id="73"/>
    </w:p>
    <w:p>
      <w:pPr>
        <w:tabs>
          <w:tab w:val="left" w:pos="2294"/>
        </w:tabs>
        <w:rPr>
          <w:sz w:val="20"/>
          <w:szCs w:val="20"/>
          <w:lang w:val="ro-RO"/>
        </w:rPr>
      </w:pPr>
      <w:r>
        <w:rPr>
          <w:sz w:val="20"/>
          <w:szCs w:val="20"/>
          <w:lang w:val="ro-RO"/>
        </w:rPr>
        <w:t>Antreprenorul va organiza activitatea de control şi monitorizare a performantelor instalaţiilor (staţie de transfer, stație TMB) în vederea asigurării cerinţelor de raportare solicitate de Delegatar pe de o parte şi a validării performanţelor minime cerute pe de altă parte.</w:t>
      </w:r>
    </w:p>
    <w:p>
      <w:pPr>
        <w:tabs>
          <w:tab w:val="left" w:pos="2294"/>
        </w:tabs>
        <w:rPr>
          <w:sz w:val="20"/>
          <w:szCs w:val="20"/>
          <w:lang w:val="ro-RO"/>
        </w:rPr>
      </w:pPr>
      <w:r>
        <w:rPr>
          <w:sz w:val="20"/>
          <w:szCs w:val="20"/>
          <w:lang w:val="ro-RO"/>
        </w:rPr>
        <w:lastRenderedPageBreak/>
        <w:t>Antreprenorul va organiza aceasta activitate utilizând resurse şi personal propriu sau, pentru monitorizări ce depăşesc dotările laboratorului şi competenţele personalului, prin entităţi de terţă parte.</w:t>
      </w:r>
    </w:p>
    <w:p>
      <w:pPr>
        <w:tabs>
          <w:tab w:val="left" w:pos="2294"/>
        </w:tabs>
        <w:rPr>
          <w:sz w:val="20"/>
          <w:szCs w:val="20"/>
          <w:lang w:val="ro-RO"/>
        </w:rPr>
      </w:pPr>
      <w:r>
        <w:rPr>
          <w:sz w:val="20"/>
          <w:szCs w:val="20"/>
          <w:lang w:val="ro-RO"/>
        </w:rPr>
        <w:t>Antreprenorul va realiza o dată la 2 ani un studiu de compoziţie a deşeurilor recepționate (deșeuri reziduale şi reziduuri de la staţiile de sortare si compostare acceptate în TMB, biodeșeuri) şi va specifica gradul mediu de reciclabilitate minim pentru hârtie/carton, plastic, metal, sticlă extrase din deşeurile reziduale și pentru biodeșeuri colectate separat. Studiul va fi realizat de către un organism de terţă parte, abilitat pentru realizarea unor astfel de studii.</w:t>
      </w:r>
      <w:r>
        <w:rPr>
          <w:lang w:val="es-ES"/>
        </w:rPr>
        <w:t xml:space="preserve"> </w:t>
      </w:r>
    </w:p>
    <w:p>
      <w:pPr>
        <w:tabs>
          <w:tab w:val="left" w:pos="2294"/>
        </w:tabs>
        <w:rPr>
          <w:sz w:val="20"/>
          <w:szCs w:val="20"/>
          <w:lang w:val="ro-RO"/>
        </w:rPr>
      </w:pPr>
      <w:r>
        <w:rPr>
          <w:sz w:val="20"/>
          <w:szCs w:val="20"/>
          <w:lang w:val="ro-RO"/>
        </w:rPr>
        <w:t xml:space="preserve">Studiile de compoziție a deșeurilor se realizează în cel puțin două anotimpuri diferite la un interval de 3 luni, și se realizează în conformitate cu: </w:t>
      </w:r>
    </w:p>
    <w:p>
      <w:pPr>
        <w:pStyle w:val="ListParagraph"/>
        <w:numPr>
          <w:ilvl w:val="0"/>
          <w:numId w:val="73"/>
        </w:numPr>
        <w:tabs>
          <w:tab w:val="left" w:pos="2294"/>
        </w:tabs>
        <w:ind w:left="426"/>
        <w:rPr>
          <w:sz w:val="20"/>
          <w:szCs w:val="20"/>
          <w:lang w:val="ro-RO"/>
        </w:rPr>
      </w:pPr>
      <w:r>
        <w:rPr>
          <w:sz w:val="20"/>
          <w:szCs w:val="20"/>
          <w:lang w:val="ro-RO"/>
        </w:rPr>
        <w:t xml:space="preserve">SR14899:2006 –„Caracterizarea deșeurilor. Metodă cadrul pentru pregătirea și aplicarea unui plan de eșantionare” și </w:t>
      </w:r>
    </w:p>
    <w:p>
      <w:pPr>
        <w:pStyle w:val="ListParagraph"/>
        <w:numPr>
          <w:ilvl w:val="0"/>
          <w:numId w:val="73"/>
        </w:numPr>
        <w:tabs>
          <w:tab w:val="left" w:pos="2294"/>
        </w:tabs>
        <w:ind w:left="426"/>
        <w:rPr>
          <w:sz w:val="20"/>
          <w:szCs w:val="20"/>
          <w:lang w:val="ro-RO"/>
        </w:rPr>
      </w:pPr>
      <w:r>
        <w:rPr>
          <w:sz w:val="20"/>
          <w:szCs w:val="20"/>
          <w:lang w:val="ro-RO"/>
        </w:rPr>
        <w:t xml:space="preserve">Metodologia de realizare a activitatilor de caracterizare a deseurilor SR 13492/ Noiembrie 2004 si cu </w:t>
      </w:r>
    </w:p>
    <w:p>
      <w:pPr>
        <w:pStyle w:val="ListParagraph"/>
        <w:numPr>
          <w:ilvl w:val="0"/>
          <w:numId w:val="73"/>
        </w:numPr>
        <w:tabs>
          <w:tab w:val="left" w:pos="2294"/>
        </w:tabs>
        <w:ind w:left="426"/>
        <w:rPr>
          <w:sz w:val="20"/>
          <w:szCs w:val="20"/>
          <w:lang w:val="ro-RO"/>
        </w:rPr>
      </w:pPr>
      <w:r>
        <w:rPr>
          <w:sz w:val="20"/>
          <w:szCs w:val="20"/>
          <w:lang w:val="ro-RO"/>
        </w:rPr>
        <w:t>SR 13493, Noiembrie 2004 - Caracterizarea deseurilor Metodologie de caracterizare a deseurilor menajere;</w:t>
      </w:r>
    </w:p>
    <w:p>
      <w:pPr>
        <w:pStyle w:val="ListParagraph"/>
        <w:numPr>
          <w:ilvl w:val="0"/>
          <w:numId w:val="73"/>
        </w:numPr>
        <w:tabs>
          <w:tab w:val="left" w:pos="2294"/>
        </w:tabs>
        <w:ind w:left="426"/>
        <w:rPr>
          <w:sz w:val="20"/>
          <w:szCs w:val="20"/>
          <w:lang w:val="ro-RO"/>
        </w:rPr>
      </w:pPr>
      <w:r>
        <w:rPr>
          <w:sz w:val="20"/>
          <w:szCs w:val="20"/>
          <w:lang w:val="ro-RO"/>
        </w:rPr>
        <w:t>SR CEN/TR 15310-1, Martie 2009 - Caracterizarea deseurilor. Esantionarea deseurilor. Plartea 1: îndrumari pentru selectarea si aplicarea criterilor de esantionare, ni diferite conditii;</w:t>
      </w:r>
    </w:p>
    <w:p>
      <w:pPr>
        <w:pStyle w:val="ListParagraph"/>
        <w:numPr>
          <w:ilvl w:val="0"/>
          <w:numId w:val="73"/>
        </w:numPr>
        <w:tabs>
          <w:tab w:val="left" w:pos="2294"/>
        </w:tabs>
        <w:ind w:left="426"/>
        <w:rPr>
          <w:sz w:val="20"/>
          <w:szCs w:val="20"/>
          <w:lang w:val="ro-RO"/>
        </w:rPr>
      </w:pPr>
      <w:r>
        <w:rPr>
          <w:sz w:val="20"/>
          <w:szCs w:val="20"/>
          <w:lang w:val="ro-RO"/>
        </w:rPr>
        <w:t>SR CEN/TR 15310-2, Martie 2009 - Caracterizarea deseurilor. Eșantionarea deseurilor. Plartea 2: îndrumari pentru tehnicile de esantionare;</w:t>
      </w:r>
    </w:p>
    <w:p>
      <w:pPr>
        <w:pStyle w:val="ListParagraph"/>
        <w:numPr>
          <w:ilvl w:val="0"/>
          <w:numId w:val="73"/>
        </w:numPr>
        <w:tabs>
          <w:tab w:val="left" w:pos="2294"/>
        </w:tabs>
        <w:ind w:left="426"/>
        <w:rPr>
          <w:sz w:val="20"/>
          <w:szCs w:val="20"/>
          <w:lang w:val="ro-RO"/>
        </w:rPr>
      </w:pPr>
      <w:r>
        <w:rPr>
          <w:sz w:val="20"/>
          <w:szCs w:val="20"/>
          <w:lang w:val="ro-RO"/>
        </w:rPr>
        <w:t>SR CEN/TR 15310-3, Martie 2009 - Caracterizarea deseurilor. Esantionarea deseurilor. Plartea :3 indrumări pentru procedurile pentru sub-esantionarea pe teren;</w:t>
      </w:r>
    </w:p>
    <w:p>
      <w:pPr>
        <w:pStyle w:val="ListParagraph"/>
        <w:numPr>
          <w:ilvl w:val="0"/>
          <w:numId w:val="73"/>
        </w:numPr>
        <w:tabs>
          <w:tab w:val="left" w:pos="2294"/>
        </w:tabs>
        <w:ind w:left="426"/>
        <w:rPr>
          <w:sz w:val="20"/>
          <w:szCs w:val="20"/>
          <w:lang w:val="ro-RO"/>
        </w:rPr>
      </w:pPr>
      <w:r>
        <w:rPr>
          <w:sz w:val="20"/>
          <w:szCs w:val="20"/>
          <w:lang w:val="ro-RO"/>
        </w:rPr>
        <w:t>SR CEN/TR 15310-5, Martie 2009 - Caracterizarea deseurilor. Esantionarea deseurilor. Plartea 5: indrumãri pentru procesul de elaborare a planului de esantionare.</w:t>
      </w:r>
    </w:p>
    <w:p>
      <w:pPr>
        <w:pStyle w:val="ListParagraph"/>
        <w:numPr>
          <w:ilvl w:val="0"/>
          <w:numId w:val="73"/>
        </w:numPr>
        <w:tabs>
          <w:tab w:val="left" w:pos="2294"/>
        </w:tabs>
        <w:ind w:left="426"/>
        <w:rPr>
          <w:sz w:val="20"/>
          <w:szCs w:val="20"/>
          <w:lang w:val="ro-RO"/>
        </w:rPr>
      </w:pPr>
      <w:r>
        <w:rPr>
          <w:sz w:val="20"/>
          <w:szCs w:val="20"/>
          <w:lang w:val="ro-RO"/>
        </w:rPr>
        <w:t>Determinärile vor avea in vedere si prevederile standardului SR 14899:2006 Caracterizare deseuri - Esantionare deseuri - Metoda cadru pentru pregatirea și aplicarea unui plan de eșantionare.</w:t>
      </w:r>
    </w:p>
    <w:p>
      <w:pPr>
        <w:pStyle w:val="Heading3"/>
        <w:rPr>
          <w:sz w:val="20"/>
          <w:szCs w:val="20"/>
          <w:lang w:val="ro-RO"/>
        </w:rPr>
      </w:pPr>
      <w:bookmarkStart w:id="74" w:name="_Toc227161549"/>
      <w:r>
        <w:rPr>
          <w:sz w:val="20"/>
          <w:szCs w:val="20"/>
          <w:lang w:val="ro-RO"/>
        </w:rPr>
        <w:t>3.2.20 Echipamente suplimentare</w:t>
      </w:r>
      <w:bookmarkEnd w:id="74"/>
    </w:p>
    <w:p>
      <w:pPr>
        <w:tabs>
          <w:tab w:val="left" w:pos="2294"/>
        </w:tabs>
        <w:rPr>
          <w:sz w:val="20"/>
          <w:szCs w:val="20"/>
          <w:lang w:val="ro-RO"/>
        </w:rPr>
      </w:pPr>
      <w:r>
        <w:rPr>
          <w:sz w:val="20"/>
          <w:szCs w:val="20"/>
          <w:lang w:val="ro-RO"/>
        </w:rPr>
        <w:t>În secţiunile 3.1.1.6 sunt prezentate echipamentele suplimentare care trebuie asigurate de către Antreprenor.</w:t>
      </w:r>
    </w:p>
    <w:p>
      <w:pPr>
        <w:tabs>
          <w:tab w:val="left" w:pos="2294"/>
        </w:tabs>
        <w:rPr>
          <w:sz w:val="20"/>
          <w:szCs w:val="20"/>
          <w:lang w:val="ro-RO"/>
        </w:rPr>
      </w:pPr>
      <w:r>
        <w:rPr>
          <w:sz w:val="20"/>
          <w:szCs w:val="20"/>
          <w:lang w:val="ro-RO"/>
        </w:rPr>
        <w:t>În cazul în care Antreprenorul consideră că sunt necesare utilaje, instalaţii, echipamente, vehicule, dispozitive suplimentare pentru desfăşurarea conformă a activităţii, acestea vor fi prezentate în mod distinct şi justificat în oferta tehnică, respectiv în oferta financiară.</w:t>
      </w:r>
    </w:p>
    <w:p>
      <w:pPr>
        <w:tabs>
          <w:tab w:val="left" w:pos="2294"/>
        </w:tabs>
        <w:rPr>
          <w:sz w:val="20"/>
          <w:szCs w:val="20"/>
          <w:lang w:val="ro-RO"/>
        </w:rPr>
      </w:pPr>
      <w:r>
        <w:rPr>
          <w:sz w:val="20"/>
          <w:szCs w:val="20"/>
          <w:lang w:val="ro-RO"/>
        </w:rPr>
        <w:t xml:space="preserve">Dacă, în etapa de proiectare tehnică, Antreprenorul va identifica elemente noi necesare suplimentar față de cea mai bună estimare realizată (cu diligența necesară, profesionalism, prudență și pe baza informațiilor relevante disponibile la acel moment) în faza de ofertare, acestea vor fi prezentate în mod distinct și justificat și vor fi aprobate de către Autoritatea contractantă. </w:t>
      </w:r>
    </w:p>
    <w:p>
      <w:pPr>
        <w:tabs>
          <w:tab w:val="left" w:pos="2294"/>
        </w:tabs>
        <w:rPr>
          <w:sz w:val="20"/>
          <w:szCs w:val="20"/>
          <w:lang w:val="ro-RO"/>
        </w:rPr>
      </w:pPr>
      <w:r>
        <w:rPr>
          <w:sz w:val="20"/>
          <w:szCs w:val="20"/>
          <w:lang w:val="ro-RO"/>
        </w:rPr>
        <w:t>Achiziţia, instalarea şi exploatarea acestora se va realiza prin grija şi cu finanţarea exclusivă a Antreprenorului. Aceste cheltuieli nu vor putea face obiectul unei cereri de rambursare către Delegatar şi nici de ajustare ulterioara a tarifului, toate cheltuielile urmând a fi incluse în tariful iniţial al prestării serviciului.</w:t>
      </w:r>
    </w:p>
    <w:p>
      <w:pPr>
        <w:tabs>
          <w:tab w:val="left" w:pos="2294"/>
        </w:tabs>
        <w:rPr>
          <w:sz w:val="20"/>
          <w:szCs w:val="20"/>
          <w:lang w:val="ro-RO"/>
        </w:rPr>
      </w:pPr>
      <w:r>
        <w:rPr>
          <w:sz w:val="20"/>
          <w:szCs w:val="20"/>
          <w:lang w:val="ro-RO"/>
        </w:rPr>
        <w:t>Ulterior semnării Contractului Antreprenorul este liber sa realizeze orice achiziţii suplimentare de echipamente şi instalaţii, prevederile paragrafului anterior aplicându-se în totalitate.</w:t>
      </w:r>
    </w:p>
    <w:p>
      <w:pPr>
        <w:pStyle w:val="Heading3"/>
        <w:rPr>
          <w:sz w:val="20"/>
          <w:szCs w:val="20"/>
          <w:lang w:val="ro-RO"/>
        </w:rPr>
      </w:pPr>
      <w:bookmarkStart w:id="75" w:name="_Toc227161550"/>
      <w:r>
        <w:rPr>
          <w:sz w:val="20"/>
          <w:szCs w:val="20"/>
          <w:lang w:val="ro-RO"/>
        </w:rPr>
        <w:t>3.2.21 Sistemul de management calitate/mediu/sănătate ocupaţională</w:t>
      </w:r>
      <w:bookmarkEnd w:id="75"/>
    </w:p>
    <w:p>
      <w:pPr>
        <w:tabs>
          <w:tab w:val="left" w:pos="2294"/>
        </w:tabs>
        <w:rPr>
          <w:sz w:val="20"/>
          <w:szCs w:val="20"/>
          <w:lang w:val="ro-RO"/>
        </w:rPr>
      </w:pPr>
      <w:r>
        <w:rPr>
          <w:sz w:val="20"/>
          <w:szCs w:val="20"/>
          <w:lang w:val="ro-RO"/>
        </w:rPr>
        <w:t>Antreprenorul va implementa un sistem de management conform cerinţelor standardelor ISO 9001, ISO 14001 sau echivalent. În cazul în care acest sistem este implementat, va fi extins şi la noua arie de operare.</w:t>
      </w:r>
    </w:p>
    <w:p>
      <w:pPr>
        <w:tabs>
          <w:tab w:val="left" w:pos="2294"/>
        </w:tabs>
        <w:rPr>
          <w:sz w:val="20"/>
          <w:szCs w:val="20"/>
          <w:lang w:val="ro-RO"/>
        </w:rPr>
      </w:pPr>
      <w:r>
        <w:rPr>
          <w:sz w:val="20"/>
          <w:szCs w:val="20"/>
          <w:lang w:val="ro-RO"/>
        </w:rPr>
        <w:t>Antreprenorul este liber să decidă dacă sistemele de management vor fi certificate independent ori va fi certificat un sistem de management integrat.</w:t>
      </w:r>
    </w:p>
    <w:p>
      <w:pPr>
        <w:tabs>
          <w:tab w:val="left" w:pos="2294"/>
        </w:tabs>
        <w:rPr>
          <w:sz w:val="20"/>
          <w:szCs w:val="20"/>
          <w:lang w:val="ro-RO"/>
        </w:rPr>
      </w:pPr>
      <w:r>
        <w:rPr>
          <w:sz w:val="20"/>
          <w:szCs w:val="20"/>
          <w:lang w:val="ro-RO"/>
        </w:rPr>
        <w:lastRenderedPageBreak/>
        <w:t>Sistemul/sistemele de management vor acoperi în mod obligatoriu toate activităţile de salubrizare desfăşurate de Antreprenor pe amplasament. Cerinţa se aplică în mod similar şi subcontractorilor.</w:t>
      </w:r>
    </w:p>
    <w:p>
      <w:pPr>
        <w:tabs>
          <w:tab w:val="left" w:pos="2294"/>
        </w:tabs>
        <w:rPr>
          <w:sz w:val="20"/>
          <w:szCs w:val="20"/>
          <w:lang w:val="ro-RO"/>
        </w:rPr>
      </w:pPr>
      <w:r>
        <w:rPr>
          <w:sz w:val="20"/>
          <w:szCs w:val="20"/>
          <w:lang w:val="ro-RO"/>
        </w:rPr>
        <w:t>Antreprenorul trebuie să pună la dispoziţia Delegatarului, în conformitate cu oferta, Manualul sau, după caz, Manualele respectiv toate procedurile, instrucţiunile de lucru, formularele, planurile aferente sistemului, atât cele elaborate în nume propriu cât şi cele ale subcontractanţilor. Punerea la dispoziţie a acestor documente se va realiza în Perioada de mobilizare.</w:t>
      </w:r>
    </w:p>
    <w:p>
      <w:pPr>
        <w:tabs>
          <w:tab w:val="left" w:pos="2294"/>
        </w:tabs>
        <w:rPr>
          <w:sz w:val="20"/>
          <w:szCs w:val="20"/>
          <w:lang w:val="ro-RO"/>
        </w:rPr>
      </w:pPr>
      <w:r>
        <w:rPr>
          <w:sz w:val="20"/>
          <w:szCs w:val="20"/>
          <w:lang w:val="ro-RO"/>
        </w:rPr>
        <w:t>Antreprenorul trebuie să se asigure că toate bunurile şi serviciile achiziţionate sunt furnizate în condiţiile respectării standardelor de calitate, mediu şi sănătate ocupaţională proprii.</w:t>
      </w:r>
    </w:p>
    <w:p>
      <w:pPr>
        <w:tabs>
          <w:tab w:val="left" w:pos="2294"/>
        </w:tabs>
        <w:rPr>
          <w:sz w:val="20"/>
          <w:szCs w:val="20"/>
          <w:lang w:val="ro-RO"/>
        </w:rPr>
      </w:pPr>
      <w:r>
        <w:rPr>
          <w:sz w:val="20"/>
          <w:szCs w:val="20"/>
          <w:lang w:val="ro-RO"/>
        </w:rPr>
        <w:t>La cerere, Antreprenorul va transmite rezultatele Analizei de management a sistemului (după caz a sistemelor) de calitate/mediu/sănătate ocupaţională Delegatarului. De asemenea, la cerere, Antreprenorul va transmite Delegatarului orice înregistrare a sistemului (sistemelor) de management al calităţii/mediului/sănătăţii şi securităţii ocupaţionale relevantă pentru îndeplinirea serviciilor.</w:t>
      </w:r>
    </w:p>
    <w:p>
      <w:pPr>
        <w:tabs>
          <w:tab w:val="left" w:pos="2294"/>
        </w:tabs>
        <w:rPr>
          <w:sz w:val="20"/>
          <w:szCs w:val="20"/>
          <w:lang w:val="ro-RO"/>
        </w:rPr>
      </w:pPr>
      <w:r>
        <w:rPr>
          <w:sz w:val="20"/>
          <w:szCs w:val="20"/>
          <w:lang w:val="ro-RO"/>
        </w:rPr>
        <w:t xml:space="preserve">Operatorul va avea în vedere la proiectarea sistemelor de management cerințele delegatarului privind raportarea. </w:t>
      </w:r>
    </w:p>
    <w:p>
      <w:pPr>
        <w:tabs>
          <w:tab w:val="left" w:pos="2294"/>
        </w:tabs>
        <w:rPr>
          <w:sz w:val="20"/>
          <w:szCs w:val="20"/>
          <w:lang w:val="ro-RO"/>
        </w:rPr>
      </w:pPr>
      <w:r>
        <w:rPr>
          <w:sz w:val="20"/>
          <w:szCs w:val="20"/>
          <w:lang w:val="ro-RO"/>
        </w:rPr>
        <w:t xml:space="preserve">Operatorul trebuie să se asigure că desfășoară toate activitățile în condițiile respectării standardelor de management al calității și de mediu și să ia măsuri pentru înlăturarea neconformităților. </w:t>
      </w:r>
    </w:p>
    <w:p>
      <w:pPr>
        <w:pStyle w:val="Heading3"/>
        <w:rPr>
          <w:sz w:val="20"/>
          <w:szCs w:val="20"/>
          <w:lang w:val="ro-RO"/>
        </w:rPr>
      </w:pPr>
      <w:bookmarkStart w:id="76" w:name="_Toc227161551"/>
      <w:r>
        <w:rPr>
          <w:sz w:val="20"/>
          <w:szCs w:val="20"/>
          <w:lang w:val="ro-RO"/>
        </w:rPr>
        <w:t>3.2.22 Sistemul informatic şi baza de date a operaţiunilor</w:t>
      </w:r>
      <w:bookmarkEnd w:id="76"/>
    </w:p>
    <w:p>
      <w:pPr>
        <w:tabs>
          <w:tab w:val="left" w:pos="2294"/>
        </w:tabs>
        <w:rPr>
          <w:sz w:val="20"/>
          <w:szCs w:val="20"/>
          <w:lang w:val="ro-RO"/>
        </w:rPr>
      </w:pPr>
      <w:r>
        <w:rPr>
          <w:sz w:val="20"/>
          <w:szCs w:val="20"/>
          <w:lang w:val="ro-RO"/>
        </w:rPr>
        <w:t>Antreprenorul va instala, utiliza şi întreţine un sistem informatic computerizat, unde vor fi înregistrate, stocate şi procesate datele legate de funcţionare și activitatea acestuia.</w:t>
      </w:r>
    </w:p>
    <w:p>
      <w:pPr>
        <w:tabs>
          <w:tab w:val="left" w:pos="2294"/>
        </w:tabs>
        <w:rPr>
          <w:sz w:val="20"/>
          <w:szCs w:val="20"/>
          <w:lang w:val="ro-RO"/>
        </w:rPr>
      </w:pPr>
      <w:r>
        <w:rPr>
          <w:sz w:val="20"/>
          <w:szCs w:val="20"/>
          <w:lang w:val="ro-RO"/>
        </w:rPr>
        <w:t>În cadrul sistemului informatic Antreprenorul va implementa şi menţine o Baza electronică de Date a Operaţiunilor desfășurate.</w:t>
      </w:r>
    </w:p>
    <w:p>
      <w:pPr>
        <w:tabs>
          <w:tab w:val="left" w:pos="2294"/>
        </w:tabs>
        <w:rPr>
          <w:sz w:val="20"/>
          <w:szCs w:val="20"/>
          <w:lang w:val="ro-RO"/>
        </w:rPr>
      </w:pPr>
      <w:r>
        <w:rPr>
          <w:sz w:val="20"/>
          <w:szCs w:val="20"/>
          <w:lang w:val="ro-RO"/>
        </w:rPr>
        <w:t>Sistemul informatic trebuie sa poată genera rapoarte zilnice, lunare, trimestriale şi anuale prin agregarea şi procesarea numărului mare de înregistrări primite zilnic pentru fiecare obiectiv în parte şi per total, pentru fiecare activitate a serviciului.</w:t>
      </w:r>
    </w:p>
    <w:p>
      <w:pPr>
        <w:tabs>
          <w:tab w:val="left" w:pos="2294"/>
        </w:tabs>
        <w:rPr>
          <w:sz w:val="20"/>
          <w:szCs w:val="20"/>
          <w:lang w:val="ro-RO"/>
        </w:rPr>
      </w:pPr>
      <w:r>
        <w:rPr>
          <w:sz w:val="20"/>
          <w:szCs w:val="20"/>
          <w:lang w:val="ro-RO"/>
        </w:rPr>
        <w:t>Conţinutul rapoartelor va fi agreat împreună cu Delegatarul în Perioada de mobilizare. Dacă se impune, Delegatarul poate solicita modificări în conţinutul rapoartelor şi după încheierea Perioadei de mobilizare, în perioada de prestare a serviciilor.</w:t>
      </w:r>
    </w:p>
    <w:p>
      <w:pPr>
        <w:tabs>
          <w:tab w:val="left" w:pos="2294"/>
        </w:tabs>
        <w:rPr>
          <w:sz w:val="20"/>
          <w:szCs w:val="20"/>
          <w:lang w:val="ro-RO"/>
        </w:rPr>
      </w:pPr>
      <w:r>
        <w:rPr>
          <w:sz w:val="20"/>
          <w:szCs w:val="20"/>
          <w:lang w:val="ro-RO"/>
        </w:rPr>
        <w:t>Sistemul informatic şi Baza de Date a Operaţiunilor vor fi implementate încă din Perioada de mobilizare şi vor trebui sa fie utilizabile la Data Începerii operării.</w:t>
      </w:r>
    </w:p>
    <w:p>
      <w:pPr>
        <w:tabs>
          <w:tab w:val="left" w:pos="2294"/>
        </w:tabs>
        <w:rPr>
          <w:sz w:val="20"/>
          <w:szCs w:val="20"/>
          <w:lang w:val="ro-RO"/>
        </w:rPr>
      </w:pPr>
      <w:r>
        <w:rPr>
          <w:sz w:val="20"/>
          <w:szCs w:val="20"/>
          <w:lang w:val="ro-RO"/>
        </w:rPr>
        <w:t>Baza de Date a Operaţiunilor trebuie să poată fi actualizată în timp real. De asemenea, trebuie să poată fi asigurat accesul on-line a Delegatarului la Baza de Date a Operaţiunilor.</w:t>
      </w:r>
    </w:p>
    <w:p>
      <w:pPr>
        <w:tabs>
          <w:tab w:val="left" w:pos="2294"/>
        </w:tabs>
        <w:rPr>
          <w:sz w:val="20"/>
          <w:szCs w:val="20"/>
          <w:lang w:val="ro-RO"/>
        </w:rPr>
      </w:pPr>
      <w:r>
        <w:rPr>
          <w:sz w:val="20"/>
          <w:szCs w:val="20"/>
          <w:lang w:val="ro-RO"/>
        </w:rPr>
        <w:t>Sistemul informaţional, pe baza înregistrărilor zilnice, trebuie sa poată genera rapoarte zilnice, lunare şi anuale privind oricare categorie de înregistrări.</w:t>
      </w:r>
      <w:r>
        <w:rPr>
          <w:sz w:val="20"/>
          <w:lang w:val="ro-RO"/>
        </w:rPr>
        <w:t xml:space="preserve"> </w:t>
      </w:r>
      <w:r>
        <w:rPr>
          <w:sz w:val="20"/>
          <w:szCs w:val="20"/>
          <w:lang w:val="ro-RO"/>
        </w:rPr>
        <w:t>Operatorul actualizează zilnic baza de date cu cantitățile de deșeuri aferente activităților/operațiunilor desfășurate, defalcat pe fiecare unitate administrativ-teritorială din care au fost colectate.</w:t>
      </w:r>
    </w:p>
    <w:p>
      <w:pPr>
        <w:tabs>
          <w:tab w:val="left" w:pos="2294"/>
        </w:tabs>
        <w:rPr>
          <w:sz w:val="20"/>
          <w:szCs w:val="20"/>
          <w:lang w:val="ro-RO"/>
        </w:rPr>
      </w:pPr>
      <w:r>
        <w:rPr>
          <w:sz w:val="20"/>
          <w:szCs w:val="20"/>
          <w:lang w:val="ro-RO"/>
        </w:rPr>
        <w:t>Rapoartele zilnice vor fi emise numai la solicitarea Delegatarului. Rapoartele lunare vor fi transmise către Delegatar în format digital în cel mult 7 zile de la finalizarea perioadei de raportare. Perioada de transmitere a Raportului anual (format digital) este de maxim 20 de zile de la încheierea anului calendaristic.</w:t>
      </w:r>
    </w:p>
    <w:p>
      <w:pPr>
        <w:tabs>
          <w:tab w:val="left" w:pos="2294"/>
        </w:tabs>
        <w:rPr>
          <w:sz w:val="20"/>
          <w:szCs w:val="20"/>
          <w:lang w:val="ro-RO"/>
        </w:rPr>
      </w:pPr>
      <w:r>
        <w:rPr>
          <w:sz w:val="20"/>
          <w:szCs w:val="20"/>
          <w:lang w:val="ro-RO"/>
        </w:rPr>
        <w:t>Antreprenorul este liber sa aleagă soluţiile hardware şi software de realizare a Sistemului informatic, ţinând seama de următoarele cerinţe minime privind raportarea.</w:t>
      </w:r>
    </w:p>
    <w:p>
      <w:pPr>
        <w:tabs>
          <w:tab w:val="left" w:pos="2294"/>
        </w:tabs>
        <w:rPr>
          <w:sz w:val="20"/>
          <w:szCs w:val="20"/>
          <w:lang w:val="ro-RO"/>
        </w:rPr>
      </w:pPr>
      <w:r>
        <w:rPr>
          <w:sz w:val="20"/>
          <w:szCs w:val="20"/>
          <w:lang w:val="ro-RO"/>
        </w:rPr>
        <w:t>La cererea delegatarului, operatorul va prezenta un raport privind serviciile similare prestate pe baza contractelor de delegare încheiate cu alți delegatari, precum și pentru serviciile similare prestate către alți operatori cu care se află în raporturi contractuale. Raportul va cuprinde pentru fiecare contract în parte cantitatea de deșeuri colectată/acceptată și contravaloarea serviciilor prestate.</w:t>
      </w:r>
    </w:p>
    <w:p>
      <w:pPr>
        <w:pStyle w:val="Heading3"/>
        <w:rPr>
          <w:sz w:val="20"/>
          <w:szCs w:val="20"/>
          <w:lang w:val="ro-RO"/>
        </w:rPr>
      </w:pPr>
      <w:bookmarkStart w:id="77" w:name="_Toc227161552"/>
      <w:r>
        <w:rPr>
          <w:sz w:val="20"/>
          <w:szCs w:val="20"/>
          <w:lang w:val="ro-RO"/>
        </w:rPr>
        <w:lastRenderedPageBreak/>
        <w:t>3.2.23  Cerinţe privind raportarea</w:t>
      </w:r>
      <w:bookmarkEnd w:id="77"/>
      <w:r>
        <w:rPr>
          <w:sz w:val="20"/>
          <w:szCs w:val="20"/>
          <w:lang w:val="ro-RO"/>
        </w:rPr>
        <w:t xml:space="preserve"> </w:t>
      </w:r>
    </w:p>
    <w:p>
      <w:pPr>
        <w:rPr>
          <w:b/>
          <w:sz w:val="20"/>
          <w:szCs w:val="20"/>
          <w:lang w:val="ro-RO"/>
        </w:rPr>
      </w:pPr>
      <w:r>
        <w:rPr>
          <w:b/>
          <w:sz w:val="20"/>
          <w:szCs w:val="20"/>
          <w:lang w:val="ro-RO"/>
        </w:rPr>
        <w:t>a) Înregistrări Zilnice</w:t>
      </w:r>
    </w:p>
    <w:p>
      <w:pPr>
        <w:tabs>
          <w:tab w:val="left" w:pos="2294"/>
        </w:tabs>
        <w:rPr>
          <w:sz w:val="20"/>
          <w:szCs w:val="20"/>
          <w:lang w:val="ro-RO"/>
        </w:rPr>
      </w:pPr>
      <w:r>
        <w:rPr>
          <w:sz w:val="20"/>
          <w:szCs w:val="20"/>
          <w:lang w:val="ro-RO"/>
        </w:rPr>
        <w:t>Antreprenorul va tine un Jurnal zilnic al activităţilor in format digital în cadrul Bazei de Date a Operaţiunilor, care va conţine următoarele date, separat, pentru fiecare instalaţie în parte:</w:t>
      </w:r>
    </w:p>
    <w:p>
      <w:pPr>
        <w:pStyle w:val="ListParagraph"/>
        <w:numPr>
          <w:ilvl w:val="0"/>
          <w:numId w:val="69"/>
        </w:numPr>
        <w:tabs>
          <w:tab w:val="left" w:pos="2294"/>
        </w:tabs>
        <w:rPr>
          <w:sz w:val="20"/>
          <w:szCs w:val="20"/>
          <w:lang w:val="ro-RO"/>
        </w:rPr>
      </w:pPr>
      <w:r>
        <w:rPr>
          <w:sz w:val="20"/>
          <w:szCs w:val="20"/>
          <w:lang w:val="ro-RO"/>
        </w:rPr>
        <w:t>Cantităţile de deşeuri primite pe categorii şi coduri de deşeu conform HG 856/2002 şi provenienţa acestora (operatori, staţii de sortare, staţii de compostare, centre de stocare temporară etc);</w:t>
      </w:r>
    </w:p>
    <w:p>
      <w:pPr>
        <w:pStyle w:val="ListParagraph"/>
        <w:numPr>
          <w:ilvl w:val="0"/>
          <w:numId w:val="69"/>
        </w:numPr>
        <w:tabs>
          <w:tab w:val="left" w:pos="2294"/>
        </w:tabs>
        <w:rPr>
          <w:sz w:val="20"/>
          <w:szCs w:val="20"/>
          <w:lang w:val="ro-RO"/>
        </w:rPr>
      </w:pPr>
      <w:r>
        <w:rPr>
          <w:sz w:val="20"/>
          <w:szCs w:val="20"/>
          <w:lang w:val="ro-RO"/>
        </w:rPr>
        <w:t>Cantitatea de deşeuri transferată, pe categorii şi coduri de deşeu, corelate cu provenienţa acestora;</w:t>
      </w:r>
    </w:p>
    <w:p>
      <w:pPr>
        <w:pStyle w:val="ListParagraph"/>
        <w:numPr>
          <w:ilvl w:val="0"/>
          <w:numId w:val="69"/>
        </w:numPr>
        <w:tabs>
          <w:tab w:val="left" w:pos="2294"/>
        </w:tabs>
        <w:rPr>
          <w:sz w:val="20"/>
          <w:szCs w:val="20"/>
          <w:lang w:val="ro-RO"/>
        </w:rPr>
      </w:pPr>
      <w:r>
        <w:rPr>
          <w:sz w:val="20"/>
          <w:szCs w:val="20"/>
          <w:lang w:val="ro-RO"/>
        </w:rPr>
        <w:t>Cantităţile de deşeuri reciclabile rezultate din stația de tratare mecano-biologică şi cele trimise la reciclare, pe materiale (hârtie şi carton, metal, plastic, sticlă,) şi coduri de deşeu;</w:t>
      </w:r>
    </w:p>
    <w:p>
      <w:pPr>
        <w:pStyle w:val="ListParagraph"/>
        <w:numPr>
          <w:ilvl w:val="0"/>
          <w:numId w:val="69"/>
        </w:numPr>
        <w:tabs>
          <w:tab w:val="left" w:pos="2294"/>
        </w:tabs>
        <w:rPr>
          <w:sz w:val="20"/>
          <w:szCs w:val="20"/>
          <w:lang w:val="ro-RO"/>
        </w:rPr>
      </w:pPr>
      <w:r>
        <w:rPr>
          <w:sz w:val="20"/>
          <w:szCs w:val="20"/>
          <w:lang w:val="ro-RO"/>
        </w:rPr>
        <w:t>Cantitatea de RDF obţinut/trimis către valorificare energetică;</w:t>
      </w:r>
    </w:p>
    <w:p>
      <w:pPr>
        <w:pStyle w:val="ListParagraph"/>
        <w:numPr>
          <w:ilvl w:val="0"/>
          <w:numId w:val="69"/>
        </w:numPr>
        <w:tabs>
          <w:tab w:val="left" w:pos="2294"/>
        </w:tabs>
        <w:rPr>
          <w:sz w:val="20"/>
          <w:szCs w:val="20"/>
          <w:lang w:val="ro-RO"/>
        </w:rPr>
      </w:pPr>
      <w:r>
        <w:rPr>
          <w:sz w:val="20"/>
          <w:szCs w:val="20"/>
          <w:lang w:val="ro-RO"/>
        </w:rPr>
        <w:t>Cantitatea de deşeuri reziduale tratată biologic;</w:t>
      </w:r>
    </w:p>
    <w:p>
      <w:pPr>
        <w:pStyle w:val="ListParagraph"/>
        <w:numPr>
          <w:ilvl w:val="0"/>
          <w:numId w:val="69"/>
        </w:numPr>
        <w:tabs>
          <w:tab w:val="left" w:pos="2294"/>
        </w:tabs>
        <w:rPr>
          <w:sz w:val="20"/>
          <w:szCs w:val="20"/>
          <w:lang w:val="ro-RO"/>
        </w:rPr>
      </w:pPr>
      <w:r>
        <w:rPr>
          <w:sz w:val="20"/>
          <w:szCs w:val="20"/>
          <w:lang w:val="ro-RO"/>
        </w:rPr>
        <w:t>Cantitatea de digestat obţinut din biodeşeuri colectate separat;</w:t>
      </w:r>
    </w:p>
    <w:p>
      <w:pPr>
        <w:pStyle w:val="ListParagraph"/>
        <w:numPr>
          <w:ilvl w:val="0"/>
          <w:numId w:val="69"/>
        </w:numPr>
        <w:tabs>
          <w:tab w:val="left" w:pos="2294"/>
        </w:tabs>
        <w:rPr>
          <w:sz w:val="20"/>
          <w:szCs w:val="20"/>
          <w:lang w:val="ro-RO"/>
        </w:rPr>
      </w:pPr>
      <w:r>
        <w:rPr>
          <w:sz w:val="20"/>
          <w:szCs w:val="20"/>
          <w:lang w:val="ro-RO"/>
        </w:rPr>
        <w:t>Cantitatea de digestat din biodeșeuri colectate separat depus la instalația de compostare a digestatului;</w:t>
      </w:r>
    </w:p>
    <w:p>
      <w:pPr>
        <w:pStyle w:val="ListParagraph"/>
        <w:numPr>
          <w:ilvl w:val="0"/>
          <w:numId w:val="69"/>
        </w:numPr>
        <w:tabs>
          <w:tab w:val="left" w:pos="2294"/>
        </w:tabs>
        <w:rPr>
          <w:sz w:val="20"/>
          <w:szCs w:val="20"/>
          <w:lang w:val="ro-RO"/>
        </w:rPr>
      </w:pPr>
      <w:r>
        <w:rPr>
          <w:sz w:val="20"/>
          <w:szCs w:val="20"/>
          <w:lang w:val="ro-RO"/>
        </w:rPr>
        <w:t>Cantitatea de digestat din deşeuri reziduale depus la instalația de stabilizare aerobă;</w:t>
      </w:r>
    </w:p>
    <w:p>
      <w:pPr>
        <w:pStyle w:val="ListParagraph"/>
        <w:numPr>
          <w:ilvl w:val="0"/>
          <w:numId w:val="69"/>
        </w:numPr>
        <w:tabs>
          <w:tab w:val="left" w:pos="2294"/>
        </w:tabs>
        <w:rPr>
          <w:sz w:val="20"/>
          <w:szCs w:val="20"/>
          <w:lang w:val="ro-RO"/>
        </w:rPr>
      </w:pPr>
      <w:r>
        <w:rPr>
          <w:sz w:val="20"/>
          <w:szCs w:val="20"/>
          <w:lang w:val="ro-RO"/>
        </w:rPr>
        <w:t>Cantitatea de digestat din biodeşeuri valorificată şi tipul valorificării;</w:t>
      </w:r>
    </w:p>
    <w:p>
      <w:pPr>
        <w:pStyle w:val="ListParagraph"/>
        <w:numPr>
          <w:ilvl w:val="0"/>
          <w:numId w:val="69"/>
        </w:numPr>
        <w:tabs>
          <w:tab w:val="left" w:pos="2294"/>
        </w:tabs>
        <w:rPr>
          <w:sz w:val="20"/>
          <w:szCs w:val="20"/>
          <w:lang w:val="ro-RO"/>
        </w:rPr>
      </w:pPr>
      <w:r>
        <w:rPr>
          <w:sz w:val="20"/>
          <w:szCs w:val="20"/>
          <w:lang w:val="ro-RO"/>
        </w:rPr>
        <w:t>Cantitatea de deşeuri trimisă la depozitare, pe tipuri (digestat din rezidual, reziduuri);</w:t>
      </w:r>
    </w:p>
    <w:p>
      <w:pPr>
        <w:pStyle w:val="ListParagraph"/>
        <w:numPr>
          <w:ilvl w:val="0"/>
          <w:numId w:val="69"/>
        </w:numPr>
        <w:tabs>
          <w:tab w:val="left" w:pos="2294"/>
        </w:tabs>
        <w:rPr>
          <w:sz w:val="20"/>
          <w:szCs w:val="20"/>
          <w:lang w:val="ro-RO"/>
        </w:rPr>
      </w:pPr>
      <w:r>
        <w:rPr>
          <w:sz w:val="20"/>
          <w:szCs w:val="20"/>
          <w:lang w:val="ro-RO"/>
        </w:rPr>
        <w:t>Cantitatea de deşeuri periculoase stocate şi trimisă către instalaţiile de neutralizare/eliminare controlată;</w:t>
      </w:r>
    </w:p>
    <w:p>
      <w:pPr>
        <w:pStyle w:val="ListParagraph"/>
        <w:numPr>
          <w:ilvl w:val="0"/>
          <w:numId w:val="69"/>
        </w:numPr>
        <w:tabs>
          <w:tab w:val="left" w:pos="2294"/>
        </w:tabs>
        <w:rPr>
          <w:sz w:val="20"/>
          <w:szCs w:val="20"/>
          <w:lang w:val="ro-RO"/>
        </w:rPr>
      </w:pPr>
      <w:r>
        <w:rPr>
          <w:sz w:val="20"/>
          <w:szCs w:val="20"/>
          <w:lang w:val="ro-RO"/>
        </w:rPr>
        <w:t>Tipuri şi cantităţi de deşeuri neconforme, neacceptate la instalaţii (transfer, tratare mecano-biologică) pentru fiecare instalaţie în parte şi originea lor deşeurilor;</w:t>
      </w:r>
    </w:p>
    <w:p>
      <w:pPr>
        <w:pStyle w:val="ListParagraph"/>
        <w:numPr>
          <w:ilvl w:val="0"/>
          <w:numId w:val="69"/>
        </w:numPr>
        <w:tabs>
          <w:tab w:val="left" w:pos="2294"/>
        </w:tabs>
        <w:rPr>
          <w:sz w:val="20"/>
          <w:szCs w:val="20"/>
          <w:lang w:val="ro-RO"/>
        </w:rPr>
      </w:pPr>
      <w:r>
        <w:rPr>
          <w:sz w:val="20"/>
          <w:szCs w:val="20"/>
          <w:lang w:val="ro-RO"/>
        </w:rPr>
        <w:t>Cantitatea de biogaz generată de TMB;</w:t>
      </w:r>
    </w:p>
    <w:p>
      <w:pPr>
        <w:pStyle w:val="ListParagraph"/>
        <w:numPr>
          <w:ilvl w:val="0"/>
          <w:numId w:val="69"/>
        </w:numPr>
        <w:tabs>
          <w:tab w:val="left" w:pos="2294"/>
        </w:tabs>
        <w:rPr>
          <w:sz w:val="20"/>
          <w:szCs w:val="20"/>
          <w:lang w:val="ro-RO"/>
        </w:rPr>
      </w:pPr>
      <w:r>
        <w:rPr>
          <w:sz w:val="20"/>
          <w:szCs w:val="20"/>
          <w:lang w:val="ro-RO"/>
        </w:rPr>
        <w:t>Cantitatea de biogaz folosită pentru obţinere de energie electrică/termică;</w:t>
      </w:r>
    </w:p>
    <w:p>
      <w:pPr>
        <w:pStyle w:val="ListParagraph"/>
        <w:numPr>
          <w:ilvl w:val="0"/>
          <w:numId w:val="69"/>
        </w:numPr>
        <w:tabs>
          <w:tab w:val="left" w:pos="2294"/>
        </w:tabs>
        <w:rPr>
          <w:sz w:val="20"/>
          <w:szCs w:val="20"/>
          <w:lang w:val="ro-RO"/>
        </w:rPr>
      </w:pPr>
      <w:r>
        <w:rPr>
          <w:sz w:val="20"/>
          <w:szCs w:val="20"/>
          <w:lang w:val="ro-RO"/>
        </w:rPr>
        <w:t>Consumul de utilitati (ex. apă, energie electrică, etc.);</w:t>
      </w:r>
    </w:p>
    <w:p>
      <w:pPr>
        <w:pStyle w:val="ListParagraph"/>
        <w:numPr>
          <w:ilvl w:val="0"/>
          <w:numId w:val="69"/>
        </w:numPr>
        <w:tabs>
          <w:tab w:val="left" w:pos="2294"/>
        </w:tabs>
        <w:rPr>
          <w:sz w:val="20"/>
          <w:szCs w:val="20"/>
          <w:lang w:val="ro-RO"/>
        </w:rPr>
      </w:pPr>
      <w:r>
        <w:rPr>
          <w:sz w:val="20"/>
          <w:szCs w:val="20"/>
          <w:lang w:val="ro-RO"/>
        </w:rPr>
        <w:t xml:space="preserve">Cantitatea de energie electrică/termică generată din biogaz şi furnizată în reţeaua naţională; </w:t>
      </w:r>
    </w:p>
    <w:p>
      <w:pPr>
        <w:pStyle w:val="ListParagraph"/>
        <w:numPr>
          <w:ilvl w:val="0"/>
          <w:numId w:val="69"/>
        </w:numPr>
        <w:tabs>
          <w:tab w:val="left" w:pos="2294"/>
        </w:tabs>
        <w:rPr>
          <w:sz w:val="20"/>
          <w:szCs w:val="20"/>
          <w:lang w:val="ro-RO"/>
        </w:rPr>
      </w:pPr>
      <w:r>
        <w:rPr>
          <w:sz w:val="20"/>
          <w:szCs w:val="20"/>
          <w:lang w:val="ro-RO"/>
        </w:rPr>
        <w:t>Rezultatele monitorizării (de orice tip), incluzând compararea cu valorile permise;</w:t>
      </w:r>
    </w:p>
    <w:p>
      <w:pPr>
        <w:pStyle w:val="ListParagraph"/>
        <w:numPr>
          <w:ilvl w:val="0"/>
          <w:numId w:val="69"/>
        </w:numPr>
        <w:tabs>
          <w:tab w:val="left" w:pos="2294"/>
        </w:tabs>
        <w:rPr>
          <w:sz w:val="20"/>
          <w:szCs w:val="20"/>
          <w:lang w:val="ro-RO"/>
        </w:rPr>
      </w:pPr>
      <w:r>
        <w:rPr>
          <w:sz w:val="20"/>
          <w:szCs w:val="20"/>
          <w:lang w:val="ro-RO"/>
        </w:rPr>
        <w:t>Incidente, înregistrări ale problemelor, întreruperi programate şi neprogramate, defecţiuni şi accidente, activităţi de întreţinere sau construire şi timpii de oprire a staţiilor, înlocuirea vehiculelor, echipamentelor sau personalului, condiţii atmosferice etc.;</w:t>
      </w:r>
    </w:p>
    <w:p>
      <w:pPr>
        <w:pStyle w:val="ListParagraph"/>
        <w:numPr>
          <w:ilvl w:val="0"/>
          <w:numId w:val="69"/>
        </w:numPr>
        <w:tabs>
          <w:tab w:val="left" w:pos="2294"/>
        </w:tabs>
        <w:rPr>
          <w:sz w:val="20"/>
          <w:szCs w:val="20"/>
          <w:lang w:val="ro-RO"/>
        </w:rPr>
      </w:pPr>
      <w:r>
        <w:rPr>
          <w:sz w:val="20"/>
          <w:szCs w:val="20"/>
          <w:lang w:val="ro-RO"/>
        </w:rPr>
        <w:t>Registre ale lucrărilor de întreţinere şi reparaţii realizate la fiecare instalaţie, şi echipament;</w:t>
      </w:r>
    </w:p>
    <w:p>
      <w:pPr>
        <w:pStyle w:val="ListParagraph"/>
        <w:numPr>
          <w:ilvl w:val="0"/>
          <w:numId w:val="69"/>
        </w:numPr>
        <w:tabs>
          <w:tab w:val="left" w:pos="2294"/>
        </w:tabs>
        <w:rPr>
          <w:sz w:val="20"/>
          <w:szCs w:val="20"/>
          <w:lang w:val="ro-RO"/>
        </w:rPr>
      </w:pPr>
      <w:r>
        <w:rPr>
          <w:sz w:val="20"/>
          <w:szCs w:val="20"/>
          <w:lang w:val="ro-RO"/>
        </w:rPr>
        <w:t>Plângeri şi notificări primite şi răspunsurile corespunzătoare.</w:t>
      </w:r>
    </w:p>
    <w:p>
      <w:pPr>
        <w:tabs>
          <w:tab w:val="left" w:pos="2294"/>
        </w:tabs>
        <w:rPr>
          <w:sz w:val="20"/>
          <w:szCs w:val="20"/>
          <w:lang w:val="ro-RO"/>
        </w:rPr>
      </w:pPr>
      <w:r>
        <w:rPr>
          <w:sz w:val="20"/>
          <w:szCs w:val="20"/>
          <w:lang w:val="ro-RO"/>
        </w:rPr>
        <w:t>Toate cantităţile de deşeuri recepţionate, tratate, evacuate, nerecepţionate vor fi identificate şi raportate astfel încât să poată fi asigurată trasabilitatea exhaustivă a oricărei categorii şi cod de deşeu. Sistemul de asigurare a trasabilităţii va fi corelat cu cel al actorilor din aval şi amonte de instalaţia TMB şi staţia de transfer Galaţi astfel încât să poată fi cunoscut traseul parcurs de la momentul colectării până la cel al operaţiunii finale.</w:t>
      </w:r>
    </w:p>
    <w:p>
      <w:pPr>
        <w:tabs>
          <w:tab w:val="left" w:pos="2294"/>
        </w:tabs>
        <w:rPr>
          <w:b/>
          <w:sz w:val="20"/>
          <w:szCs w:val="20"/>
          <w:lang w:val="ro-RO"/>
        </w:rPr>
      </w:pPr>
      <w:r>
        <w:rPr>
          <w:b/>
          <w:sz w:val="20"/>
          <w:szCs w:val="20"/>
          <w:lang w:val="ro-RO"/>
        </w:rPr>
        <w:t>b) Rapoarte lunare</w:t>
      </w:r>
    </w:p>
    <w:p>
      <w:pPr>
        <w:tabs>
          <w:tab w:val="left" w:pos="2294"/>
        </w:tabs>
        <w:rPr>
          <w:sz w:val="20"/>
          <w:szCs w:val="20"/>
          <w:lang w:val="ro-RO"/>
        </w:rPr>
      </w:pPr>
      <w:r>
        <w:rPr>
          <w:sz w:val="20"/>
          <w:szCs w:val="20"/>
          <w:lang w:val="ro-RO"/>
        </w:rPr>
        <w:t>Rapoartele lunare vor fi structurate în funcţie de diferitele instalaţii din proiect. Datele privind cantităţile de deşeuri vor fi prezentate separat, pentru fiecare instalaţie în parte.</w:t>
      </w:r>
    </w:p>
    <w:p>
      <w:pPr>
        <w:tabs>
          <w:tab w:val="left" w:pos="2294"/>
        </w:tabs>
        <w:rPr>
          <w:b/>
          <w:sz w:val="20"/>
          <w:szCs w:val="20"/>
          <w:lang w:val="ro-RO"/>
        </w:rPr>
      </w:pPr>
      <w:r>
        <w:rPr>
          <w:b/>
          <w:sz w:val="20"/>
          <w:szCs w:val="20"/>
          <w:lang w:val="ro-RO"/>
        </w:rPr>
        <w:t>Staţia de transfer:</w:t>
      </w:r>
    </w:p>
    <w:p>
      <w:pPr>
        <w:pStyle w:val="ListParagraph"/>
        <w:numPr>
          <w:ilvl w:val="0"/>
          <w:numId w:val="69"/>
        </w:numPr>
        <w:tabs>
          <w:tab w:val="left" w:pos="2294"/>
        </w:tabs>
        <w:rPr>
          <w:sz w:val="20"/>
          <w:szCs w:val="20"/>
          <w:lang w:val="ro-RO"/>
        </w:rPr>
      </w:pPr>
      <w:r>
        <w:rPr>
          <w:sz w:val="20"/>
          <w:szCs w:val="20"/>
          <w:lang w:val="ro-RO"/>
        </w:rPr>
        <w:t>cantităţile de deşeuri receptionate si transferate, pe fracţii şi coduri de deşeu;</w:t>
      </w:r>
    </w:p>
    <w:p>
      <w:pPr>
        <w:pStyle w:val="ListParagraph"/>
        <w:numPr>
          <w:ilvl w:val="0"/>
          <w:numId w:val="69"/>
        </w:numPr>
        <w:tabs>
          <w:tab w:val="left" w:pos="2294"/>
        </w:tabs>
        <w:rPr>
          <w:sz w:val="20"/>
          <w:szCs w:val="20"/>
          <w:lang w:val="ro-RO"/>
        </w:rPr>
      </w:pPr>
      <w:r>
        <w:rPr>
          <w:sz w:val="20"/>
          <w:szCs w:val="20"/>
          <w:lang w:val="ro-RO"/>
        </w:rPr>
        <w:t>tipurile şi cantităţile de deşeuri neacceptate în staţie şi motivele neacceptării.</w:t>
      </w:r>
    </w:p>
    <w:p>
      <w:pPr>
        <w:tabs>
          <w:tab w:val="left" w:pos="2294"/>
        </w:tabs>
        <w:rPr>
          <w:b/>
          <w:sz w:val="20"/>
          <w:szCs w:val="20"/>
          <w:lang w:val="ro-RO"/>
        </w:rPr>
      </w:pPr>
      <w:r>
        <w:rPr>
          <w:b/>
          <w:sz w:val="20"/>
          <w:szCs w:val="20"/>
          <w:lang w:val="ro-RO"/>
        </w:rPr>
        <w:t>Stația de tratare mecano-biologică:</w:t>
      </w:r>
    </w:p>
    <w:p>
      <w:pPr>
        <w:pStyle w:val="ListParagraph"/>
        <w:numPr>
          <w:ilvl w:val="0"/>
          <w:numId w:val="69"/>
        </w:numPr>
        <w:tabs>
          <w:tab w:val="left" w:pos="2294"/>
        </w:tabs>
        <w:rPr>
          <w:sz w:val="20"/>
          <w:szCs w:val="20"/>
          <w:lang w:val="ro-RO"/>
        </w:rPr>
      </w:pPr>
      <w:r>
        <w:rPr>
          <w:sz w:val="20"/>
          <w:szCs w:val="20"/>
          <w:lang w:val="ro-RO"/>
        </w:rPr>
        <w:t>cantitatea de deşeuri recepţionată pe categorii, coduri şi provenienţă;</w:t>
      </w:r>
    </w:p>
    <w:p>
      <w:pPr>
        <w:pStyle w:val="ListParagraph"/>
        <w:numPr>
          <w:ilvl w:val="0"/>
          <w:numId w:val="69"/>
        </w:numPr>
        <w:tabs>
          <w:tab w:val="left" w:pos="2294"/>
        </w:tabs>
        <w:rPr>
          <w:sz w:val="20"/>
          <w:szCs w:val="20"/>
          <w:lang w:val="ro-RO"/>
        </w:rPr>
      </w:pPr>
      <w:r>
        <w:rPr>
          <w:sz w:val="20"/>
          <w:szCs w:val="20"/>
          <w:lang w:val="ro-RO"/>
        </w:rPr>
        <w:t>cantităţile de deşeuri reciclabile obţinute, respectiv trimise la reciclatori (defalcate pe tipuri de material) şi preţul mediu obţinut (pe tip de material);</w:t>
      </w:r>
    </w:p>
    <w:p>
      <w:pPr>
        <w:pStyle w:val="ListParagraph"/>
        <w:numPr>
          <w:ilvl w:val="0"/>
          <w:numId w:val="69"/>
        </w:numPr>
        <w:tabs>
          <w:tab w:val="left" w:pos="2294"/>
        </w:tabs>
        <w:jc w:val="left"/>
        <w:rPr>
          <w:sz w:val="20"/>
          <w:szCs w:val="20"/>
          <w:lang w:val="ro-RO"/>
        </w:rPr>
      </w:pPr>
      <w:r>
        <w:rPr>
          <w:sz w:val="20"/>
          <w:szCs w:val="20"/>
          <w:lang w:val="ro-RO"/>
        </w:rPr>
        <w:t>cantitatea de RDF obţinut, respectiv trimis la valorificare energetică şi</w:t>
      </w:r>
      <w:r>
        <w:rPr>
          <w:sz w:val="20"/>
          <w:szCs w:val="20"/>
          <w:lang w:val="ro-RO"/>
        </w:rPr>
        <w:tab/>
        <w:t>preţul mediu plătit;</w:t>
      </w:r>
    </w:p>
    <w:p>
      <w:pPr>
        <w:pStyle w:val="ListParagraph"/>
        <w:numPr>
          <w:ilvl w:val="0"/>
          <w:numId w:val="69"/>
        </w:numPr>
        <w:tabs>
          <w:tab w:val="left" w:pos="2294"/>
        </w:tabs>
        <w:jc w:val="left"/>
        <w:rPr>
          <w:sz w:val="20"/>
          <w:szCs w:val="20"/>
          <w:lang w:val="ro-RO"/>
        </w:rPr>
      </w:pPr>
      <w:r>
        <w:rPr>
          <w:sz w:val="20"/>
          <w:szCs w:val="20"/>
          <w:lang w:val="ro-RO"/>
        </w:rPr>
        <w:lastRenderedPageBreak/>
        <w:t>cantitatea de CLO obținut și valorificat și filiera de valorificare;</w:t>
      </w:r>
    </w:p>
    <w:p>
      <w:pPr>
        <w:pStyle w:val="ListParagraph"/>
        <w:numPr>
          <w:ilvl w:val="0"/>
          <w:numId w:val="69"/>
        </w:numPr>
        <w:tabs>
          <w:tab w:val="left" w:pos="2294"/>
        </w:tabs>
        <w:rPr>
          <w:sz w:val="20"/>
          <w:szCs w:val="20"/>
          <w:lang w:val="ro-RO"/>
        </w:rPr>
      </w:pPr>
      <w:r>
        <w:rPr>
          <w:sz w:val="20"/>
          <w:szCs w:val="20"/>
          <w:lang w:val="ro-RO"/>
        </w:rPr>
        <w:t>cantitatea de deşeuri tratată biologic, defalcată pe deşeuri reziduale şi biodeşeuri colectate separat;</w:t>
      </w:r>
    </w:p>
    <w:p>
      <w:pPr>
        <w:pStyle w:val="ListParagraph"/>
        <w:numPr>
          <w:ilvl w:val="0"/>
          <w:numId w:val="69"/>
        </w:numPr>
        <w:tabs>
          <w:tab w:val="left" w:pos="2294"/>
        </w:tabs>
        <w:rPr>
          <w:sz w:val="20"/>
          <w:szCs w:val="20"/>
          <w:lang w:val="ro-RO"/>
        </w:rPr>
      </w:pPr>
      <w:r>
        <w:rPr>
          <w:sz w:val="20"/>
          <w:szCs w:val="20"/>
          <w:lang w:val="ro-RO"/>
        </w:rPr>
        <w:t>cantitatea de deşeuri trimisă la depozitare, defalcată pe digestat stabilizat, reziduuri de la treapta mecanică şi de la treapta biologică;</w:t>
      </w:r>
    </w:p>
    <w:p>
      <w:pPr>
        <w:pStyle w:val="ListParagraph"/>
        <w:numPr>
          <w:ilvl w:val="0"/>
          <w:numId w:val="69"/>
        </w:numPr>
        <w:tabs>
          <w:tab w:val="left" w:pos="2294"/>
        </w:tabs>
        <w:rPr>
          <w:sz w:val="20"/>
          <w:szCs w:val="20"/>
          <w:lang w:val="ro-RO"/>
        </w:rPr>
      </w:pPr>
      <w:r>
        <w:rPr>
          <w:sz w:val="20"/>
          <w:szCs w:val="20"/>
          <w:lang w:val="ro-RO"/>
        </w:rPr>
        <w:t>cantitatea de digestat obţinut din biodeşeuri colectate separat şi depusă la instalația de compostare;</w:t>
      </w:r>
    </w:p>
    <w:p>
      <w:pPr>
        <w:pStyle w:val="ListParagraph"/>
        <w:numPr>
          <w:ilvl w:val="0"/>
          <w:numId w:val="69"/>
        </w:numPr>
        <w:tabs>
          <w:tab w:val="left" w:pos="2294"/>
        </w:tabs>
        <w:rPr>
          <w:sz w:val="20"/>
          <w:szCs w:val="20"/>
          <w:lang w:val="ro-RO"/>
        </w:rPr>
      </w:pPr>
      <w:r>
        <w:rPr>
          <w:sz w:val="20"/>
          <w:szCs w:val="20"/>
          <w:lang w:val="ro-RO"/>
        </w:rPr>
        <w:t>cantitatea de digestat obţinut din deșeuri reziduale şi intrata in instalația de compostare;</w:t>
      </w:r>
    </w:p>
    <w:p>
      <w:pPr>
        <w:pStyle w:val="ListParagraph"/>
        <w:numPr>
          <w:ilvl w:val="0"/>
          <w:numId w:val="69"/>
        </w:numPr>
        <w:tabs>
          <w:tab w:val="left" w:pos="2294"/>
        </w:tabs>
        <w:rPr>
          <w:sz w:val="20"/>
          <w:szCs w:val="20"/>
          <w:lang w:val="ro-RO"/>
        </w:rPr>
      </w:pPr>
      <w:r>
        <w:rPr>
          <w:sz w:val="20"/>
          <w:szCs w:val="20"/>
          <w:lang w:val="ro-RO"/>
        </w:rPr>
        <w:t>cantitatea de digestat stabilizat obţinut din deşeuri reziduale şi transmisă la depozitare;</w:t>
      </w:r>
    </w:p>
    <w:p>
      <w:pPr>
        <w:pStyle w:val="ListParagraph"/>
        <w:numPr>
          <w:ilvl w:val="0"/>
          <w:numId w:val="69"/>
        </w:numPr>
        <w:tabs>
          <w:tab w:val="left" w:pos="2294"/>
        </w:tabs>
        <w:rPr>
          <w:sz w:val="20"/>
          <w:szCs w:val="20"/>
          <w:lang w:val="ro-RO"/>
        </w:rPr>
      </w:pPr>
      <w:r>
        <w:rPr>
          <w:sz w:val="20"/>
          <w:szCs w:val="20"/>
          <w:lang w:val="ro-RO"/>
        </w:rPr>
        <w:t>cantitatea de compost obţinut din digestat, respectiv cantitatea de compost valorificat şi preţul mediu obţinut;</w:t>
      </w:r>
    </w:p>
    <w:p>
      <w:pPr>
        <w:pStyle w:val="ListParagraph"/>
        <w:numPr>
          <w:ilvl w:val="0"/>
          <w:numId w:val="69"/>
        </w:numPr>
        <w:tabs>
          <w:tab w:val="left" w:pos="2294"/>
        </w:tabs>
        <w:rPr>
          <w:sz w:val="20"/>
          <w:szCs w:val="20"/>
          <w:lang w:val="ro-RO"/>
        </w:rPr>
      </w:pPr>
      <w:r>
        <w:rPr>
          <w:sz w:val="20"/>
          <w:szCs w:val="20"/>
          <w:lang w:val="ro-RO"/>
        </w:rPr>
        <w:t>gradul de ocupare a instalației de compostare/stabilizare;</w:t>
      </w:r>
    </w:p>
    <w:p>
      <w:pPr>
        <w:pStyle w:val="ListParagraph"/>
        <w:numPr>
          <w:ilvl w:val="0"/>
          <w:numId w:val="69"/>
        </w:numPr>
        <w:tabs>
          <w:tab w:val="left" w:pos="2294"/>
        </w:tabs>
        <w:rPr>
          <w:sz w:val="20"/>
          <w:szCs w:val="20"/>
          <w:lang w:val="ro-RO"/>
        </w:rPr>
      </w:pPr>
      <w:r>
        <w:rPr>
          <w:sz w:val="20"/>
          <w:szCs w:val="20"/>
          <w:lang w:val="ro-RO"/>
        </w:rPr>
        <w:t>tipurile şi cantităţile de deşeuri neacceptate la stația de tratare mecano-biologică şi motivele neacceptării;</w:t>
      </w:r>
    </w:p>
    <w:p>
      <w:pPr>
        <w:pStyle w:val="ListParagraph"/>
        <w:numPr>
          <w:ilvl w:val="0"/>
          <w:numId w:val="69"/>
        </w:numPr>
        <w:tabs>
          <w:tab w:val="left" w:pos="2294"/>
        </w:tabs>
        <w:rPr>
          <w:sz w:val="20"/>
          <w:szCs w:val="20"/>
          <w:lang w:val="ro-RO"/>
        </w:rPr>
      </w:pPr>
      <w:r>
        <w:rPr>
          <w:sz w:val="20"/>
          <w:szCs w:val="20"/>
          <w:lang w:val="ro-RO"/>
        </w:rPr>
        <w:t>cantitatea de biogaz obţinut şi indicele de generare distinct pentru deşeuri reziduale şi biodeşeuri colecate separat;</w:t>
      </w:r>
    </w:p>
    <w:p>
      <w:pPr>
        <w:pStyle w:val="ListParagraph"/>
        <w:numPr>
          <w:ilvl w:val="0"/>
          <w:numId w:val="69"/>
        </w:numPr>
        <w:tabs>
          <w:tab w:val="left" w:pos="2294"/>
        </w:tabs>
        <w:rPr>
          <w:sz w:val="20"/>
          <w:szCs w:val="20"/>
          <w:lang w:val="ro-RO"/>
        </w:rPr>
      </w:pPr>
      <w:r>
        <w:rPr>
          <w:sz w:val="20"/>
          <w:szCs w:val="20"/>
          <w:lang w:val="ro-RO"/>
        </w:rPr>
        <w:t>cantitatea de biogaz utilizată pentru producere de energie electrică şi termică;</w:t>
      </w:r>
    </w:p>
    <w:p>
      <w:pPr>
        <w:pStyle w:val="ListParagraph"/>
        <w:numPr>
          <w:ilvl w:val="0"/>
          <w:numId w:val="69"/>
        </w:numPr>
        <w:tabs>
          <w:tab w:val="left" w:pos="2294"/>
        </w:tabs>
        <w:rPr>
          <w:sz w:val="20"/>
          <w:szCs w:val="20"/>
          <w:lang w:val="ro-RO"/>
        </w:rPr>
      </w:pPr>
      <w:r>
        <w:rPr>
          <w:sz w:val="20"/>
          <w:szCs w:val="20"/>
          <w:lang w:val="ro-RO"/>
        </w:rPr>
        <w:t>cantitatea de energie produsă din biogaz;</w:t>
      </w:r>
    </w:p>
    <w:p>
      <w:pPr>
        <w:pStyle w:val="ListParagraph"/>
        <w:numPr>
          <w:ilvl w:val="0"/>
          <w:numId w:val="69"/>
        </w:numPr>
        <w:tabs>
          <w:tab w:val="left" w:pos="2294"/>
        </w:tabs>
        <w:rPr>
          <w:sz w:val="20"/>
          <w:szCs w:val="20"/>
          <w:lang w:val="ro-RO"/>
        </w:rPr>
      </w:pPr>
      <w:r>
        <w:rPr>
          <w:sz w:val="20"/>
          <w:szCs w:val="20"/>
          <w:lang w:val="ro-RO"/>
        </w:rPr>
        <w:t>cantitatea de energie produsă din biogaz injectată în reţeaua naţională.</w:t>
      </w:r>
    </w:p>
    <w:p>
      <w:pPr>
        <w:tabs>
          <w:tab w:val="left" w:pos="2294"/>
        </w:tabs>
        <w:rPr>
          <w:b/>
          <w:sz w:val="20"/>
          <w:szCs w:val="20"/>
          <w:lang w:val="ro-RO"/>
        </w:rPr>
      </w:pPr>
      <w:r>
        <w:rPr>
          <w:b/>
          <w:sz w:val="20"/>
          <w:szCs w:val="20"/>
          <w:lang w:val="ro-RO"/>
        </w:rPr>
        <w:t>c) Raportul anual</w:t>
      </w:r>
    </w:p>
    <w:p>
      <w:pPr>
        <w:tabs>
          <w:tab w:val="left" w:pos="2294"/>
        </w:tabs>
        <w:rPr>
          <w:sz w:val="20"/>
          <w:szCs w:val="20"/>
          <w:lang w:val="ro-RO"/>
        </w:rPr>
      </w:pPr>
      <w:r>
        <w:rPr>
          <w:sz w:val="20"/>
          <w:szCs w:val="20"/>
          <w:lang w:val="ro-RO"/>
        </w:rPr>
        <w:t>Raportul anual consolidat va cuprinde toate datele aşa cum sunt solicitate în rapoartele lunare, centralizate la nivelul unui an.</w:t>
      </w:r>
    </w:p>
    <w:p>
      <w:pPr>
        <w:tabs>
          <w:tab w:val="left" w:pos="2294"/>
        </w:tabs>
        <w:rPr>
          <w:sz w:val="20"/>
          <w:szCs w:val="20"/>
          <w:lang w:val="ro-RO"/>
        </w:rPr>
      </w:pPr>
      <w:r>
        <w:rPr>
          <w:sz w:val="20"/>
          <w:szCs w:val="20"/>
          <w:lang w:val="ro-RO"/>
        </w:rPr>
        <w:t>În plus, raportul anual va cuprinde şi următoarele aspecte:</w:t>
      </w:r>
    </w:p>
    <w:p>
      <w:pPr>
        <w:pStyle w:val="ListParagraph"/>
        <w:numPr>
          <w:ilvl w:val="0"/>
          <w:numId w:val="69"/>
        </w:numPr>
        <w:tabs>
          <w:tab w:val="left" w:pos="2294"/>
        </w:tabs>
        <w:rPr>
          <w:sz w:val="20"/>
          <w:szCs w:val="20"/>
          <w:lang w:val="ro-RO"/>
        </w:rPr>
      </w:pPr>
      <w:r>
        <w:rPr>
          <w:sz w:val="20"/>
          <w:szCs w:val="20"/>
          <w:lang w:val="ro-RO"/>
        </w:rPr>
        <w:t>performanţa în atingerea tuturor indicatorilor de performanţă;</w:t>
      </w:r>
    </w:p>
    <w:p>
      <w:pPr>
        <w:pStyle w:val="ListParagraph"/>
        <w:numPr>
          <w:ilvl w:val="0"/>
          <w:numId w:val="69"/>
        </w:numPr>
        <w:tabs>
          <w:tab w:val="left" w:pos="2294"/>
        </w:tabs>
        <w:rPr>
          <w:sz w:val="20"/>
          <w:szCs w:val="20"/>
          <w:lang w:val="ro-RO"/>
        </w:rPr>
      </w:pPr>
      <w:r>
        <w:rPr>
          <w:sz w:val="20"/>
          <w:szCs w:val="20"/>
          <w:lang w:val="ro-RO"/>
        </w:rPr>
        <w:t>rezultatele determinărilor puterilor calorifice (ale RDF rezultat din stația TMB de producere a RDF şi care sunt trimise la valorificare energetică) şi conţinutul de materie organică a fracţiei de deşeuri tratată mecano-biologic şi depozitată;</w:t>
      </w:r>
    </w:p>
    <w:p>
      <w:pPr>
        <w:pStyle w:val="ListParagraph"/>
        <w:numPr>
          <w:ilvl w:val="0"/>
          <w:numId w:val="69"/>
        </w:numPr>
        <w:tabs>
          <w:tab w:val="left" w:pos="2294"/>
        </w:tabs>
        <w:rPr>
          <w:sz w:val="20"/>
          <w:szCs w:val="20"/>
          <w:lang w:val="ro-RO"/>
        </w:rPr>
      </w:pPr>
      <w:r>
        <w:rPr>
          <w:sz w:val="20"/>
          <w:szCs w:val="20"/>
          <w:lang w:val="ro-RO"/>
        </w:rPr>
        <w:t>rezultatele determinărilor de calitate pentru compostul obţinut din digestat, comparativ cu valorile de referinţă;</w:t>
      </w:r>
    </w:p>
    <w:p>
      <w:pPr>
        <w:pStyle w:val="ListParagraph"/>
        <w:numPr>
          <w:ilvl w:val="0"/>
          <w:numId w:val="69"/>
        </w:numPr>
        <w:tabs>
          <w:tab w:val="left" w:pos="2294"/>
        </w:tabs>
        <w:rPr>
          <w:sz w:val="20"/>
          <w:szCs w:val="20"/>
          <w:lang w:val="ro-RO"/>
        </w:rPr>
      </w:pPr>
      <w:r>
        <w:rPr>
          <w:sz w:val="20"/>
          <w:szCs w:val="20"/>
          <w:lang w:val="ro-RO"/>
        </w:rPr>
        <w:t>rezultatele determinărilor privind calitatea digestatului stabilizat;</w:t>
      </w:r>
    </w:p>
    <w:p>
      <w:pPr>
        <w:pStyle w:val="ListParagraph"/>
        <w:numPr>
          <w:ilvl w:val="0"/>
          <w:numId w:val="69"/>
        </w:numPr>
        <w:tabs>
          <w:tab w:val="left" w:pos="2294"/>
        </w:tabs>
        <w:rPr>
          <w:sz w:val="20"/>
          <w:szCs w:val="20"/>
          <w:lang w:val="ro-RO"/>
        </w:rPr>
      </w:pPr>
      <w:r>
        <w:rPr>
          <w:sz w:val="20"/>
          <w:szCs w:val="20"/>
          <w:lang w:val="ro-RO"/>
        </w:rPr>
        <w:t>rezultatele determinărilor privind calitatea CLO obținut;</w:t>
      </w:r>
    </w:p>
    <w:p>
      <w:pPr>
        <w:pStyle w:val="ListParagraph"/>
        <w:numPr>
          <w:ilvl w:val="0"/>
          <w:numId w:val="69"/>
        </w:numPr>
        <w:tabs>
          <w:tab w:val="left" w:pos="2294"/>
        </w:tabs>
        <w:rPr>
          <w:sz w:val="20"/>
          <w:szCs w:val="20"/>
          <w:lang w:val="ro-RO"/>
        </w:rPr>
      </w:pPr>
      <w:r>
        <w:rPr>
          <w:sz w:val="20"/>
          <w:szCs w:val="20"/>
          <w:lang w:val="ro-RO"/>
        </w:rPr>
        <w:t>rezultatele privind compoziţia deşeurilor recepționate;</w:t>
      </w:r>
    </w:p>
    <w:p>
      <w:pPr>
        <w:pStyle w:val="ListParagraph"/>
        <w:numPr>
          <w:ilvl w:val="0"/>
          <w:numId w:val="69"/>
        </w:numPr>
        <w:tabs>
          <w:tab w:val="left" w:pos="2294"/>
        </w:tabs>
        <w:rPr>
          <w:sz w:val="20"/>
          <w:szCs w:val="20"/>
          <w:lang w:val="ro-RO"/>
        </w:rPr>
      </w:pPr>
      <w:r>
        <w:rPr>
          <w:sz w:val="20"/>
          <w:szCs w:val="20"/>
          <w:lang w:val="ro-RO"/>
        </w:rPr>
        <w:t>o analiză a costurilor unitare pentru operarea fiecărei categorii de instalaţii în parte (staţie de transfer, stație tratare mecanica, stație digestie anaeroba);</w:t>
      </w:r>
    </w:p>
    <w:p>
      <w:pPr>
        <w:pStyle w:val="ListParagraph"/>
        <w:numPr>
          <w:ilvl w:val="0"/>
          <w:numId w:val="69"/>
        </w:numPr>
        <w:tabs>
          <w:tab w:val="left" w:pos="2294"/>
        </w:tabs>
        <w:rPr>
          <w:sz w:val="20"/>
          <w:szCs w:val="20"/>
          <w:lang w:val="ro-RO"/>
        </w:rPr>
      </w:pPr>
      <w:r>
        <w:rPr>
          <w:sz w:val="20"/>
          <w:szCs w:val="20"/>
          <w:lang w:val="ro-RO"/>
        </w:rPr>
        <w:t>sinteza anuală privind activităţile de monitorizare a calităţii apei subterane, solului, efluentului general al amplasamentului, apei din sursa subterană, zgomot, mirosuri, comparativ cu valorile de referinţă (limită);</w:t>
      </w:r>
    </w:p>
    <w:p>
      <w:pPr>
        <w:pStyle w:val="ListParagraph"/>
        <w:numPr>
          <w:ilvl w:val="0"/>
          <w:numId w:val="69"/>
        </w:numPr>
        <w:tabs>
          <w:tab w:val="left" w:pos="2294"/>
        </w:tabs>
        <w:rPr>
          <w:sz w:val="20"/>
          <w:szCs w:val="20"/>
          <w:lang w:val="ro-RO"/>
        </w:rPr>
      </w:pPr>
      <w:r>
        <w:rPr>
          <w:sz w:val="20"/>
          <w:szCs w:val="20"/>
          <w:lang w:val="ro-RO"/>
        </w:rPr>
        <w:t>orice deviaţii de la programul de monitorizare şi motivele care au dus la acestea;</w:t>
      </w:r>
    </w:p>
    <w:p>
      <w:pPr>
        <w:pStyle w:val="ListParagraph"/>
        <w:numPr>
          <w:ilvl w:val="0"/>
          <w:numId w:val="69"/>
        </w:numPr>
        <w:tabs>
          <w:tab w:val="left" w:pos="2294"/>
        </w:tabs>
        <w:rPr>
          <w:sz w:val="20"/>
          <w:szCs w:val="20"/>
          <w:lang w:val="ro-RO"/>
        </w:rPr>
      </w:pPr>
      <w:r>
        <w:rPr>
          <w:sz w:val="20"/>
          <w:szCs w:val="20"/>
          <w:lang w:val="ro-RO"/>
        </w:rPr>
        <w:t>orice modificări la planul de operare şi mentenanţă aprobat, cu justificări;</w:t>
      </w:r>
    </w:p>
    <w:p>
      <w:pPr>
        <w:pStyle w:val="ListParagraph"/>
        <w:numPr>
          <w:ilvl w:val="0"/>
          <w:numId w:val="69"/>
        </w:numPr>
        <w:tabs>
          <w:tab w:val="left" w:pos="2294"/>
        </w:tabs>
        <w:rPr>
          <w:sz w:val="20"/>
          <w:szCs w:val="20"/>
          <w:lang w:val="ro-RO"/>
        </w:rPr>
      </w:pPr>
      <w:r>
        <w:rPr>
          <w:sz w:val="20"/>
          <w:szCs w:val="20"/>
          <w:lang w:val="ro-RO"/>
        </w:rPr>
        <w:t>jurnal de probleme, nerealizări, disfuncţionalităţi şi măsurile de remediere;</w:t>
      </w:r>
    </w:p>
    <w:p>
      <w:pPr>
        <w:pStyle w:val="ListParagraph"/>
        <w:numPr>
          <w:ilvl w:val="0"/>
          <w:numId w:val="69"/>
        </w:numPr>
        <w:tabs>
          <w:tab w:val="left" w:pos="2294"/>
        </w:tabs>
        <w:rPr>
          <w:sz w:val="20"/>
          <w:szCs w:val="20"/>
          <w:lang w:val="ro-RO"/>
        </w:rPr>
      </w:pPr>
      <w:r>
        <w:rPr>
          <w:sz w:val="20"/>
          <w:szCs w:val="20"/>
          <w:lang w:val="ro-RO"/>
        </w:rPr>
        <w:t>consumuri de apă/cantităţi de ape reziduale şi levigat tratate/trimise la tratare;</w:t>
      </w:r>
    </w:p>
    <w:p>
      <w:pPr>
        <w:pStyle w:val="ListParagraph"/>
        <w:numPr>
          <w:ilvl w:val="0"/>
          <w:numId w:val="69"/>
        </w:numPr>
        <w:tabs>
          <w:tab w:val="left" w:pos="2294"/>
        </w:tabs>
        <w:rPr>
          <w:sz w:val="20"/>
          <w:szCs w:val="20"/>
          <w:lang w:val="ro-RO"/>
        </w:rPr>
      </w:pPr>
      <w:r>
        <w:rPr>
          <w:sz w:val="20"/>
          <w:szCs w:val="20"/>
          <w:lang w:val="ro-RO"/>
        </w:rPr>
        <w:t>rapoartele de audit pentru sistemul (sistemele) de management al calităţii, mediului, sănătăţii şi securităţii ocupaţionale şi planurile de măsuri asociate.</w:t>
      </w:r>
    </w:p>
    <w:p>
      <w:pPr>
        <w:tabs>
          <w:tab w:val="left" w:pos="2294"/>
        </w:tabs>
        <w:rPr>
          <w:sz w:val="20"/>
          <w:szCs w:val="20"/>
          <w:lang w:val="ro-RO"/>
        </w:rPr>
      </w:pPr>
      <w:r>
        <w:rPr>
          <w:sz w:val="20"/>
          <w:szCs w:val="20"/>
          <w:lang w:val="ro-RO"/>
        </w:rPr>
        <w:t>Raportul anual va cuprinde şi următoarele dovezi:</w:t>
      </w:r>
    </w:p>
    <w:p>
      <w:pPr>
        <w:pStyle w:val="ListParagraph"/>
        <w:numPr>
          <w:ilvl w:val="0"/>
          <w:numId w:val="69"/>
        </w:numPr>
        <w:tabs>
          <w:tab w:val="left" w:pos="2294"/>
        </w:tabs>
        <w:rPr>
          <w:sz w:val="20"/>
          <w:szCs w:val="20"/>
          <w:lang w:val="ro-RO"/>
        </w:rPr>
      </w:pPr>
      <w:r>
        <w:rPr>
          <w:sz w:val="20"/>
          <w:szCs w:val="20"/>
          <w:lang w:val="ro-RO"/>
        </w:rPr>
        <w:t>de plată a tuturor impozitelor şi a taxelor de asigurări şi sociale, de şomaj şi de sănătate datorate;</w:t>
      </w:r>
    </w:p>
    <w:p>
      <w:pPr>
        <w:pStyle w:val="ListParagraph"/>
        <w:numPr>
          <w:ilvl w:val="0"/>
          <w:numId w:val="69"/>
        </w:numPr>
        <w:tabs>
          <w:tab w:val="left" w:pos="2294"/>
        </w:tabs>
        <w:rPr>
          <w:sz w:val="20"/>
          <w:szCs w:val="20"/>
          <w:lang w:val="ro-RO"/>
        </w:rPr>
      </w:pPr>
      <w:r>
        <w:rPr>
          <w:sz w:val="20"/>
          <w:szCs w:val="20"/>
          <w:lang w:val="ro-RO"/>
        </w:rPr>
        <w:t>de autorizare a activităţii Antreprenorului pe amplasament;</w:t>
      </w:r>
    </w:p>
    <w:p>
      <w:pPr>
        <w:pStyle w:val="ListParagraph"/>
        <w:numPr>
          <w:ilvl w:val="0"/>
          <w:numId w:val="69"/>
        </w:numPr>
        <w:tabs>
          <w:tab w:val="left" w:pos="2294"/>
        </w:tabs>
        <w:spacing w:before="120"/>
        <w:ind w:left="714" w:hanging="357"/>
        <w:rPr>
          <w:sz w:val="20"/>
          <w:szCs w:val="20"/>
          <w:lang w:val="ro-RO"/>
        </w:rPr>
      </w:pPr>
      <w:r>
        <w:rPr>
          <w:sz w:val="20"/>
          <w:szCs w:val="20"/>
          <w:lang w:val="ro-RO"/>
        </w:rPr>
        <w:t>de posesie a permiselor/avizelor care condiţionează desfăşurarea activităţii;</w:t>
      </w:r>
    </w:p>
    <w:p>
      <w:pPr>
        <w:pStyle w:val="Heading3"/>
        <w:rPr>
          <w:sz w:val="20"/>
          <w:szCs w:val="20"/>
          <w:lang w:val="ro-RO"/>
        </w:rPr>
      </w:pPr>
      <w:bookmarkStart w:id="78" w:name="_Toc227161553"/>
      <w:r>
        <w:rPr>
          <w:sz w:val="20"/>
          <w:szCs w:val="20"/>
          <w:lang w:val="ro-RO"/>
        </w:rPr>
        <w:t>3.2.24 Şedinţe de management al serviciilor</w:t>
      </w:r>
      <w:bookmarkEnd w:id="78"/>
    </w:p>
    <w:p>
      <w:pPr>
        <w:tabs>
          <w:tab w:val="left" w:pos="2294"/>
        </w:tabs>
        <w:rPr>
          <w:sz w:val="20"/>
          <w:szCs w:val="20"/>
          <w:lang w:val="ro-RO"/>
        </w:rPr>
      </w:pPr>
      <w:r>
        <w:rPr>
          <w:sz w:val="20"/>
          <w:szCs w:val="20"/>
          <w:lang w:val="ro-RO"/>
        </w:rPr>
        <w:t>ADI ECOSERV va organiza şedinţele de management al Serviciilor cu participarea Antreprenorului, a operatorilor serviciilor de colectare şi transport şi a operatorului depozitului de deşeuri. Acestea vor avea loc:</w:t>
      </w:r>
    </w:p>
    <w:p>
      <w:pPr>
        <w:pStyle w:val="ListParagraph"/>
        <w:numPr>
          <w:ilvl w:val="0"/>
          <w:numId w:val="69"/>
        </w:numPr>
        <w:tabs>
          <w:tab w:val="left" w:pos="2294"/>
        </w:tabs>
        <w:rPr>
          <w:sz w:val="20"/>
          <w:szCs w:val="20"/>
          <w:lang w:val="ro-RO"/>
        </w:rPr>
      </w:pPr>
      <w:r>
        <w:rPr>
          <w:sz w:val="20"/>
          <w:szCs w:val="20"/>
          <w:lang w:val="ro-RO"/>
        </w:rPr>
        <w:t>în perioada mobilizării, la începutul şi finalul acesteia;</w:t>
      </w:r>
    </w:p>
    <w:p>
      <w:pPr>
        <w:pStyle w:val="ListParagraph"/>
        <w:numPr>
          <w:ilvl w:val="0"/>
          <w:numId w:val="69"/>
        </w:numPr>
        <w:tabs>
          <w:tab w:val="left" w:pos="2294"/>
        </w:tabs>
        <w:rPr>
          <w:sz w:val="20"/>
          <w:szCs w:val="20"/>
          <w:lang w:val="ro-RO"/>
        </w:rPr>
      </w:pPr>
      <w:r>
        <w:rPr>
          <w:sz w:val="20"/>
          <w:szCs w:val="20"/>
          <w:lang w:val="ro-RO"/>
        </w:rPr>
        <w:t>Lunar, în primele trei (3) luni de la Data începerii Operării;</w:t>
      </w:r>
    </w:p>
    <w:p>
      <w:pPr>
        <w:pStyle w:val="ListParagraph"/>
        <w:numPr>
          <w:ilvl w:val="0"/>
          <w:numId w:val="69"/>
        </w:numPr>
        <w:tabs>
          <w:tab w:val="left" w:pos="2294"/>
        </w:tabs>
        <w:rPr>
          <w:sz w:val="20"/>
          <w:szCs w:val="20"/>
          <w:lang w:val="ro-RO"/>
        </w:rPr>
      </w:pPr>
      <w:r>
        <w:rPr>
          <w:sz w:val="20"/>
          <w:szCs w:val="20"/>
          <w:lang w:val="ro-RO"/>
        </w:rPr>
        <w:lastRenderedPageBreak/>
        <w:t>Semestrial, după trei (3) luni de la Data începerii operării;</w:t>
      </w:r>
    </w:p>
    <w:p>
      <w:pPr>
        <w:pStyle w:val="ListParagraph"/>
        <w:numPr>
          <w:ilvl w:val="0"/>
          <w:numId w:val="69"/>
        </w:numPr>
        <w:tabs>
          <w:tab w:val="left" w:pos="2294"/>
        </w:tabs>
        <w:rPr>
          <w:sz w:val="20"/>
          <w:szCs w:val="20"/>
          <w:lang w:val="ro-RO"/>
        </w:rPr>
      </w:pPr>
      <w:r>
        <w:rPr>
          <w:sz w:val="20"/>
          <w:szCs w:val="20"/>
          <w:lang w:val="ro-RO"/>
        </w:rPr>
        <w:t>Ad-hoc, la cererea Delegatarului sau a Antreprenorului.</w:t>
      </w:r>
    </w:p>
    <w:p>
      <w:pPr>
        <w:tabs>
          <w:tab w:val="left" w:pos="2294"/>
        </w:tabs>
        <w:rPr>
          <w:sz w:val="20"/>
          <w:szCs w:val="20"/>
          <w:lang w:val="ro-RO"/>
        </w:rPr>
      </w:pPr>
      <w:r>
        <w:rPr>
          <w:sz w:val="20"/>
          <w:szCs w:val="20"/>
          <w:lang w:val="ro-RO"/>
        </w:rPr>
        <w:t>Procesele verbale ale şedinţelor de management vor fi redactate de Delegatar şi vor fi transmise către toţi participanţii, la cel mult cinci (5) zile după şedinţa respectivă.</w:t>
      </w:r>
    </w:p>
    <w:p>
      <w:pPr>
        <w:pStyle w:val="Heading2"/>
        <w:rPr>
          <w:sz w:val="20"/>
          <w:szCs w:val="20"/>
          <w:lang w:val="ro-RO"/>
        </w:rPr>
      </w:pPr>
      <w:bookmarkStart w:id="79" w:name="_Toc227161554"/>
      <w:r>
        <w:rPr>
          <w:sz w:val="20"/>
          <w:szCs w:val="20"/>
          <w:lang w:val="ro-RO"/>
        </w:rPr>
        <w:t>3.3 INDICATORI DE PERFORMANŢĂ PRIVIND PRESTAREA SERVICIULUI DE OPERARE A STAȚIEI DE TRATARE MECANO-BIOLOGICĂ ŞI A STAŢIEI DE TRANSFER GALAŢI</w:t>
      </w:r>
      <w:bookmarkEnd w:id="79"/>
    </w:p>
    <w:p>
      <w:pPr>
        <w:tabs>
          <w:tab w:val="left" w:pos="2294"/>
        </w:tabs>
        <w:rPr>
          <w:sz w:val="20"/>
          <w:szCs w:val="20"/>
          <w:lang w:val="ro-RO"/>
        </w:rPr>
      </w:pPr>
      <w:r>
        <w:rPr>
          <w:sz w:val="20"/>
          <w:szCs w:val="20"/>
          <w:lang w:val="ro-RO"/>
        </w:rPr>
        <w:t xml:space="preserve">Indicatori de performanţă aferenţi serviciilor de operare a stației TMB şi a staţiei de transfer Galaţi sunt prezentaţi în </w:t>
      </w:r>
      <w:r>
        <w:rPr>
          <w:b/>
          <w:sz w:val="20"/>
          <w:szCs w:val="20"/>
          <w:lang w:val="ro-RO"/>
        </w:rPr>
        <w:t>Anexa 5</w:t>
      </w:r>
      <w:r>
        <w:rPr>
          <w:sz w:val="20"/>
          <w:szCs w:val="20"/>
          <w:lang w:val="ro-RO"/>
        </w:rPr>
        <w:t xml:space="preserve"> şi în modelul de contract de delegare, parte din prezenta documentaţie de atribuire.</w:t>
      </w:r>
    </w:p>
    <w:p>
      <w:pPr>
        <w:tabs>
          <w:tab w:val="left" w:pos="2294"/>
        </w:tabs>
        <w:rPr>
          <w:sz w:val="20"/>
          <w:szCs w:val="20"/>
          <w:lang w:val="ro-RO"/>
        </w:rPr>
      </w:pPr>
      <w:r>
        <w:rPr>
          <w:sz w:val="20"/>
          <w:szCs w:val="20"/>
          <w:lang w:val="ro-RO"/>
        </w:rPr>
        <w:t>Penalizările pentru încălcarea prevederilor regulamentului de salubrizare sunt aplicabile cumulat cu penalitățile generate de nerespectarea altor indicatori specificați în Anexa 5 din documentația de atribuire și care se regăsesc, totodată, în cuprinsul prevederilor regulamentului de salubrizare.</w:t>
      </w:r>
    </w:p>
    <w:p>
      <w:pPr>
        <w:pStyle w:val="Heading2"/>
        <w:rPr>
          <w:sz w:val="20"/>
          <w:szCs w:val="20"/>
          <w:lang w:val="ro-RO"/>
        </w:rPr>
      </w:pPr>
      <w:bookmarkStart w:id="80" w:name="_Toc227161555"/>
      <w:r>
        <w:rPr>
          <w:sz w:val="20"/>
          <w:szCs w:val="20"/>
          <w:lang w:val="ro-RO"/>
        </w:rPr>
        <w:t>3.4 TARIFELE APLICATE PENTRU FIECARE ACTIVITATE A SERVICIULUI DE OPERARE A STAȚIEI DE TRATARE MECANO-BIOLOGICĂ ŞI A STAŢIEI DE TRANSFER GALAŢI</w:t>
      </w:r>
      <w:bookmarkEnd w:id="80"/>
    </w:p>
    <w:p>
      <w:pPr>
        <w:tabs>
          <w:tab w:val="left" w:pos="2294"/>
        </w:tabs>
        <w:rPr>
          <w:sz w:val="20"/>
          <w:szCs w:val="20"/>
          <w:lang w:val="ro-RO"/>
        </w:rPr>
      </w:pPr>
      <w:r>
        <w:rPr>
          <w:sz w:val="20"/>
          <w:szCs w:val="20"/>
          <w:lang w:val="ro-RO"/>
        </w:rPr>
        <w:t>Tarifele prezentate de ofertanţi în cadrul Ofertei financiare trebuie să conducă la atingerea următoarelor obiective:</w:t>
      </w:r>
    </w:p>
    <w:p>
      <w:pPr>
        <w:pStyle w:val="ListParagraph"/>
        <w:numPr>
          <w:ilvl w:val="0"/>
          <w:numId w:val="69"/>
        </w:numPr>
        <w:tabs>
          <w:tab w:val="left" w:pos="2294"/>
        </w:tabs>
        <w:rPr>
          <w:sz w:val="20"/>
          <w:szCs w:val="20"/>
          <w:lang w:val="ro-RO"/>
        </w:rPr>
      </w:pPr>
      <w:r>
        <w:rPr>
          <w:sz w:val="20"/>
          <w:szCs w:val="20"/>
          <w:lang w:val="ro-RO"/>
        </w:rPr>
        <w:t>asigurarea prestării Serviciului la nivelurile de calitate şi Indicatorii de Performanţă stabiliţi prin Caietul de Sarcini şi Regulamentul Serviciului;</w:t>
      </w:r>
    </w:p>
    <w:p>
      <w:pPr>
        <w:pStyle w:val="ListParagraph"/>
        <w:numPr>
          <w:ilvl w:val="0"/>
          <w:numId w:val="69"/>
        </w:numPr>
        <w:tabs>
          <w:tab w:val="left" w:pos="2294"/>
        </w:tabs>
        <w:rPr>
          <w:sz w:val="20"/>
          <w:szCs w:val="20"/>
          <w:lang w:val="ro-RO"/>
        </w:rPr>
      </w:pPr>
      <w:r>
        <w:rPr>
          <w:sz w:val="20"/>
          <w:szCs w:val="20"/>
          <w:lang w:val="ro-RO"/>
        </w:rPr>
        <w:t>realizarea unui raport calitate-cost cât mai bun pentru Serviciul prestat pe Durata Contratului şi asigurarea unui echilibru între riscurile şi beneficiile asumate atât de ADI ECOSERV cât şi de Operator;</w:t>
      </w:r>
    </w:p>
    <w:p>
      <w:pPr>
        <w:pStyle w:val="ListParagraph"/>
        <w:numPr>
          <w:ilvl w:val="0"/>
          <w:numId w:val="69"/>
        </w:numPr>
        <w:tabs>
          <w:tab w:val="left" w:pos="2294"/>
        </w:tabs>
        <w:rPr>
          <w:sz w:val="20"/>
          <w:szCs w:val="20"/>
          <w:lang w:val="ro-RO"/>
        </w:rPr>
      </w:pPr>
      <w:r>
        <w:rPr>
          <w:sz w:val="20"/>
          <w:szCs w:val="20"/>
          <w:lang w:val="ro-RO"/>
        </w:rPr>
        <w:t>asigurarea funcţionării eficiente a Serviciului şi a exploatării bunurilor aparţinând domeniului public şi privat al Judetului Galati, afectate Serviciului de salubrizare, precum şi asigurarea protecţiei mediului.</w:t>
      </w:r>
    </w:p>
    <w:p>
      <w:pPr>
        <w:tabs>
          <w:tab w:val="left" w:pos="2294"/>
        </w:tabs>
        <w:rPr>
          <w:sz w:val="20"/>
          <w:szCs w:val="20"/>
          <w:lang w:val="ro-RO"/>
        </w:rPr>
      </w:pPr>
      <w:r>
        <w:rPr>
          <w:sz w:val="20"/>
          <w:szCs w:val="20"/>
          <w:lang w:val="ro-RO"/>
        </w:rPr>
        <w:t>Ofertanţii vor prezenta în mod obligatoriu, în oferta financiară, tarife de operare propuse pentru toate activităţile care fac parte din serviciul care se deleagă, respectiv:</w:t>
      </w:r>
    </w:p>
    <w:p>
      <w:pPr>
        <w:pStyle w:val="ListParagraph"/>
        <w:numPr>
          <w:ilvl w:val="0"/>
          <w:numId w:val="79"/>
        </w:numPr>
        <w:spacing w:line="276" w:lineRule="auto"/>
        <w:rPr>
          <w:sz w:val="20"/>
          <w:szCs w:val="20"/>
          <w:lang w:val="ro-RO"/>
        </w:rPr>
      </w:pPr>
      <w:r>
        <w:rPr>
          <w:b/>
          <w:bCs/>
          <w:noProof/>
          <w:sz w:val="20"/>
          <w:szCs w:val="20"/>
          <w:lang w:val="ro-RO"/>
        </w:rPr>
        <w:t>TARIF A</w:t>
      </w:r>
      <w:r>
        <w:rPr>
          <w:noProof/>
          <w:sz w:val="20"/>
          <w:szCs w:val="20"/>
          <w:lang w:val="ro-RO"/>
        </w:rPr>
        <w:t xml:space="preserve"> - </w:t>
      </w:r>
      <w:r>
        <w:rPr>
          <w:b/>
          <w:bCs/>
          <w:i/>
          <w:iCs/>
          <w:noProof/>
          <w:sz w:val="20"/>
          <w:szCs w:val="20"/>
          <w:lang w:val="ro-RO"/>
        </w:rPr>
        <w:t>Tarif pentru transferul deşeurilor de hârtie, metal, plastic şi sticlă – Tt reciclabile</w:t>
      </w:r>
      <w:r>
        <w:rPr>
          <w:noProof/>
          <w:sz w:val="20"/>
          <w:szCs w:val="20"/>
          <w:lang w:val="ro-RO"/>
        </w:rPr>
        <w:t>. Acest tarif include costurile de operare și mentenanță, redevența și o cotă de profit rezonabilă pentru transferul deșeurilor de hârtie, metal, plastic şi sticlă din zona 1 de colectare (cu excepția municipiului Galați) către Stația de sortare Valea Mărului.</w:t>
      </w:r>
    </w:p>
    <w:p>
      <w:pPr>
        <w:pStyle w:val="ListParagraph"/>
        <w:numPr>
          <w:ilvl w:val="0"/>
          <w:numId w:val="79"/>
        </w:numPr>
        <w:spacing w:line="276" w:lineRule="auto"/>
        <w:rPr>
          <w:sz w:val="20"/>
          <w:szCs w:val="20"/>
          <w:lang w:val="ro-RO"/>
        </w:rPr>
      </w:pPr>
      <w:r>
        <w:rPr>
          <w:b/>
          <w:bCs/>
          <w:noProof/>
          <w:sz w:val="20"/>
          <w:szCs w:val="20"/>
          <w:lang w:val="ro-RO"/>
        </w:rPr>
        <w:t>TARIF B</w:t>
      </w:r>
      <w:r>
        <w:rPr>
          <w:noProof/>
          <w:sz w:val="20"/>
          <w:szCs w:val="20"/>
          <w:lang w:val="ro-RO"/>
        </w:rPr>
        <w:t xml:space="preserve"> - </w:t>
      </w:r>
      <w:r>
        <w:rPr>
          <w:b/>
          <w:bCs/>
          <w:i/>
          <w:iCs/>
          <w:noProof/>
          <w:sz w:val="20"/>
          <w:szCs w:val="20"/>
          <w:lang w:val="ro-RO"/>
        </w:rPr>
        <w:t>Tarif pentru transferul deşeurilor reziduale, inclusiv a reziduurilor menajere şi similare şi al altor deşeuri colectate separat decât cele de hârtie, metal, plastic şi sticlă – Tt reziduale.</w:t>
      </w:r>
      <w:r>
        <w:rPr>
          <w:noProof/>
          <w:sz w:val="20"/>
          <w:szCs w:val="20"/>
          <w:lang w:val="ro-RO"/>
        </w:rPr>
        <w:t xml:space="preserve"> Acest tarif include costurile de operare și mentenanță, redevența și o cotă de profit rezonabilă pentru următoarele operațiuni:</w:t>
      </w:r>
    </w:p>
    <w:p>
      <w:pPr>
        <w:pStyle w:val="ListParagraph"/>
        <w:numPr>
          <w:ilvl w:val="1"/>
          <w:numId w:val="79"/>
        </w:numPr>
        <w:spacing w:line="276" w:lineRule="auto"/>
        <w:rPr>
          <w:sz w:val="20"/>
          <w:szCs w:val="20"/>
          <w:lang w:val="ro-RO"/>
        </w:rPr>
      </w:pPr>
      <w:r>
        <w:rPr>
          <w:noProof/>
          <w:sz w:val="20"/>
          <w:szCs w:val="20"/>
          <w:lang w:val="ro-RO"/>
        </w:rPr>
        <w:t>transferul deșeurilor textile și voluminoase din zona 1 de colectare (cu excepția municipiului Galați) către Hala de fluxuri speciale Tecuci;</w:t>
      </w:r>
    </w:p>
    <w:p>
      <w:pPr>
        <w:pStyle w:val="ListParagraph"/>
        <w:numPr>
          <w:ilvl w:val="1"/>
          <w:numId w:val="79"/>
        </w:numPr>
        <w:spacing w:line="276" w:lineRule="auto"/>
        <w:rPr>
          <w:sz w:val="20"/>
          <w:szCs w:val="20"/>
          <w:lang w:val="ro-RO"/>
        </w:rPr>
      </w:pPr>
      <w:r>
        <w:rPr>
          <w:noProof/>
          <w:sz w:val="20"/>
          <w:szCs w:val="20"/>
          <w:lang w:val="ro-RO"/>
        </w:rPr>
        <w:t>transferul de deșeuri menajere periculoase din zona 1 de colectare (cu excepția municipiului Galați) - stocare temporară pe amplasament;</w:t>
      </w:r>
    </w:p>
    <w:p>
      <w:pPr>
        <w:pStyle w:val="ListParagraph"/>
        <w:numPr>
          <w:ilvl w:val="1"/>
          <w:numId w:val="79"/>
        </w:numPr>
        <w:spacing w:line="276" w:lineRule="auto"/>
        <w:rPr>
          <w:sz w:val="20"/>
          <w:szCs w:val="20"/>
          <w:lang w:val="ro-RO"/>
        </w:rPr>
      </w:pPr>
      <w:r>
        <w:rPr>
          <w:noProof/>
          <w:sz w:val="20"/>
          <w:szCs w:val="20"/>
          <w:lang w:val="ro-RO"/>
        </w:rPr>
        <w:t>transferul de reziduuri și digestat rezultat din tratarea deșeurilor în TMB Galați către Depozitul conform Valea Mărului.</w:t>
      </w:r>
    </w:p>
    <w:p>
      <w:pPr>
        <w:pStyle w:val="ListParagraph"/>
        <w:numPr>
          <w:ilvl w:val="0"/>
          <w:numId w:val="79"/>
        </w:numPr>
        <w:spacing w:line="276" w:lineRule="auto"/>
        <w:rPr>
          <w:sz w:val="20"/>
          <w:szCs w:val="20"/>
          <w:lang w:val="ro-RO"/>
        </w:rPr>
      </w:pPr>
      <w:r>
        <w:rPr>
          <w:b/>
          <w:bCs/>
          <w:noProof/>
          <w:sz w:val="20"/>
          <w:szCs w:val="20"/>
          <w:lang w:val="ro-RO"/>
        </w:rPr>
        <w:t>TARIF C -</w:t>
      </w:r>
      <w:r>
        <w:rPr>
          <w:b/>
          <w:bCs/>
          <w:i/>
          <w:iCs/>
          <w:noProof/>
          <w:sz w:val="20"/>
          <w:szCs w:val="20"/>
          <w:lang w:val="ro-RO"/>
        </w:rPr>
        <w:t xml:space="preserve"> Tariful de tratare mecano-biologică – Ttmb. </w:t>
      </w:r>
      <w:r>
        <w:rPr>
          <w:noProof/>
          <w:sz w:val="20"/>
          <w:szCs w:val="20"/>
          <w:lang w:val="ro-RO"/>
        </w:rPr>
        <w:t>Acest tarif include costurile de operare și mentenanță, redevența și o cotă de profit rezonabilă pentru următoarele operațiuni:</w:t>
      </w:r>
    </w:p>
    <w:p>
      <w:pPr>
        <w:pStyle w:val="ListParagraph"/>
        <w:numPr>
          <w:ilvl w:val="1"/>
          <w:numId w:val="79"/>
        </w:numPr>
        <w:spacing w:line="276" w:lineRule="auto"/>
        <w:rPr>
          <w:sz w:val="20"/>
          <w:szCs w:val="20"/>
          <w:lang w:val="ro-RO"/>
        </w:rPr>
      </w:pPr>
      <w:r>
        <w:rPr>
          <w:noProof/>
          <w:sz w:val="20"/>
          <w:szCs w:val="20"/>
          <w:lang w:val="ro-RO"/>
        </w:rPr>
        <w:t>tratarea mecanică a deșeurilor reziduale;</w:t>
      </w:r>
    </w:p>
    <w:p>
      <w:pPr>
        <w:pStyle w:val="ListParagraph"/>
        <w:numPr>
          <w:ilvl w:val="1"/>
          <w:numId w:val="79"/>
        </w:numPr>
        <w:spacing w:line="276" w:lineRule="auto"/>
        <w:rPr>
          <w:sz w:val="20"/>
          <w:szCs w:val="20"/>
          <w:lang w:val="ro-RO"/>
        </w:rPr>
      </w:pPr>
      <w:r>
        <w:rPr>
          <w:noProof/>
          <w:sz w:val="20"/>
          <w:szCs w:val="20"/>
          <w:lang w:val="ro-RO"/>
        </w:rPr>
        <w:t>tratarea biologică a fracției organice din deșeurile reziduale:</w:t>
      </w:r>
    </w:p>
    <w:p>
      <w:pPr>
        <w:pStyle w:val="ListParagraph"/>
        <w:numPr>
          <w:ilvl w:val="1"/>
          <w:numId w:val="79"/>
        </w:numPr>
        <w:spacing w:line="276" w:lineRule="auto"/>
        <w:rPr>
          <w:sz w:val="20"/>
          <w:szCs w:val="20"/>
          <w:lang w:val="ro-RO"/>
        </w:rPr>
      </w:pPr>
      <w:r>
        <w:rPr>
          <w:noProof/>
          <w:sz w:val="20"/>
          <w:szCs w:val="20"/>
          <w:lang w:val="ro-RO"/>
        </w:rPr>
        <w:t>tratarea digestatului obținut din fracția organică din deșeurile reziduale;</w:t>
      </w:r>
    </w:p>
    <w:p>
      <w:pPr>
        <w:pStyle w:val="ListParagraph"/>
        <w:numPr>
          <w:ilvl w:val="1"/>
          <w:numId w:val="79"/>
        </w:numPr>
        <w:spacing w:line="276" w:lineRule="auto"/>
        <w:rPr>
          <w:sz w:val="20"/>
          <w:szCs w:val="20"/>
          <w:lang w:val="ro-RO"/>
        </w:rPr>
      </w:pPr>
      <w:r>
        <w:rPr>
          <w:noProof/>
          <w:sz w:val="20"/>
          <w:szCs w:val="20"/>
          <w:lang w:val="ro-RO"/>
        </w:rPr>
        <w:t>producerea de RDF;</w:t>
      </w:r>
    </w:p>
    <w:p>
      <w:pPr>
        <w:pStyle w:val="ListParagraph"/>
        <w:numPr>
          <w:ilvl w:val="1"/>
          <w:numId w:val="79"/>
        </w:numPr>
        <w:spacing w:line="276" w:lineRule="auto"/>
        <w:rPr>
          <w:sz w:val="20"/>
          <w:szCs w:val="20"/>
          <w:lang w:val="ro-RO"/>
        </w:rPr>
      </w:pPr>
      <w:r>
        <w:rPr>
          <w:noProof/>
          <w:sz w:val="20"/>
          <w:szCs w:val="20"/>
          <w:lang w:val="ro-RO"/>
        </w:rPr>
        <w:lastRenderedPageBreak/>
        <w:t>transportul digestatului și reziduurilor către Stația de transfer Galați</w:t>
      </w:r>
      <w:r>
        <w:rPr>
          <w:sz w:val="20"/>
          <w:szCs w:val="20"/>
          <w:lang w:val="ro-RO"/>
        </w:rPr>
        <w:t>.</w:t>
      </w:r>
    </w:p>
    <w:p>
      <w:pPr>
        <w:pStyle w:val="ListParagraph"/>
        <w:numPr>
          <w:ilvl w:val="0"/>
          <w:numId w:val="79"/>
        </w:numPr>
        <w:spacing w:line="276" w:lineRule="auto"/>
        <w:rPr>
          <w:sz w:val="20"/>
          <w:szCs w:val="20"/>
          <w:lang w:val="ro-RO"/>
        </w:rPr>
      </w:pPr>
      <w:r>
        <w:rPr>
          <w:b/>
          <w:bCs/>
          <w:noProof/>
          <w:sz w:val="20"/>
          <w:szCs w:val="20"/>
          <w:lang w:val="ro-RO"/>
        </w:rPr>
        <w:t>TARIF D -</w:t>
      </w:r>
      <w:r>
        <w:rPr>
          <w:b/>
          <w:bCs/>
          <w:i/>
          <w:iCs/>
          <w:noProof/>
          <w:sz w:val="20"/>
          <w:szCs w:val="20"/>
          <w:lang w:val="ro-RO"/>
        </w:rPr>
        <w:t xml:space="preserve"> Tariful de digestie anaerobă – Tda</w:t>
      </w:r>
      <w:r>
        <w:rPr>
          <w:noProof/>
          <w:sz w:val="20"/>
          <w:szCs w:val="20"/>
          <w:lang w:val="ro-RO"/>
        </w:rPr>
        <w:t>. Acest tarif include costurile de operare și mentenanță, redevența și o cotă de profit rezonabilă pentru următoarele operațiuni:</w:t>
      </w:r>
    </w:p>
    <w:p>
      <w:pPr>
        <w:pStyle w:val="ListParagraph"/>
        <w:numPr>
          <w:ilvl w:val="1"/>
          <w:numId w:val="79"/>
        </w:numPr>
        <w:spacing w:line="276" w:lineRule="auto"/>
        <w:rPr>
          <w:sz w:val="20"/>
          <w:szCs w:val="20"/>
          <w:lang w:val="ro-RO"/>
        </w:rPr>
      </w:pPr>
      <w:r>
        <w:rPr>
          <w:noProof/>
          <w:sz w:val="20"/>
          <w:szCs w:val="20"/>
          <w:lang w:val="ro-RO"/>
        </w:rPr>
        <w:t>pretratarea mecanică a biodeșeurilor colectate separat;</w:t>
      </w:r>
    </w:p>
    <w:p>
      <w:pPr>
        <w:pStyle w:val="ListParagraph"/>
        <w:numPr>
          <w:ilvl w:val="1"/>
          <w:numId w:val="79"/>
        </w:numPr>
        <w:spacing w:line="276" w:lineRule="auto"/>
        <w:rPr>
          <w:noProof/>
          <w:sz w:val="20"/>
          <w:szCs w:val="20"/>
          <w:lang w:val="ro-RO"/>
        </w:rPr>
      </w:pPr>
      <w:r>
        <w:rPr>
          <w:noProof/>
          <w:sz w:val="20"/>
          <w:szCs w:val="20"/>
          <w:lang w:val="ro-RO"/>
        </w:rPr>
        <w:t>tratarea biologică a biodeșeurilor colectate separat rezultate după pretratarea mecanică;</w:t>
      </w:r>
    </w:p>
    <w:p>
      <w:pPr>
        <w:pStyle w:val="ListParagraph"/>
        <w:numPr>
          <w:ilvl w:val="1"/>
          <w:numId w:val="79"/>
        </w:numPr>
        <w:spacing w:line="276" w:lineRule="auto"/>
        <w:rPr>
          <w:sz w:val="20"/>
          <w:szCs w:val="20"/>
          <w:lang w:val="ro-RO"/>
        </w:rPr>
      </w:pPr>
      <w:r>
        <w:rPr>
          <w:noProof/>
          <w:sz w:val="20"/>
          <w:szCs w:val="20"/>
          <w:lang w:val="ro-RO"/>
        </w:rPr>
        <w:t xml:space="preserve">tratarea digestatului obținut din biodeșeurile colectate separat.   </w:t>
      </w:r>
      <w:r>
        <w:rPr>
          <w:sz w:val="20"/>
          <w:szCs w:val="20"/>
          <w:lang w:val="ro-RO"/>
        </w:rPr>
        <w:t xml:space="preserve"> </w:t>
      </w:r>
    </w:p>
    <w:p>
      <w:pPr>
        <w:tabs>
          <w:tab w:val="left" w:pos="2294"/>
        </w:tabs>
        <w:rPr>
          <w:rFonts w:cstheme="minorHAnsi"/>
          <w:bCs/>
          <w:sz w:val="20"/>
          <w:szCs w:val="20"/>
          <w:lang w:val="ro-RO"/>
        </w:rPr>
      </w:pPr>
      <w:r>
        <w:rPr>
          <w:rFonts w:cstheme="minorHAnsi"/>
          <w:bCs/>
          <w:sz w:val="20"/>
          <w:szCs w:val="20"/>
          <w:lang w:val="ro-RO"/>
        </w:rPr>
        <w:t>Delegatul are dreptul la ajustarea / modificarea tarifelor de operare ofertate la Data Începerii Operării, în conformitate cu prevederile contractuale și cu prevederile legale.</w:t>
      </w:r>
    </w:p>
    <w:p>
      <w:pPr>
        <w:spacing w:line="259" w:lineRule="auto"/>
        <w:rPr>
          <w:rFonts w:cstheme="minorHAnsi"/>
          <w:bCs/>
          <w:sz w:val="20"/>
          <w:szCs w:val="20"/>
          <w:lang w:val="ro-RO"/>
        </w:rPr>
      </w:pPr>
      <w:r>
        <w:rPr>
          <w:rFonts w:cstheme="minorHAnsi"/>
          <w:bCs/>
          <w:sz w:val="20"/>
          <w:szCs w:val="20"/>
          <w:lang w:val="ro-RO"/>
        </w:rPr>
        <w:t>Termenele de soluționare a solicitărilor de ajustare/modificare sunt cele prevăzute în Normele metodologice aprobate prin Ordinul ANRSC nr. 640/2022. Ajustarea și modificarea tarifelor se face cu respectarea prevederilor Ordinului ANRSC nr. 640/2022 cu completările și modificările ulterioare.</w:t>
      </w:r>
    </w:p>
    <w:p>
      <w:pPr>
        <w:tabs>
          <w:tab w:val="left" w:pos="2294"/>
        </w:tabs>
        <w:rPr>
          <w:sz w:val="20"/>
          <w:szCs w:val="20"/>
          <w:lang w:val="ro-RO"/>
        </w:rPr>
      </w:pPr>
      <w:r>
        <w:rPr>
          <w:sz w:val="20"/>
          <w:szCs w:val="20"/>
          <w:lang w:val="ro-RO"/>
        </w:rPr>
        <w:t>Tarifele ofertate nu vor include TVA.</w:t>
      </w:r>
    </w:p>
    <w:p>
      <w:pPr>
        <w:tabs>
          <w:tab w:val="left" w:pos="2294"/>
        </w:tabs>
        <w:rPr>
          <w:sz w:val="20"/>
          <w:szCs w:val="20"/>
          <w:lang w:val="ro-RO"/>
        </w:rPr>
      </w:pPr>
      <w:r>
        <w:rPr>
          <w:sz w:val="20"/>
          <w:szCs w:val="20"/>
          <w:lang w:val="ro-RO"/>
        </w:rPr>
        <w:t>Pentru fiecare tarif ofertat vor fi prezentate în mod obligatoriu Fişa de fundamentare a tarifului (conform modelului prezentat în volumul de formulare) şi Memoriul tehnico-economic justificativ (format excel).</w:t>
      </w:r>
    </w:p>
    <w:p>
      <w:pPr>
        <w:tabs>
          <w:tab w:val="left" w:pos="2294"/>
        </w:tabs>
        <w:rPr>
          <w:rFonts w:cstheme="minorHAnsi"/>
          <w:bCs/>
          <w:sz w:val="20"/>
          <w:szCs w:val="20"/>
          <w:lang w:val="ro-RO"/>
        </w:rPr>
      </w:pPr>
      <w:r>
        <w:rPr>
          <w:sz w:val="20"/>
          <w:szCs w:val="20"/>
          <w:lang w:val="ro-RO"/>
        </w:rPr>
        <w:t xml:space="preserve">Ajustarea tarifelor pentru activităţile specifice se va face, conform Ordinului Preşedintelui ANRSC nr. 640/2022 şi a precizărilor din modelul de contract. </w:t>
      </w:r>
      <w:r>
        <w:rPr>
          <w:rFonts w:cstheme="minorHAnsi"/>
          <w:bCs/>
          <w:sz w:val="20"/>
          <w:szCs w:val="20"/>
          <w:lang w:val="ro-RO"/>
        </w:rPr>
        <w:t>Termenele de soluționare a solicitărilor de ajustare/modificare sunt cele prevăzute în Normele metodologice aprobate prin Ordinul ANRSC nr. 640/2022.</w:t>
      </w:r>
    </w:p>
    <w:p>
      <w:pPr>
        <w:autoSpaceDE w:val="0"/>
        <w:autoSpaceDN w:val="0"/>
        <w:adjustRightInd w:val="0"/>
        <w:spacing w:line="259" w:lineRule="auto"/>
        <w:rPr>
          <w:rFonts w:cstheme="minorHAnsi"/>
          <w:bCs/>
          <w:sz w:val="20"/>
          <w:szCs w:val="20"/>
          <w:lang w:val="ro-RO"/>
        </w:rPr>
      </w:pPr>
      <w:r>
        <w:rPr>
          <w:rFonts w:cstheme="minorHAnsi"/>
          <w:bCs/>
          <w:sz w:val="20"/>
          <w:szCs w:val="20"/>
          <w:lang w:val="ro-RO"/>
        </w:rPr>
        <w:t>In situațiile in care cantitățile intrate in instalații sunt mai mici decât cele estimate in documentația de atribuire sau structura deșeurilor diferă în realitate față de cea estimată, operatorul poate solicita modificarea tarifului in condițiile Ordinului ANRSC nr. 640/2022. Așa cum este prevăzut in clauza 68.1 din condițiile specifice ale contractului, pct. 7,8 si 9, riscurile respective sunt asumate 100% de beneficiar, operatorul încasând valoarea facturii emise către Beneficiar cu utilizarea tarifului stabilit/ modificat in conformitate cu prevederile Ordinului 640/2022.</w:t>
      </w:r>
    </w:p>
    <w:p>
      <w:pPr>
        <w:tabs>
          <w:tab w:val="left" w:pos="2294"/>
        </w:tabs>
        <w:rPr>
          <w:sz w:val="20"/>
          <w:szCs w:val="20"/>
          <w:lang w:val="ro-RO"/>
        </w:rPr>
      </w:pPr>
      <w:r>
        <w:rPr>
          <w:sz w:val="20"/>
          <w:szCs w:val="20"/>
          <w:lang w:val="ro-RO"/>
        </w:rPr>
        <w:t>Facturarea serviciilor prestate se va efectua către ADI ECOSERV, in conformitate cu prevederile Documentului de Pozitie.</w:t>
      </w:r>
    </w:p>
    <w:p>
      <w:pPr>
        <w:autoSpaceDE w:val="0"/>
        <w:autoSpaceDN w:val="0"/>
        <w:adjustRightInd w:val="0"/>
        <w:rPr>
          <w:rFonts w:eastAsia="Calibri" w:cs="Calibri"/>
          <w:sz w:val="20"/>
          <w:szCs w:val="20"/>
          <w:lang w:val="ro-RO"/>
          <w14:ligatures w14:val="standardContextual"/>
        </w:rPr>
      </w:pPr>
      <w:r>
        <w:rPr>
          <w:rFonts w:eastAsia="Calibri" w:cs="Calibri"/>
          <w:sz w:val="20"/>
          <w:szCs w:val="20"/>
          <w:lang w:val="ro-RO"/>
          <w14:ligatures w14:val="standardContextual"/>
        </w:rPr>
        <w:t>Raporturile dintre operatorii de salubritate sunt gestionate prin intermediul Asociației ADI ECOSERV, prin contractele de delegare încheiate cu fiecare operator. Pentru activitățile de tratare mecano-biologică, sortare, compostare, depozitare, transfer și colectare și transport a deșeurilor municipale așa cum sunt ele definite la art. 2 alin(3) din Legea 101/2006, delegatarul este ADI ECOSERV Galați in numele si pe seama membrilor asociați. Precizăm faptul că toate UAT-urile din județul Galați sunt membre ale ADI ECOSERV.</w:t>
      </w:r>
    </w:p>
    <w:p>
      <w:pPr>
        <w:autoSpaceDE w:val="0"/>
        <w:autoSpaceDN w:val="0"/>
        <w:adjustRightInd w:val="0"/>
        <w:spacing w:line="259" w:lineRule="auto"/>
        <w:rPr>
          <w:rFonts w:eastAsia="Calibri" w:cs="Calibri"/>
          <w:sz w:val="20"/>
          <w:szCs w:val="20"/>
          <w:lang w:val="ro-RO"/>
          <w14:ligatures w14:val="standardContextual"/>
        </w:rPr>
      </w:pPr>
      <w:r>
        <w:rPr>
          <w:rFonts w:eastAsia="Calibri" w:cs="Calibri"/>
          <w:sz w:val="20"/>
          <w:szCs w:val="20"/>
          <w:lang w:val="ro-RO"/>
          <w14:ligatures w14:val="standardContextual"/>
        </w:rPr>
        <w:t xml:space="preserve">Plata serviciilor de salubrizare realizate în cadrul proiectului SMID se va face prin instituirea taxei de salubrizare atât pentru utilizatorii casnici, cât și pentru utilizatorii non-casnici și funcționează astfel:  </w:t>
      </w:r>
    </w:p>
    <w:p>
      <w:pPr>
        <w:pStyle w:val="ListParagraph"/>
        <w:numPr>
          <w:ilvl w:val="0"/>
          <w:numId w:val="79"/>
        </w:numPr>
        <w:ind w:left="714" w:hanging="357"/>
        <w:rPr>
          <w:noProof/>
          <w:sz w:val="20"/>
          <w:szCs w:val="20"/>
          <w:lang w:val="ro-RO"/>
        </w:rPr>
      </w:pPr>
      <w:r>
        <w:rPr>
          <w:noProof/>
          <w:sz w:val="20"/>
          <w:szCs w:val="20"/>
          <w:lang w:val="ro-RO"/>
        </w:rPr>
        <w:t>taxa de salubrizare va fi stabilită și încasată de autoritățile locale, care apoi o vor transfera lunar către ADI în baza facturilor emise;</w:t>
      </w:r>
    </w:p>
    <w:p>
      <w:pPr>
        <w:pStyle w:val="ListParagraph"/>
        <w:numPr>
          <w:ilvl w:val="0"/>
          <w:numId w:val="79"/>
        </w:numPr>
        <w:ind w:left="714" w:hanging="357"/>
        <w:rPr>
          <w:rFonts w:eastAsia="Calibri" w:cs="Calibri"/>
          <w:sz w:val="20"/>
          <w:szCs w:val="20"/>
          <w:lang w:val="ro-RO"/>
          <w14:ligatures w14:val="standardContextual"/>
        </w:rPr>
      </w:pPr>
      <w:r>
        <w:rPr>
          <w:noProof/>
          <w:sz w:val="20"/>
          <w:szCs w:val="20"/>
          <w:lang w:val="ro-RO"/>
        </w:rPr>
        <w:t>ADI ECOSERV va plăti în continuare operatorii de salubrizare implicați în sistem</w:t>
      </w:r>
      <w:r>
        <w:rPr>
          <w:rFonts w:eastAsia="Calibri" w:cs="Calibri"/>
          <w:sz w:val="20"/>
          <w:szCs w:val="20"/>
          <w:lang w:val="ro-RO"/>
          <w14:ligatures w14:val="standardContextual"/>
        </w:rPr>
        <w:t>.</w:t>
      </w:r>
    </w:p>
    <w:p>
      <w:pPr>
        <w:autoSpaceDE w:val="0"/>
        <w:autoSpaceDN w:val="0"/>
        <w:adjustRightInd w:val="0"/>
        <w:spacing w:line="259" w:lineRule="auto"/>
        <w:rPr>
          <w:rFonts w:eastAsia="Calibri" w:cs="Calibri"/>
          <w:sz w:val="20"/>
          <w:szCs w:val="20"/>
          <w:lang w:val="ro-RO"/>
          <w14:ligatures w14:val="standardContextual"/>
        </w:rPr>
      </w:pPr>
      <w:r>
        <w:rPr>
          <w:rFonts w:eastAsia="Calibri" w:cs="Calibri"/>
          <w:sz w:val="20"/>
          <w:szCs w:val="20"/>
          <w:lang w:val="ro-RO"/>
          <w14:ligatures w14:val="standardContextual"/>
        </w:rPr>
        <w:t xml:space="preserve">În modalitatea de plată prin taxă, nu se emit facturi între operatori pentru prestarea activităților de salubrizare desfășurate pe fluxul deșeurilor municipale și contractele de prestări servicii încheiate între operatorii care desfășoară activități de salubrizare pe fluxul deșeurilor municipale </w:t>
      </w:r>
      <w:r>
        <w:rPr>
          <w:rFonts w:eastAsia="Calibri" w:cs="Calibri"/>
          <w:sz w:val="20"/>
          <w:szCs w:val="20"/>
          <w:u w:val="single"/>
          <w:lang w:val="ro-RO"/>
          <w14:ligatures w14:val="standardContextual"/>
        </w:rPr>
        <w:t>conțin numai clauze cu privire la condițiile de recepție și de acceptare</w:t>
      </w:r>
      <w:r>
        <w:rPr>
          <w:rFonts w:eastAsia="Calibri" w:cs="Calibri"/>
          <w:sz w:val="20"/>
          <w:szCs w:val="20"/>
          <w:lang w:val="ro-RO"/>
          <w14:ligatures w14:val="standardContextual"/>
        </w:rPr>
        <w:t xml:space="preserve"> a deșeurilor la stațiile de sortare, instalațiile de tratare și/sau depozitele de deșeuri, după caz, și nu la plata respectivelor servicii, care se asigură de către asociația de dezvoltare intercomunitară, </w:t>
      </w:r>
      <w:r>
        <w:rPr>
          <w:rFonts w:eastAsia="Calibri" w:cs="Calibri"/>
          <w:sz w:val="20"/>
          <w:szCs w:val="20"/>
          <w:u w:val="single"/>
          <w:lang w:val="ro-RO"/>
          <w14:ligatures w14:val="standardContextual"/>
        </w:rPr>
        <w:t>conform fluxului financiar stabilit prin contractul de delegare</w:t>
      </w:r>
      <w:r>
        <w:rPr>
          <w:rFonts w:eastAsia="Calibri" w:cs="Calibri"/>
          <w:sz w:val="20"/>
          <w:szCs w:val="20"/>
          <w:lang w:val="ro-RO"/>
          <w14:ligatures w14:val="standardContextual"/>
        </w:rPr>
        <w:t xml:space="preserve">, din sumele virate de unitățile/subdiviziunile </w:t>
      </w:r>
      <w:r>
        <w:rPr>
          <w:rFonts w:eastAsia="Calibri" w:cs="Calibri"/>
          <w:sz w:val="20"/>
          <w:szCs w:val="20"/>
          <w:lang w:val="ro-RO"/>
          <w14:ligatures w14:val="standardContextual"/>
        </w:rPr>
        <w:lastRenderedPageBreak/>
        <w:t>administrativ-teritoriale membre ale asociației, mecanism reglementat prin Ordinul ANRSC nr 640/2022.</w:t>
      </w:r>
    </w:p>
    <w:p>
      <w:pPr>
        <w:tabs>
          <w:tab w:val="left" w:pos="2294"/>
        </w:tabs>
        <w:rPr>
          <w:sz w:val="20"/>
          <w:szCs w:val="20"/>
          <w:lang w:val="ro-RO"/>
        </w:rPr>
      </w:pPr>
      <w:r>
        <w:rPr>
          <w:sz w:val="20"/>
          <w:szCs w:val="20"/>
          <w:lang w:val="ro-RO"/>
        </w:rPr>
        <w:t>Valoarea redevenței care trebuie inclusă în tarifele pe care operatorul le va oferta pentru operarea obiectivului de investiție ”Stație de transfer și stație de tratare mecano-biologică cu digestor Galați” este prevăzută în tabelele următoare:</w:t>
      </w:r>
    </w:p>
    <w:p>
      <w:pPr>
        <w:tabs>
          <w:tab w:val="left" w:pos="2294"/>
        </w:tabs>
        <w:rPr>
          <w:sz w:val="20"/>
          <w:szCs w:val="20"/>
          <w:lang w:val="ro-RO"/>
        </w:rPr>
      </w:pPr>
      <w:r>
        <w:rPr>
          <w:sz w:val="20"/>
          <w:szCs w:val="20"/>
          <w:lang w:val="ro-RO"/>
        </w:rPr>
        <w:t>Aceasta este valoarea propusă a redevenței ce va fi plătită de către operator proprietarului infrastructurii, respectiv CJ Galați.</w:t>
      </w:r>
    </w:p>
    <w:p>
      <w:pPr>
        <w:pStyle w:val="Caption"/>
        <w:spacing w:after="120" w:line="300" w:lineRule="auto"/>
        <w:jc w:val="both"/>
        <w:rPr>
          <w:color w:val="auto"/>
          <w:sz w:val="20"/>
          <w:szCs w:val="20"/>
        </w:rPr>
      </w:pPr>
      <w:bookmarkStart w:id="81" w:name="_Toc223014137"/>
      <w:r>
        <w:rPr>
          <w:color w:val="auto"/>
          <w:sz w:val="20"/>
          <w:szCs w:val="20"/>
        </w:rPr>
        <w:t>Valoarea redevenței inclusă în tarifele de operare în perioada 2030-2039 (1)</w:t>
      </w:r>
      <w:bookmarkEnd w:id="81"/>
    </w:p>
    <w:tbl>
      <w:tblPr>
        <w:tblStyle w:val="PlainTable1"/>
        <w:tblW w:w="5000" w:type="pct"/>
        <w:tblLayout w:type="fixed"/>
        <w:tblLook w:val="04A0" w:firstRow="1" w:lastRow="0" w:firstColumn="1" w:lastColumn="0" w:noHBand="0" w:noVBand="1"/>
      </w:tblPr>
      <w:tblGrid>
        <w:gridCol w:w="2348"/>
        <w:gridCol w:w="1382"/>
        <w:gridCol w:w="1427"/>
        <w:gridCol w:w="1502"/>
        <w:gridCol w:w="1475"/>
        <w:gridCol w:w="1471"/>
      </w:tblGrid>
      <w:tr>
        <w:trPr>
          <w:cnfStyle w:val="100000000000" w:firstRow="1" w:lastRow="0" w:firstColumn="0" w:lastColumn="0" w:oddVBand="0" w:evenVBand="0" w:oddHBand="0"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222" w:type="pct"/>
            <w:vMerge w:val="restart"/>
            <w:hideMark/>
          </w:tcPr>
          <w:p>
            <w:pPr>
              <w:jc w:val="center"/>
              <w:rPr>
                <w:rFonts w:eastAsia="Times New Roman" w:cs="Arial"/>
                <w:sz w:val="18"/>
                <w:szCs w:val="18"/>
                <w:lang w:eastAsia="ro-RO"/>
              </w:rPr>
            </w:pPr>
            <w:r>
              <w:rPr>
                <w:rFonts w:eastAsia="Times New Roman" w:cs="Arial"/>
                <w:sz w:val="18"/>
                <w:szCs w:val="18"/>
                <w:lang w:eastAsia="ro-RO"/>
              </w:rPr>
              <w:t>Tarifele pentru activitățile serviciului de operare</w:t>
            </w:r>
          </w:p>
        </w:tc>
        <w:tc>
          <w:tcPr>
            <w:tcW w:w="3778" w:type="pct"/>
            <w:gridSpan w:val="5"/>
          </w:tcPr>
          <w:p>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val="pt-BR" w:eastAsia="ro-RO"/>
              </w:rPr>
            </w:pPr>
            <w:r>
              <w:rPr>
                <w:rFonts w:eastAsia="Times New Roman" w:cs="Arial"/>
                <w:sz w:val="18"/>
                <w:szCs w:val="18"/>
                <w:lang w:val="pt-BR" w:eastAsia="ro-RO"/>
              </w:rPr>
              <w:t>Valoarea redevenței inclusă în tarifele pentru activitățile serviciului de salubrizare</w:t>
            </w:r>
          </w:p>
          <w:p>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8"/>
                <w:szCs w:val="18"/>
                <w:lang w:val="pt-BR" w:eastAsia="ro-RO"/>
              </w:rPr>
            </w:pPr>
            <w:r>
              <w:rPr>
                <w:rFonts w:eastAsia="Times New Roman" w:cs="Arial"/>
                <w:sz w:val="18"/>
                <w:szCs w:val="18"/>
                <w:lang w:val="pt-BR" w:eastAsia="ro-RO"/>
              </w:rPr>
              <w:t xml:space="preserve"> (lei/an, fără TVA)</w:t>
            </w:r>
          </w:p>
        </w:tc>
      </w:tr>
      <w:tr>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222" w:type="pct"/>
            <w:vMerge/>
          </w:tcPr>
          <w:p>
            <w:pPr>
              <w:jc w:val="center"/>
              <w:rPr>
                <w:rFonts w:eastAsia="Times New Roman" w:cs="Arial"/>
                <w:b w:val="0"/>
                <w:bCs w:val="0"/>
                <w:sz w:val="18"/>
                <w:szCs w:val="18"/>
                <w:lang w:val="pt-BR" w:eastAsia="ro-RO"/>
              </w:rPr>
            </w:pPr>
          </w:p>
        </w:tc>
        <w:tc>
          <w:tcPr>
            <w:tcW w:w="719" w:type="pct"/>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18"/>
                <w:szCs w:val="18"/>
                <w:lang w:eastAsia="ro-RO"/>
              </w:rPr>
            </w:pPr>
            <w:r>
              <w:rPr>
                <w:rFonts w:eastAsia="Times New Roman" w:cs="Arial"/>
                <w:b/>
                <w:bCs/>
                <w:sz w:val="18"/>
                <w:szCs w:val="18"/>
                <w:lang w:eastAsia="ro-RO"/>
              </w:rPr>
              <w:t>2030</w:t>
            </w:r>
          </w:p>
        </w:tc>
        <w:tc>
          <w:tcPr>
            <w:tcW w:w="743" w:type="pct"/>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18"/>
                <w:szCs w:val="18"/>
                <w:lang w:eastAsia="ro-RO"/>
              </w:rPr>
            </w:pPr>
            <w:r>
              <w:rPr>
                <w:rFonts w:eastAsia="Times New Roman" w:cs="Arial"/>
                <w:b/>
                <w:bCs/>
                <w:sz w:val="18"/>
                <w:szCs w:val="18"/>
                <w:lang w:eastAsia="ro-RO"/>
              </w:rPr>
              <w:t>2031</w:t>
            </w:r>
          </w:p>
        </w:tc>
        <w:tc>
          <w:tcPr>
            <w:tcW w:w="782" w:type="pct"/>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18"/>
                <w:szCs w:val="18"/>
                <w:lang w:eastAsia="ro-RO"/>
              </w:rPr>
            </w:pPr>
            <w:r>
              <w:rPr>
                <w:rFonts w:eastAsia="Times New Roman" w:cs="Arial"/>
                <w:b/>
                <w:bCs/>
                <w:sz w:val="18"/>
                <w:szCs w:val="18"/>
                <w:lang w:eastAsia="ro-RO"/>
              </w:rPr>
              <w:t>2032</w:t>
            </w:r>
          </w:p>
        </w:tc>
        <w:tc>
          <w:tcPr>
            <w:tcW w:w="768" w:type="pct"/>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18"/>
                <w:szCs w:val="18"/>
                <w:lang w:eastAsia="ro-RO"/>
              </w:rPr>
            </w:pPr>
            <w:r>
              <w:rPr>
                <w:rFonts w:eastAsia="Times New Roman" w:cs="Arial"/>
                <w:b/>
                <w:bCs/>
                <w:sz w:val="18"/>
                <w:szCs w:val="18"/>
                <w:lang w:eastAsia="ro-RO"/>
              </w:rPr>
              <w:t>2033</w:t>
            </w:r>
          </w:p>
        </w:tc>
        <w:tc>
          <w:tcPr>
            <w:tcW w:w="767" w:type="pct"/>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18"/>
                <w:szCs w:val="18"/>
                <w:lang w:eastAsia="ro-RO"/>
              </w:rPr>
            </w:pPr>
            <w:r>
              <w:rPr>
                <w:rFonts w:eastAsia="Times New Roman" w:cs="Arial"/>
                <w:b/>
                <w:bCs/>
                <w:sz w:val="18"/>
                <w:szCs w:val="18"/>
                <w:lang w:eastAsia="ro-RO"/>
              </w:rPr>
              <w:t>2034</w:t>
            </w:r>
          </w:p>
        </w:tc>
      </w:tr>
      <w:tr>
        <w:trPr>
          <w:trHeight w:val="260"/>
        </w:trPr>
        <w:tc>
          <w:tcPr>
            <w:cnfStyle w:val="001000000000" w:firstRow="0" w:lastRow="0" w:firstColumn="1" w:lastColumn="0" w:oddVBand="0" w:evenVBand="0" w:oddHBand="0" w:evenHBand="0" w:firstRowFirstColumn="0" w:firstRowLastColumn="0" w:lastRowFirstColumn="0" w:lastRowLastColumn="0"/>
            <w:tcW w:w="1222" w:type="pct"/>
            <w:hideMark/>
          </w:tcPr>
          <w:p>
            <w:pPr>
              <w:jc w:val="left"/>
              <w:rPr>
                <w:rFonts w:eastAsia="Times New Roman" w:cs="Arial"/>
                <w:b w:val="0"/>
                <w:bCs w:val="0"/>
                <w:sz w:val="18"/>
                <w:szCs w:val="18"/>
                <w:lang w:eastAsia="ro-RO"/>
              </w:rPr>
            </w:pPr>
            <w:r>
              <w:rPr>
                <w:noProof/>
                <w:sz w:val="18"/>
                <w:szCs w:val="18"/>
              </w:rPr>
              <w:t>Tarif pentru transferul deşeurilor de hârtie, metal, plastic şi sticlă</w:t>
            </w:r>
          </w:p>
        </w:tc>
        <w:tc>
          <w:tcPr>
            <w:tcW w:w="719" w:type="pct"/>
            <w:noWrap/>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ro-RO"/>
              </w:rPr>
            </w:pPr>
            <w:r>
              <w:rPr>
                <w:color w:val="000000"/>
                <w:sz w:val="16"/>
                <w:szCs w:val="16"/>
              </w:rPr>
              <w:t>46.360</w:t>
            </w:r>
          </w:p>
        </w:tc>
        <w:tc>
          <w:tcPr>
            <w:tcW w:w="743" w:type="pct"/>
            <w:noWrap/>
            <w:vAlign w:val="center"/>
          </w:tcPr>
          <w:p>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ro-RO"/>
              </w:rPr>
            </w:pPr>
            <w:r>
              <w:rPr>
                <w:color w:val="000000"/>
                <w:sz w:val="16"/>
                <w:szCs w:val="16"/>
              </w:rPr>
              <w:t>52.433</w:t>
            </w:r>
          </w:p>
        </w:tc>
        <w:tc>
          <w:tcPr>
            <w:tcW w:w="782" w:type="pct"/>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ro-RO"/>
              </w:rPr>
            </w:pPr>
            <w:r>
              <w:rPr>
                <w:color w:val="000000"/>
                <w:sz w:val="16"/>
                <w:szCs w:val="16"/>
              </w:rPr>
              <w:t>60.273</w:t>
            </w:r>
          </w:p>
        </w:tc>
        <w:tc>
          <w:tcPr>
            <w:tcW w:w="768" w:type="pct"/>
            <w:vAlign w:val="center"/>
          </w:tcPr>
          <w:p>
            <w:pPr>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Pr>
                <w:color w:val="000000"/>
                <w:sz w:val="16"/>
                <w:szCs w:val="16"/>
              </w:rPr>
              <w:t>68.139</w:t>
            </w:r>
          </w:p>
        </w:tc>
        <w:tc>
          <w:tcPr>
            <w:tcW w:w="767" w:type="pct"/>
            <w:vAlign w:val="center"/>
          </w:tcPr>
          <w:p>
            <w:pPr>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Pr>
                <w:color w:val="000000"/>
                <w:sz w:val="16"/>
                <w:szCs w:val="16"/>
              </w:rPr>
              <w:t>72.197</w:t>
            </w:r>
          </w:p>
        </w:tc>
      </w:tr>
      <w:tr>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222" w:type="pct"/>
            <w:hideMark/>
          </w:tcPr>
          <w:p>
            <w:pPr>
              <w:jc w:val="left"/>
              <w:rPr>
                <w:rFonts w:eastAsia="Times New Roman" w:cs="Arial"/>
                <w:b w:val="0"/>
                <w:bCs w:val="0"/>
                <w:sz w:val="18"/>
                <w:szCs w:val="18"/>
                <w:lang w:val="pt-BR" w:eastAsia="ro-RO"/>
              </w:rPr>
            </w:pPr>
            <w:r>
              <w:rPr>
                <w:noProof/>
                <w:sz w:val="18"/>
                <w:szCs w:val="18"/>
                <w:lang w:val="pt-BR"/>
              </w:rPr>
              <w:t>Tarif pentru transferul deşeurilor reziduale</w:t>
            </w:r>
          </w:p>
        </w:tc>
        <w:tc>
          <w:tcPr>
            <w:tcW w:w="719" w:type="pct"/>
            <w:noWrap/>
            <w:vAlign w:val="center"/>
          </w:tcPr>
          <w:p>
            <w:pPr>
              <w:jc w:val="right"/>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ro-RO"/>
              </w:rPr>
            </w:pPr>
            <w:r>
              <w:rPr>
                <w:color w:val="000000"/>
                <w:sz w:val="16"/>
                <w:szCs w:val="16"/>
              </w:rPr>
              <w:t>279.716</w:t>
            </w:r>
          </w:p>
        </w:tc>
        <w:tc>
          <w:tcPr>
            <w:tcW w:w="743" w:type="pct"/>
            <w:noWrap/>
            <w:vAlign w:val="center"/>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ro-RO"/>
              </w:rPr>
            </w:pPr>
            <w:r>
              <w:rPr>
                <w:color w:val="000000"/>
                <w:sz w:val="16"/>
                <w:szCs w:val="16"/>
              </w:rPr>
              <w:t>316.357</w:t>
            </w:r>
          </w:p>
        </w:tc>
        <w:tc>
          <w:tcPr>
            <w:tcW w:w="782" w:type="pct"/>
            <w:vAlign w:val="center"/>
          </w:tcPr>
          <w:p>
            <w:pPr>
              <w:jc w:val="right"/>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ro-RO"/>
              </w:rPr>
            </w:pPr>
            <w:r>
              <w:rPr>
                <w:color w:val="000000"/>
                <w:sz w:val="16"/>
                <w:szCs w:val="16"/>
              </w:rPr>
              <w:t>363.660</w:t>
            </w:r>
          </w:p>
        </w:tc>
        <w:tc>
          <w:tcPr>
            <w:tcW w:w="768" w:type="pct"/>
            <w:vAlign w:val="center"/>
          </w:tcPr>
          <w:p>
            <w:pPr>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Pr>
                <w:color w:val="000000"/>
                <w:sz w:val="16"/>
                <w:szCs w:val="16"/>
              </w:rPr>
              <w:t>411.115</w:t>
            </w:r>
          </w:p>
        </w:tc>
        <w:tc>
          <w:tcPr>
            <w:tcW w:w="767" w:type="pct"/>
            <w:vAlign w:val="center"/>
          </w:tcPr>
          <w:p>
            <w:pPr>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Pr>
                <w:color w:val="000000"/>
                <w:sz w:val="16"/>
                <w:szCs w:val="16"/>
              </w:rPr>
              <w:t>435.600</w:t>
            </w:r>
          </w:p>
        </w:tc>
      </w:tr>
      <w:tr>
        <w:trPr>
          <w:trHeight w:val="272"/>
        </w:trPr>
        <w:tc>
          <w:tcPr>
            <w:cnfStyle w:val="001000000000" w:firstRow="0" w:lastRow="0" w:firstColumn="1" w:lastColumn="0" w:oddVBand="0" w:evenVBand="0" w:oddHBand="0" w:evenHBand="0" w:firstRowFirstColumn="0" w:firstRowLastColumn="0" w:lastRowFirstColumn="0" w:lastRowLastColumn="0"/>
            <w:tcW w:w="1222" w:type="pct"/>
          </w:tcPr>
          <w:p>
            <w:pPr>
              <w:jc w:val="left"/>
              <w:rPr>
                <w:b w:val="0"/>
                <w:bCs w:val="0"/>
                <w:noProof/>
                <w:sz w:val="18"/>
                <w:szCs w:val="18"/>
              </w:rPr>
            </w:pPr>
            <w:r>
              <w:rPr>
                <w:noProof/>
                <w:sz w:val="18"/>
                <w:szCs w:val="18"/>
              </w:rPr>
              <w:t>Tariful de digestie anaerobă</w:t>
            </w:r>
          </w:p>
        </w:tc>
        <w:tc>
          <w:tcPr>
            <w:tcW w:w="719" w:type="pct"/>
            <w:noWrap/>
            <w:vAlign w:val="center"/>
          </w:tcPr>
          <w:p>
            <w:pPr>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Pr>
                <w:color w:val="000000"/>
                <w:sz w:val="16"/>
                <w:szCs w:val="16"/>
              </w:rPr>
              <w:t>3.234.329</w:t>
            </w:r>
          </w:p>
        </w:tc>
        <w:tc>
          <w:tcPr>
            <w:tcW w:w="743" w:type="pct"/>
            <w:noWrap/>
            <w:vAlign w:val="center"/>
          </w:tcPr>
          <w:p>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ro-RO"/>
              </w:rPr>
            </w:pPr>
            <w:r>
              <w:rPr>
                <w:color w:val="000000"/>
                <w:sz w:val="16"/>
                <w:szCs w:val="16"/>
              </w:rPr>
              <w:t>3.658.010</w:t>
            </w:r>
          </w:p>
        </w:tc>
        <w:tc>
          <w:tcPr>
            <w:tcW w:w="782" w:type="pct"/>
            <w:vAlign w:val="center"/>
          </w:tcPr>
          <w:p>
            <w:pPr>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Pr>
                <w:color w:val="000000"/>
                <w:sz w:val="16"/>
                <w:szCs w:val="16"/>
              </w:rPr>
              <w:t>4.204.967</w:t>
            </w:r>
          </w:p>
        </w:tc>
        <w:tc>
          <w:tcPr>
            <w:tcW w:w="768" w:type="pct"/>
            <w:vAlign w:val="center"/>
          </w:tcPr>
          <w:p>
            <w:pPr>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Pr>
                <w:color w:val="000000"/>
                <w:sz w:val="16"/>
                <w:szCs w:val="16"/>
              </w:rPr>
              <w:t>4.753.695</w:t>
            </w:r>
          </w:p>
        </w:tc>
        <w:tc>
          <w:tcPr>
            <w:tcW w:w="767" w:type="pct"/>
            <w:vAlign w:val="center"/>
          </w:tcPr>
          <w:p>
            <w:pPr>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Pr>
                <w:color w:val="000000"/>
                <w:sz w:val="16"/>
                <w:szCs w:val="16"/>
              </w:rPr>
              <w:t>5.036.806</w:t>
            </w:r>
          </w:p>
        </w:tc>
      </w:tr>
      <w:tr>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222" w:type="pct"/>
          </w:tcPr>
          <w:p>
            <w:pPr>
              <w:jc w:val="left"/>
              <w:rPr>
                <w:b w:val="0"/>
                <w:bCs w:val="0"/>
                <w:noProof/>
                <w:sz w:val="18"/>
                <w:szCs w:val="18"/>
              </w:rPr>
            </w:pPr>
            <w:r>
              <w:rPr>
                <w:noProof/>
                <w:sz w:val="18"/>
                <w:szCs w:val="18"/>
              </w:rPr>
              <w:t>Tariful de tratare mecano-biologică</w:t>
            </w:r>
          </w:p>
        </w:tc>
        <w:tc>
          <w:tcPr>
            <w:tcW w:w="719" w:type="pct"/>
            <w:noWrap/>
            <w:vAlign w:val="center"/>
          </w:tcPr>
          <w:p>
            <w:pPr>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Pr>
                <w:color w:val="000000"/>
                <w:sz w:val="16"/>
                <w:szCs w:val="16"/>
              </w:rPr>
              <w:t>2.699.701</w:t>
            </w:r>
          </w:p>
        </w:tc>
        <w:tc>
          <w:tcPr>
            <w:tcW w:w="743" w:type="pct"/>
            <w:noWrap/>
            <w:vAlign w:val="center"/>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ro-RO"/>
              </w:rPr>
            </w:pPr>
            <w:r>
              <w:rPr>
                <w:color w:val="000000"/>
                <w:sz w:val="16"/>
                <w:szCs w:val="16"/>
              </w:rPr>
              <w:t>3.053.348</w:t>
            </w:r>
          </w:p>
        </w:tc>
        <w:tc>
          <w:tcPr>
            <w:tcW w:w="782" w:type="pct"/>
            <w:vAlign w:val="center"/>
          </w:tcPr>
          <w:p>
            <w:pPr>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Pr>
                <w:color w:val="000000"/>
                <w:sz w:val="16"/>
                <w:szCs w:val="16"/>
              </w:rPr>
              <w:t>3.509.895</w:t>
            </w:r>
          </w:p>
        </w:tc>
        <w:tc>
          <w:tcPr>
            <w:tcW w:w="768" w:type="pct"/>
            <w:vAlign w:val="center"/>
          </w:tcPr>
          <w:p>
            <w:pPr>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Pr>
                <w:color w:val="000000"/>
                <w:sz w:val="16"/>
                <w:szCs w:val="16"/>
              </w:rPr>
              <w:t>3.967.919</w:t>
            </w:r>
          </w:p>
        </w:tc>
        <w:tc>
          <w:tcPr>
            <w:tcW w:w="767" w:type="pct"/>
            <w:vAlign w:val="center"/>
          </w:tcPr>
          <w:p>
            <w:pPr>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Pr>
                <w:color w:val="000000"/>
                <w:sz w:val="16"/>
                <w:szCs w:val="16"/>
              </w:rPr>
              <w:t>4.204.232</w:t>
            </w:r>
          </w:p>
        </w:tc>
      </w:tr>
      <w:tr>
        <w:trPr>
          <w:trHeight w:val="275"/>
        </w:trPr>
        <w:tc>
          <w:tcPr>
            <w:cnfStyle w:val="001000000000" w:firstRow="0" w:lastRow="0" w:firstColumn="1" w:lastColumn="0" w:oddVBand="0" w:evenVBand="0" w:oddHBand="0" w:evenHBand="0" w:firstRowFirstColumn="0" w:firstRowLastColumn="0" w:lastRowFirstColumn="0" w:lastRowLastColumn="0"/>
            <w:tcW w:w="1222" w:type="pct"/>
            <w:noWrap/>
            <w:hideMark/>
          </w:tcPr>
          <w:p>
            <w:pPr>
              <w:jc w:val="center"/>
              <w:rPr>
                <w:rFonts w:eastAsia="Times New Roman" w:cs="Arial"/>
                <w:sz w:val="18"/>
                <w:szCs w:val="18"/>
                <w:lang w:eastAsia="ro-RO"/>
              </w:rPr>
            </w:pPr>
            <w:r>
              <w:rPr>
                <w:rFonts w:eastAsia="Times New Roman" w:cs="Arial"/>
                <w:sz w:val="18"/>
                <w:szCs w:val="18"/>
                <w:lang w:eastAsia="ro-RO"/>
              </w:rPr>
              <w:t xml:space="preserve">TOTAL </w:t>
            </w:r>
          </w:p>
        </w:tc>
        <w:tc>
          <w:tcPr>
            <w:tcW w:w="719" w:type="pct"/>
            <w:noWrap/>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18"/>
                <w:szCs w:val="18"/>
                <w:lang w:eastAsia="ro-RO"/>
              </w:rPr>
            </w:pPr>
            <w:r>
              <w:rPr>
                <w:b/>
                <w:bCs/>
                <w:color w:val="000000"/>
                <w:sz w:val="16"/>
                <w:szCs w:val="16"/>
              </w:rPr>
              <w:t>6.260.105</w:t>
            </w:r>
          </w:p>
        </w:tc>
        <w:tc>
          <w:tcPr>
            <w:tcW w:w="743" w:type="pct"/>
            <w:noWrap/>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18"/>
                <w:szCs w:val="18"/>
                <w:lang w:eastAsia="ro-RO"/>
              </w:rPr>
            </w:pPr>
            <w:r>
              <w:rPr>
                <w:b/>
                <w:bCs/>
                <w:color w:val="000000"/>
                <w:sz w:val="16"/>
                <w:szCs w:val="16"/>
              </w:rPr>
              <w:t>7.080.148</w:t>
            </w:r>
          </w:p>
        </w:tc>
        <w:tc>
          <w:tcPr>
            <w:tcW w:w="782" w:type="pct"/>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18"/>
                <w:szCs w:val="18"/>
                <w:lang w:eastAsia="ro-RO"/>
              </w:rPr>
            </w:pPr>
            <w:r>
              <w:rPr>
                <w:b/>
                <w:bCs/>
                <w:color w:val="000000"/>
                <w:sz w:val="16"/>
                <w:szCs w:val="16"/>
              </w:rPr>
              <w:t>8.138.795</w:t>
            </w:r>
          </w:p>
        </w:tc>
        <w:tc>
          <w:tcPr>
            <w:tcW w:w="768" w:type="pct"/>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18"/>
                <w:szCs w:val="18"/>
                <w:lang w:eastAsia="ro-RO"/>
              </w:rPr>
            </w:pPr>
            <w:r>
              <w:rPr>
                <w:b/>
                <w:bCs/>
                <w:color w:val="000000"/>
                <w:sz w:val="16"/>
                <w:szCs w:val="16"/>
              </w:rPr>
              <w:t>9.200.868</w:t>
            </w:r>
          </w:p>
        </w:tc>
        <w:tc>
          <w:tcPr>
            <w:tcW w:w="767" w:type="pct"/>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18"/>
                <w:szCs w:val="18"/>
                <w:lang w:eastAsia="ro-RO"/>
              </w:rPr>
            </w:pPr>
            <w:r>
              <w:rPr>
                <w:b/>
                <w:bCs/>
                <w:color w:val="000000"/>
                <w:sz w:val="16"/>
                <w:szCs w:val="16"/>
              </w:rPr>
              <w:t>9.748.835</w:t>
            </w:r>
          </w:p>
        </w:tc>
      </w:tr>
    </w:tbl>
    <w:p>
      <w:pPr>
        <w:spacing w:before="120"/>
      </w:pPr>
    </w:p>
    <w:p>
      <w:pPr>
        <w:pStyle w:val="Caption"/>
        <w:spacing w:before="120" w:after="120" w:line="300" w:lineRule="auto"/>
        <w:jc w:val="both"/>
        <w:rPr>
          <w:color w:val="auto"/>
          <w:sz w:val="20"/>
          <w:szCs w:val="20"/>
        </w:rPr>
      </w:pPr>
      <w:bookmarkStart w:id="82" w:name="_Toc223014138"/>
      <w:r>
        <w:rPr>
          <w:color w:val="auto"/>
          <w:sz w:val="20"/>
          <w:szCs w:val="20"/>
        </w:rPr>
        <w:t>Valoarea redevenței inclusă în tarifele de operare în perioada 2030-2039 (2)</w:t>
      </w:r>
      <w:bookmarkEnd w:id="82"/>
    </w:p>
    <w:tbl>
      <w:tblPr>
        <w:tblStyle w:val="PlainTable1"/>
        <w:tblW w:w="5000" w:type="pct"/>
        <w:tblLayout w:type="fixed"/>
        <w:tblLook w:val="04A0" w:firstRow="1" w:lastRow="0" w:firstColumn="1" w:lastColumn="0" w:noHBand="0" w:noVBand="1"/>
      </w:tblPr>
      <w:tblGrid>
        <w:gridCol w:w="2345"/>
        <w:gridCol w:w="1381"/>
        <w:gridCol w:w="1427"/>
        <w:gridCol w:w="1502"/>
        <w:gridCol w:w="1475"/>
        <w:gridCol w:w="1475"/>
      </w:tblGrid>
      <w:tr>
        <w:trPr>
          <w:cnfStyle w:val="100000000000" w:firstRow="1" w:lastRow="0" w:firstColumn="0" w:lastColumn="0" w:oddVBand="0" w:evenVBand="0" w:oddHBand="0"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220" w:type="pct"/>
            <w:vMerge w:val="restart"/>
            <w:hideMark/>
          </w:tcPr>
          <w:p>
            <w:pPr>
              <w:jc w:val="center"/>
              <w:rPr>
                <w:rFonts w:eastAsia="Times New Roman" w:cs="Arial"/>
                <w:sz w:val="18"/>
                <w:szCs w:val="18"/>
                <w:lang w:eastAsia="ro-RO"/>
              </w:rPr>
            </w:pPr>
            <w:r>
              <w:rPr>
                <w:rFonts w:eastAsia="Times New Roman" w:cs="Arial"/>
                <w:sz w:val="18"/>
                <w:szCs w:val="18"/>
                <w:lang w:eastAsia="ro-RO"/>
              </w:rPr>
              <w:t>Tarifele pentru activitățile serviciului de operare</w:t>
            </w:r>
          </w:p>
        </w:tc>
        <w:tc>
          <w:tcPr>
            <w:tcW w:w="3780" w:type="pct"/>
            <w:gridSpan w:val="5"/>
          </w:tcPr>
          <w:p>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val="pt-BR" w:eastAsia="ro-RO"/>
              </w:rPr>
            </w:pPr>
            <w:r>
              <w:rPr>
                <w:rFonts w:eastAsia="Times New Roman" w:cs="Arial"/>
                <w:sz w:val="18"/>
                <w:szCs w:val="18"/>
                <w:lang w:val="pt-BR" w:eastAsia="ro-RO"/>
              </w:rPr>
              <w:t>Valoarea redevenței inclusă în tarifele pentru activitățile serviciului de salubrizare</w:t>
            </w:r>
          </w:p>
          <w:p>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8"/>
                <w:szCs w:val="18"/>
                <w:lang w:val="pt-BR" w:eastAsia="ro-RO"/>
              </w:rPr>
            </w:pPr>
            <w:r>
              <w:rPr>
                <w:rFonts w:eastAsia="Times New Roman" w:cs="Arial"/>
                <w:sz w:val="18"/>
                <w:szCs w:val="18"/>
                <w:lang w:val="pt-BR" w:eastAsia="ro-RO"/>
              </w:rPr>
              <w:t xml:space="preserve"> (lei/an, fără TVA)</w:t>
            </w:r>
          </w:p>
        </w:tc>
      </w:tr>
      <w:tr>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220" w:type="pct"/>
            <w:vMerge/>
          </w:tcPr>
          <w:p>
            <w:pPr>
              <w:jc w:val="center"/>
              <w:rPr>
                <w:rFonts w:eastAsia="Times New Roman" w:cs="Arial"/>
                <w:b w:val="0"/>
                <w:bCs w:val="0"/>
                <w:sz w:val="18"/>
                <w:szCs w:val="18"/>
                <w:lang w:val="pt-BR" w:eastAsia="ro-RO"/>
              </w:rPr>
            </w:pPr>
          </w:p>
        </w:tc>
        <w:tc>
          <w:tcPr>
            <w:tcW w:w="719" w:type="pct"/>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18"/>
                <w:szCs w:val="18"/>
                <w:lang w:eastAsia="ro-RO"/>
              </w:rPr>
            </w:pPr>
            <w:r>
              <w:rPr>
                <w:rFonts w:eastAsia="Times New Roman" w:cs="Arial"/>
                <w:b/>
                <w:bCs/>
                <w:sz w:val="18"/>
                <w:szCs w:val="18"/>
                <w:lang w:eastAsia="ro-RO"/>
              </w:rPr>
              <w:t>2035</w:t>
            </w:r>
          </w:p>
        </w:tc>
        <w:tc>
          <w:tcPr>
            <w:tcW w:w="743" w:type="pct"/>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18"/>
                <w:szCs w:val="18"/>
                <w:lang w:eastAsia="ro-RO"/>
              </w:rPr>
            </w:pPr>
            <w:r>
              <w:rPr>
                <w:rFonts w:eastAsia="Times New Roman" w:cs="Arial"/>
                <w:b/>
                <w:bCs/>
                <w:sz w:val="18"/>
                <w:szCs w:val="18"/>
                <w:lang w:eastAsia="ro-RO"/>
              </w:rPr>
              <w:t>2036</w:t>
            </w:r>
          </w:p>
        </w:tc>
        <w:tc>
          <w:tcPr>
            <w:tcW w:w="782" w:type="pct"/>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18"/>
                <w:szCs w:val="18"/>
                <w:lang w:eastAsia="ro-RO"/>
              </w:rPr>
            </w:pPr>
            <w:r>
              <w:rPr>
                <w:rFonts w:eastAsia="Times New Roman" w:cs="Arial"/>
                <w:b/>
                <w:bCs/>
                <w:sz w:val="18"/>
                <w:szCs w:val="18"/>
                <w:lang w:eastAsia="ro-RO"/>
              </w:rPr>
              <w:t>2037</w:t>
            </w:r>
          </w:p>
        </w:tc>
        <w:tc>
          <w:tcPr>
            <w:tcW w:w="768" w:type="pct"/>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18"/>
                <w:szCs w:val="18"/>
                <w:lang w:eastAsia="ro-RO"/>
              </w:rPr>
            </w:pPr>
            <w:r>
              <w:rPr>
                <w:rFonts w:eastAsia="Times New Roman" w:cs="Arial"/>
                <w:b/>
                <w:bCs/>
                <w:sz w:val="18"/>
                <w:szCs w:val="18"/>
                <w:lang w:eastAsia="ro-RO"/>
              </w:rPr>
              <w:t>2038</w:t>
            </w:r>
          </w:p>
        </w:tc>
        <w:tc>
          <w:tcPr>
            <w:tcW w:w="769" w:type="pct"/>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18"/>
                <w:szCs w:val="18"/>
                <w:lang w:eastAsia="ro-RO"/>
              </w:rPr>
            </w:pPr>
            <w:r>
              <w:rPr>
                <w:rFonts w:eastAsia="Times New Roman" w:cs="Arial"/>
                <w:b/>
                <w:bCs/>
                <w:sz w:val="18"/>
                <w:szCs w:val="18"/>
                <w:lang w:eastAsia="ro-RO"/>
              </w:rPr>
              <w:t>2039</w:t>
            </w:r>
          </w:p>
        </w:tc>
      </w:tr>
      <w:tr>
        <w:trPr>
          <w:trHeight w:val="260"/>
        </w:trPr>
        <w:tc>
          <w:tcPr>
            <w:cnfStyle w:val="001000000000" w:firstRow="0" w:lastRow="0" w:firstColumn="1" w:lastColumn="0" w:oddVBand="0" w:evenVBand="0" w:oddHBand="0" w:evenHBand="0" w:firstRowFirstColumn="0" w:firstRowLastColumn="0" w:lastRowFirstColumn="0" w:lastRowLastColumn="0"/>
            <w:tcW w:w="1220" w:type="pct"/>
            <w:hideMark/>
          </w:tcPr>
          <w:p>
            <w:pPr>
              <w:jc w:val="left"/>
              <w:rPr>
                <w:rFonts w:eastAsia="Times New Roman" w:cs="Arial"/>
                <w:b w:val="0"/>
                <w:bCs w:val="0"/>
                <w:sz w:val="18"/>
                <w:szCs w:val="18"/>
                <w:lang w:eastAsia="ro-RO"/>
              </w:rPr>
            </w:pPr>
            <w:r>
              <w:rPr>
                <w:noProof/>
                <w:sz w:val="18"/>
                <w:szCs w:val="18"/>
              </w:rPr>
              <w:t>Tarif pentru transferul deşeurilor de hârtie, metal, plastic şi sticlă</w:t>
            </w:r>
          </w:p>
        </w:tc>
        <w:tc>
          <w:tcPr>
            <w:tcW w:w="719" w:type="pct"/>
            <w:noWrap/>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ro-RO"/>
              </w:rPr>
            </w:pPr>
            <w:r>
              <w:rPr>
                <w:color w:val="000000"/>
                <w:sz w:val="16"/>
                <w:szCs w:val="16"/>
              </w:rPr>
              <w:t>78.452</w:t>
            </w:r>
          </w:p>
        </w:tc>
        <w:tc>
          <w:tcPr>
            <w:tcW w:w="743" w:type="pct"/>
            <w:noWrap/>
            <w:vAlign w:val="center"/>
          </w:tcPr>
          <w:p>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ro-RO"/>
              </w:rPr>
            </w:pPr>
            <w:r>
              <w:rPr>
                <w:color w:val="000000"/>
                <w:sz w:val="16"/>
                <w:szCs w:val="16"/>
              </w:rPr>
              <w:t>82.539</w:t>
            </w:r>
          </w:p>
        </w:tc>
        <w:tc>
          <w:tcPr>
            <w:tcW w:w="782" w:type="pct"/>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ro-RO"/>
              </w:rPr>
            </w:pPr>
            <w:r>
              <w:rPr>
                <w:color w:val="000000"/>
                <w:sz w:val="16"/>
                <w:szCs w:val="16"/>
              </w:rPr>
              <w:t>86.696</w:t>
            </w:r>
          </w:p>
        </w:tc>
        <w:tc>
          <w:tcPr>
            <w:tcW w:w="768" w:type="pct"/>
            <w:vAlign w:val="center"/>
          </w:tcPr>
          <w:p>
            <w:pPr>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Pr>
                <w:color w:val="000000"/>
                <w:sz w:val="16"/>
                <w:szCs w:val="16"/>
              </w:rPr>
              <w:t>90.926</w:t>
            </w:r>
          </w:p>
        </w:tc>
        <w:tc>
          <w:tcPr>
            <w:tcW w:w="769" w:type="pct"/>
            <w:vAlign w:val="center"/>
          </w:tcPr>
          <w:p>
            <w:pPr>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Pr>
                <w:color w:val="000000"/>
                <w:sz w:val="16"/>
                <w:szCs w:val="16"/>
              </w:rPr>
              <w:t>95.232</w:t>
            </w:r>
          </w:p>
        </w:tc>
      </w:tr>
      <w:tr>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220" w:type="pct"/>
            <w:hideMark/>
          </w:tcPr>
          <w:p>
            <w:pPr>
              <w:jc w:val="left"/>
              <w:rPr>
                <w:rFonts w:eastAsia="Times New Roman" w:cs="Arial"/>
                <w:b w:val="0"/>
                <w:bCs w:val="0"/>
                <w:sz w:val="18"/>
                <w:szCs w:val="18"/>
                <w:lang w:val="pt-BR" w:eastAsia="ro-RO"/>
              </w:rPr>
            </w:pPr>
            <w:r>
              <w:rPr>
                <w:noProof/>
                <w:sz w:val="18"/>
                <w:szCs w:val="18"/>
                <w:lang w:val="pt-BR"/>
              </w:rPr>
              <w:t>Tarif pentru transferul deşeurilor reziduale</w:t>
            </w:r>
          </w:p>
        </w:tc>
        <w:tc>
          <w:tcPr>
            <w:tcW w:w="719" w:type="pct"/>
            <w:noWrap/>
            <w:vAlign w:val="center"/>
          </w:tcPr>
          <w:p>
            <w:pPr>
              <w:jc w:val="right"/>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ro-RO"/>
              </w:rPr>
            </w:pPr>
            <w:r>
              <w:rPr>
                <w:color w:val="000000"/>
                <w:sz w:val="16"/>
                <w:szCs w:val="16"/>
              </w:rPr>
              <w:t>473.344</w:t>
            </w:r>
          </w:p>
        </w:tc>
        <w:tc>
          <w:tcPr>
            <w:tcW w:w="743" w:type="pct"/>
            <w:noWrap/>
            <w:vAlign w:val="center"/>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ro-RO"/>
              </w:rPr>
            </w:pPr>
            <w:r>
              <w:rPr>
                <w:color w:val="000000"/>
                <w:sz w:val="16"/>
                <w:szCs w:val="16"/>
              </w:rPr>
              <w:t>497.999</w:t>
            </w:r>
          </w:p>
        </w:tc>
        <w:tc>
          <w:tcPr>
            <w:tcW w:w="782" w:type="pct"/>
            <w:vAlign w:val="center"/>
          </w:tcPr>
          <w:p>
            <w:pPr>
              <w:jc w:val="right"/>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ro-RO"/>
              </w:rPr>
            </w:pPr>
            <w:r>
              <w:rPr>
                <w:color w:val="000000"/>
                <w:sz w:val="16"/>
                <w:szCs w:val="16"/>
              </w:rPr>
              <w:t>523.080</w:t>
            </w:r>
          </w:p>
        </w:tc>
        <w:tc>
          <w:tcPr>
            <w:tcW w:w="768" w:type="pct"/>
            <w:vAlign w:val="center"/>
          </w:tcPr>
          <w:p>
            <w:pPr>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Pr>
                <w:color w:val="000000"/>
                <w:sz w:val="16"/>
                <w:szCs w:val="16"/>
              </w:rPr>
              <w:t>548.604</w:t>
            </w:r>
          </w:p>
        </w:tc>
        <w:tc>
          <w:tcPr>
            <w:tcW w:w="769" w:type="pct"/>
            <w:vAlign w:val="center"/>
          </w:tcPr>
          <w:p>
            <w:pPr>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Pr>
                <w:color w:val="000000"/>
                <w:sz w:val="16"/>
                <w:szCs w:val="16"/>
              </w:rPr>
              <w:t>574.585</w:t>
            </w:r>
          </w:p>
        </w:tc>
      </w:tr>
      <w:tr>
        <w:trPr>
          <w:trHeight w:val="272"/>
        </w:trPr>
        <w:tc>
          <w:tcPr>
            <w:cnfStyle w:val="001000000000" w:firstRow="0" w:lastRow="0" w:firstColumn="1" w:lastColumn="0" w:oddVBand="0" w:evenVBand="0" w:oddHBand="0" w:evenHBand="0" w:firstRowFirstColumn="0" w:firstRowLastColumn="0" w:lastRowFirstColumn="0" w:lastRowLastColumn="0"/>
            <w:tcW w:w="1220" w:type="pct"/>
          </w:tcPr>
          <w:p>
            <w:pPr>
              <w:jc w:val="left"/>
              <w:rPr>
                <w:b w:val="0"/>
                <w:bCs w:val="0"/>
                <w:noProof/>
                <w:sz w:val="18"/>
                <w:szCs w:val="18"/>
              </w:rPr>
            </w:pPr>
            <w:r>
              <w:rPr>
                <w:noProof/>
                <w:sz w:val="18"/>
                <w:szCs w:val="18"/>
              </w:rPr>
              <w:t>Tariful de digestie anaerobă</w:t>
            </w:r>
          </w:p>
        </w:tc>
        <w:tc>
          <w:tcPr>
            <w:tcW w:w="719" w:type="pct"/>
            <w:noWrap/>
            <w:vAlign w:val="center"/>
          </w:tcPr>
          <w:p>
            <w:pPr>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Pr>
                <w:color w:val="000000"/>
                <w:sz w:val="16"/>
                <w:szCs w:val="16"/>
              </w:rPr>
              <w:t>5.473.244</w:t>
            </w:r>
          </w:p>
        </w:tc>
        <w:tc>
          <w:tcPr>
            <w:tcW w:w="743" w:type="pct"/>
            <w:noWrap/>
            <w:vAlign w:val="center"/>
          </w:tcPr>
          <w:p>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ro-RO"/>
              </w:rPr>
            </w:pPr>
            <w:r>
              <w:rPr>
                <w:color w:val="000000"/>
                <w:sz w:val="16"/>
                <w:szCs w:val="16"/>
              </w:rPr>
              <w:t>5.758.323</w:t>
            </w:r>
          </w:p>
        </w:tc>
        <w:tc>
          <w:tcPr>
            <w:tcW w:w="782" w:type="pct"/>
            <w:vAlign w:val="center"/>
          </w:tcPr>
          <w:p>
            <w:pPr>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Pr>
                <w:color w:val="000000"/>
                <w:sz w:val="16"/>
                <w:szCs w:val="16"/>
              </w:rPr>
              <w:t>6.048.336</w:t>
            </w:r>
          </w:p>
        </w:tc>
        <w:tc>
          <w:tcPr>
            <w:tcW w:w="768" w:type="pct"/>
            <w:vAlign w:val="center"/>
          </w:tcPr>
          <w:p>
            <w:pPr>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Pr>
                <w:color w:val="000000"/>
                <w:sz w:val="16"/>
                <w:szCs w:val="16"/>
              </w:rPr>
              <w:t>6.343.462</w:t>
            </w:r>
          </w:p>
        </w:tc>
        <w:tc>
          <w:tcPr>
            <w:tcW w:w="769" w:type="pct"/>
            <w:vAlign w:val="center"/>
          </w:tcPr>
          <w:p>
            <w:pPr>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Pr>
                <w:color w:val="000000"/>
                <w:sz w:val="16"/>
                <w:szCs w:val="16"/>
              </w:rPr>
              <w:t>6.643.884</w:t>
            </w:r>
          </w:p>
        </w:tc>
      </w:tr>
      <w:tr>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220" w:type="pct"/>
          </w:tcPr>
          <w:p>
            <w:pPr>
              <w:jc w:val="left"/>
              <w:rPr>
                <w:b w:val="0"/>
                <w:bCs w:val="0"/>
                <w:noProof/>
                <w:sz w:val="18"/>
                <w:szCs w:val="18"/>
              </w:rPr>
            </w:pPr>
            <w:r>
              <w:rPr>
                <w:noProof/>
                <w:sz w:val="18"/>
                <w:szCs w:val="18"/>
              </w:rPr>
              <w:t>Tariful de tratare mecano-biologică</w:t>
            </w:r>
          </w:p>
        </w:tc>
        <w:tc>
          <w:tcPr>
            <w:tcW w:w="719" w:type="pct"/>
            <w:noWrap/>
            <w:vAlign w:val="center"/>
          </w:tcPr>
          <w:p>
            <w:pPr>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Pr>
                <w:color w:val="000000"/>
                <w:sz w:val="16"/>
                <w:szCs w:val="16"/>
              </w:rPr>
              <w:t>4.568.528</w:t>
            </w:r>
          </w:p>
        </w:tc>
        <w:tc>
          <w:tcPr>
            <w:tcW w:w="743" w:type="pct"/>
            <w:noWrap/>
            <w:vAlign w:val="center"/>
          </w:tcPr>
          <w:p>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ro-RO"/>
              </w:rPr>
            </w:pPr>
            <w:r>
              <w:rPr>
                <w:color w:val="000000"/>
                <w:sz w:val="16"/>
                <w:szCs w:val="16"/>
              </w:rPr>
              <w:t>4.806.484</w:t>
            </w:r>
          </w:p>
        </w:tc>
        <w:tc>
          <w:tcPr>
            <w:tcW w:w="782" w:type="pct"/>
            <w:vAlign w:val="center"/>
          </w:tcPr>
          <w:p>
            <w:pPr>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Pr>
                <w:color w:val="000000"/>
                <w:sz w:val="16"/>
                <w:szCs w:val="16"/>
              </w:rPr>
              <w:t>5.048.558</w:t>
            </w:r>
          </w:p>
        </w:tc>
        <w:tc>
          <w:tcPr>
            <w:tcW w:w="768" w:type="pct"/>
            <w:vAlign w:val="center"/>
          </w:tcPr>
          <w:p>
            <w:pPr>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Pr>
                <w:color w:val="000000"/>
                <w:sz w:val="16"/>
                <w:szCs w:val="16"/>
              </w:rPr>
              <w:t>5.294.901</w:t>
            </w:r>
          </w:p>
        </w:tc>
        <w:tc>
          <w:tcPr>
            <w:tcW w:w="769" w:type="pct"/>
            <w:vAlign w:val="center"/>
          </w:tcPr>
          <w:p>
            <w:pPr>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Pr>
                <w:color w:val="000000"/>
                <w:sz w:val="16"/>
                <w:szCs w:val="16"/>
              </w:rPr>
              <w:t>5.545.664</w:t>
            </w:r>
          </w:p>
        </w:tc>
      </w:tr>
      <w:tr>
        <w:trPr>
          <w:trHeight w:val="275"/>
        </w:trPr>
        <w:tc>
          <w:tcPr>
            <w:cnfStyle w:val="001000000000" w:firstRow="0" w:lastRow="0" w:firstColumn="1" w:lastColumn="0" w:oddVBand="0" w:evenVBand="0" w:oddHBand="0" w:evenHBand="0" w:firstRowFirstColumn="0" w:firstRowLastColumn="0" w:lastRowFirstColumn="0" w:lastRowLastColumn="0"/>
            <w:tcW w:w="1220" w:type="pct"/>
            <w:noWrap/>
            <w:hideMark/>
          </w:tcPr>
          <w:p>
            <w:pPr>
              <w:jc w:val="center"/>
              <w:rPr>
                <w:rFonts w:eastAsia="Times New Roman" w:cs="Arial"/>
                <w:sz w:val="18"/>
                <w:szCs w:val="18"/>
                <w:lang w:eastAsia="ro-RO"/>
              </w:rPr>
            </w:pPr>
            <w:r>
              <w:rPr>
                <w:rFonts w:eastAsia="Times New Roman" w:cs="Arial"/>
                <w:sz w:val="18"/>
                <w:szCs w:val="18"/>
                <w:lang w:eastAsia="ro-RO"/>
              </w:rPr>
              <w:t xml:space="preserve">TOTAL </w:t>
            </w:r>
          </w:p>
        </w:tc>
        <w:tc>
          <w:tcPr>
            <w:tcW w:w="719" w:type="pct"/>
            <w:noWrap/>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18"/>
                <w:szCs w:val="18"/>
                <w:lang w:eastAsia="ro-RO"/>
              </w:rPr>
            </w:pPr>
            <w:r>
              <w:rPr>
                <w:b/>
                <w:bCs/>
                <w:color w:val="000000"/>
                <w:sz w:val="16"/>
                <w:szCs w:val="16"/>
              </w:rPr>
              <w:t>10.593.569</w:t>
            </w:r>
          </w:p>
        </w:tc>
        <w:tc>
          <w:tcPr>
            <w:tcW w:w="743" w:type="pct"/>
            <w:noWrap/>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18"/>
                <w:szCs w:val="18"/>
                <w:lang w:eastAsia="ro-RO"/>
              </w:rPr>
            </w:pPr>
            <w:r>
              <w:rPr>
                <w:b/>
                <w:bCs/>
                <w:color w:val="000000"/>
                <w:sz w:val="16"/>
                <w:szCs w:val="16"/>
              </w:rPr>
              <w:t>11.145.344</w:t>
            </w:r>
          </w:p>
        </w:tc>
        <w:tc>
          <w:tcPr>
            <w:tcW w:w="782" w:type="pct"/>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18"/>
                <w:szCs w:val="18"/>
                <w:lang w:eastAsia="ro-RO"/>
              </w:rPr>
            </w:pPr>
            <w:r>
              <w:rPr>
                <w:b/>
                <w:bCs/>
                <w:color w:val="000000"/>
                <w:sz w:val="16"/>
                <w:szCs w:val="16"/>
              </w:rPr>
              <w:t>11.706.670</w:t>
            </w:r>
          </w:p>
        </w:tc>
        <w:tc>
          <w:tcPr>
            <w:tcW w:w="768" w:type="pct"/>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18"/>
                <w:szCs w:val="18"/>
                <w:lang w:eastAsia="ro-RO"/>
              </w:rPr>
            </w:pPr>
            <w:r>
              <w:rPr>
                <w:b/>
                <w:bCs/>
                <w:color w:val="000000"/>
                <w:sz w:val="16"/>
                <w:szCs w:val="16"/>
              </w:rPr>
              <w:t>12.277.892</w:t>
            </w:r>
          </w:p>
        </w:tc>
        <w:tc>
          <w:tcPr>
            <w:tcW w:w="769" w:type="pct"/>
            <w:vAlign w:val="center"/>
          </w:tcPr>
          <w:p>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18"/>
                <w:szCs w:val="18"/>
                <w:lang w:eastAsia="ro-RO"/>
              </w:rPr>
            </w:pPr>
            <w:r>
              <w:rPr>
                <w:b/>
                <w:bCs/>
                <w:color w:val="000000"/>
                <w:sz w:val="16"/>
                <w:szCs w:val="16"/>
              </w:rPr>
              <w:t>12.859.365</w:t>
            </w:r>
          </w:p>
        </w:tc>
      </w:tr>
    </w:tbl>
    <w:p>
      <w:pPr>
        <w:tabs>
          <w:tab w:val="left" w:pos="2294"/>
        </w:tabs>
        <w:rPr>
          <w:sz w:val="20"/>
          <w:szCs w:val="20"/>
          <w:lang w:val="ro-RO"/>
        </w:rPr>
      </w:pPr>
    </w:p>
    <w:p>
      <w:pPr>
        <w:tabs>
          <w:tab w:val="left" w:pos="2294"/>
        </w:tabs>
        <w:rPr>
          <w:sz w:val="20"/>
          <w:szCs w:val="20"/>
          <w:lang w:val="ro-RO"/>
        </w:rPr>
      </w:pPr>
      <w:r>
        <w:rPr>
          <w:sz w:val="20"/>
          <w:szCs w:val="20"/>
          <w:lang w:val="ro-RO"/>
        </w:rPr>
        <w:t>Modul de distribuire a cheltuielilor comune rămâne la latitudinea ofertanților, dar trebuie prezentat și explicat în oferta financiară astfel încât să poată fi verificat de către Autoritățile Contractante.</w:t>
      </w:r>
    </w:p>
    <w:p>
      <w:pPr>
        <w:tabs>
          <w:tab w:val="left" w:pos="2294"/>
        </w:tabs>
        <w:rPr>
          <w:sz w:val="20"/>
          <w:szCs w:val="20"/>
          <w:lang w:val="ro-RO"/>
        </w:rPr>
      </w:pPr>
      <w:r>
        <w:rPr>
          <w:sz w:val="20"/>
          <w:szCs w:val="20"/>
          <w:lang w:val="ro-RO"/>
        </w:rPr>
        <w:t xml:space="preserve">Se poate avea în vedere media anuală a cheltuielilor care sunt efectuate în primul an (autorizări, certificări, instalări etc.) dar care acoperă mai mulți ani pentru a fi cuprinsă în tarif, iar ofertanții </w:t>
      </w:r>
      <w:r>
        <w:rPr>
          <w:sz w:val="20"/>
          <w:szCs w:val="20"/>
          <w:lang w:val="ro-RO"/>
        </w:rPr>
        <w:lastRenderedPageBreak/>
        <w:t>trebuie să ofere toate informațiile necesare pentru a putea fi verificată suma inclusă în tarif (ex.: valoarea totală, numărul de ani la care se referă).</w:t>
      </w:r>
    </w:p>
    <w:p>
      <w:pPr>
        <w:tabs>
          <w:tab w:val="left" w:pos="2294"/>
        </w:tabs>
        <w:rPr>
          <w:sz w:val="20"/>
          <w:szCs w:val="20"/>
          <w:lang w:val="ro-RO"/>
        </w:rPr>
      </w:pPr>
      <w:r>
        <w:rPr>
          <w:sz w:val="20"/>
          <w:szCs w:val="20"/>
          <w:lang w:val="ro-RO"/>
        </w:rPr>
        <w:t xml:space="preserve">În calculul tarifelor NU se vor avea în vedere veniturile din valorificarea deșeurilor reciclabile obținute, veniturile din compostul valorificat și veniturile din valorificarea energiei electrice. </w:t>
      </w:r>
      <w:r>
        <w:rPr>
          <w:sz w:val="20"/>
          <w:lang w:val="ro-RO"/>
        </w:rPr>
        <w:t>Veniturile realizate de operator din vânzarea/valorificarea deșeurilor reciclabile, a digestatului și a surplusului de energie se vor raporta lunar delegatarului și vor fi utilizate de către operator, în vederea acoperirii diferenței de tarif dintre tariful de operare și tariful de facturare aprobat de delegatar, în conformitate cu prevederile art. 44 alin. (5) – (7) din Legea nr. 101/2006, republicată, cu modificările și completările ulterioare.</w:t>
      </w:r>
    </w:p>
    <w:p>
      <w:pPr>
        <w:tabs>
          <w:tab w:val="left" w:pos="2294"/>
        </w:tabs>
        <w:rPr>
          <w:sz w:val="20"/>
          <w:szCs w:val="20"/>
          <w:lang w:val="ro-RO"/>
        </w:rPr>
      </w:pPr>
      <w:r>
        <w:rPr>
          <w:sz w:val="20"/>
          <w:szCs w:val="20"/>
          <w:lang w:val="ro-RO"/>
        </w:rPr>
        <w:t>Valorificarea în agricultură a digestatului din biodeseuri colectate separat, compostat, cade in sarcina operatorului TMB, care raportează către ADI cantitățile valorificate și sumele aferente. Costurile aferente activitatii de valorificare (promovare, analize, transport etc) se includ în linia 1.11.4 din Fisa de fundamentare a tarifului E.</w:t>
      </w:r>
    </w:p>
    <w:p>
      <w:pPr>
        <w:tabs>
          <w:tab w:val="left" w:pos="2294"/>
        </w:tabs>
        <w:rPr>
          <w:sz w:val="20"/>
          <w:szCs w:val="20"/>
          <w:lang w:val="ro-RO"/>
        </w:rPr>
      </w:pPr>
      <w:r>
        <w:rPr>
          <w:sz w:val="20"/>
          <w:szCs w:val="20"/>
          <w:lang w:val="ro-RO"/>
        </w:rPr>
        <w:t>Menționăm că, pentru activitățile de gestionare a deșeurilor pentru care contractul de delegare este semnat cu ADI, în numele și pe seama UAT-urilor, ADI este plătitoare de TVA, deci regimul TVA este cel prevăzut de Legea nr. 227/2015, cu modificările și completările ulterioare, Titlul VII.</w:t>
      </w:r>
    </w:p>
    <w:p>
      <w:pPr>
        <w:tabs>
          <w:tab w:val="left" w:pos="2294"/>
        </w:tabs>
        <w:rPr>
          <w:sz w:val="20"/>
          <w:szCs w:val="20"/>
          <w:lang w:val="ro-RO"/>
        </w:rPr>
      </w:pPr>
    </w:p>
    <w:p>
      <w:pPr>
        <w:pStyle w:val="Heading2"/>
        <w:rPr>
          <w:sz w:val="20"/>
          <w:szCs w:val="20"/>
          <w:lang w:val="ro-RO"/>
        </w:rPr>
      </w:pPr>
      <w:bookmarkStart w:id="83" w:name="_Toc227161556"/>
      <w:r>
        <w:rPr>
          <w:sz w:val="20"/>
          <w:szCs w:val="20"/>
          <w:lang w:val="ro-RO"/>
        </w:rPr>
        <w:t>3.5 INFORMATII PRIVIND OFERTA TEHNICĂ</w:t>
      </w:r>
      <w:bookmarkEnd w:id="83"/>
    </w:p>
    <w:p>
      <w:pPr>
        <w:tabs>
          <w:tab w:val="left" w:pos="2294"/>
        </w:tabs>
        <w:rPr>
          <w:sz w:val="20"/>
          <w:szCs w:val="20"/>
          <w:lang w:val="ro-RO"/>
        </w:rPr>
      </w:pPr>
      <w:r>
        <w:rPr>
          <w:sz w:val="20"/>
          <w:szCs w:val="20"/>
          <w:lang w:val="ro-RO"/>
        </w:rPr>
        <w:t>Prin faptul că realizarea instalaţiilor face parte dintr-un contract de proiectare-execuţie-operare, Delegatarul nu consideră necesară prezentarea în oferta tehnică a procedurilor de operare a instalaţiilor care fac obiectul contractului. Calificarea unui Ofertant pentru a depune o oferta, prin aplicarea criteriilor prezentate în Instructiunile pentru Ofertanti, implică faptul că respectivul Ofertant deţine suficientă experienţă în practica operării, continuând operarea unor instalaţii proiectate şi executate de sine însuşi şi având deja implementate sistemele de management al calităţii şi al mediului</w:t>
      </w:r>
    </w:p>
    <w:p>
      <w:pPr>
        <w:tabs>
          <w:tab w:val="left" w:pos="2294"/>
        </w:tabs>
        <w:rPr>
          <w:sz w:val="20"/>
          <w:szCs w:val="20"/>
          <w:lang w:val="ro-RO"/>
        </w:rPr>
      </w:pPr>
      <w:r>
        <w:rPr>
          <w:sz w:val="20"/>
          <w:szCs w:val="20"/>
          <w:lang w:val="ro-RO"/>
        </w:rPr>
        <w:t>În consecinţă nu este necesar ca oferta tehnică să cuprindă detalii referitoare la procedurile de furnizare a serviciilor (ex. proceduri recepţie deşeuri, proceduri înregistrare date, proceduri operare instalaţii etc.). Ofertantul trebuie sa aibă în vedere ca, costurile cu aplicarea acestor proceduri trebuie să se regăsească în Oferta financiară.</w:t>
      </w:r>
    </w:p>
    <w:p>
      <w:pPr>
        <w:tabs>
          <w:tab w:val="left" w:pos="2294"/>
        </w:tabs>
        <w:rPr>
          <w:sz w:val="20"/>
          <w:szCs w:val="20"/>
          <w:lang w:val="ro-RO"/>
        </w:rPr>
      </w:pPr>
      <w:r>
        <w:rPr>
          <w:sz w:val="20"/>
          <w:szCs w:val="20"/>
          <w:lang w:val="ro-RO"/>
        </w:rPr>
        <w:t>Operatorii echipamentelor și instalațiilor, cât și muncitorii necalificați, pot fi utilizați pentru mai multe activități similare (în cadrul acestui contract) din incinta amplasamentului în măsura în care norma de lucru și calificarea acestora o permite,</w:t>
      </w:r>
      <w:r>
        <w:rPr>
          <w:lang w:val="ro-RO"/>
        </w:rPr>
        <w:t xml:space="preserve"> </w:t>
      </w:r>
      <w:r>
        <w:rPr>
          <w:sz w:val="20"/>
          <w:szCs w:val="20"/>
          <w:lang w:val="ro-RO"/>
        </w:rPr>
        <w:t>dar nu pentru alte activități ale ofertantului în afara contractului. Modul de utilizare a forței de munca trebuie explicat în oferta tehnică și financiară (costurile cu forța de munca) de către ofertant.</w:t>
      </w:r>
    </w:p>
    <w:p>
      <w:pPr>
        <w:tabs>
          <w:tab w:val="left" w:pos="2294"/>
        </w:tabs>
        <w:rPr>
          <w:sz w:val="20"/>
          <w:szCs w:val="20"/>
          <w:lang w:val="ro-RO"/>
        </w:rPr>
      </w:pPr>
      <w:r>
        <w:rPr>
          <w:sz w:val="20"/>
          <w:szCs w:val="20"/>
          <w:lang w:val="ro-RO"/>
        </w:rPr>
        <w:t>Acest fapt nu exclude aplicarea procedurilor de operare şi respectarea tuturor cerinţelor prevederilor legale aplicabile la data depunerii Ofertei, precum şi aplicarea în practică a modificărilor şi completărilor ulterioare.</w:t>
      </w:r>
    </w:p>
    <w:p>
      <w:pPr>
        <w:tabs>
          <w:tab w:val="left" w:pos="2294"/>
        </w:tabs>
        <w:rPr>
          <w:sz w:val="20"/>
          <w:szCs w:val="20"/>
          <w:lang w:val="ro-RO"/>
        </w:rPr>
      </w:pPr>
      <w:r>
        <w:rPr>
          <w:sz w:val="20"/>
          <w:szCs w:val="20"/>
          <w:lang w:val="ro-RO"/>
        </w:rPr>
        <w:t>Delegatarul îşi rezervă dreptul de a solicita clarificări ale aspectelor prezentate în Oferta tehnică, Ofertanţii fiind obligaţi să răspundă în condiţiile stabilite în Fişa de date şi în termenele ce vor fi comunicate.</w:t>
      </w:r>
    </w:p>
    <w:p>
      <w:pPr>
        <w:tabs>
          <w:tab w:val="left" w:pos="2294"/>
        </w:tabs>
        <w:rPr>
          <w:sz w:val="20"/>
          <w:szCs w:val="20"/>
          <w:lang w:val="ro-RO"/>
        </w:rPr>
      </w:pPr>
    </w:p>
    <w:p>
      <w:pPr>
        <w:tabs>
          <w:tab w:val="left" w:pos="2294"/>
        </w:tabs>
        <w:rPr>
          <w:sz w:val="20"/>
          <w:szCs w:val="20"/>
          <w:u w:val="single"/>
          <w:lang w:val="ro-RO"/>
        </w:rPr>
      </w:pPr>
      <w:r>
        <w:rPr>
          <w:sz w:val="20"/>
          <w:szCs w:val="20"/>
          <w:u w:val="single"/>
          <w:lang w:val="ro-RO"/>
        </w:rPr>
        <w:t>Autoritatea contractantă atrage atenţia tuturor ofertanţilor asupra necesităţii corelării tuturor activităţilor şi aspectelor prezentate în Oferta Tehnică cu modelul financiar solicitat în Oferta Financiară. Toate activităţile şi aspectele tehnice trebuie incluse în Fișa de fundamentare a tarifelor pentru activitățile serviciului de salubrizare.</w:t>
      </w:r>
    </w:p>
    <w:p>
      <w:pPr>
        <w:tabs>
          <w:tab w:val="left" w:pos="2294"/>
        </w:tabs>
        <w:rPr>
          <w:sz w:val="20"/>
          <w:szCs w:val="20"/>
          <w:u w:val="single"/>
          <w:lang w:val="ro-RO"/>
        </w:rPr>
      </w:pPr>
    </w:p>
    <w:p>
      <w:pPr>
        <w:tabs>
          <w:tab w:val="left" w:pos="2294"/>
        </w:tabs>
        <w:rPr>
          <w:b/>
          <w:sz w:val="20"/>
          <w:szCs w:val="20"/>
          <w:u w:val="single"/>
          <w:lang w:val="ro-RO"/>
        </w:rPr>
      </w:pPr>
      <w:r>
        <w:rPr>
          <w:b/>
          <w:sz w:val="20"/>
          <w:szCs w:val="20"/>
          <w:u w:val="single"/>
          <w:lang w:val="ro-RO"/>
        </w:rPr>
        <w:t>Tarifele maxime pentru fiecare activitate acceptate sunt prezentate în Fişa de date. Tarifele prezentate nu conţin TVA.</w:t>
      </w:r>
    </w:p>
    <w:p>
      <w:pPr>
        <w:tabs>
          <w:tab w:val="left" w:pos="2294"/>
        </w:tabs>
        <w:rPr>
          <w:b/>
          <w:sz w:val="20"/>
          <w:szCs w:val="20"/>
          <w:u w:val="single"/>
          <w:lang w:val="ro-RO"/>
        </w:rPr>
      </w:pPr>
    </w:p>
    <w:p>
      <w:pPr>
        <w:tabs>
          <w:tab w:val="left" w:pos="2294"/>
        </w:tabs>
        <w:rPr>
          <w:sz w:val="20"/>
          <w:szCs w:val="20"/>
          <w:u w:val="single"/>
          <w:lang w:val="ro-RO"/>
        </w:rPr>
      </w:pPr>
      <w:r>
        <w:rPr>
          <w:sz w:val="20"/>
          <w:szCs w:val="20"/>
          <w:u w:val="single"/>
          <w:lang w:val="ro-RO"/>
        </w:rPr>
        <w:lastRenderedPageBreak/>
        <w:t>În cazul în care activităţile prezentate în Oferta Tehnică nu se regăsesc în modelul financiar de calcul al tarifelor, oferta este considerată neconformă.</w:t>
      </w:r>
    </w:p>
    <w:p>
      <w:pPr>
        <w:tabs>
          <w:tab w:val="left" w:pos="2294"/>
        </w:tabs>
        <w:rPr>
          <w:sz w:val="20"/>
          <w:szCs w:val="20"/>
          <w:u w:val="single"/>
          <w:lang w:val="ro-RO"/>
        </w:rPr>
      </w:pPr>
      <w:r>
        <w:rPr>
          <w:sz w:val="20"/>
          <w:szCs w:val="20"/>
          <w:lang w:val="ro-RO"/>
        </w:rPr>
        <w:t xml:space="preserve">Realizarea Ofertei tehnice trebuie să ia în considerare conţinutul minim solicitat prin </w:t>
      </w:r>
      <w:r>
        <w:rPr>
          <w:sz w:val="20"/>
          <w:szCs w:val="20"/>
          <w:u w:val="single"/>
          <w:lang w:val="ro-RO"/>
        </w:rPr>
        <w:t>Formularul 10 Propunerea Tehnica.</w:t>
      </w:r>
    </w:p>
    <w:p>
      <w:pPr>
        <w:spacing w:after="160" w:line="259" w:lineRule="auto"/>
        <w:jc w:val="left"/>
        <w:rPr>
          <w:sz w:val="20"/>
          <w:szCs w:val="20"/>
          <w:lang w:val="ro-RO"/>
        </w:rPr>
      </w:pPr>
      <w:bookmarkStart w:id="84" w:name="_GoBack"/>
      <w:bookmarkEnd w:id="84"/>
    </w:p>
    <w:sectPr>
      <w:pgSz w:w="11906" w:h="16838"/>
      <w:pgMar w:top="1134" w:right="851" w:bottom="851" w:left="1440" w:header="709"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pPr>
      <w:r>
        <w:separator/>
      </w:r>
    </w:p>
  </w:endnote>
  <w:endnote w:type="continuationSeparator" w:id="0">
    <w:p>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MS">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jc w:val="center"/>
      <w:rPr>
        <w:sz w:val="20"/>
        <w:szCs w:val="20"/>
      </w:rPr>
    </w:pPr>
  </w:p>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pPr>
      <w:r>
        <w:separator/>
      </w:r>
    </w:p>
  </w:footnote>
  <w:footnote w:type="continuationSeparator" w:id="0">
    <w:p>
      <w:pPr>
        <w:spacing w:after="0"/>
      </w:pPr>
      <w:r>
        <w:continuationSeparator/>
      </w:r>
    </w:p>
  </w:footnote>
  <w:footnote w:id="1">
    <w:p>
      <w:pPr>
        <w:pStyle w:val="FootnoteText"/>
        <w:rPr>
          <w:sz w:val="18"/>
          <w:szCs w:val="18"/>
          <w:lang w:val="ro-RO"/>
        </w:rPr>
      </w:pPr>
      <w:r>
        <w:rPr>
          <w:rStyle w:val="FootnoteReference"/>
          <w:sz w:val="18"/>
          <w:szCs w:val="18"/>
        </w:rPr>
        <w:footnoteRef/>
      </w:r>
      <w:r>
        <w:rPr>
          <w:sz w:val="18"/>
          <w:szCs w:val="18"/>
        </w:rPr>
        <w:t xml:space="preserve"> </w:t>
      </w:r>
      <w:r>
        <w:rPr>
          <w:sz w:val="18"/>
          <w:szCs w:val="18"/>
          <w:lang w:val="ro-RO"/>
        </w:rPr>
        <w:t>Anul 2030 este considerat primul an de funcționare a instalației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Bdr>
        <w:top w:val="single" w:sz="4" w:space="0" w:color="auto"/>
      </w:pBdr>
      <w:tabs>
        <w:tab w:val="center" w:pos="4320"/>
        <w:tab w:val="right" w:pos="8640"/>
      </w:tabs>
      <w:spacing w:after="0"/>
      <w:jc w:val="center"/>
      <w:outlineLvl w:val="0"/>
      <w:rPr>
        <w:rFonts w:ascii="Arial" w:eastAsia="Times New Roman" w:hAnsi="Arial" w:cs="Times New Roman"/>
        <w:b/>
        <w:noProof/>
        <w:sz w:val="28"/>
        <w:szCs w:val="28"/>
      </w:rPr>
    </w:pPr>
    <w:r>
      <w:rPr>
        <w:rFonts w:ascii="Arial" w:eastAsia="Times New Roman" w:hAnsi="Arial" w:cs="Times New Roman"/>
        <w:b/>
        <w:noProof/>
        <w:sz w:val="28"/>
        <w:szCs w:val="28"/>
      </w:rPr>
      <w:t>HOTÃRÂREA NR. ________din_______________2026</w:t>
    </w:r>
  </w:p>
  <w:p>
    <w:pPr>
      <w:pBdr>
        <w:bottom w:val="single" w:sz="4" w:space="1" w:color="auto"/>
      </w:pBdr>
      <w:tabs>
        <w:tab w:val="center" w:pos="4320"/>
        <w:tab w:val="right" w:pos="8640"/>
      </w:tabs>
      <w:spacing w:after="0"/>
      <w:jc w:val="center"/>
      <w:rPr>
        <w:rFonts w:ascii="Arial" w:eastAsia="Times New Roman" w:hAnsi="Arial" w:cs="Times New Roman"/>
        <w:b/>
        <w:sz w:val="28"/>
        <w:szCs w:val="28"/>
      </w:rPr>
    </w:pPr>
    <w:r>
      <w:rPr>
        <w:rFonts w:ascii="Arial" w:eastAsia="Times New Roman" w:hAnsi="Arial" w:cs="Times New Roman"/>
        <w:b/>
        <w:noProof/>
        <w:sz w:val="28"/>
        <w:szCs w:val="28"/>
      </w:rPr>
      <w:t xml:space="preserve">Pag. nr. </w:t>
    </w:r>
    <w:r>
      <w:rPr>
        <w:rFonts w:ascii="Arial" w:eastAsia="Times New Roman" w:hAnsi="Arial" w:cs="Times New Roman"/>
        <w:b/>
        <w:sz w:val="28"/>
        <w:szCs w:val="28"/>
      </w:rPr>
      <w:fldChar w:fldCharType="begin"/>
    </w:r>
    <w:r>
      <w:rPr>
        <w:rFonts w:ascii="Arial" w:eastAsia="Times New Roman" w:hAnsi="Arial" w:cs="Times New Roman"/>
        <w:b/>
        <w:sz w:val="28"/>
        <w:szCs w:val="28"/>
      </w:rPr>
      <w:instrText xml:space="preserve"> PAGE </w:instrText>
    </w:r>
    <w:r>
      <w:rPr>
        <w:rFonts w:ascii="Arial" w:eastAsia="Times New Roman" w:hAnsi="Arial" w:cs="Times New Roman"/>
        <w:b/>
        <w:sz w:val="28"/>
        <w:szCs w:val="28"/>
      </w:rPr>
      <w:fldChar w:fldCharType="separate"/>
    </w:r>
    <w:r>
      <w:rPr>
        <w:rFonts w:ascii="Arial" w:eastAsia="Times New Roman" w:hAnsi="Arial" w:cs="Times New Roman"/>
        <w:b/>
        <w:noProof/>
        <w:sz w:val="28"/>
        <w:szCs w:val="28"/>
      </w:rPr>
      <w:t>246</w:t>
    </w:r>
    <w:r>
      <w:rPr>
        <w:rFonts w:ascii="Arial" w:eastAsia="Times New Roman" w:hAnsi="Arial" w:cs="Times New Roman"/>
        <w:b/>
        <w:sz w:val="28"/>
        <w:szCs w:val="28"/>
      </w:rPr>
      <w:fldChar w:fldCharType="end"/>
    </w:r>
  </w:p>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05E18"/>
    <w:multiLevelType w:val="hybridMultilevel"/>
    <w:tmpl w:val="0EAAF4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9">
      <w:start w:val="1"/>
      <w:numFmt w:val="lowerLetter"/>
      <w:lvlText w:val="%3."/>
      <w:lvlJc w:val="lef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1205E5E"/>
    <w:multiLevelType w:val="hybridMultilevel"/>
    <w:tmpl w:val="E77C1DEA"/>
    <w:lvl w:ilvl="0" w:tplc="859E987C">
      <w:start w:val="65535"/>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38522E"/>
    <w:multiLevelType w:val="hybridMultilevel"/>
    <w:tmpl w:val="125A899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B216D2"/>
    <w:multiLevelType w:val="multilevel"/>
    <w:tmpl w:val="17E40A70"/>
    <w:lvl w:ilvl="0">
      <w:start w:val="1"/>
      <w:numFmt w:val="decimal"/>
      <w:lvlText w:val="Art.%1"/>
      <w:lvlJc w:val="left"/>
      <w:pPr>
        <w:ind w:left="0" w:firstLine="0"/>
      </w:pPr>
      <w:rPr>
        <w:rFonts w:ascii="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hint="default"/>
        <w:b w:val="0"/>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0"/>
        <w:szCs w:val="20"/>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4352421"/>
    <w:multiLevelType w:val="hybridMultilevel"/>
    <w:tmpl w:val="913415EE"/>
    <w:lvl w:ilvl="0" w:tplc="BF800B68">
      <w:numFmt w:val="bullet"/>
      <w:lvlText w:val="•"/>
      <w:lvlJc w:val="left"/>
      <w:pPr>
        <w:ind w:left="720" w:hanging="360"/>
      </w:pPr>
      <w:rPr>
        <w:rFonts w:ascii="Verdana" w:eastAsiaTheme="minorHAnsi" w:hAnsi="Verdana"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5F828C3"/>
    <w:multiLevelType w:val="hybridMultilevel"/>
    <w:tmpl w:val="DC0C5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170D50"/>
    <w:multiLevelType w:val="hybridMultilevel"/>
    <w:tmpl w:val="C60C5750"/>
    <w:lvl w:ilvl="0" w:tplc="859E987C">
      <w:start w:val="65535"/>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83228D"/>
    <w:multiLevelType w:val="hybridMultilevel"/>
    <w:tmpl w:val="8C82F532"/>
    <w:lvl w:ilvl="0" w:tplc="BF800B68">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F93D12"/>
    <w:multiLevelType w:val="hybridMultilevel"/>
    <w:tmpl w:val="32A09CBE"/>
    <w:lvl w:ilvl="0" w:tplc="859E987C">
      <w:start w:val="65535"/>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332DB0"/>
    <w:multiLevelType w:val="hybridMultilevel"/>
    <w:tmpl w:val="F9643E8C"/>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445565F"/>
    <w:multiLevelType w:val="hybridMultilevel"/>
    <w:tmpl w:val="A0E01AEE"/>
    <w:lvl w:ilvl="0" w:tplc="859E987C">
      <w:start w:val="65535"/>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BD198D"/>
    <w:multiLevelType w:val="hybridMultilevel"/>
    <w:tmpl w:val="DDE2C7E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9">
      <w:start w:val="1"/>
      <w:numFmt w:val="lowerLetter"/>
      <w:lvlText w:val="%3."/>
      <w:lvlJc w:val="lef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19CC6BE1"/>
    <w:multiLevelType w:val="hybridMultilevel"/>
    <w:tmpl w:val="D94A6B9E"/>
    <w:lvl w:ilvl="0" w:tplc="859E987C">
      <w:start w:val="65535"/>
      <w:numFmt w:val="bullet"/>
      <w:lvlText w:val="•"/>
      <w:lvlJc w:val="left"/>
      <w:pPr>
        <w:ind w:left="1080" w:hanging="360"/>
      </w:pPr>
      <w:rPr>
        <w:rFonts w:ascii="Verdana" w:hAnsi="Verdana" w:hint="default"/>
      </w:rPr>
    </w:lvl>
    <w:lvl w:ilvl="1" w:tplc="08090001">
      <w:start w:val="1"/>
      <w:numFmt w:val="bullet"/>
      <w:lvlText w:val=""/>
      <w:lvlJc w:val="left"/>
      <w:pPr>
        <w:ind w:left="2160" w:hanging="72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BFF39FA"/>
    <w:multiLevelType w:val="hybridMultilevel"/>
    <w:tmpl w:val="26865B7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82348D"/>
    <w:multiLevelType w:val="hybridMultilevel"/>
    <w:tmpl w:val="75D6FA36"/>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1E0A2871"/>
    <w:multiLevelType w:val="hybridMultilevel"/>
    <w:tmpl w:val="5E80B054"/>
    <w:lvl w:ilvl="0" w:tplc="F348A1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1E50C2"/>
    <w:multiLevelType w:val="hybridMultilevel"/>
    <w:tmpl w:val="ECE240A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219168D2"/>
    <w:multiLevelType w:val="hybridMultilevel"/>
    <w:tmpl w:val="3E1E54D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23450F0"/>
    <w:multiLevelType w:val="hybridMultilevel"/>
    <w:tmpl w:val="6AC4505A"/>
    <w:lvl w:ilvl="0" w:tplc="859E987C">
      <w:start w:val="65535"/>
      <w:numFmt w:val="bullet"/>
      <w:lvlText w:val="•"/>
      <w:lvlJc w:val="left"/>
      <w:pPr>
        <w:ind w:left="1080" w:hanging="360"/>
      </w:pPr>
      <w:rPr>
        <w:rFonts w:ascii="Verdana" w:hAnsi="Verdana" w:hint="default"/>
      </w:rPr>
    </w:lvl>
    <w:lvl w:ilvl="1" w:tplc="E9306540">
      <w:numFmt w:val="bullet"/>
      <w:lvlText w:val="-"/>
      <w:lvlJc w:val="left"/>
      <w:pPr>
        <w:ind w:left="2160" w:hanging="720"/>
      </w:pPr>
      <w:rPr>
        <w:rFonts w:ascii="Verdana" w:eastAsiaTheme="minorHAnsi" w:hAnsi="Verdana" w:cstheme="minorBid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23234191"/>
    <w:multiLevelType w:val="hybridMultilevel"/>
    <w:tmpl w:val="4BCC336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23326F73"/>
    <w:multiLevelType w:val="hybridMultilevel"/>
    <w:tmpl w:val="A166604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59A3149"/>
    <w:multiLevelType w:val="hybridMultilevel"/>
    <w:tmpl w:val="6A7470FE"/>
    <w:lvl w:ilvl="0" w:tplc="3E26BE2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5C951B4"/>
    <w:multiLevelType w:val="hybridMultilevel"/>
    <w:tmpl w:val="494EBCC0"/>
    <w:lvl w:ilvl="0" w:tplc="859E987C">
      <w:start w:val="65535"/>
      <w:numFmt w:val="bullet"/>
      <w:lvlText w:val="•"/>
      <w:lvlJc w:val="left"/>
      <w:pPr>
        <w:ind w:left="108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71F0DF3"/>
    <w:multiLevelType w:val="hybridMultilevel"/>
    <w:tmpl w:val="B928B48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28366B7D"/>
    <w:multiLevelType w:val="hybridMultilevel"/>
    <w:tmpl w:val="B6E611CA"/>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28C43352"/>
    <w:multiLevelType w:val="hybridMultilevel"/>
    <w:tmpl w:val="2B40B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9597B6A"/>
    <w:multiLevelType w:val="multilevel"/>
    <w:tmpl w:val="1AFC8406"/>
    <w:lvl w:ilvl="0">
      <w:numFmt w:val="decimal"/>
      <w:lvlText w:val="%1."/>
      <w:lvlJc w:val="left"/>
      <w:pPr>
        <w:ind w:left="720" w:hanging="360"/>
      </w:pPr>
      <w:rPr>
        <w:rFonts w:hint="default"/>
      </w:rPr>
    </w:lvl>
    <w:lvl w:ilvl="1">
      <w:start w:val="2"/>
      <w:numFmt w:val="decimal"/>
      <w:isLgl/>
      <w:lvlText w:val="%1.%2"/>
      <w:lvlJc w:val="left"/>
      <w:pPr>
        <w:ind w:left="1200" w:hanging="840"/>
      </w:pPr>
      <w:rPr>
        <w:rFonts w:hint="default"/>
      </w:rPr>
    </w:lvl>
    <w:lvl w:ilvl="2">
      <w:start w:val="1"/>
      <w:numFmt w:val="decimal"/>
      <w:isLgl/>
      <w:lvlText w:val="%1.%2.%3"/>
      <w:lvlJc w:val="left"/>
      <w:pPr>
        <w:ind w:left="1200" w:hanging="84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7" w15:restartNumberingAfterBreak="0">
    <w:nsid w:val="29C3594E"/>
    <w:multiLevelType w:val="hybridMultilevel"/>
    <w:tmpl w:val="882EC1E6"/>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A1D43B8"/>
    <w:multiLevelType w:val="hybridMultilevel"/>
    <w:tmpl w:val="5AC6EB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2ABB01F0"/>
    <w:multiLevelType w:val="hybridMultilevel"/>
    <w:tmpl w:val="51EC487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BEF3B8F"/>
    <w:multiLevelType w:val="hybridMultilevel"/>
    <w:tmpl w:val="50AADED2"/>
    <w:lvl w:ilvl="0" w:tplc="859E987C">
      <w:start w:val="65535"/>
      <w:numFmt w:val="bullet"/>
      <w:lvlText w:val="•"/>
      <w:lvlJc w:val="left"/>
      <w:pPr>
        <w:ind w:left="1440" w:hanging="360"/>
      </w:pPr>
      <w:rPr>
        <w:rFonts w:ascii="Verdana" w:hAnsi="Verdana"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2DC7727E"/>
    <w:multiLevelType w:val="hybridMultilevel"/>
    <w:tmpl w:val="17403C2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2E5A61BF"/>
    <w:multiLevelType w:val="hybridMultilevel"/>
    <w:tmpl w:val="6CDA4818"/>
    <w:lvl w:ilvl="0" w:tplc="BF800B68">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0764DCA"/>
    <w:multiLevelType w:val="hybridMultilevel"/>
    <w:tmpl w:val="E8689BAE"/>
    <w:lvl w:ilvl="0" w:tplc="60FC1AA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0A26902"/>
    <w:multiLevelType w:val="hybridMultilevel"/>
    <w:tmpl w:val="7FDEF33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2FA62DF"/>
    <w:multiLevelType w:val="hybridMultilevel"/>
    <w:tmpl w:val="A91AB3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358D273E"/>
    <w:multiLevelType w:val="hybridMultilevel"/>
    <w:tmpl w:val="8362A79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7922905"/>
    <w:multiLevelType w:val="hybridMultilevel"/>
    <w:tmpl w:val="BBAAF2AA"/>
    <w:lvl w:ilvl="0" w:tplc="859E987C">
      <w:start w:val="65535"/>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8AF541A"/>
    <w:multiLevelType w:val="hybridMultilevel"/>
    <w:tmpl w:val="7BC0FA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391A5D7B"/>
    <w:multiLevelType w:val="hybridMultilevel"/>
    <w:tmpl w:val="F6304E5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AC71889"/>
    <w:multiLevelType w:val="hybridMultilevel"/>
    <w:tmpl w:val="721ACE4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CFC436C"/>
    <w:multiLevelType w:val="hybridMultilevel"/>
    <w:tmpl w:val="A4B0A624"/>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458A532C">
      <w:start w:val="1"/>
      <w:numFmt w:val="lowerLetter"/>
      <w:lvlText w:val="(%3)"/>
      <w:lvlJc w:val="left"/>
      <w:pPr>
        <w:ind w:left="3420" w:hanging="720"/>
      </w:pPr>
      <w:rPr>
        <w:rFonts w:hint="default"/>
      </w:r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2" w15:restartNumberingAfterBreak="0">
    <w:nsid w:val="3DEB2008"/>
    <w:multiLevelType w:val="hybridMultilevel"/>
    <w:tmpl w:val="32D21BE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3F5C63C6"/>
    <w:multiLevelType w:val="hybridMultilevel"/>
    <w:tmpl w:val="C2B88AA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9">
      <w:start w:val="1"/>
      <w:numFmt w:val="lowerLetter"/>
      <w:lvlText w:val="%3."/>
      <w:lvlJc w:val="lef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4" w15:restartNumberingAfterBreak="0">
    <w:nsid w:val="40C91470"/>
    <w:multiLevelType w:val="hybridMultilevel"/>
    <w:tmpl w:val="924E5B28"/>
    <w:lvl w:ilvl="0" w:tplc="859E987C">
      <w:start w:val="65535"/>
      <w:numFmt w:val="bullet"/>
      <w:lvlText w:val="•"/>
      <w:lvlJc w:val="left"/>
      <w:pPr>
        <w:ind w:left="1440" w:hanging="360"/>
      </w:pPr>
      <w:rPr>
        <w:rFonts w:ascii="Verdana" w:hAnsi="Verdana"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41B80014"/>
    <w:multiLevelType w:val="hybridMultilevel"/>
    <w:tmpl w:val="5450EEB2"/>
    <w:lvl w:ilvl="0" w:tplc="859E987C">
      <w:start w:val="65535"/>
      <w:numFmt w:val="bullet"/>
      <w:lvlText w:val="•"/>
      <w:lvlJc w:val="left"/>
      <w:pPr>
        <w:ind w:left="720" w:hanging="360"/>
      </w:pPr>
      <w:rPr>
        <w:rFonts w:ascii="Verdana" w:hAnsi="Verdana"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209145C"/>
    <w:multiLevelType w:val="hybridMultilevel"/>
    <w:tmpl w:val="806ADD34"/>
    <w:lvl w:ilvl="0" w:tplc="BF800B68">
      <w:numFmt w:val="bullet"/>
      <w:lvlText w:val="•"/>
      <w:lvlJc w:val="left"/>
      <w:pPr>
        <w:ind w:left="1080" w:hanging="72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2865C12"/>
    <w:multiLevelType w:val="hybridMultilevel"/>
    <w:tmpl w:val="C49E9E12"/>
    <w:lvl w:ilvl="0" w:tplc="859E987C">
      <w:start w:val="65535"/>
      <w:numFmt w:val="bullet"/>
      <w:lvlText w:val="•"/>
      <w:lvlJc w:val="left"/>
      <w:pPr>
        <w:ind w:left="108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41C2586"/>
    <w:multiLevelType w:val="hybridMultilevel"/>
    <w:tmpl w:val="B1FA6188"/>
    <w:lvl w:ilvl="0" w:tplc="FF4CA638">
      <w:start w:val="1"/>
      <w:numFmt w:val="decimal"/>
      <w:lvlText w:val="%1."/>
      <w:lvlJc w:val="left"/>
      <w:pPr>
        <w:ind w:left="360" w:hanging="36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455F22A8"/>
    <w:multiLevelType w:val="hybridMultilevel"/>
    <w:tmpl w:val="DA78E7C4"/>
    <w:lvl w:ilvl="0" w:tplc="08090003">
      <w:start w:val="1"/>
      <w:numFmt w:val="bullet"/>
      <w:lvlText w:val="o"/>
      <w:lvlJc w:val="left"/>
      <w:pPr>
        <w:ind w:left="1898" w:hanging="360"/>
      </w:pPr>
      <w:rPr>
        <w:rFonts w:ascii="Courier New" w:hAnsi="Courier New" w:cs="Courier New" w:hint="default"/>
      </w:rPr>
    </w:lvl>
    <w:lvl w:ilvl="1" w:tplc="08090003" w:tentative="1">
      <w:start w:val="1"/>
      <w:numFmt w:val="bullet"/>
      <w:lvlText w:val="o"/>
      <w:lvlJc w:val="left"/>
      <w:pPr>
        <w:ind w:left="2618" w:hanging="360"/>
      </w:pPr>
      <w:rPr>
        <w:rFonts w:ascii="Courier New" w:hAnsi="Courier New" w:cs="Courier New" w:hint="default"/>
      </w:rPr>
    </w:lvl>
    <w:lvl w:ilvl="2" w:tplc="08090005" w:tentative="1">
      <w:start w:val="1"/>
      <w:numFmt w:val="bullet"/>
      <w:lvlText w:val=""/>
      <w:lvlJc w:val="left"/>
      <w:pPr>
        <w:ind w:left="3338" w:hanging="360"/>
      </w:pPr>
      <w:rPr>
        <w:rFonts w:ascii="Wingdings" w:hAnsi="Wingdings" w:hint="default"/>
      </w:rPr>
    </w:lvl>
    <w:lvl w:ilvl="3" w:tplc="08090001" w:tentative="1">
      <w:start w:val="1"/>
      <w:numFmt w:val="bullet"/>
      <w:lvlText w:val=""/>
      <w:lvlJc w:val="left"/>
      <w:pPr>
        <w:ind w:left="4058" w:hanging="360"/>
      </w:pPr>
      <w:rPr>
        <w:rFonts w:ascii="Symbol" w:hAnsi="Symbol" w:hint="default"/>
      </w:rPr>
    </w:lvl>
    <w:lvl w:ilvl="4" w:tplc="08090003" w:tentative="1">
      <w:start w:val="1"/>
      <w:numFmt w:val="bullet"/>
      <w:lvlText w:val="o"/>
      <w:lvlJc w:val="left"/>
      <w:pPr>
        <w:ind w:left="4778" w:hanging="360"/>
      </w:pPr>
      <w:rPr>
        <w:rFonts w:ascii="Courier New" w:hAnsi="Courier New" w:cs="Courier New" w:hint="default"/>
      </w:rPr>
    </w:lvl>
    <w:lvl w:ilvl="5" w:tplc="08090005" w:tentative="1">
      <w:start w:val="1"/>
      <w:numFmt w:val="bullet"/>
      <w:lvlText w:val=""/>
      <w:lvlJc w:val="left"/>
      <w:pPr>
        <w:ind w:left="5498" w:hanging="360"/>
      </w:pPr>
      <w:rPr>
        <w:rFonts w:ascii="Wingdings" w:hAnsi="Wingdings" w:hint="default"/>
      </w:rPr>
    </w:lvl>
    <w:lvl w:ilvl="6" w:tplc="08090001" w:tentative="1">
      <w:start w:val="1"/>
      <w:numFmt w:val="bullet"/>
      <w:lvlText w:val=""/>
      <w:lvlJc w:val="left"/>
      <w:pPr>
        <w:ind w:left="6218" w:hanging="360"/>
      </w:pPr>
      <w:rPr>
        <w:rFonts w:ascii="Symbol" w:hAnsi="Symbol" w:hint="default"/>
      </w:rPr>
    </w:lvl>
    <w:lvl w:ilvl="7" w:tplc="08090003" w:tentative="1">
      <w:start w:val="1"/>
      <w:numFmt w:val="bullet"/>
      <w:lvlText w:val="o"/>
      <w:lvlJc w:val="left"/>
      <w:pPr>
        <w:ind w:left="6938" w:hanging="360"/>
      </w:pPr>
      <w:rPr>
        <w:rFonts w:ascii="Courier New" w:hAnsi="Courier New" w:cs="Courier New" w:hint="default"/>
      </w:rPr>
    </w:lvl>
    <w:lvl w:ilvl="8" w:tplc="08090005" w:tentative="1">
      <w:start w:val="1"/>
      <w:numFmt w:val="bullet"/>
      <w:lvlText w:val=""/>
      <w:lvlJc w:val="left"/>
      <w:pPr>
        <w:ind w:left="7658" w:hanging="360"/>
      </w:pPr>
      <w:rPr>
        <w:rFonts w:ascii="Wingdings" w:hAnsi="Wingdings" w:hint="default"/>
      </w:rPr>
    </w:lvl>
  </w:abstractNum>
  <w:abstractNum w:abstractNumId="50" w15:restartNumberingAfterBreak="0">
    <w:nsid w:val="45A04451"/>
    <w:multiLevelType w:val="hybridMultilevel"/>
    <w:tmpl w:val="1C0662AE"/>
    <w:lvl w:ilvl="0" w:tplc="859E987C">
      <w:start w:val="65535"/>
      <w:numFmt w:val="bullet"/>
      <w:lvlText w:val="-"/>
      <w:lvlJc w:val="left"/>
      <w:pPr>
        <w:ind w:left="720" w:hanging="360"/>
      </w:pPr>
      <w:rPr>
        <w:rFonts w:ascii="Verdana" w:hAnsi="Verdan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48DF4CF7"/>
    <w:multiLevelType w:val="hybridMultilevel"/>
    <w:tmpl w:val="B18AB0EE"/>
    <w:lvl w:ilvl="0" w:tplc="859E987C">
      <w:start w:val="65535"/>
      <w:numFmt w:val="bullet"/>
      <w:lvlText w:val="•"/>
      <w:lvlJc w:val="left"/>
      <w:pPr>
        <w:ind w:left="1440" w:hanging="360"/>
      </w:pPr>
      <w:rPr>
        <w:rFonts w:ascii="Verdana" w:hAnsi="Verdana"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2" w15:restartNumberingAfterBreak="0">
    <w:nsid w:val="4A253315"/>
    <w:multiLevelType w:val="hybridMultilevel"/>
    <w:tmpl w:val="D8000A4C"/>
    <w:lvl w:ilvl="0" w:tplc="859E987C">
      <w:start w:val="65535"/>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BFB275A"/>
    <w:multiLevelType w:val="hybridMultilevel"/>
    <w:tmpl w:val="A7BEBC78"/>
    <w:lvl w:ilvl="0" w:tplc="63C4CFB0">
      <w:start w:val="8"/>
      <w:numFmt w:val="bullet"/>
      <w:lvlText w:val="-"/>
      <w:lvlJc w:val="left"/>
      <w:pPr>
        <w:ind w:left="2160" w:hanging="360"/>
      </w:pPr>
      <w:rPr>
        <w:rFonts w:ascii="Verdana" w:eastAsiaTheme="minorHAnsi" w:hAnsi="Verdana" w:cs="Verdana"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4" w15:restartNumberingAfterBreak="0">
    <w:nsid w:val="4D4879C0"/>
    <w:multiLevelType w:val="hybridMultilevel"/>
    <w:tmpl w:val="06BEFF3A"/>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DD77DAE"/>
    <w:multiLevelType w:val="hybridMultilevel"/>
    <w:tmpl w:val="AC8E452E"/>
    <w:lvl w:ilvl="0" w:tplc="859E987C">
      <w:start w:val="65535"/>
      <w:numFmt w:val="bullet"/>
      <w:lvlText w:val="-"/>
      <w:lvlJc w:val="left"/>
      <w:pPr>
        <w:ind w:left="720" w:hanging="360"/>
      </w:pPr>
      <w:rPr>
        <w:rFonts w:ascii="Verdana" w:hAnsi="Verdana"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2752B7C"/>
    <w:multiLevelType w:val="hybridMultilevel"/>
    <w:tmpl w:val="C7EC659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4227129"/>
    <w:multiLevelType w:val="hybridMultilevel"/>
    <w:tmpl w:val="F34E7CCE"/>
    <w:lvl w:ilvl="0" w:tplc="859E987C">
      <w:start w:val="65535"/>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5473F30"/>
    <w:multiLevelType w:val="hybridMultilevel"/>
    <w:tmpl w:val="B7BAF89C"/>
    <w:lvl w:ilvl="0" w:tplc="859E987C">
      <w:start w:val="65535"/>
      <w:numFmt w:val="bullet"/>
      <w:lvlText w:val="•"/>
      <w:lvlJc w:val="left"/>
      <w:pPr>
        <w:ind w:left="720" w:hanging="360"/>
      </w:pPr>
      <w:rPr>
        <w:rFonts w:ascii="Verdana" w:hAnsi="Verdana"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9AC76A0"/>
    <w:multiLevelType w:val="hybridMultilevel"/>
    <w:tmpl w:val="6D26C7E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0" w15:restartNumberingAfterBreak="0">
    <w:nsid w:val="5AB21A5D"/>
    <w:multiLevelType w:val="hybridMultilevel"/>
    <w:tmpl w:val="4F306C4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D9F5C73"/>
    <w:multiLevelType w:val="hybridMultilevel"/>
    <w:tmpl w:val="EB1C11BA"/>
    <w:lvl w:ilvl="0" w:tplc="0809000B">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2" w15:restartNumberingAfterBreak="0">
    <w:nsid w:val="6107242F"/>
    <w:multiLevelType w:val="hybridMultilevel"/>
    <w:tmpl w:val="AD18FCB0"/>
    <w:lvl w:ilvl="0" w:tplc="859E987C">
      <w:start w:val="65535"/>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15D7E75"/>
    <w:multiLevelType w:val="hybridMultilevel"/>
    <w:tmpl w:val="3DAAFF14"/>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4" w15:restartNumberingAfterBreak="0">
    <w:nsid w:val="626A41C0"/>
    <w:multiLevelType w:val="hybridMultilevel"/>
    <w:tmpl w:val="38A45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2AA64B7"/>
    <w:multiLevelType w:val="hybridMultilevel"/>
    <w:tmpl w:val="00A63108"/>
    <w:lvl w:ilvl="0" w:tplc="859E987C">
      <w:start w:val="65535"/>
      <w:numFmt w:val="bullet"/>
      <w:lvlText w:val="•"/>
      <w:lvlJc w:val="left"/>
      <w:pPr>
        <w:ind w:left="1440" w:hanging="360"/>
      </w:pPr>
      <w:rPr>
        <w:rFonts w:ascii="Verdana" w:hAnsi="Verdana"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6" w15:restartNumberingAfterBreak="0">
    <w:nsid w:val="691F0F86"/>
    <w:multiLevelType w:val="hybridMultilevel"/>
    <w:tmpl w:val="5DF625D4"/>
    <w:lvl w:ilvl="0" w:tplc="859E987C">
      <w:start w:val="65535"/>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9D30E81"/>
    <w:multiLevelType w:val="hybridMultilevel"/>
    <w:tmpl w:val="39E80196"/>
    <w:lvl w:ilvl="0" w:tplc="859E987C">
      <w:start w:val="65535"/>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E242BA6"/>
    <w:multiLevelType w:val="hybridMultilevel"/>
    <w:tmpl w:val="9A08D58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9" w15:restartNumberingAfterBreak="0">
    <w:nsid w:val="6FE3301C"/>
    <w:multiLevelType w:val="hybridMultilevel"/>
    <w:tmpl w:val="EA2A133A"/>
    <w:lvl w:ilvl="0" w:tplc="08090019">
      <w:start w:val="1"/>
      <w:numFmt w:val="lowerLetter"/>
      <w:lvlText w:val="%1."/>
      <w:lvlJc w:val="left"/>
      <w:pPr>
        <w:ind w:left="720" w:hanging="360"/>
      </w:pPr>
    </w:lvl>
    <w:lvl w:ilvl="1" w:tplc="F90A8668">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70750146"/>
    <w:multiLevelType w:val="hybridMultilevel"/>
    <w:tmpl w:val="B6764E0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1551EF4"/>
    <w:multiLevelType w:val="hybridMultilevel"/>
    <w:tmpl w:val="53020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35F5483"/>
    <w:multiLevelType w:val="hybridMultilevel"/>
    <w:tmpl w:val="ECC83572"/>
    <w:lvl w:ilvl="0" w:tplc="859E987C">
      <w:start w:val="65535"/>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79613E4"/>
    <w:multiLevelType w:val="hybridMultilevel"/>
    <w:tmpl w:val="A358E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7BB05BFE"/>
    <w:multiLevelType w:val="hybridMultilevel"/>
    <w:tmpl w:val="1056F5B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7C715159"/>
    <w:multiLevelType w:val="hybridMultilevel"/>
    <w:tmpl w:val="F4620B6E"/>
    <w:lvl w:ilvl="0" w:tplc="859E987C">
      <w:start w:val="65535"/>
      <w:numFmt w:val="bullet"/>
      <w:lvlText w:val="•"/>
      <w:lvlJc w:val="left"/>
      <w:pPr>
        <w:ind w:left="1440" w:hanging="360"/>
      </w:pPr>
      <w:rPr>
        <w:rFonts w:ascii="Verdana" w:hAnsi="Verdana"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6" w15:restartNumberingAfterBreak="0">
    <w:nsid w:val="7F9375E0"/>
    <w:multiLevelType w:val="hybridMultilevel"/>
    <w:tmpl w:val="D52EF29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7" w15:restartNumberingAfterBreak="0">
    <w:nsid w:val="7FAC3A4F"/>
    <w:multiLevelType w:val="hybridMultilevel"/>
    <w:tmpl w:val="5AE8E0F4"/>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7FDE3227"/>
    <w:multiLevelType w:val="hybridMultilevel"/>
    <w:tmpl w:val="6D8E7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6"/>
  </w:num>
  <w:num w:numId="2">
    <w:abstractNumId w:val="73"/>
  </w:num>
  <w:num w:numId="3">
    <w:abstractNumId w:val="46"/>
  </w:num>
  <w:num w:numId="4">
    <w:abstractNumId w:val="4"/>
  </w:num>
  <w:num w:numId="5">
    <w:abstractNumId w:val="32"/>
  </w:num>
  <w:num w:numId="6">
    <w:abstractNumId w:val="7"/>
  </w:num>
  <w:num w:numId="7">
    <w:abstractNumId w:val="18"/>
  </w:num>
  <w:num w:numId="8">
    <w:abstractNumId w:val="6"/>
  </w:num>
  <w:num w:numId="9">
    <w:abstractNumId w:val="5"/>
  </w:num>
  <w:num w:numId="10">
    <w:abstractNumId w:val="78"/>
  </w:num>
  <w:num w:numId="11">
    <w:abstractNumId w:val="35"/>
  </w:num>
  <w:num w:numId="12">
    <w:abstractNumId w:val="28"/>
  </w:num>
  <w:num w:numId="13">
    <w:abstractNumId w:val="12"/>
  </w:num>
  <w:num w:numId="14">
    <w:abstractNumId w:val="25"/>
  </w:num>
  <w:num w:numId="15">
    <w:abstractNumId w:val="64"/>
  </w:num>
  <w:num w:numId="16">
    <w:abstractNumId w:val="39"/>
  </w:num>
  <w:num w:numId="17">
    <w:abstractNumId w:val="55"/>
  </w:num>
  <w:num w:numId="18">
    <w:abstractNumId w:val="34"/>
  </w:num>
  <w:num w:numId="19">
    <w:abstractNumId w:val="59"/>
  </w:num>
  <w:num w:numId="20">
    <w:abstractNumId w:val="68"/>
  </w:num>
  <w:num w:numId="21">
    <w:abstractNumId w:val="62"/>
  </w:num>
  <w:num w:numId="22">
    <w:abstractNumId w:val="60"/>
  </w:num>
  <w:num w:numId="23">
    <w:abstractNumId w:val="56"/>
  </w:num>
  <w:num w:numId="24">
    <w:abstractNumId w:val="20"/>
  </w:num>
  <w:num w:numId="25">
    <w:abstractNumId w:val="16"/>
  </w:num>
  <w:num w:numId="26">
    <w:abstractNumId w:val="19"/>
  </w:num>
  <w:num w:numId="27">
    <w:abstractNumId w:val="76"/>
  </w:num>
  <w:num w:numId="28">
    <w:abstractNumId w:val="22"/>
  </w:num>
  <w:num w:numId="29">
    <w:abstractNumId w:val="42"/>
  </w:num>
  <w:num w:numId="30">
    <w:abstractNumId w:val="47"/>
  </w:num>
  <w:num w:numId="31">
    <w:abstractNumId w:val="23"/>
  </w:num>
  <w:num w:numId="32">
    <w:abstractNumId w:val="67"/>
  </w:num>
  <w:num w:numId="33">
    <w:abstractNumId w:val="30"/>
  </w:num>
  <w:num w:numId="34">
    <w:abstractNumId w:val="9"/>
  </w:num>
  <w:num w:numId="35">
    <w:abstractNumId w:val="61"/>
  </w:num>
  <w:num w:numId="36">
    <w:abstractNumId w:val="8"/>
  </w:num>
  <w:num w:numId="37">
    <w:abstractNumId w:val="36"/>
  </w:num>
  <w:num w:numId="38">
    <w:abstractNumId w:val="29"/>
  </w:num>
  <w:num w:numId="39">
    <w:abstractNumId w:val="40"/>
  </w:num>
  <w:num w:numId="40">
    <w:abstractNumId w:val="69"/>
  </w:num>
  <w:num w:numId="41">
    <w:abstractNumId w:val="13"/>
  </w:num>
  <w:num w:numId="42">
    <w:abstractNumId w:val="45"/>
  </w:num>
  <w:num w:numId="43">
    <w:abstractNumId w:val="24"/>
  </w:num>
  <w:num w:numId="44">
    <w:abstractNumId w:val="63"/>
  </w:num>
  <w:num w:numId="45">
    <w:abstractNumId w:val="41"/>
  </w:num>
  <w:num w:numId="46">
    <w:abstractNumId w:val="10"/>
  </w:num>
  <w:num w:numId="47">
    <w:abstractNumId w:val="65"/>
  </w:num>
  <w:num w:numId="48">
    <w:abstractNumId w:val="49"/>
  </w:num>
  <w:num w:numId="49">
    <w:abstractNumId w:val="51"/>
  </w:num>
  <w:num w:numId="50">
    <w:abstractNumId w:val="74"/>
  </w:num>
  <w:num w:numId="51">
    <w:abstractNumId w:val="44"/>
  </w:num>
  <w:num w:numId="52">
    <w:abstractNumId w:val="0"/>
  </w:num>
  <w:num w:numId="53">
    <w:abstractNumId w:val="43"/>
  </w:num>
  <w:num w:numId="54">
    <w:abstractNumId w:val="11"/>
  </w:num>
  <w:num w:numId="55">
    <w:abstractNumId w:val="31"/>
  </w:num>
  <w:num w:numId="56">
    <w:abstractNumId w:val="70"/>
  </w:num>
  <w:num w:numId="57">
    <w:abstractNumId w:val="54"/>
  </w:num>
  <w:num w:numId="58">
    <w:abstractNumId w:val="2"/>
  </w:num>
  <w:num w:numId="59">
    <w:abstractNumId w:val="58"/>
  </w:num>
  <w:num w:numId="60">
    <w:abstractNumId w:val="66"/>
  </w:num>
  <w:num w:numId="61">
    <w:abstractNumId w:val="52"/>
  </w:num>
  <w:num w:numId="62">
    <w:abstractNumId w:val="17"/>
  </w:num>
  <w:num w:numId="63">
    <w:abstractNumId w:val="37"/>
  </w:num>
  <w:num w:numId="64">
    <w:abstractNumId w:val="77"/>
  </w:num>
  <w:num w:numId="65">
    <w:abstractNumId w:val="75"/>
  </w:num>
  <w:num w:numId="66">
    <w:abstractNumId w:val="14"/>
  </w:num>
  <w:num w:numId="67">
    <w:abstractNumId w:val="1"/>
  </w:num>
  <w:num w:numId="68">
    <w:abstractNumId w:val="57"/>
  </w:num>
  <w:num w:numId="69">
    <w:abstractNumId w:val="72"/>
  </w:num>
  <w:num w:numId="70">
    <w:abstractNumId w:val="50"/>
  </w:num>
  <w:num w:numId="71">
    <w:abstractNumId w:val="53"/>
  </w:num>
  <w:num w:numId="72">
    <w:abstractNumId w:val="27"/>
  </w:num>
  <w:num w:numId="73">
    <w:abstractNumId w:val="33"/>
  </w:num>
  <w:num w:numId="74">
    <w:abstractNumId w:val="48"/>
  </w:num>
  <w:num w:numId="75">
    <w:abstractNumId w:val="3"/>
  </w:num>
  <w:num w:numId="76">
    <w:abstractNumId w:val="71"/>
  </w:num>
  <w:num w:numId="77">
    <w:abstractNumId w:val="38"/>
  </w:num>
  <w:num w:numId="78">
    <w:abstractNumId w:val="15"/>
  </w:num>
  <w:num w:numId="79">
    <w:abstractNumId w:val="21"/>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4F16D93-1A2D-41D0-A84F-EF6273572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20" w:line="240" w:lineRule="auto"/>
      <w:jc w:val="both"/>
    </w:pPr>
    <w:rPr>
      <w:rFonts w:ascii="Verdana" w:hAnsi="Verdana"/>
    </w:rPr>
  </w:style>
  <w:style w:type="paragraph" w:styleId="Heading1">
    <w:name w:val="heading 1"/>
    <w:basedOn w:val="Normal"/>
    <w:next w:val="Normal"/>
    <w:link w:val="Heading1Char"/>
    <w:uiPriority w:val="9"/>
    <w:qFormat/>
    <w:pPr>
      <w:keepNext/>
      <w:keepLines/>
      <w:spacing w:before="240" w:after="240"/>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pPr>
      <w:keepNext/>
      <w:keepLines/>
      <w:spacing w:before="240" w:after="240"/>
      <w:outlineLvl w:val="1"/>
    </w:pPr>
    <w:rPr>
      <w:rFonts w:eastAsiaTheme="majorEastAsia" w:cstheme="majorBidi"/>
      <w:b/>
      <w:szCs w:val="26"/>
    </w:rPr>
  </w:style>
  <w:style w:type="paragraph" w:styleId="Heading3">
    <w:name w:val="heading 3"/>
    <w:basedOn w:val="Normal"/>
    <w:next w:val="Normal"/>
    <w:link w:val="Heading3Char"/>
    <w:uiPriority w:val="9"/>
    <w:unhideWhenUsed/>
    <w:qFormat/>
    <w:pPr>
      <w:keepNext/>
      <w:keepLines/>
      <w:spacing w:before="120"/>
      <w:outlineLvl w:val="2"/>
    </w:pPr>
    <w:rPr>
      <w:rFonts w:eastAsiaTheme="majorEastAsia" w:cstheme="majorBidi"/>
      <w:b/>
      <w:szCs w:val="24"/>
    </w:rPr>
  </w:style>
  <w:style w:type="paragraph" w:styleId="Heading4">
    <w:name w:val="heading 4"/>
    <w:basedOn w:val="Normal"/>
    <w:next w:val="Normal"/>
    <w:link w:val="Heading4Char"/>
    <w:uiPriority w:val="9"/>
    <w:unhideWhenUsed/>
    <w:qFormat/>
    <w:pPr>
      <w:keepNext/>
      <w:keepLines/>
      <w:spacing w:before="120"/>
      <w:outlineLvl w:val="3"/>
    </w:pPr>
    <w:rPr>
      <w:rFonts w:eastAsiaTheme="majorEastAsia" w:cstheme="majorBidi"/>
      <w:b/>
      <w:i/>
      <w:iCs/>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Normal"/>
    <w:uiPriority w:val="99"/>
    <w:pPr>
      <w:widowControl w:val="0"/>
      <w:autoSpaceDE w:val="0"/>
      <w:autoSpaceDN w:val="0"/>
      <w:adjustRightInd w:val="0"/>
      <w:spacing w:after="0"/>
    </w:pPr>
    <w:rPr>
      <w:rFonts w:eastAsiaTheme="minorEastAsia"/>
      <w:sz w:val="24"/>
      <w:szCs w:val="24"/>
      <w:lang w:val="en-US"/>
    </w:rPr>
  </w:style>
  <w:style w:type="paragraph" w:customStyle="1" w:styleId="Style5">
    <w:name w:val="Style5"/>
    <w:basedOn w:val="Normal"/>
    <w:uiPriority w:val="99"/>
    <w:pPr>
      <w:widowControl w:val="0"/>
      <w:autoSpaceDE w:val="0"/>
      <w:autoSpaceDN w:val="0"/>
      <w:adjustRightInd w:val="0"/>
      <w:spacing w:after="0"/>
    </w:pPr>
    <w:rPr>
      <w:rFonts w:eastAsiaTheme="minorEastAsia"/>
      <w:sz w:val="24"/>
      <w:szCs w:val="24"/>
      <w:lang w:val="en-US"/>
    </w:rPr>
  </w:style>
  <w:style w:type="paragraph" w:customStyle="1" w:styleId="Style6">
    <w:name w:val="Style6"/>
    <w:basedOn w:val="Normal"/>
    <w:uiPriority w:val="99"/>
    <w:pPr>
      <w:widowControl w:val="0"/>
      <w:autoSpaceDE w:val="0"/>
      <w:autoSpaceDN w:val="0"/>
      <w:adjustRightInd w:val="0"/>
      <w:spacing w:after="0" w:line="281" w:lineRule="exact"/>
      <w:jc w:val="center"/>
    </w:pPr>
    <w:rPr>
      <w:rFonts w:eastAsiaTheme="minorEastAsia"/>
      <w:sz w:val="24"/>
      <w:szCs w:val="24"/>
      <w:lang w:val="en-US"/>
    </w:rPr>
  </w:style>
  <w:style w:type="paragraph" w:customStyle="1" w:styleId="Style7">
    <w:name w:val="Style7"/>
    <w:basedOn w:val="Normal"/>
    <w:uiPriority w:val="99"/>
    <w:pPr>
      <w:widowControl w:val="0"/>
      <w:autoSpaceDE w:val="0"/>
      <w:autoSpaceDN w:val="0"/>
      <w:adjustRightInd w:val="0"/>
      <w:spacing w:after="0" w:line="485" w:lineRule="exact"/>
      <w:jc w:val="center"/>
    </w:pPr>
    <w:rPr>
      <w:rFonts w:eastAsiaTheme="minorEastAsia"/>
      <w:sz w:val="24"/>
      <w:szCs w:val="24"/>
      <w:lang w:val="en-US"/>
    </w:rPr>
  </w:style>
  <w:style w:type="character" w:customStyle="1" w:styleId="FontStyle91">
    <w:name w:val="Font Style91"/>
    <w:basedOn w:val="DefaultParagraphFont"/>
    <w:uiPriority w:val="99"/>
    <w:rPr>
      <w:rFonts w:ascii="Verdana" w:hAnsi="Verdana" w:cs="Verdana"/>
      <w:sz w:val="18"/>
      <w:szCs w:val="18"/>
    </w:rPr>
  </w:style>
  <w:style w:type="character" w:customStyle="1" w:styleId="FontStyle92">
    <w:name w:val="Font Style92"/>
    <w:basedOn w:val="DefaultParagraphFont"/>
    <w:uiPriority w:val="99"/>
    <w:rPr>
      <w:rFonts w:ascii="Verdana" w:hAnsi="Verdana" w:cs="Verdana"/>
      <w:b/>
      <w:bCs/>
      <w:sz w:val="18"/>
      <w:szCs w:val="18"/>
    </w:rPr>
  </w:style>
  <w:style w:type="character" w:customStyle="1" w:styleId="FontStyle93">
    <w:name w:val="Font Style93"/>
    <w:basedOn w:val="DefaultParagraphFont"/>
    <w:uiPriority w:val="99"/>
    <w:rPr>
      <w:rFonts w:ascii="Verdana" w:hAnsi="Verdana" w:cs="Verdana"/>
      <w:b/>
      <w:bCs/>
      <w:sz w:val="16"/>
      <w:szCs w:val="16"/>
    </w:rPr>
  </w:style>
  <w:style w:type="character" w:customStyle="1" w:styleId="Heading1Char">
    <w:name w:val="Heading 1 Char"/>
    <w:basedOn w:val="DefaultParagraphFont"/>
    <w:link w:val="Heading1"/>
    <w:uiPriority w:val="9"/>
    <w:rPr>
      <w:rFonts w:ascii="Verdana" w:eastAsiaTheme="majorEastAsia" w:hAnsi="Verdana" w:cstheme="majorBidi"/>
      <w:b/>
      <w:sz w:val="24"/>
      <w:szCs w:val="32"/>
    </w:rPr>
  </w:style>
  <w:style w:type="character" w:customStyle="1" w:styleId="Heading2Char">
    <w:name w:val="Heading 2 Char"/>
    <w:basedOn w:val="DefaultParagraphFont"/>
    <w:link w:val="Heading2"/>
    <w:uiPriority w:val="9"/>
    <w:rPr>
      <w:rFonts w:ascii="Verdana" w:eastAsiaTheme="majorEastAsia" w:hAnsi="Verdana" w:cstheme="majorBidi"/>
      <w:b/>
      <w:szCs w:val="26"/>
    </w:rPr>
  </w:style>
  <w:style w:type="paragraph" w:styleId="Header">
    <w:name w:val="header"/>
    <w:basedOn w:val="Normal"/>
    <w:link w:val="HeaderChar"/>
    <w:uiPriority w:val="99"/>
    <w:unhideWhenUsed/>
    <w:pPr>
      <w:tabs>
        <w:tab w:val="center" w:pos="4513"/>
        <w:tab w:val="right" w:pos="9026"/>
      </w:tabs>
      <w:spacing w:after="0"/>
    </w:pPr>
  </w:style>
  <w:style w:type="character" w:customStyle="1" w:styleId="HeaderChar">
    <w:name w:val="Header Char"/>
    <w:basedOn w:val="DefaultParagraphFont"/>
    <w:link w:val="Header"/>
    <w:uiPriority w:val="99"/>
    <w:rPr>
      <w:rFonts w:ascii="Verdana" w:hAnsi="Verdana"/>
    </w:rPr>
  </w:style>
  <w:style w:type="paragraph" w:styleId="Footer">
    <w:name w:val="footer"/>
    <w:basedOn w:val="Normal"/>
    <w:link w:val="FooterChar"/>
    <w:uiPriority w:val="99"/>
    <w:unhideWhenUsed/>
    <w:pPr>
      <w:tabs>
        <w:tab w:val="center" w:pos="4513"/>
        <w:tab w:val="right" w:pos="9026"/>
      </w:tabs>
      <w:spacing w:after="0"/>
    </w:pPr>
  </w:style>
  <w:style w:type="character" w:customStyle="1" w:styleId="FooterChar">
    <w:name w:val="Footer Char"/>
    <w:basedOn w:val="DefaultParagraphFont"/>
    <w:link w:val="Footer"/>
    <w:uiPriority w:val="99"/>
    <w:rPr>
      <w:rFonts w:ascii="Verdana" w:hAnsi="Verdana"/>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er bold"/>
    <w:basedOn w:val="Normal"/>
    <w:link w:val="ListParagraphChar"/>
    <w:uiPriority w:val="34"/>
    <w:qFormat/>
    <w:pPr>
      <w:ind w:left="720"/>
      <w:contextualSpacing/>
    </w:pPr>
  </w:style>
  <w:style w:type="character" w:customStyle="1" w:styleId="Heading3Char">
    <w:name w:val="Heading 3 Char"/>
    <w:basedOn w:val="DefaultParagraphFont"/>
    <w:link w:val="Heading3"/>
    <w:uiPriority w:val="9"/>
    <w:rPr>
      <w:rFonts w:ascii="Verdana" w:eastAsiaTheme="majorEastAsia" w:hAnsi="Verdana" w:cstheme="majorBidi"/>
      <w:b/>
      <w:szCs w:val="24"/>
    </w:rPr>
  </w:style>
  <w:style w:type="character" w:customStyle="1" w:styleId="Heading4Char">
    <w:name w:val="Heading 4 Char"/>
    <w:basedOn w:val="DefaultParagraphFont"/>
    <w:link w:val="Heading4"/>
    <w:uiPriority w:val="9"/>
    <w:rPr>
      <w:rFonts w:ascii="Verdana" w:eastAsiaTheme="majorEastAsia" w:hAnsi="Verdana" w:cstheme="majorBidi"/>
      <w:b/>
      <w:i/>
      <w:iCs/>
    </w:rPr>
  </w:style>
  <w:style w:type="paragraph" w:styleId="FootnoteText">
    <w:name w:val="footnote text"/>
    <w:basedOn w:val="Normal"/>
    <w:link w:val="FootnoteTextChar"/>
    <w:uiPriority w:val="99"/>
    <w:semiHidden/>
    <w:unhideWhenUsed/>
    <w:pPr>
      <w:spacing w:after="0"/>
    </w:pPr>
    <w:rPr>
      <w:sz w:val="20"/>
      <w:szCs w:val="20"/>
    </w:rPr>
  </w:style>
  <w:style w:type="character" w:customStyle="1" w:styleId="FootnoteTextChar">
    <w:name w:val="Footnote Text Char"/>
    <w:basedOn w:val="DefaultParagraphFont"/>
    <w:link w:val="FootnoteText"/>
    <w:uiPriority w:val="99"/>
    <w:semiHidden/>
    <w:rPr>
      <w:rFonts w:ascii="Verdana" w:hAnsi="Verdana"/>
      <w:sz w:val="20"/>
      <w:szCs w:val="20"/>
    </w:rPr>
  </w:style>
  <w:style w:type="character" w:styleId="FootnoteReference">
    <w:name w:val="footnote reference"/>
    <w:basedOn w:val="DefaultParagraphFont"/>
    <w:uiPriority w:val="99"/>
    <w:semiHidden/>
    <w:unhideWhenUsed/>
    <w:rPr>
      <w:vertAlign w:val="superscript"/>
    </w:rPr>
  </w:style>
  <w:style w:type="paragraph" w:customStyle="1" w:styleId="Style40">
    <w:name w:val="Style40"/>
    <w:basedOn w:val="Normal"/>
    <w:uiPriority w:val="99"/>
    <w:pPr>
      <w:widowControl w:val="0"/>
      <w:autoSpaceDE w:val="0"/>
      <w:autoSpaceDN w:val="0"/>
      <w:adjustRightInd w:val="0"/>
      <w:spacing w:after="0"/>
      <w:jc w:val="left"/>
    </w:pPr>
    <w:rPr>
      <w:rFonts w:eastAsiaTheme="minorEastAsia"/>
      <w:sz w:val="24"/>
      <w:szCs w:val="24"/>
      <w:lang w:val="en-US"/>
    </w:rPr>
  </w:style>
  <w:style w:type="paragraph" w:customStyle="1" w:styleId="Style51">
    <w:name w:val="Style51"/>
    <w:basedOn w:val="Normal"/>
    <w:uiPriority w:val="99"/>
    <w:pPr>
      <w:widowControl w:val="0"/>
      <w:autoSpaceDE w:val="0"/>
      <w:autoSpaceDN w:val="0"/>
      <w:adjustRightInd w:val="0"/>
      <w:spacing w:after="0" w:line="163" w:lineRule="exact"/>
      <w:jc w:val="left"/>
    </w:pPr>
    <w:rPr>
      <w:rFonts w:eastAsiaTheme="minorEastAsia"/>
      <w:sz w:val="24"/>
      <w:szCs w:val="24"/>
      <w:lang w:val="en-US"/>
    </w:rPr>
  </w:style>
  <w:style w:type="character" w:customStyle="1" w:styleId="FontStyle97">
    <w:name w:val="Font Style97"/>
    <w:basedOn w:val="DefaultParagraphFont"/>
    <w:uiPriority w:val="99"/>
    <w:rPr>
      <w:rFonts w:ascii="Times New Roman" w:hAnsi="Times New Roman" w:cs="Times New Roman"/>
      <w:b/>
      <w:bCs/>
      <w:smallCaps/>
      <w:sz w:val="14"/>
      <w:szCs w:val="14"/>
    </w:rPr>
  </w:style>
  <w:style w:type="character" w:customStyle="1" w:styleId="FontStyle102">
    <w:name w:val="Font Style102"/>
    <w:basedOn w:val="DefaultParagraphFont"/>
    <w:uiPriority w:val="99"/>
    <w:rPr>
      <w:rFonts w:ascii="Times New Roman" w:hAnsi="Times New Roman" w:cs="Times New Roman"/>
      <w:b/>
      <w:bCs/>
      <w:sz w:val="14"/>
      <w:szCs w:val="14"/>
    </w:rPr>
  </w:style>
  <w:style w:type="paragraph" w:customStyle="1" w:styleId="Style45">
    <w:name w:val="Style45"/>
    <w:basedOn w:val="Normal"/>
    <w:uiPriority w:val="99"/>
    <w:pPr>
      <w:widowControl w:val="0"/>
      <w:autoSpaceDE w:val="0"/>
      <w:autoSpaceDN w:val="0"/>
      <w:adjustRightInd w:val="0"/>
      <w:spacing w:after="0"/>
      <w:jc w:val="left"/>
    </w:pPr>
    <w:rPr>
      <w:rFonts w:eastAsiaTheme="minorEastAsia"/>
      <w:sz w:val="24"/>
      <w:szCs w:val="24"/>
      <w:lang w:val="en-US"/>
    </w:rPr>
  </w:style>
  <w:style w:type="character" w:customStyle="1" w:styleId="FontStyle100">
    <w:name w:val="Font Style100"/>
    <w:basedOn w:val="DefaultParagraphFont"/>
    <w:uiPriority w:val="99"/>
    <w:rPr>
      <w:rFonts w:ascii="Times New Roman" w:hAnsi="Times New Roman" w:cs="Times New Roman"/>
      <w:sz w:val="10"/>
      <w:szCs w:val="10"/>
    </w:rPr>
  </w:style>
  <w:style w:type="paragraph" w:customStyle="1" w:styleId="Style58">
    <w:name w:val="Style58"/>
    <w:basedOn w:val="Normal"/>
    <w:uiPriority w:val="99"/>
    <w:pPr>
      <w:widowControl w:val="0"/>
      <w:autoSpaceDE w:val="0"/>
      <w:autoSpaceDN w:val="0"/>
      <w:adjustRightInd w:val="0"/>
      <w:spacing w:after="0" w:line="158" w:lineRule="exact"/>
    </w:pPr>
    <w:rPr>
      <w:rFonts w:eastAsiaTheme="minorEastAsia"/>
      <w:sz w:val="24"/>
      <w:szCs w:val="24"/>
      <w:lang w:val="en-US"/>
    </w:rPr>
  </w:style>
  <w:style w:type="character" w:customStyle="1" w:styleId="FontStyle95">
    <w:name w:val="Font Style95"/>
    <w:basedOn w:val="DefaultParagraphFont"/>
    <w:uiPriority w:val="99"/>
    <w:rPr>
      <w:rFonts w:ascii="Verdana" w:hAnsi="Verdana" w:cs="Verdana"/>
      <w:sz w:val="12"/>
      <w:szCs w:val="12"/>
    </w:rPr>
  </w:style>
  <w:style w:type="paragraph" w:styleId="TOCHeading">
    <w:name w:val="TOC Heading"/>
    <w:basedOn w:val="Heading1"/>
    <w:next w:val="Normal"/>
    <w:uiPriority w:val="39"/>
    <w:unhideWhenUsed/>
    <w:qFormat/>
    <w:pPr>
      <w:spacing w:line="259" w:lineRule="auto"/>
      <w:jc w:val="left"/>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pPr>
      <w:spacing w:after="100"/>
      <w:ind w:left="220"/>
    </w:pPr>
  </w:style>
  <w:style w:type="paragraph" w:styleId="TOC3">
    <w:name w:val="toc 3"/>
    <w:basedOn w:val="Normal"/>
    <w:next w:val="Normal"/>
    <w:autoRedefine/>
    <w:uiPriority w:val="39"/>
    <w:unhideWhenUsed/>
    <w:pPr>
      <w:spacing w:after="100"/>
      <w:ind w:left="440"/>
    </w:pPr>
  </w:style>
  <w:style w:type="paragraph" w:styleId="BalloonText">
    <w:name w:val="Balloon Text"/>
    <w:basedOn w:val="Normal"/>
    <w:link w:val="BalloonTextChar"/>
    <w:uiPriority w:val="99"/>
    <w:semiHidden/>
    <w:unhideWhenUse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pPr>
      <w:spacing w:after="0" w:line="240" w:lineRule="auto"/>
    </w:pPr>
    <w:rPr>
      <w:rFonts w:ascii="Verdana" w:hAnsi="Verdana"/>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Verdana" w:hAnsi="Verdana"/>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Verdana" w:hAnsi="Verdana"/>
      <w:b/>
      <w:bCs/>
      <w:sz w:val="20"/>
      <w:szCs w:val="20"/>
    </w:rPr>
  </w:style>
  <w:style w:type="table" w:styleId="GridTable4-Accent6">
    <w:name w:val="Grid Table 4 Accent 6"/>
    <w:basedOn w:val="TableNormal"/>
    <w:uiPriority w:val="49"/>
    <w:pPr>
      <w:spacing w:after="0" w:line="240" w:lineRule="auto"/>
    </w:pPr>
    <w:rPr>
      <w:rFonts w:eastAsiaTheme="minorEastAsia"/>
      <w:color w:val="44546A" w:themeColor="text2"/>
      <w:sz w:val="20"/>
      <w:szCs w:val="20"/>
      <w:lang w:val="de-DE" w:eastAsia="ja-JP"/>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PlainTable1">
    <w:name w:val="Plain Table 1"/>
    <w:basedOn w:val="TableNormal"/>
    <w:uiPriority w:val="4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er bold Char"/>
    <w:basedOn w:val="DefaultParagraphFont"/>
    <w:link w:val="ListParagraph"/>
    <w:uiPriority w:val="34"/>
    <w:qFormat/>
    <w:rPr>
      <w:rFonts w:ascii="Verdana" w:hAnsi="Verdana"/>
    </w:rPr>
  </w:style>
  <w:style w:type="paragraph" w:styleId="Caption">
    <w:name w:val="caption"/>
    <w:aliases w:val="Char Char Char,Map,Map2,Table/Figure Heading,Caption- Figure,Caption- Figure1,Caption- Figure2,Map Char Char Char Char Char,Caption Char Char Car Car,Caption Char Char Car Car Car,Map Char Char Char Car Car,Caption Char Char,Beschriftung"/>
    <w:basedOn w:val="Normal"/>
    <w:next w:val="Normal"/>
    <w:link w:val="CaptionChar"/>
    <w:uiPriority w:val="35"/>
    <w:unhideWhenUsed/>
    <w:qFormat/>
    <w:pPr>
      <w:spacing w:after="200"/>
      <w:jc w:val="left"/>
    </w:pPr>
    <w:rPr>
      <w:rFonts w:eastAsiaTheme="minorEastAsia"/>
      <w:i/>
      <w:iCs/>
      <w:color w:val="44546A" w:themeColor="text2"/>
      <w:sz w:val="18"/>
      <w:szCs w:val="18"/>
      <w:lang w:val="ro-RO" w:eastAsia="ja-JP"/>
    </w:rPr>
  </w:style>
  <w:style w:type="character" w:customStyle="1" w:styleId="CaptionChar">
    <w:name w:val="Caption Char"/>
    <w:aliases w:val="Char Char Char Char,Map Char,Map2 Char,Table/Figure Heading Char,Caption- Figure Char,Caption- Figure1 Char,Caption- Figure2 Char,Map Char Char Char Char Char Char,Caption Char Char Car Car Char,Caption Char Char Car Car Car Char"/>
    <w:basedOn w:val="DefaultParagraphFont"/>
    <w:link w:val="Caption"/>
    <w:uiPriority w:val="35"/>
    <w:locked/>
    <w:rPr>
      <w:rFonts w:ascii="Verdana" w:eastAsiaTheme="minorEastAsia" w:hAnsi="Verdana"/>
      <w:i/>
      <w:iCs/>
      <w:color w:val="44546A" w:themeColor="text2"/>
      <w:sz w:val="18"/>
      <w:szCs w:val="18"/>
      <w:lang w:val="ro-RO" w:eastAsia="ja-JP"/>
    </w:rPr>
  </w:style>
  <w:style w:type="table" w:styleId="GridTable4">
    <w:name w:val="Grid Table 4"/>
    <w:basedOn w:val="TableNormal"/>
    <w:uiPriority w:val="4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4">
    <w:name w:val="toc 4"/>
    <w:basedOn w:val="Normal"/>
    <w:next w:val="Normal"/>
    <w:autoRedefine/>
    <w:uiPriority w:val="39"/>
    <w:unhideWhenUsed/>
    <w:pPr>
      <w:spacing w:after="100" w:line="278" w:lineRule="auto"/>
      <w:ind w:left="720"/>
      <w:jc w:val="left"/>
    </w:pPr>
    <w:rPr>
      <w:rFonts w:asciiTheme="minorHAnsi" w:eastAsiaTheme="minorEastAsia" w:hAnsiTheme="minorHAnsi"/>
      <w:kern w:val="2"/>
      <w:sz w:val="24"/>
      <w:szCs w:val="24"/>
      <w:lang w:eastAsia="en-GB"/>
      <w14:ligatures w14:val="standardContextual"/>
    </w:rPr>
  </w:style>
  <w:style w:type="paragraph" w:styleId="TOC5">
    <w:name w:val="toc 5"/>
    <w:basedOn w:val="Normal"/>
    <w:next w:val="Normal"/>
    <w:autoRedefine/>
    <w:uiPriority w:val="39"/>
    <w:unhideWhenUsed/>
    <w:pPr>
      <w:spacing w:after="100" w:line="278" w:lineRule="auto"/>
      <w:ind w:left="960"/>
      <w:jc w:val="left"/>
    </w:pPr>
    <w:rPr>
      <w:rFonts w:asciiTheme="minorHAnsi" w:eastAsiaTheme="minorEastAsia" w:hAnsiTheme="minorHAnsi"/>
      <w:kern w:val="2"/>
      <w:sz w:val="24"/>
      <w:szCs w:val="24"/>
      <w:lang w:eastAsia="en-GB"/>
      <w14:ligatures w14:val="standardContextual"/>
    </w:rPr>
  </w:style>
  <w:style w:type="paragraph" w:styleId="TOC6">
    <w:name w:val="toc 6"/>
    <w:basedOn w:val="Normal"/>
    <w:next w:val="Normal"/>
    <w:autoRedefine/>
    <w:uiPriority w:val="39"/>
    <w:unhideWhenUsed/>
    <w:pPr>
      <w:spacing w:after="100" w:line="278" w:lineRule="auto"/>
      <w:ind w:left="1200"/>
      <w:jc w:val="left"/>
    </w:pPr>
    <w:rPr>
      <w:rFonts w:asciiTheme="minorHAnsi" w:eastAsiaTheme="minorEastAsia" w:hAnsiTheme="minorHAnsi"/>
      <w:kern w:val="2"/>
      <w:sz w:val="24"/>
      <w:szCs w:val="24"/>
      <w:lang w:eastAsia="en-GB"/>
      <w14:ligatures w14:val="standardContextual"/>
    </w:rPr>
  </w:style>
  <w:style w:type="paragraph" w:styleId="TOC7">
    <w:name w:val="toc 7"/>
    <w:basedOn w:val="Normal"/>
    <w:next w:val="Normal"/>
    <w:autoRedefine/>
    <w:uiPriority w:val="39"/>
    <w:unhideWhenUsed/>
    <w:pPr>
      <w:spacing w:after="100" w:line="278" w:lineRule="auto"/>
      <w:ind w:left="1440"/>
      <w:jc w:val="left"/>
    </w:pPr>
    <w:rPr>
      <w:rFonts w:asciiTheme="minorHAnsi" w:eastAsiaTheme="minorEastAsia" w:hAnsiTheme="minorHAnsi"/>
      <w:kern w:val="2"/>
      <w:sz w:val="24"/>
      <w:szCs w:val="24"/>
      <w:lang w:eastAsia="en-GB"/>
      <w14:ligatures w14:val="standardContextual"/>
    </w:rPr>
  </w:style>
  <w:style w:type="paragraph" w:styleId="TOC8">
    <w:name w:val="toc 8"/>
    <w:basedOn w:val="Normal"/>
    <w:next w:val="Normal"/>
    <w:autoRedefine/>
    <w:uiPriority w:val="39"/>
    <w:unhideWhenUsed/>
    <w:pPr>
      <w:spacing w:after="100" w:line="278" w:lineRule="auto"/>
      <w:ind w:left="1680"/>
      <w:jc w:val="left"/>
    </w:pPr>
    <w:rPr>
      <w:rFonts w:asciiTheme="minorHAnsi" w:eastAsiaTheme="minorEastAsia" w:hAnsiTheme="minorHAnsi"/>
      <w:kern w:val="2"/>
      <w:sz w:val="24"/>
      <w:szCs w:val="24"/>
      <w:lang w:eastAsia="en-GB"/>
      <w14:ligatures w14:val="standardContextual"/>
    </w:rPr>
  </w:style>
  <w:style w:type="paragraph" w:styleId="TOC9">
    <w:name w:val="toc 9"/>
    <w:basedOn w:val="Normal"/>
    <w:next w:val="Normal"/>
    <w:autoRedefine/>
    <w:uiPriority w:val="39"/>
    <w:unhideWhenUsed/>
    <w:pPr>
      <w:spacing w:after="100" w:line="278" w:lineRule="auto"/>
      <w:ind w:left="1920"/>
      <w:jc w:val="left"/>
    </w:pPr>
    <w:rPr>
      <w:rFonts w:asciiTheme="minorHAnsi" w:eastAsiaTheme="minorEastAsia" w:hAnsiTheme="minorHAnsi"/>
      <w:kern w:val="2"/>
      <w:sz w:val="24"/>
      <w:szCs w:val="24"/>
      <w:lang w:eastAsia="en-GB"/>
      <w14:ligatures w14:val="standardContextual"/>
    </w:rPr>
  </w:style>
  <w:style w:type="character" w:customStyle="1"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iecoserv@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F1D298-1AD2-45C6-AB6A-ACB862B36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125</Pages>
  <Words>62002</Words>
  <Characters>353412</Characters>
  <Application>Microsoft Office Word</Application>
  <DocSecurity>0</DocSecurity>
  <Lines>2945</Lines>
  <Paragraphs>829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414585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t-user</cp:lastModifiedBy>
  <cp:revision>7</cp:revision>
  <cp:lastPrinted>2025-09-25T10:20:00Z</cp:lastPrinted>
  <dcterms:created xsi:type="dcterms:W3CDTF">2026-05-20T20:18:00Z</dcterms:created>
  <dcterms:modified xsi:type="dcterms:W3CDTF">2026-05-22T04:10:00Z</dcterms:modified>
</cp:coreProperties>
</file>