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8C2" w:rsidRPr="00A728C2" w:rsidRDefault="00A728C2" w:rsidP="00A728C2">
      <w:pPr>
        <w:spacing w:after="0" w:line="257" w:lineRule="auto"/>
        <w:rPr>
          <w:rFonts w:ascii="Times New Roman" w:hAnsi="Times New Roman" w:cs="Times New Roman"/>
          <w:b/>
          <w:sz w:val="28"/>
          <w:szCs w:val="28"/>
        </w:rPr>
      </w:pPr>
      <w:r w:rsidRPr="00A728C2">
        <w:rPr>
          <w:rFonts w:ascii="Times New Roman" w:hAnsi="Times New Roman" w:cs="Times New Roman"/>
          <w:b/>
          <w:sz w:val="28"/>
          <w:szCs w:val="28"/>
        </w:rPr>
        <w:t xml:space="preserve"> </w:t>
      </w:r>
    </w:p>
    <w:p w:rsidR="00A728C2" w:rsidRPr="00A728C2" w:rsidRDefault="00A728C2" w:rsidP="00A728C2">
      <w:pPr>
        <w:spacing w:after="0" w:line="257" w:lineRule="auto"/>
        <w:rPr>
          <w:rFonts w:ascii="Times New Roman" w:hAnsi="Times New Roman" w:cs="Times New Roman"/>
          <w:b/>
          <w:sz w:val="28"/>
          <w:szCs w:val="28"/>
        </w:rPr>
      </w:pPr>
      <w:r w:rsidRPr="00A728C2">
        <w:rPr>
          <w:rFonts w:ascii="Times New Roman" w:hAnsi="Times New Roman" w:cs="Times New Roman"/>
          <w:b/>
          <w:sz w:val="28"/>
          <w:szCs w:val="28"/>
        </w:rPr>
        <w:t>JUDETUL BIHOR</w:t>
      </w:r>
    </w:p>
    <w:p w:rsidR="00A728C2" w:rsidRPr="00A728C2" w:rsidRDefault="00A728C2" w:rsidP="00A728C2">
      <w:pPr>
        <w:spacing w:after="0" w:line="257" w:lineRule="auto"/>
        <w:rPr>
          <w:rFonts w:ascii="Times New Roman" w:hAnsi="Times New Roman" w:cs="Times New Roman"/>
          <w:b/>
          <w:sz w:val="28"/>
          <w:szCs w:val="28"/>
        </w:rPr>
      </w:pPr>
      <w:r w:rsidRPr="00A728C2">
        <w:rPr>
          <w:rFonts w:ascii="Times New Roman" w:hAnsi="Times New Roman" w:cs="Times New Roman"/>
          <w:b/>
          <w:sz w:val="28"/>
          <w:szCs w:val="28"/>
        </w:rPr>
        <w:t>COMUNA CIUMEGHIU</w:t>
      </w:r>
    </w:p>
    <w:p w:rsidR="00A728C2" w:rsidRPr="00A728C2" w:rsidRDefault="00A728C2" w:rsidP="00A728C2">
      <w:pPr>
        <w:spacing w:after="0" w:line="257" w:lineRule="auto"/>
        <w:rPr>
          <w:rFonts w:ascii="Times New Roman" w:hAnsi="Times New Roman" w:cs="Times New Roman"/>
          <w:b/>
          <w:sz w:val="28"/>
          <w:szCs w:val="28"/>
        </w:rPr>
      </w:pPr>
      <w:r w:rsidRPr="00A728C2">
        <w:rPr>
          <w:rFonts w:ascii="Times New Roman" w:hAnsi="Times New Roman" w:cs="Times New Roman"/>
          <w:b/>
          <w:sz w:val="28"/>
          <w:szCs w:val="28"/>
        </w:rPr>
        <w:t xml:space="preserve">Nr. </w:t>
      </w:r>
      <w:r w:rsidR="00DD1968">
        <w:rPr>
          <w:rFonts w:ascii="Times New Roman" w:hAnsi="Times New Roman" w:cs="Times New Roman"/>
          <w:b/>
          <w:sz w:val="28"/>
          <w:szCs w:val="28"/>
        </w:rPr>
        <w:t>2960</w:t>
      </w:r>
      <w:r w:rsidRPr="00A728C2">
        <w:rPr>
          <w:rFonts w:ascii="Times New Roman" w:hAnsi="Times New Roman" w:cs="Times New Roman"/>
          <w:b/>
          <w:sz w:val="28"/>
          <w:szCs w:val="28"/>
        </w:rPr>
        <w:t xml:space="preserve">/ </w:t>
      </w:r>
      <w:r w:rsidR="00DD1968">
        <w:rPr>
          <w:rFonts w:ascii="Times New Roman" w:hAnsi="Times New Roman" w:cs="Times New Roman"/>
          <w:b/>
          <w:sz w:val="28"/>
          <w:szCs w:val="28"/>
        </w:rPr>
        <w:t>23.03.</w:t>
      </w:r>
      <w:r>
        <w:rPr>
          <w:rFonts w:ascii="Times New Roman" w:hAnsi="Times New Roman" w:cs="Times New Roman"/>
          <w:b/>
          <w:sz w:val="28"/>
          <w:szCs w:val="28"/>
        </w:rPr>
        <w:t>2026</w:t>
      </w:r>
    </w:p>
    <w:p w:rsidR="00A728C2" w:rsidRDefault="00A728C2" w:rsidP="00A728C2">
      <w:pPr>
        <w:jc w:val="center"/>
        <w:rPr>
          <w:rFonts w:ascii="Times New Roman" w:hAnsi="Times New Roman" w:cs="Times New Roman"/>
          <w:b/>
          <w:bCs/>
          <w:sz w:val="28"/>
          <w:szCs w:val="28"/>
        </w:rPr>
      </w:pPr>
    </w:p>
    <w:p w:rsidR="00A728C2" w:rsidRPr="00A728C2" w:rsidRDefault="00A728C2" w:rsidP="00A728C2">
      <w:pPr>
        <w:jc w:val="center"/>
        <w:rPr>
          <w:rFonts w:ascii="Times New Roman" w:hAnsi="Times New Roman" w:cs="Times New Roman"/>
          <w:b/>
          <w:bCs/>
          <w:sz w:val="28"/>
          <w:szCs w:val="28"/>
        </w:rPr>
      </w:pPr>
      <w:r w:rsidRPr="00A728C2">
        <w:rPr>
          <w:rFonts w:ascii="Times New Roman" w:hAnsi="Times New Roman" w:cs="Times New Roman"/>
          <w:b/>
          <w:bCs/>
          <w:sz w:val="28"/>
          <w:szCs w:val="28"/>
        </w:rPr>
        <w:t>RAPORT DE SPECIALITATE</w:t>
      </w:r>
    </w:p>
    <w:p w:rsidR="00A728C2" w:rsidRPr="00A728C2" w:rsidRDefault="00A728C2" w:rsidP="00A728C2">
      <w:pPr>
        <w:jc w:val="center"/>
        <w:rPr>
          <w:rFonts w:ascii="Times New Roman" w:hAnsi="Times New Roman" w:cs="Times New Roman"/>
          <w:b/>
          <w:bCs/>
          <w:sz w:val="28"/>
          <w:szCs w:val="28"/>
        </w:rPr>
      </w:pPr>
      <w:r w:rsidRPr="00A728C2">
        <w:rPr>
          <w:rFonts w:ascii="Times New Roman" w:hAnsi="Times New Roman" w:cs="Times New Roman"/>
          <w:b/>
          <w:bCs/>
          <w:sz w:val="28"/>
          <w:szCs w:val="28"/>
        </w:rPr>
        <w:t>privind desemnarea reprezentanților Consiliului Local Ciumeghiu pentru participarea la recepțiile lucrărilor de investiții</w:t>
      </w:r>
    </w:p>
    <w:p w:rsidR="00A728C2" w:rsidRPr="00A728C2" w:rsidRDefault="00A728C2" w:rsidP="00A728C2">
      <w:pPr>
        <w:ind w:firstLine="708"/>
        <w:rPr>
          <w:rFonts w:ascii="Times New Roman" w:hAnsi="Times New Roman" w:cs="Times New Roman"/>
          <w:sz w:val="28"/>
          <w:szCs w:val="28"/>
        </w:rPr>
      </w:pPr>
      <w:r w:rsidRPr="00A728C2">
        <w:rPr>
          <w:rFonts w:ascii="Times New Roman" w:hAnsi="Times New Roman" w:cs="Times New Roman"/>
          <w:sz w:val="28"/>
          <w:szCs w:val="28"/>
        </w:rPr>
        <w:t>Analizând proiectul de hotărâre inițiat de domnul consilier local Monenciu Călin Ioan, compartimentul de specialitate formulează următoarele considerente:</w:t>
      </w:r>
    </w:p>
    <w:p w:rsidR="00A728C2" w:rsidRPr="00A728C2" w:rsidRDefault="00A728C2" w:rsidP="00A728C2">
      <w:pPr>
        <w:spacing w:after="0" w:line="257" w:lineRule="auto"/>
        <w:rPr>
          <w:rFonts w:ascii="Times New Roman" w:hAnsi="Times New Roman" w:cs="Times New Roman"/>
          <w:sz w:val="28"/>
          <w:szCs w:val="28"/>
        </w:rPr>
      </w:pPr>
      <w:r w:rsidRPr="00A728C2">
        <w:rPr>
          <w:rFonts w:ascii="Times New Roman" w:hAnsi="Times New Roman" w:cs="Times New Roman"/>
          <w:sz w:val="28"/>
          <w:szCs w:val="28"/>
        </w:rPr>
        <w:t>1. Aspecte de oportunitate:</w:t>
      </w:r>
    </w:p>
    <w:p w:rsidR="00A728C2" w:rsidRPr="00A728C2" w:rsidRDefault="00A728C2" w:rsidP="00A728C2">
      <w:pPr>
        <w:spacing w:after="0" w:line="257" w:lineRule="auto"/>
        <w:rPr>
          <w:rFonts w:ascii="Times New Roman" w:hAnsi="Times New Roman" w:cs="Times New Roman"/>
          <w:sz w:val="28"/>
          <w:szCs w:val="28"/>
        </w:rPr>
      </w:pPr>
      <w:r w:rsidRPr="00A728C2">
        <w:rPr>
          <w:rFonts w:ascii="Times New Roman" w:hAnsi="Times New Roman" w:cs="Times New Roman"/>
          <w:sz w:val="28"/>
          <w:szCs w:val="28"/>
        </w:rPr>
        <w:t>Consiliul Local are rolul de a administra patrimoniul comunei și de a monitoriza modul în care sunt utilizate fondurile publice pentru investiții. Participarea aleșilor locali la procesul de recepție asigură o transparență sporită și permite acestora să verifice, în teren, dacă investițiile aprobate prin bugetul local au fost realizate conform indicatorilor tehnico-economici votați.</w:t>
      </w:r>
    </w:p>
    <w:p w:rsidR="00A728C2" w:rsidRPr="00A728C2" w:rsidRDefault="00A728C2" w:rsidP="00A728C2">
      <w:pPr>
        <w:spacing w:after="0" w:line="257" w:lineRule="auto"/>
        <w:rPr>
          <w:rFonts w:ascii="Times New Roman" w:hAnsi="Times New Roman" w:cs="Times New Roman"/>
          <w:sz w:val="28"/>
          <w:szCs w:val="28"/>
        </w:rPr>
      </w:pPr>
      <w:r w:rsidRPr="00A728C2">
        <w:rPr>
          <w:rFonts w:ascii="Times New Roman" w:hAnsi="Times New Roman" w:cs="Times New Roman"/>
          <w:sz w:val="28"/>
          <w:szCs w:val="28"/>
        </w:rPr>
        <w:t>2. Aspecte legale:</w:t>
      </w:r>
    </w:p>
    <w:p w:rsidR="00A728C2" w:rsidRPr="00A728C2" w:rsidRDefault="00A728C2" w:rsidP="00A728C2">
      <w:pPr>
        <w:spacing w:after="0" w:line="257" w:lineRule="auto"/>
        <w:rPr>
          <w:rFonts w:ascii="Times New Roman" w:hAnsi="Times New Roman" w:cs="Times New Roman"/>
          <w:sz w:val="28"/>
          <w:szCs w:val="28"/>
        </w:rPr>
      </w:pPr>
      <w:r w:rsidRPr="00A728C2">
        <w:rPr>
          <w:rFonts w:ascii="Times New Roman" w:hAnsi="Times New Roman" w:cs="Times New Roman"/>
          <w:sz w:val="28"/>
          <w:szCs w:val="28"/>
        </w:rPr>
        <w:t>Proiectul de hotărâre se fundamentează pe următoarele prevederi:</w:t>
      </w:r>
    </w:p>
    <w:p w:rsidR="00A728C2" w:rsidRPr="00A728C2" w:rsidRDefault="00A728C2" w:rsidP="00A728C2">
      <w:pPr>
        <w:spacing w:after="0" w:line="257" w:lineRule="auto"/>
        <w:rPr>
          <w:rFonts w:ascii="Times New Roman" w:hAnsi="Times New Roman" w:cs="Times New Roman"/>
          <w:sz w:val="28"/>
          <w:szCs w:val="28"/>
        </w:rPr>
      </w:pPr>
      <w:r w:rsidRPr="00A728C2">
        <w:rPr>
          <w:rFonts w:ascii="Times New Roman" w:hAnsi="Times New Roman" w:cs="Times New Roman"/>
          <w:sz w:val="28"/>
          <w:szCs w:val="28"/>
        </w:rPr>
        <w:t xml:space="preserve"> </w:t>
      </w:r>
      <w:r>
        <w:rPr>
          <w:rFonts w:ascii="Times New Roman" w:hAnsi="Times New Roman" w:cs="Times New Roman"/>
          <w:sz w:val="28"/>
          <w:szCs w:val="28"/>
        </w:rPr>
        <w:t>-</w:t>
      </w:r>
      <w:r w:rsidRPr="00A728C2">
        <w:rPr>
          <w:rFonts w:ascii="Times New Roman" w:hAnsi="Times New Roman" w:cs="Times New Roman"/>
          <w:sz w:val="28"/>
          <w:szCs w:val="28"/>
        </w:rPr>
        <w:t>O.U.G. nr. 57/2019 privind Codul administrativ: Conform art. 129 alin. (2) lit. b) și alin. (4) lit. d), Consiliul Local exercită atribuții privind dezvoltarea economico-socială a comunei și gestionarea serviciilor furnizate către cetățeni.</w:t>
      </w:r>
    </w:p>
    <w:p w:rsidR="00A728C2" w:rsidRDefault="00A728C2" w:rsidP="00A728C2">
      <w:pPr>
        <w:spacing w:after="0" w:line="257" w:lineRule="auto"/>
        <w:rPr>
          <w:rFonts w:ascii="Times New Roman" w:hAnsi="Times New Roman" w:cs="Times New Roman"/>
          <w:sz w:val="28"/>
          <w:szCs w:val="28"/>
        </w:rPr>
      </w:pPr>
      <w:r w:rsidRPr="00A728C2">
        <w:rPr>
          <w:rFonts w:ascii="Times New Roman" w:hAnsi="Times New Roman" w:cs="Times New Roman"/>
          <w:sz w:val="28"/>
          <w:szCs w:val="28"/>
        </w:rPr>
        <w:t xml:space="preserve"> </w:t>
      </w:r>
      <w:r>
        <w:rPr>
          <w:rFonts w:ascii="Times New Roman" w:hAnsi="Times New Roman" w:cs="Times New Roman"/>
          <w:sz w:val="28"/>
          <w:szCs w:val="28"/>
        </w:rPr>
        <w:t>-</w:t>
      </w:r>
      <w:r w:rsidRPr="00A728C2">
        <w:rPr>
          <w:rFonts w:ascii="Times New Roman" w:hAnsi="Times New Roman" w:cs="Times New Roman"/>
          <w:sz w:val="28"/>
          <w:szCs w:val="28"/>
        </w:rPr>
        <w:t>H.G. nr. 343/2017 privind aprobarea Regulamentului de recepție a lucrărilor de construcții: Această hotărâre reglementează componența comisiilor de recepție. Deși consilierii locali au rol deliberativ (nu executiv), prezența lor în calitate de observatori sau reprezentanți ai autorității deliberative nu contravine normelor tehnice, ci întărește controlul administrativ.</w:t>
      </w:r>
    </w:p>
    <w:p w:rsidR="00A728C2" w:rsidRPr="00A728C2" w:rsidRDefault="00A728C2" w:rsidP="00A728C2">
      <w:pPr>
        <w:spacing w:after="0" w:line="257" w:lineRule="auto"/>
        <w:rPr>
          <w:rFonts w:ascii="Times New Roman" w:hAnsi="Times New Roman" w:cs="Times New Roman"/>
          <w:sz w:val="28"/>
          <w:szCs w:val="28"/>
        </w:rPr>
      </w:pPr>
      <w:r>
        <w:rPr>
          <w:rFonts w:ascii="Times New Roman" w:hAnsi="Times New Roman" w:cs="Times New Roman"/>
          <w:sz w:val="28"/>
          <w:szCs w:val="28"/>
        </w:rPr>
        <w:t>-</w:t>
      </w:r>
      <w:r w:rsidRPr="00A728C2">
        <w:rPr>
          <w:rFonts w:ascii="Times New Roman" w:hAnsi="Times New Roman" w:cs="Times New Roman"/>
          <w:sz w:val="28"/>
          <w:szCs w:val="28"/>
        </w:rPr>
        <w:t xml:space="preserve"> Art. 225 din O.U.G. nr. 57/2019: Garantează dreptul consilierilor locali de a avea acces la orice informație de interes public necesară în exercitarea mandatului.</w:t>
      </w:r>
    </w:p>
    <w:p w:rsidR="00A728C2" w:rsidRPr="00A728C2" w:rsidRDefault="00A728C2" w:rsidP="00A728C2">
      <w:pPr>
        <w:spacing w:after="0" w:line="257" w:lineRule="auto"/>
        <w:rPr>
          <w:rFonts w:ascii="Times New Roman" w:hAnsi="Times New Roman" w:cs="Times New Roman"/>
          <w:sz w:val="28"/>
          <w:szCs w:val="28"/>
        </w:rPr>
      </w:pPr>
      <w:r w:rsidRPr="00A728C2">
        <w:rPr>
          <w:rFonts w:ascii="Times New Roman" w:hAnsi="Times New Roman" w:cs="Times New Roman"/>
          <w:sz w:val="28"/>
          <w:szCs w:val="28"/>
        </w:rPr>
        <w:t>3. Concluzii:Participarea reprezentanților Consiliului Local la recepția lucrărilor (la terminarea lucrărilor și recepția finală) contribuie la: Prevenirea eventualelor deficiențe de execuție prin monitorizarea directă;  Informarea corectă a comunității cu privire la finalizarea obiectivelor de investiții; Eficientizarea comunicării între executiv (Primar) și deliberativ (Consiliu).</w:t>
      </w:r>
    </w:p>
    <w:p w:rsidR="00A728C2" w:rsidRPr="00A728C2" w:rsidRDefault="00A728C2" w:rsidP="00A728C2">
      <w:pPr>
        <w:spacing w:after="0" w:line="257" w:lineRule="auto"/>
        <w:rPr>
          <w:rFonts w:ascii="Times New Roman" w:hAnsi="Times New Roman" w:cs="Times New Roman"/>
          <w:sz w:val="28"/>
          <w:szCs w:val="28"/>
        </w:rPr>
      </w:pPr>
    </w:p>
    <w:p w:rsidR="00A728C2" w:rsidRPr="00A728C2" w:rsidRDefault="00A728C2" w:rsidP="00A728C2">
      <w:pPr>
        <w:spacing w:after="0" w:line="257"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728C2">
        <w:rPr>
          <w:rFonts w:ascii="Times New Roman" w:hAnsi="Times New Roman" w:cs="Times New Roman"/>
          <w:sz w:val="28"/>
          <w:szCs w:val="28"/>
        </w:rPr>
        <w:t>Având în vedere cele expuse, compartimentul de specialitate consideră că proiectul de hotărâre îndeplinește condițiile de legalitate și oportunitate, propunând supunerea acestuia spre dezbatere și adoptare în ședința Consiliului Local.</w:t>
      </w:r>
    </w:p>
    <w:p w:rsidR="00A728C2" w:rsidRPr="00A728C2" w:rsidRDefault="00A728C2" w:rsidP="00A728C2">
      <w:pPr>
        <w:rPr>
          <w:rFonts w:ascii="Times New Roman" w:hAnsi="Times New Roman" w:cs="Times New Roman"/>
          <w:sz w:val="28"/>
          <w:szCs w:val="28"/>
        </w:rPr>
      </w:pPr>
    </w:p>
    <w:p w:rsidR="0063334E" w:rsidRDefault="0063334E">
      <w:pPr>
        <w:rPr>
          <w:rFonts w:ascii="Times New Roman" w:hAnsi="Times New Roman" w:cs="Times New Roman"/>
          <w:sz w:val="28"/>
          <w:szCs w:val="28"/>
        </w:rPr>
      </w:pPr>
    </w:p>
    <w:p w:rsidR="00A65171" w:rsidRDefault="0063334E" w:rsidP="0063334E">
      <w:pPr>
        <w:tabs>
          <w:tab w:val="left" w:pos="2775"/>
        </w:tabs>
        <w:rPr>
          <w:rFonts w:ascii="Times New Roman" w:hAnsi="Times New Roman" w:cs="Times New Roman"/>
          <w:sz w:val="28"/>
          <w:szCs w:val="28"/>
        </w:rPr>
      </w:pPr>
      <w:r>
        <w:rPr>
          <w:rFonts w:ascii="Times New Roman" w:hAnsi="Times New Roman" w:cs="Times New Roman"/>
          <w:sz w:val="28"/>
          <w:szCs w:val="28"/>
        </w:rPr>
        <w:tab/>
        <w:t>Compartimentul financiar-contabil,</w:t>
      </w:r>
    </w:p>
    <w:p w:rsidR="004A02FB" w:rsidRPr="00A65171" w:rsidRDefault="00A65171" w:rsidP="00A65171">
      <w:pPr>
        <w:tabs>
          <w:tab w:val="left" w:pos="3615"/>
        </w:tabs>
        <w:rPr>
          <w:rFonts w:ascii="Times New Roman" w:hAnsi="Times New Roman" w:cs="Times New Roman"/>
          <w:sz w:val="28"/>
          <w:szCs w:val="28"/>
        </w:rPr>
      </w:pPr>
      <w:r>
        <w:rPr>
          <w:rFonts w:ascii="Times New Roman" w:hAnsi="Times New Roman" w:cs="Times New Roman"/>
          <w:sz w:val="28"/>
          <w:szCs w:val="28"/>
        </w:rPr>
        <w:tab/>
        <w:t>Inspector,</w:t>
      </w:r>
      <w:bookmarkStart w:id="0" w:name="_GoBack"/>
      <w:bookmarkEnd w:id="0"/>
      <w:r>
        <w:rPr>
          <w:rFonts w:ascii="Times New Roman" w:hAnsi="Times New Roman" w:cs="Times New Roman"/>
          <w:sz w:val="28"/>
          <w:szCs w:val="28"/>
        </w:rPr>
        <w:t>Criste Elena</w:t>
      </w:r>
    </w:p>
    <w:sectPr w:rsidR="004A02FB" w:rsidRPr="00A651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8C2"/>
    <w:rsid w:val="004A02FB"/>
    <w:rsid w:val="0063334E"/>
    <w:rsid w:val="00A65171"/>
    <w:rsid w:val="00A728C2"/>
    <w:rsid w:val="00DD1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ED56E"/>
  <w15:chartTrackingRefBased/>
  <w15:docId w15:val="{90CBDC63-819B-47D6-BB7D-0BBFC931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28C2"/>
    <w:pPr>
      <w:spacing w:line="256"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43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2026-03-24T13:23:00Z</dcterms:created>
  <dcterms:modified xsi:type="dcterms:W3CDTF">2026-06-08T13:45:00Z</dcterms:modified>
</cp:coreProperties>
</file>