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F12" w:rsidRDefault="00121F12" w:rsidP="00121F1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ANEXĂ</w:t>
      </w:r>
      <w:r w:rsidR="00131381" w:rsidRPr="0013138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31381" w:rsidRPr="00121F12" w:rsidRDefault="00121F12" w:rsidP="002E2A7D">
      <w:pPr>
        <w:autoSpaceDE w:val="0"/>
        <w:autoSpaceDN w:val="0"/>
        <w:adjustRightInd w:val="0"/>
        <w:spacing w:after="0" w:line="240" w:lineRule="auto"/>
        <w:ind w:right="-284"/>
        <w:jc w:val="center"/>
        <w:rPr>
          <w:rFonts w:ascii="Times New Roman" w:hAnsi="Times New Roman" w:cs="Times New Roman"/>
          <w:b/>
          <w:sz w:val="24"/>
          <w:szCs w:val="24"/>
        </w:rPr>
      </w:pPr>
      <w:r w:rsidRPr="00121F12">
        <w:rPr>
          <w:rFonts w:ascii="Times New Roman" w:hAnsi="Times New Roman" w:cs="Times New Roman"/>
          <w:b/>
          <w:sz w:val="24"/>
          <w:szCs w:val="24"/>
        </w:rPr>
        <w:t xml:space="preserve">                                                                                         </w:t>
      </w:r>
      <w:r w:rsidR="00131381" w:rsidRPr="00121F12">
        <w:rPr>
          <w:rFonts w:ascii="Times New Roman" w:hAnsi="Times New Roman" w:cs="Times New Roman"/>
          <w:b/>
          <w:sz w:val="24"/>
          <w:szCs w:val="24"/>
        </w:rPr>
        <w:t>H</w:t>
      </w:r>
      <w:r w:rsidRPr="00121F12">
        <w:rPr>
          <w:rFonts w:ascii="Times New Roman" w:hAnsi="Times New Roman" w:cs="Times New Roman"/>
          <w:b/>
          <w:sz w:val="24"/>
          <w:szCs w:val="24"/>
        </w:rPr>
        <w:t>OTĂRÂREA</w:t>
      </w:r>
      <w:r w:rsidR="00131381" w:rsidRPr="00121F12">
        <w:rPr>
          <w:rFonts w:ascii="Times New Roman" w:hAnsi="Times New Roman" w:cs="Times New Roman"/>
          <w:b/>
          <w:sz w:val="24"/>
          <w:szCs w:val="24"/>
        </w:rPr>
        <w:t xml:space="preserve"> </w:t>
      </w:r>
      <w:r w:rsidRPr="00121F12">
        <w:rPr>
          <w:rFonts w:ascii="Times New Roman" w:hAnsi="Times New Roman" w:cs="Times New Roman"/>
          <w:b/>
          <w:sz w:val="24"/>
          <w:szCs w:val="24"/>
        </w:rPr>
        <w:t>Nr. 17/ 28. 02. 2022</w:t>
      </w:r>
    </w:p>
    <w:p w:rsidR="00131381" w:rsidRPr="00121F12" w:rsidRDefault="00131381" w:rsidP="00121F12">
      <w:pPr>
        <w:autoSpaceDE w:val="0"/>
        <w:autoSpaceDN w:val="0"/>
        <w:adjustRightInd w:val="0"/>
        <w:spacing w:after="0" w:line="240" w:lineRule="auto"/>
        <w:jc w:val="right"/>
        <w:rPr>
          <w:rFonts w:ascii="Times New Roman" w:hAnsi="Times New Roman" w:cs="Times New Roman"/>
          <w:b/>
        </w:rPr>
      </w:pPr>
      <w:r w:rsidRPr="00121F12">
        <w:rPr>
          <w:rFonts w:ascii="Times New Roman" w:hAnsi="Times New Roman" w:cs="Times New Roman"/>
          <w:b/>
        </w:rPr>
        <w:t xml:space="preserve">  </w:t>
      </w:r>
    </w:p>
    <w:p w:rsidR="00131381" w:rsidRDefault="00131381" w:rsidP="00131381">
      <w:pPr>
        <w:autoSpaceDE w:val="0"/>
        <w:autoSpaceDN w:val="0"/>
        <w:adjustRightInd w:val="0"/>
        <w:spacing w:after="0" w:line="240" w:lineRule="auto"/>
        <w:jc w:val="right"/>
        <w:rPr>
          <w:rFonts w:ascii="Times New Roman" w:hAnsi="Times New Roman" w:cs="Times New Roman"/>
          <w:b/>
        </w:rPr>
      </w:pPr>
      <w:r w:rsidRPr="00121F12">
        <w:rPr>
          <w:rFonts w:ascii="Times New Roman" w:hAnsi="Times New Roman" w:cs="Times New Roman"/>
          <w:b/>
        </w:rPr>
        <w:t>PREȘEDINTE DE ȘEDINȚĂ</w:t>
      </w:r>
      <w:r w:rsidR="00121F12" w:rsidRPr="00121F12">
        <w:rPr>
          <w:rFonts w:ascii="Times New Roman" w:hAnsi="Times New Roman" w:cs="Times New Roman"/>
          <w:b/>
        </w:rPr>
        <w:t>,</w:t>
      </w:r>
    </w:p>
    <w:p w:rsidR="00121F12" w:rsidRDefault="00121F12" w:rsidP="00131381">
      <w:pPr>
        <w:autoSpaceDE w:val="0"/>
        <w:autoSpaceDN w:val="0"/>
        <w:adjustRightInd w:val="0"/>
        <w:spacing w:after="0" w:line="240" w:lineRule="auto"/>
        <w:jc w:val="right"/>
        <w:rPr>
          <w:rFonts w:ascii="Times New Roman" w:hAnsi="Times New Roman" w:cs="Times New Roman"/>
          <w:b/>
        </w:rPr>
      </w:pPr>
    </w:p>
    <w:p w:rsidR="00121F12" w:rsidRPr="00121F12" w:rsidRDefault="00121F12" w:rsidP="00131381">
      <w:pPr>
        <w:autoSpaceDE w:val="0"/>
        <w:autoSpaceDN w:val="0"/>
        <w:adjustRightInd w:val="0"/>
        <w:spacing w:after="0" w:line="240" w:lineRule="auto"/>
        <w:jc w:val="right"/>
        <w:rPr>
          <w:rFonts w:ascii="Times New Roman" w:hAnsi="Times New Roman" w:cs="Times New Roman"/>
          <w:b/>
        </w:rPr>
      </w:pPr>
    </w:p>
    <w:p w:rsidR="00131381" w:rsidRPr="00121F12" w:rsidRDefault="00131381" w:rsidP="00121F12">
      <w:pPr>
        <w:autoSpaceDE w:val="0"/>
        <w:autoSpaceDN w:val="0"/>
        <w:adjustRightInd w:val="0"/>
        <w:spacing w:after="0" w:line="240" w:lineRule="auto"/>
        <w:jc w:val="right"/>
        <w:rPr>
          <w:rFonts w:ascii="Times New Roman" w:hAnsi="Times New Roman" w:cs="Times New Roman"/>
          <w:b/>
          <w:sz w:val="16"/>
          <w:szCs w:val="16"/>
        </w:rPr>
      </w:pPr>
      <w:r w:rsidRPr="00121F12">
        <w:rPr>
          <w:rFonts w:ascii="Times New Roman" w:hAnsi="Times New Roman" w:cs="Times New Roman"/>
          <w:b/>
        </w:rPr>
        <w:t>Consilier,</w:t>
      </w:r>
      <w:r w:rsidR="00121F12" w:rsidRPr="00121F12">
        <w:rPr>
          <w:rFonts w:ascii="Times New Roman" w:hAnsi="Times New Roman" w:cs="Times New Roman"/>
          <w:b/>
        </w:rPr>
        <w:t>Valentina CAZACU</w:t>
      </w:r>
    </w:p>
    <w:p w:rsidR="00131381" w:rsidRDefault="00131381" w:rsidP="00131381">
      <w:pPr>
        <w:autoSpaceDE w:val="0"/>
        <w:autoSpaceDN w:val="0"/>
        <w:adjustRightInd w:val="0"/>
        <w:spacing w:after="0" w:line="240" w:lineRule="auto"/>
        <w:jc w:val="center"/>
        <w:rPr>
          <w:rFonts w:ascii="Times New Roman" w:hAnsi="Times New Roman" w:cs="Times New Roman"/>
          <w:sz w:val="16"/>
          <w:szCs w:val="16"/>
        </w:rPr>
      </w:pPr>
    </w:p>
    <w:p w:rsidR="00131381" w:rsidRPr="00675B32" w:rsidRDefault="00131381" w:rsidP="00131381">
      <w:pPr>
        <w:autoSpaceDE w:val="0"/>
        <w:autoSpaceDN w:val="0"/>
        <w:adjustRightInd w:val="0"/>
        <w:spacing w:after="0" w:line="240" w:lineRule="auto"/>
        <w:jc w:val="center"/>
        <w:rPr>
          <w:rFonts w:ascii="Times New Roman" w:hAnsi="Times New Roman" w:cs="Times New Roman"/>
          <w:sz w:val="16"/>
          <w:szCs w:val="16"/>
        </w:rPr>
      </w:pPr>
    </w:p>
    <w:p w:rsidR="00131381" w:rsidRPr="00131381" w:rsidRDefault="00131381" w:rsidP="00131381">
      <w:pPr>
        <w:tabs>
          <w:tab w:val="left" w:pos="2670"/>
        </w:tabs>
        <w:spacing w:after="160" w:line="259" w:lineRule="auto"/>
        <w:jc w:val="center"/>
        <w:rPr>
          <w:rFonts w:ascii="Times New Roman" w:hAnsi="Times New Roman" w:cs="Times New Roman"/>
          <w:b/>
          <w:bCs/>
          <w:sz w:val="28"/>
          <w:szCs w:val="28"/>
          <w:lang w:val="ro-RO"/>
        </w:rPr>
      </w:pPr>
      <w:r w:rsidRPr="00131381">
        <w:rPr>
          <w:rFonts w:ascii="Times New Roman" w:hAnsi="Times New Roman" w:cs="Times New Roman"/>
          <w:b/>
          <w:bCs/>
          <w:sz w:val="28"/>
          <w:szCs w:val="28"/>
          <w:lang w:val="ro-RO"/>
        </w:rPr>
        <w:t>Modalitatea de identificare a beneficiarilor stimulentului educaţional şi modalitatea de soluţionare a situaţiilor identificate</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temeiul prevederilor art. 2 din Legea nr. 248/2015 privind stimularea participării în învăţământul preşcolar a copiilor provenind din familii defavorizate, modificată și completată prin Legea nr. 49/2020, stimulentele educaţionale se acordă numai pentru copiii înscrişi într-o unitate de învăţământ preşcolar, conform Legii educaţiei naţionale nr. 1/2011, cu modificările şi completările ulterioare, după cum urmează:</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a) copiilor din familiile care au stabilit dreptul la alocaţie pentru susţinerea familiei acordată în baza Legii nr. 277/2010 privind alocaţia pentru susţinerea familiei, republicată, cu modificările şi completările ulterioare, indiferent dacă familia se află în plata acestui drept sau acesta este suspendat.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b) copiilor aflaţi în îngrijirea persoanei care a fost desemnată de părinte pentru întreţinerea copilului, pe perioada absenţei părinţilor, conform art. 104 din Legea nr. 272/2004 privind protecţia şi promovarea drepturilor copilului, republicată, cu modificările şi completările ulterioare, dacă veniturile pe persoană, inclusiv copilul aflat în îngrijire, nu depăşesc nivelul maxim de venituri pentru acordarea alocaţiei pentru susţinerea familiei. Valoarea stimulentului educaţional în tichete sociale pentru grădiniţă este 100 de lei/lună/copil, conform art. 6 din Legea nr. 248/2015, cu modificările și completările ulterioare.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Având în vedere prevederile art. 4 alin. (2) din Legea nr. 248/2015, cu modificările și completările ulterioare, şi art. 35 din Normele de aplicare a Legii nr. 248/2015, conform cărora autorităţile administraţiei publice locale stabilesc prin hotărâre a consiliului local modalitatea de identificare a beneficiarilor, precum şi modalitatea de soluţionare a situaţiilor identificate, în limita procedurală prevăzută de normele metodologice şi procedura de acordare a tichetelor sociale pentru grădiniţă, prezentăm mai jos modul de identificare a beneficiarilor de stimulente educaţionale şi modalitatea de soluţionare a situaţiilor identificate.</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Datorită faptului că Compartimentul de specialitate  a primarului comunei Targusor, județul Constanța deţine o bază de date cu beneficiari  de asistenţă socială, este o sursă sigură de date pentru beneficiarii stimulentului educaţional care pot fi informaţi în timp util despre aceste beneficii, atât direct de către personalul de specialitate, cât şi prin alte mijloace de comunicare (telefon, poştă, vizită la domiciliu, etc).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O altă modalitate de identificare a acestor categorii de beneficiari este stabilită prin art. 4 alin. (3) din Legea nr. 248/2015, cu modificările și completările ulterioare, potrivit căruia, în </w:t>
      </w:r>
      <w:r w:rsidRPr="00131381">
        <w:rPr>
          <w:rFonts w:ascii="Times New Roman" w:hAnsi="Times New Roman" w:cs="Times New Roman"/>
          <w:sz w:val="24"/>
          <w:szCs w:val="24"/>
          <w:lang w:val="ro-RO"/>
        </w:rPr>
        <w:lastRenderedPageBreak/>
        <w:t xml:space="preserve">vederea asigurării accesului cât mai multor copii defavorizaţi la stimulentul educaţional, primarul şi managerii unităţilor de învăţământ preşcolar dispun efectuarea, la un interval de cel mult 6 luni, de campanii de informare şi consiliere a familiilor care îndeplinesc condiţiile de eligibilitate, cu privire la importanţa înscrierii copiilor la grădiniţă şi la metodologia de funcţionare a legii.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Altă modalitate de indentificare a acestor categorii o constituie şi  analizează bazele de date aflate în evidenţele proprii  ale compartimentului cu privire la: - familiile beneficiare de alocaţie pentru susţinerea familiei, acordată în conformitate cu prevederile Legii nr. 277/2010 privind alocaţia pentru susţinerea familiei, cu modificările ulterioare; - familiile cu copii pentru care a fost delegată autoritatea părintească, pe perioada absenței părinților, conform art. 104 din Legea nr. 272/2004 privind protecţia şi promovarea drepturilor copilului, republicată, cu modificările şi completările ulterioare, vor aduce la cunoştinţă prevederile legale privind acordarea stimulentului educaţional sub formă de tichete sociale pentru copiii ce provin din familii defavorizate.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cazul copiilor înscriși într-o unitate de învățământ preșcolar, conform Legii nr. 1/2011, cu modificările și completările ulterioare, din familiile care au stabilit dreptul la alocaţie pentru susţinerea familiei acordată în baza Legii nr. 277/2010 privind alocaţia pentru susţinerea familiei, republicată, cu modificările şi completările ulterioare, indiferent dacă familia se află în plata acestui drept sau acesta este suspendat, stimulentul educațional va fi acordat, din oficiu, după caz, odată cu stabilirea dreptului de alocaţie pentru susţinerea familiei, sau după acordarea acestuia, persoanei care este şi titularul alocaţiei pentru susţinerea familiei. În cazul identificării de copii înscriși într-o unitate de învățământ preșcolar, aflați în îngrijirea persoanelor care au fost desemnate de părinți pentru întreţinerea copilului, pe perioada absenţei părinţilor, conform art. 104 din Legea nr. 272/2004 privind protecţia şi promovarea drepturilor copilului, republicată, cu modificările şi completările ulterioare, fiind îndeplinit și criteriul legal privind veniturile pe persoană, inclusiv copilul aflat în îngrijire, de până la 530 lei/lună, personalul va oferi acestor familii servicii sociale de informare, îndrumare, consiliere socială în vederea completării şi depunerii cererii şi declaraţiei pe propria răspundere pentru acordarea stimulentului educaţional (tichet social pentru grădiniţă) - cerere tip - conform Anexei nr. 1 la Normele metodologice de aplicare a prevederilor Legii nr. 248/2015 privind stimularea participării în învăţământul preşcolar a copiilor provenind din familii defavorizate şi procedura de acordare a tichetelor sociale pentru grădiniţă din Hotărârea Guvernului nr. 15/2016 cu modificările şi completările ulterioare, însoţită de acte doveditoare (conform prevederilor legale).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Stimulentul educațional se acordă lunar, pe perioada participării copilului la activităţile organizate în cadrul unităţilor din învăţământul preşcolar, în perioada septembrie-iunie, fiind incluse şi zilele libere acordate prin lege, vacanţele şi programul național „Școala altfel”, începând cu luna în care sunt îndeplinite următoarele condiţii de eligibilitate: - copilul este înscris într-o unitate de învăţământ preşcolar, conform Legii Educaţiei Naţionale nr. 1/2011, cu modificările şi completările ulterioare; - venitul lunar pe persoană este de până la 530 lei, pentru situația copiilor aflaţi în îngrijirea persoanei care a fost desemnată de părinte </w:t>
      </w:r>
      <w:r w:rsidRPr="00131381">
        <w:rPr>
          <w:rFonts w:ascii="Times New Roman" w:hAnsi="Times New Roman" w:cs="Times New Roman"/>
          <w:sz w:val="24"/>
          <w:szCs w:val="24"/>
          <w:lang w:val="ro-RO"/>
        </w:rPr>
        <w:lastRenderedPageBreak/>
        <w:t>pentru întreţinerea copilului, pe perioada absenţei părinţilor, conform art. 104 din Legea nr. 272/2004 privind protecţia şi promovarea drepturilor copilului, republicată, cu modificările şi completările ulterioare; - se constată frecvenţa regulată la grădiniţă a copilului. Persoana care a fost desemnată de părinte pentru întreţinerea copilului, pe perioada absenţei părinţilor, conform art. 104 din Legea nr. 272/2004 privind protecţia şi promovarea drepturilor copilului, republicată, cu modificările şi completările ulterioare, depune cererea şi declaraţia pe propria răspundere, oricând pe perioada anului şcolar, însoţită de actele doveditoare, privind: - componenţa familiei, inclusiv copilul pentru care se solicită dreptul la stimulent educațional; - veniturile nete lunare ale familiei; - dovada înscrierii/frecventării activităţilor organizate de grădiniţă.</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Stimulentul se acordă din prima lună în care copilul a îndeplinit criteriile de frecvenţă definite la art. 5 din lege, dacă se menţin criteriile de eligibilitate prevăzute la art. 2 din lege. În vederea unei mai bune verificări a îndeplinirii condiţiilor de acordare a stimulentului educațional, dovada înscrierii/frecventării activităților organizate de grădiniță se va solicita şi familiilor beneficiare de alocaţie pentru susţinerea familiei. Titularul tichetului social pentru grădiniţă este informat, cu ocazia depunerii dosarului de alocație pentru susținerea familiei, respectiv a cereriideclaraţiei pe proprie răspundere, că are obligaţia să anunţe orice modificare în componenţa familiei sau în veniturile realizate în termen de maximum 15 zile de la producerea acesteia, precum şi faptul că pentru orice absenţă a copilului de la grădiniţă este obligat să prezinte certificatul medical sau scutirea medicală până în data de 3 a lunii următoare ori, în cazul învoirilor, dovada înștiințării cadrelor didactice, în vederea motivării absenţelor.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Cererile şi declaraţiile pe propria răspundere, însoţite de documente justificative, se depun la Compartimentul de specialitate a primarului comunei Târgusor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Cheltuielile administrative privind stabilirea sau încetarea dreptului la stimulentul educațional, pentru tipărirea formularelor cererii şi declaraţiei pe propria răspundere vor fi suportate din bugetul de venituri şi cheltuieli al Primariei comunei Targusor, județul Constanța.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Verificarea datelor şi informaţiilor cuprinse în cerere şi în documentele doveditoare pentru acordarea stimulentului, precum şi prelucrarea datelor înscrise în cerere, se realizează în termen de maximum 15 zile de la data înregistrării acestora, de personalul cu atribuții în acest sens din cadrul COMPARTIMENTULUI DE ASISTENTA SOCIALA</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situaţia în care unul sau ambii membri ai familiei au înscris în actul de identitate domiciliul sau reşedinţa în altă localitate decât cea în care locuiesc efectiv, stimulentul educaţional se va acorda de către unitatea administrativteritorială unde familia locuieşte efectiv, pe baza declaraţiei pe propria răspundere sau a adeverinţei emise de unitatea administrativ-teritorială înscrisă în actul de identitate că nu s-a solicitat un drept de stimulent educaţional.</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situaţia beneficiarilor care provin din familii fără adăpost, sau în situaţiile în care datele din cerere şi din declaraţie nu se corelează, se va proceda la verificarea în teren pe bază </w:t>
      </w:r>
      <w:r w:rsidRPr="00131381">
        <w:rPr>
          <w:rFonts w:ascii="Times New Roman" w:hAnsi="Times New Roman" w:cs="Times New Roman"/>
          <w:sz w:val="24"/>
          <w:szCs w:val="24"/>
          <w:lang w:val="ro-RO"/>
        </w:rPr>
        <w:lastRenderedPageBreak/>
        <w:t>de anchetă socială acolo unde locuiesc efectiv, la adresa menţionată în cerere. De asemenea, ancheta socială se efectuează şi în cazul în care nu există hotărâre de stabilire a domiciliului copilului în cazul părinţilor despărţiţi în fapt. În vederea verificării în teren, se utilizează formularul de anchetă socială prevăzut în Anexa nr. 2 la Hotărârea Guvernului nr. 50/2011 pentru aprobarea normelor metodologice de aplicare a prevederilor Legii nr. 416/2001 privind venitul minim garantat, cu modificările și completările ulterioare. Acordarea sau respingerea dreptului la stimulent se face prin dispoziţia scrisă a primarului COMUNEI TARGUSOR, în termen de maximum 5 zile de la finalizarea verificării criteriilor de eligibilitate.</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8D0E46">
        <w:rPr>
          <w:rFonts w:ascii="Times New Roman" w:hAnsi="Times New Roman" w:cs="Times New Roman"/>
          <w:b/>
          <w:sz w:val="24"/>
          <w:szCs w:val="24"/>
          <w:lang w:val="ro-RO"/>
        </w:rPr>
        <w:t xml:space="preserve">           Dispoziţia primarului va conţine cel puţin următoarele elemente</w:t>
      </w:r>
      <w:r w:rsidRPr="00131381">
        <w:rPr>
          <w:rFonts w:ascii="Times New Roman" w:hAnsi="Times New Roman" w:cs="Times New Roman"/>
          <w:sz w:val="24"/>
          <w:szCs w:val="24"/>
          <w:lang w:val="ro-RO"/>
        </w:rPr>
        <w:t xml:space="preserve">: </w:t>
      </w:r>
    </w:p>
    <w:p w:rsidR="00131381" w:rsidRPr="00131381" w:rsidRDefault="00131381" w:rsidP="001B74FB">
      <w:pPr>
        <w:tabs>
          <w:tab w:val="left" w:pos="2670"/>
        </w:tabs>
        <w:spacing w:after="160" w:line="259" w:lineRule="auto"/>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a) nume, prenume, cod numeric personal pentru titular; </w:t>
      </w:r>
    </w:p>
    <w:p w:rsidR="00131381" w:rsidRPr="00131381" w:rsidRDefault="00131381" w:rsidP="001B74FB">
      <w:pPr>
        <w:tabs>
          <w:tab w:val="left" w:pos="2670"/>
        </w:tabs>
        <w:spacing w:after="160" w:line="259" w:lineRule="auto"/>
        <w:rPr>
          <w:rFonts w:ascii="Times New Roman" w:hAnsi="Times New Roman" w:cs="Times New Roman"/>
          <w:sz w:val="24"/>
          <w:szCs w:val="24"/>
          <w:lang w:val="ro-RO"/>
        </w:rPr>
      </w:pPr>
      <w:r w:rsidRPr="00131381">
        <w:rPr>
          <w:rFonts w:ascii="Times New Roman" w:hAnsi="Times New Roman" w:cs="Times New Roman"/>
          <w:sz w:val="24"/>
          <w:szCs w:val="24"/>
          <w:lang w:val="ro-RO"/>
        </w:rPr>
        <w:t>b) nume, prenume, cod numeric personal pentru beneficiar, respectiv copilul/copiii pentru care se acordă stimulentul educaţional;</w:t>
      </w:r>
    </w:p>
    <w:p w:rsidR="00131381" w:rsidRPr="00131381" w:rsidRDefault="00131381" w:rsidP="001B74FB">
      <w:pPr>
        <w:tabs>
          <w:tab w:val="left" w:pos="2670"/>
        </w:tabs>
        <w:spacing w:after="160" w:line="259" w:lineRule="auto"/>
        <w:rPr>
          <w:rFonts w:ascii="Times New Roman" w:hAnsi="Times New Roman" w:cs="Times New Roman"/>
          <w:sz w:val="24"/>
          <w:szCs w:val="24"/>
          <w:lang w:val="ro-RO"/>
        </w:rPr>
      </w:pPr>
      <w:r w:rsidRPr="00131381">
        <w:rPr>
          <w:rFonts w:ascii="Times New Roman" w:hAnsi="Times New Roman" w:cs="Times New Roman"/>
          <w:sz w:val="24"/>
          <w:szCs w:val="24"/>
          <w:lang w:val="ro-RO"/>
        </w:rPr>
        <w:t>c) adresa de domiciliu/reşedinţă sau de corespondenţă a titularului;</w:t>
      </w:r>
    </w:p>
    <w:p w:rsidR="00131381" w:rsidRPr="00131381" w:rsidRDefault="00131381" w:rsidP="001B74FB">
      <w:pPr>
        <w:tabs>
          <w:tab w:val="left" w:pos="2670"/>
        </w:tabs>
        <w:spacing w:after="160" w:line="259" w:lineRule="auto"/>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d) suma acordată cu titlu de stimulent educaţional şi numărul de copii pentru care se acordă;</w:t>
      </w:r>
    </w:p>
    <w:p w:rsidR="00131381" w:rsidRPr="00131381" w:rsidRDefault="00131381" w:rsidP="001B74FB">
      <w:pPr>
        <w:tabs>
          <w:tab w:val="left" w:pos="2670"/>
        </w:tabs>
        <w:spacing w:after="160" w:line="259" w:lineRule="auto"/>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e) anul şcolar pe perioada căruia se acordă stimulentul educaţional; </w:t>
      </w:r>
    </w:p>
    <w:p w:rsidR="00131381" w:rsidRPr="00131381" w:rsidRDefault="00131381" w:rsidP="001B74FB">
      <w:pPr>
        <w:tabs>
          <w:tab w:val="left" w:pos="2670"/>
        </w:tabs>
        <w:spacing w:after="160" w:line="259" w:lineRule="auto"/>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f) modalitatea de distribuire a tichetelor sociale pentru grădiniţă.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Modificarea dreptului la stimulent se efectuează în situaţia în care se comunică sau se constată modificarea numărului de copii din familie pentru care a fost acordat iniţial dreptul. În luna în care se comunică sau se constată, după caz, că unul sau mai mulţi copii din familie nu îndeplinesc condiţiile de frecvenţă prevăzute de lege, tichetul social pentru grădiniţă nu se acordă pentru copilul/copiii aflat/aflaţi în această situaţie. Dreptul la stimulent încetează dacă nu mai sunt îndeplinite criteriile prevăzute la art. 2 din lege. Modificarea sau încetarea dreptului se face începând cu luna următoare celei în care se comunică sau, după caz, se constată una dintre situaţiile prevăzute la art. 20 alin. (1) şi (3) din Normele metodologice de aplicare a prevederilor Legii nr. 248/2015, cu modificările și completările ulterioare, prin dispoziţie scrisă a primarului care se comunică titularului în termenul prevăzut la art. 14 alin. (1) din norme.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Dispoziţia scrisă a primarului se comunică titularului, după caz vechi sau nou, şi unităţii de învăţământ preşcolar la care este înscris copilul până în data de 10 a lunii, pentru cererile depuse în luna anterioară.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În situaţia în care se constată schimbări ce conduc la încetarea dreptului la stimulent, primarul emite dispoziţie de încetare a dreptului şi/sau de recuperare a tichetelor sociale pentru grădiniţă, după caz, cu luna următoare celei în care au intervenit modificările, cu aplicarea corespunzătoare a prevederilor Ordonanţei de urgenţă a Guvernului nr. 44/2014 pentru reglementarea unor măsuri privind recuperarea debitelor pentru beneficiile de asistenţă socială, precum şi pentru modificarea art. 101 din Legea nr. 448/2006 privind protecţia şi promovarea drepturilor persoanelor cu handicap, aprobată cu modificări prin Legea nr. 266/2015, cu modificările şi completările ulterioare.</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lastRenderedPageBreak/>
        <w:t xml:space="preserve">            Dacă restituirea în natură a tichetelor sociale pentru grădiniţă necuvenite nu este posibilă, sumele reprezentând contravaloarea acestora se recuperează de la titular, în condiţiile legii, pe baza dispoziţiei emise de primar. </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Tichetele sociale pentru grădiniţă necuvenite şi neutilizate, respectiv sumele reprezentând contravaloarea acestora, după caz, se restituie/achită de către titular, în termen de maximum 30 de zile de la data comunicării dispoziţiei. Responsabilitatea achiziţionării şi gestionării tichetelor sociale pentru grădiniţe revine COMPARTIMENTULUI DE SPECIALITATE A PRIMARULUI COMUNEI TÂRGUȘOR. Gestionarea tichetelor sociale revine persoanelor împuternicite prin dispoziţia PRIMARULUI COMUNEI TÂRGUȘOR. </w:t>
      </w:r>
    </w:p>
    <w:p w:rsidR="00131381" w:rsidRPr="00131381" w:rsidRDefault="008D0E46" w:rsidP="00131381">
      <w:pPr>
        <w:tabs>
          <w:tab w:val="left" w:pos="2670"/>
        </w:tabs>
        <w:spacing w:after="160" w:line="259"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131381" w:rsidRPr="00131381">
        <w:rPr>
          <w:rFonts w:ascii="Times New Roman" w:hAnsi="Times New Roman" w:cs="Times New Roman"/>
          <w:sz w:val="24"/>
          <w:szCs w:val="24"/>
          <w:lang w:val="ro-RO"/>
        </w:rPr>
        <w:t>Distribuirea lunară a tichetelor sociale pentru grădiniţă, către titulari, se face de către persoanele împuternicite cu gestionarea tichetelor.</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Unităţile de învăţământ preşcolar vor transmite situaţia centralizatoare privind beneficiarii de stimulent educațional, situaţia prezenţei înregistrate în luna anterioară, după caz, împreună cu documentele justificative pentru absenţe, până în data de 5 a lunii, COMPARTIMENTULUI DE ASISTENTA SOCIALA-PRIMARIA TÂRGUȘOR în format electronic şi letric, semnate de conducătorul unităţii de învăţământ. Până în data de 10 a lunii, PRIMARIA COMUNEI TÂRGUȘOR face solicitare către furnizor cu numărul de tichete necesare pentru a fi distribuite, cuvenite lunii anterioare.</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Până în data de 15 a lunii, PRIMARIA COMUNEI TÂRGUȘOR distribuie tichetele sociale, prin personalul împuternicit în acest sens. Personalul de specialitate din cadrul COMPARTIMENTULUI DE SPECIALITATE A SISTENȚĂ SOCIALĂ -PRIMARIA TÂRGUȘOR analizează situaţia absenţelor şi face propuneri justificate primarului pentru acordarea, modificarea, încetarea sau, după caz, aprobarea cazurilor excepţionale care pot beneficia de dreptul la stimulentul educațional.</w:t>
      </w:r>
    </w:p>
    <w:p w:rsidR="00131381" w:rsidRP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 xml:space="preserve">        Pentru solicitanţii cărora li s-a acordat dreptul la stimulentul educațional, se întocmește o listă cu datele de identificare ale acestora, conform tabelului din Anexa nr. 4 lit. A-D la normele metodologice, care se transmite pe suport electronic Agenţiei Judeţene pentru Plăţi şi Inspecţie Socială CONSTANȚA până la data de 25 a fiecărei luni, pentru informare. </w:t>
      </w:r>
    </w:p>
    <w:p w:rsidR="00131381" w:rsidRDefault="00131381" w:rsidP="00131381">
      <w:pPr>
        <w:tabs>
          <w:tab w:val="left" w:pos="2670"/>
        </w:tabs>
        <w:spacing w:after="160" w:line="259" w:lineRule="auto"/>
        <w:jc w:val="both"/>
        <w:rPr>
          <w:rFonts w:ascii="Times New Roman" w:hAnsi="Times New Roman" w:cs="Times New Roman"/>
          <w:sz w:val="24"/>
          <w:szCs w:val="24"/>
          <w:lang w:val="ro-RO"/>
        </w:rPr>
      </w:pPr>
      <w:r w:rsidRPr="00131381">
        <w:rPr>
          <w:rFonts w:ascii="Times New Roman" w:hAnsi="Times New Roman" w:cs="Times New Roman"/>
          <w:sz w:val="24"/>
          <w:szCs w:val="24"/>
          <w:lang w:val="ro-RO"/>
        </w:rPr>
        <w:t>În vederea desfăşurării activităţii prevăzută de prezenta, unitatea de învăţământ preşcolar la care sunt înscrişi copiii beneficiari de tichete sociale vor utiliza şi respecta modelele aprobate prin Hotărârea Guvernului nr. 15/2016, cu modificările și completările ulterioare. Prezentele modalități se completează cu dispoziţiile Legii nr. 248/2015 actualizată, ale Hotărârii Guvernului nr. 15/2016 pentru aprobarea Normelor metodologice de aplicare a prevederilor Legii nr. 248/2015 privind stimularea participării în învăţământul preşcolar a copiilor provenind din familii defavorizate şi a procedurii de acordare a tichetelor sociale pentru grădiniţă, cu modificările și completările ulterioare, precum şi cu orice procedură sau normă metodologică ulterioară care vizează aplicarea prevederilor legislației în materie.</w:t>
      </w:r>
    </w:p>
    <w:p w:rsidR="0094222C" w:rsidRPr="0094222C" w:rsidRDefault="0094222C" w:rsidP="00131381">
      <w:pPr>
        <w:tabs>
          <w:tab w:val="left" w:pos="2670"/>
        </w:tabs>
        <w:spacing w:after="160" w:line="259" w:lineRule="auto"/>
        <w:jc w:val="both"/>
        <w:rPr>
          <w:rFonts w:ascii="Times New Roman" w:hAnsi="Times New Roman" w:cs="Times New Roman"/>
          <w:b/>
          <w:sz w:val="24"/>
          <w:szCs w:val="24"/>
          <w:lang w:val="ro-RO"/>
        </w:rPr>
      </w:pPr>
      <w:r w:rsidRPr="0094222C">
        <w:rPr>
          <w:rFonts w:ascii="Times New Roman" w:hAnsi="Times New Roman" w:cs="Times New Roman"/>
          <w:b/>
          <w:sz w:val="24"/>
          <w:szCs w:val="24"/>
          <w:lang w:val="ro-RO"/>
        </w:rPr>
        <w:t>PRIMAR,</w:t>
      </w:r>
      <w:r w:rsidRPr="0094222C">
        <w:rPr>
          <w:rFonts w:ascii="Times New Roman" w:hAnsi="Times New Roman" w:cs="Times New Roman"/>
          <w:b/>
          <w:sz w:val="24"/>
          <w:szCs w:val="24"/>
          <w:lang w:val="ro-RO"/>
        </w:rPr>
        <w:tab/>
      </w:r>
      <w:r w:rsidRPr="0094222C">
        <w:rPr>
          <w:rFonts w:ascii="Times New Roman" w:hAnsi="Times New Roman" w:cs="Times New Roman"/>
          <w:b/>
          <w:sz w:val="24"/>
          <w:szCs w:val="24"/>
          <w:lang w:val="ro-RO"/>
        </w:rPr>
        <w:tab/>
      </w:r>
      <w:r w:rsidRPr="0094222C">
        <w:rPr>
          <w:rFonts w:ascii="Times New Roman" w:hAnsi="Times New Roman" w:cs="Times New Roman"/>
          <w:b/>
          <w:sz w:val="24"/>
          <w:szCs w:val="24"/>
          <w:lang w:val="ro-RO"/>
        </w:rPr>
        <w:tab/>
      </w:r>
      <w:r w:rsidRPr="0094222C">
        <w:rPr>
          <w:rFonts w:ascii="Times New Roman" w:hAnsi="Times New Roman" w:cs="Times New Roman"/>
          <w:b/>
          <w:sz w:val="24"/>
          <w:szCs w:val="24"/>
          <w:lang w:val="ro-RO"/>
        </w:rPr>
        <w:tab/>
      </w:r>
      <w:r w:rsidRPr="0094222C">
        <w:rPr>
          <w:rFonts w:ascii="Times New Roman" w:hAnsi="Times New Roman" w:cs="Times New Roman"/>
          <w:b/>
          <w:sz w:val="24"/>
          <w:szCs w:val="24"/>
          <w:lang w:val="ro-RO"/>
        </w:rPr>
        <w:tab/>
        <w:t>INSPECTOR ASISTEN</w:t>
      </w:r>
      <w:r>
        <w:rPr>
          <w:rFonts w:ascii="Times New Roman" w:hAnsi="Times New Roman" w:cs="Times New Roman"/>
          <w:b/>
          <w:sz w:val="24"/>
          <w:szCs w:val="24"/>
          <w:lang w:val="ro-RO"/>
        </w:rPr>
        <w:t>ȚĂ</w:t>
      </w:r>
      <w:r w:rsidRPr="0094222C">
        <w:rPr>
          <w:rFonts w:ascii="Times New Roman" w:hAnsi="Times New Roman" w:cs="Times New Roman"/>
          <w:b/>
          <w:sz w:val="24"/>
          <w:szCs w:val="24"/>
          <w:lang w:val="ro-RO"/>
        </w:rPr>
        <w:t xml:space="preserve"> SOCIALĂ,</w:t>
      </w:r>
    </w:p>
    <w:p w:rsidR="00C97768" w:rsidRPr="008D0E46" w:rsidRDefault="0094222C" w:rsidP="008D0E46">
      <w:pPr>
        <w:tabs>
          <w:tab w:val="left" w:pos="2670"/>
        </w:tabs>
        <w:spacing w:after="160" w:line="259" w:lineRule="auto"/>
        <w:jc w:val="both"/>
        <w:rPr>
          <w:rFonts w:ascii="Times New Roman" w:hAnsi="Times New Roman" w:cs="Times New Roman"/>
          <w:b/>
          <w:sz w:val="24"/>
          <w:szCs w:val="24"/>
          <w:lang w:val="ro-RO"/>
        </w:rPr>
      </w:pPr>
      <w:r w:rsidRPr="0094222C">
        <w:rPr>
          <w:rFonts w:ascii="Times New Roman" w:hAnsi="Times New Roman" w:cs="Times New Roman"/>
          <w:b/>
          <w:sz w:val="24"/>
          <w:szCs w:val="24"/>
          <w:lang w:val="ro-RO"/>
        </w:rPr>
        <w:t>Mădălina NEGRU</w:t>
      </w:r>
      <w:r w:rsidRPr="0094222C">
        <w:rPr>
          <w:rFonts w:ascii="Times New Roman" w:hAnsi="Times New Roman" w:cs="Times New Roman"/>
          <w:b/>
          <w:sz w:val="24"/>
          <w:szCs w:val="24"/>
          <w:lang w:val="ro-RO"/>
        </w:rPr>
        <w:tab/>
        <w:t xml:space="preserve"> </w:t>
      </w:r>
      <w:r w:rsidRPr="0094222C">
        <w:rPr>
          <w:rFonts w:ascii="Times New Roman" w:hAnsi="Times New Roman" w:cs="Times New Roman"/>
          <w:b/>
          <w:sz w:val="24"/>
          <w:szCs w:val="24"/>
          <w:lang w:val="ro-RO"/>
        </w:rPr>
        <w:tab/>
      </w:r>
      <w:r w:rsidRPr="0094222C">
        <w:rPr>
          <w:rFonts w:ascii="Times New Roman" w:hAnsi="Times New Roman" w:cs="Times New Roman"/>
          <w:b/>
          <w:sz w:val="24"/>
          <w:szCs w:val="24"/>
          <w:lang w:val="ro-RO"/>
        </w:rPr>
        <w:tab/>
      </w:r>
      <w:r w:rsidRPr="0094222C">
        <w:rPr>
          <w:rFonts w:ascii="Times New Roman" w:hAnsi="Times New Roman" w:cs="Times New Roman"/>
          <w:b/>
          <w:sz w:val="24"/>
          <w:szCs w:val="24"/>
          <w:lang w:val="ro-RO"/>
        </w:rPr>
        <w:tab/>
      </w:r>
      <w:r w:rsidRPr="0094222C">
        <w:rPr>
          <w:rFonts w:ascii="Times New Roman" w:hAnsi="Times New Roman" w:cs="Times New Roman"/>
          <w:b/>
          <w:sz w:val="24"/>
          <w:szCs w:val="24"/>
          <w:lang w:val="ro-RO"/>
        </w:rPr>
        <w:tab/>
      </w:r>
      <w:r w:rsidRPr="0094222C">
        <w:rPr>
          <w:rFonts w:ascii="Times New Roman" w:hAnsi="Times New Roman" w:cs="Times New Roman"/>
          <w:b/>
          <w:sz w:val="24"/>
          <w:szCs w:val="24"/>
          <w:lang w:val="ro-RO"/>
        </w:rPr>
        <w:tab/>
        <w:t>Liliana ANDRONACHE</w:t>
      </w:r>
    </w:p>
    <w:sectPr w:rsidR="00C97768" w:rsidRPr="008D0E46" w:rsidSect="00F53D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D8D" w:rsidRDefault="00D31D8D" w:rsidP="00121F12">
      <w:pPr>
        <w:spacing w:after="0" w:line="240" w:lineRule="auto"/>
      </w:pPr>
      <w:r>
        <w:separator/>
      </w:r>
    </w:p>
  </w:endnote>
  <w:endnote w:type="continuationSeparator" w:id="1">
    <w:p w:rsidR="00D31D8D" w:rsidRDefault="00D31D8D" w:rsidP="00121F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D8D" w:rsidRDefault="00D31D8D" w:rsidP="00121F12">
      <w:pPr>
        <w:spacing w:after="0" w:line="240" w:lineRule="auto"/>
      </w:pPr>
      <w:r>
        <w:separator/>
      </w:r>
    </w:p>
  </w:footnote>
  <w:footnote w:type="continuationSeparator" w:id="1">
    <w:p w:rsidR="00D31D8D" w:rsidRDefault="00D31D8D" w:rsidP="00121F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4" w:type="dxa"/>
      <w:tblInd w:w="-544" w:type="dxa"/>
      <w:tblLook w:val="04A0"/>
    </w:tblPr>
    <w:tblGrid>
      <w:gridCol w:w="2141"/>
      <w:gridCol w:w="6115"/>
      <w:gridCol w:w="2128"/>
    </w:tblGrid>
    <w:tr w:rsidR="00121F12" w:rsidRPr="0048019D" w:rsidTr="003C2954">
      <w:trPr>
        <w:trHeight w:val="976"/>
      </w:trPr>
      <w:tc>
        <w:tcPr>
          <w:tcW w:w="2141" w:type="dxa"/>
        </w:tcPr>
        <w:p w:rsidR="00121F12" w:rsidRPr="0048019D" w:rsidRDefault="00121F12" w:rsidP="003C2954">
          <w:pPr>
            <w:pStyle w:val="Header"/>
            <w:jc w:val="center"/>
            <w:rPr>
              <w:sz w:val="28"/>
              <w:szCs w:val="28"/>
            </w:rPr>
          </w:pPr>
          <w:r>
            <w:rPr>
              <w:noProof/>
              <w:lang w:val="ro-RO" w:eastAsia="ro-RO"/>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115" w:type="dxa"/>
        </w:tcPr>
        <w:p w:rsidR="00121F12" w:rsidRPr="0048019D" w:rsidRDefault="00121F12" w:rsidP="003C2954">
          <w:pPr>
            <w:pStyle w:val="Header"/>
            <w:jc w:val="center"/>
            <w:rPr>
              <w:sz w:val="36"/>
              <w:szCs w:val="36"/>
            </w:rPr>
          </w:pPr>
          <w:r w:rsidRPr="0048019D">
            <w:rPr>
              <w:sz w:val="36"/>
              <w:szCs w:val="36"/>
            </w:rPr>
            <w:t>ROMÂNIA</w:t>
          </w:r>
        </w:p>
        <w:p w:rsidR="00121F12" w:rsidRPr="0048019D" w:rsidRDefault="00121F12" w:rsidP="003C2954">
          <w:pPr>
            <w:pStyle w:val="Header"/>
            <w:jc w:val="center"/>
            <w:rPr>
              <w:sz w:val="32"/>
              <w:szCs w:val="32"/>
            </w:rPr>
          </w:pPr>
          <w:r w:rsidRPr="0048019D">
            <w:rPr>
              <w:sz w:val="32"/>
              <w:szCs w:val="32"/>
            </w:rPr>
            <w:t>JUDEȚUL CONSTANȚA</w:t>
          </w:r>
        </w:p>
        <w:p w:rsidR="00121F12" w:rsidRPr="00121F12" w:rsidRDefault="00121F12" w:rsidP="00121F12">
          <w:pPr>
            <w:pStyle w:val="Header"/>
            <w:jc w:val="center"/>
            <w:rPr>
              <w:sz w:val="32"/>
              <w:szCs w:val="32"/>
            </w:rPr>
          </w:pPr>
          <w:r w:rsidRPr="00121F12">
            <w:rPr>
              <w:sz w:val="32"/>
              <w:szCs w:val="32"/>
            </w:rPr>
            <w:t>CONSILIUL LOCAL AL COMUNEI TÂRGUȘOR</w:t>
          </w:r>
        </w:p>
      </w:tc>
      <w:tc>
        <w:tcPr>
          <w:tcW w:w="2128" w:type="dxa"/>
        </w:tcPr>
        <w:p w:rsidR="00121F12" w:rsidRPr="0048019D" w:rsidRDefault="00121F12" w:rsidP="003C2954">
          <w:pPr>
            <w:pStyle w:val="Header"/>
            <w:jc w:val="center"/>
            <w:rPr>
              <w:sz w:val="28"/>
              <w:szCs w:val="28"/>
            </w:rPr>
          </w:pPr>
          <w:r>
            <w:rPr>
              <w:noProof/>
              <w:sz w:val="28"/>
              <w:szCs w:val="28"/>
              <w:lang w:val="ro-RO" w:eastAsia="ro-RO"/>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121F12" w:rsidRPr="0048019D" w:rsidRDefault="00121F12" w:rsidP="00121F12">
    <w:pPr>
      <w:pStyle w:val="Heading1"/>
      <w:numPr>
        <w:ilvl w:val="0"/>
        <w:numId w:val="0"/>
      </w:numPr>
      <w:ind w:right="-1080"/>
    </w:pPr>
    <w:r w:rsidRPr="0048019D">
      <w:t>__________________________________________________________________</w:t>
    </w:r>
  </w:p>
  <w:p w:rsidR="00121F12" w:rsidRDefault="00121F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97768"/>
    <w:rsid w:val="00121F12"/>
    <w:rsid w:val="00131381"/>
    <w:rsid w:val="001B74FB"/>
    <w:rsid w:val="002E2A7D"/>
    <w:rsid w:val="006305FC"/>
    <w:rsid w:val="008D0E46"/>
    <w:rsid w:val="0094222C"/>
    <w:rsid w:val="00C97768"/>
    <w:rsid w:val="00D31D8D"/>
    <w:rsid w:val="00F53D0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81"/>
    <w:pPr>
      <w:spacing w:after="200" w:line="276" w:lineRule="auto"/>
    </w:pPr>
    <w:rPr>
      <w:lang w:val="en-US"/>
    </w:rPr>
  </w:style>
  <w:style w:type="paragraph" w:styleId="Heading1">
    <w:name w:val="heading 1"/>
    <w:basedOn w:val="Normal"/>
    <w:next w:val="Normal"/>
    <w:link w:val="Heading1Char"/>
    <w:qFormat/>
    <w:rsid w:val="00121F12"/>
    <w:pPr>
      <w:keepNext/>
      <w:numPr>
        <w:numId w:val="1"/>
      </w:numPr>
      <w:tabs>
        <w:tab w:val="left" w:pos="0"/>
      </w:tabs>
      <w:suppressAutoHyphens/>
      <w:spacing w:after="0" w:line="240" w:lineRule="auto"/>
      <w:ind w:right="79"/>
      <w:outlineLvl w:val="0"/>
    </w:pPr>
    <w:rPr>
      <w:rFonts w:ascii="Times New Roman" w:eastAsia="Times New Roman" w:hAnsi="Times New Roman" w:cs="Times New Roman"/>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F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1F12"/>
    <w:rPr>
      <w:lang w:val="en-US"/>
    </w:rPr>
  </w:style>
  <w:style w:type="paragraph" w:styleId="Footer">
    <w:name w:val="footer"/>
    <w:basedOn w:val="Normal"/>
    <w:link w:val="FooterChar"/>
    <w:uiPriority w:val="99"/>
    <w:semiHidden/>
    <w:unhideWhenUsed/>
    <w:rsid w:val="00121F1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121F12"/>
    <w:rPr>
      <w:lang w:val="en-US"/>
    </w:rPr>
  </w:style>
  <w:style w:type="character" w:customStyle="1" w:styleId="Heading1Char">
    <w:name w:val="Heading 1 Char"/>
    <w:basedOn w:val="DefaultParagraphFont"/>
    <w:link w:val="Heading1"/>
    <w:rsid w:val="00121F12"/>
    <w:rPr>
      <w:rFonts w:ascii="Times New Roman" w:eastAsia="Times New Roman" w:hAnsi="Times New Roman" w:cs="Times New Roman"/>
      <w:sz w:val="28"/>
      <w:szCs w:val="24"/>
      <w:lang w:eastAsia="ar-SA"/>
    </w:rPr>
  </w:style>
  <w:style w:type="paragraph" w:styleId="BalloonText">
    <w:name w:val="Balloon Text"/>
    <w:basedOn w:val="Normal"/>
    <w:link w:val="BalloonTextChar"/>
    <w:uiPriority w:val="99"/>
    <w:semiHidden/>
    <w:unhideWhenUsed/>
    <w:rsid w:val="00121F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F12"/>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2457</Words>
  <Characters>14251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Andronache</dc:creator>
  <cp:keywords/>
  <dc:description/>
  <cp:lastModifiedBy>Pc4</cp:lastModifiedBy>
  <cp:revision>8</cp:revision>
  <cp:lastPrinted>2022-02-22T08:34:00Z</cp:lastPrinted>
  <dcterms:created xsi:type="dcterms:W3CDTF">2022-02-22T08:29:00Z</dcterms:created>
  <dcterms:modified xsi:type="dcterms:W3CDTF">2022-03-03T12:37:00Z</dcterms:modified>
</cp:coreProperties>
</file>