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BB08" w14:textId="77777777" w:rsidR="00E33F25" w:rsidRDefault="00E33F25" w:rsidP="001D2766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C9714B" w14:textId="77777777" w:rsidR="00E33F25" w:rsidRPr="00B45108" w:rsidRDefault="00E33F25" w:rsidP="00E33F25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R O M Â N I A</w:t>
      </w:r>
    </w:p>
    <w:p w14:paraId="280BEE23" w14:textId="77777777" w:rsidR="00E33F25" w:rsidRPr="00B45108" w:rsidRDefault="00E33F25" w:rsidP="00E33F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6CBB8EC7" w14:textId="77777777" w:rsidR="00E33F25" w:rsidRPr="00B45108" w:rsidRDefault="00E33F25" w:rsidP="00E33F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</w:p>
    <w:p w14:paraId="726165DF" w14:textId="77777777" w:rsidR="00E33F25" w:rsidRPr="00B45108" w:rsidRDefault="00E33F25" w:rsidP="00E33F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     P R I M A R U L</w:t>
      </w:r>
    </w:p>
    <w:p w14:paraId="1D8E0656" w14:textId="79E2F5BB" w:rsidR="00E33F25" w:rsidRDefault="00E33F25" w:rsidP="00E33F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Nr.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="00D94EA7">
        <w:rPr>
          <w:rFonts w:ascii="Times New Roman" w:hAnsi="Times New Roman" w:cs="Times New Roman"/>
          <w:b/>
          <w:sz w:val="28"/>
          <w:szCs w:val="28"/>
        </w:rPr>
        <w:t>6</w:t>
      </w:r>
      <w:r w:rsidRPr="00B45108">
        <w:rPr>
          <w:rFonts w:ascii="Times New Roman" w:hAnsi="Times New Roman" w:cs="Times New Roman"/>
          <w:b/>
          <w:sz w:val="28"/>
          <w:szCs w:val="28"/>
        </w:rPr>
        <w:t>/1</w:t>
      </w:r>
      <w:r>
        <w:rPr>
          <w:rFonts w:ascii="Times New Roman" w:hAnsi="Times New Roman" w:cs="Times New Roman"/>
          <w:b/>
          <w:sz w:val="28"/>
          <w:szCs w:val="28"/>
        </w:rPr>
        <w:t>1017</w:t>
      </w:r>
      <w:r w:rsidRPr="00B45108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C4C6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.06.2026</w:t>
      </w:r>
    </w:p>
    <w:p w14:paraId="781FE292" w14:textId="77777777" w:rsidR="00E33F25" w:rsidRDefault="00E33F25" w:rsidP="001D2766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40E8E4" w14:textId="77777777" w:rsidR="00E33F25" w:rsidRDefault="00E33F25" w:rsidP="001D2766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1D3B50" w14:textId="77777777" w:rsidR="00E33F25" w:rsidRDefault="00E33F25" w:rsidP="001D2766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160BA4" w14:textId="77777777" w:rsidR="00E33F25" w:rsidRDefault="00E33F25" w:rsidP="001D2766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8AD9D5" w14:textId="157964A0" w:rsidR="001D2766" w:rsidRPr="001D2766" w:rsidRDefault="001D2766" w:rsidP="001D2766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sz w:val="28"/>
          <w:szCs w:val="28"/>
          <w:lang w:val="x-none"/>
        </w:rPr>
      </w:pP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F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D2766">
        <w:rPr>
          <w:rFonts w:ascii="Times New Roman" w:hAnsi="Times New Roman" w:cs="Times New Roman"/>
          <w:b/>
          <w:sz w:val="28"/>
          <w:szCs w:val="28"/>
          <w:u w:val="single"/>
        </w:rPr>
        <w:t>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A712658" w14:textId="77777777" w:rsidR="001D2766" w:rsidRDefault="001D2766" w:rsidP="001D2766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66">
        <w:rPr>
          <w:rFonts w:ascii="Times New Roman" w:hAnsi="Times New Roman" w:cs="Times New Roman"/>
          <w:b/>
          <w:bCs/>
          <w:sz w:val="28"/>
          <w:szCs w:val="28"/>
        </w:rPr>
        <w:t>privind respingerea plângerii prealabile  formulat</w:t>
      </w:r>
      <w:r>
        <w:rPr>
          <w:rFonts w:ascii="Times New Roman" w:hAnsi="Times New Roman" w:cs="Times New Roman"/>
          <w:b/>
          <w:bCs/>
          <w:sz w:val="28"/>
          <w:szCs w:val="28"/>
        </w:rPr>
        <w:t>ă</w:t>
      </w:r>
      <w:r w:rsidRPr="001D2766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către </w:t>
      </w:r>
      <w:r w:rsidRPr="001D2766">
        <w:rPr>
          <w:rFonts w:ascii="Times New Roman" w:hAnsi="Times New Roman" w:cs="Times New Roman"/>
          <w:b/>
          <w:bCs/>
          <w:sz w:val="28"/>
          <w:szCs w:val="28"/>
        </w:rPr>
        <w:t xml:space="preserve">Compania Națională „Loteria Română”, înregistrată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la Primăria Municipiului </w:t>
      </w:r>
    </w:p>
    <w:p w14:paraId="0532F8D8" w14:textId="77777777" w:rsidR="002106D9" w:rsidRDefault="001D2766" w:rsidP="001D2766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Brad </w:t>
      </w:r>
      <w:r w:rsidRPr="001D2766">
        <w:rPr>
          <w:rFonts w:ascii="Times New Roman" w:hAnsi="Times New Roman" w:cs="Times New Roman"/>
          <w:b/>
          <w:bCs/>
          <w:sz w:val="28"/>
          <w:szCs w:val="28"/>
        </w:rPr>
        <w:t xml:space="preserve">sub nr. </w:t>
      </w:r>
      <w:r>
        <w:rPr>
          <w:rFonts w:ascii="Times New Roman" w:hAnsi="Times New Roman" w:cs="Times New Roman"/>
          <w:b/>
          <w:bCs/>
          <w:sz w:val="28"/>
          <w:szCs w:val="28"/>
        </w:rPr>
        <w:t>31423/28.05.2026</w:t>
      </w:r>
      <w:r w:rsidR="002106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06D9" w:rsidRPr="002106D9">
        <w:t xml:space="preserve"> </w:t>
      </w:r>
      <w:r w:rsidR="002106D9" w:rsidRPr="002106D9">
        <w:rPr>
          <w:rFonts w:ascii="Times New Roman" w:hAnsi="Times New Roman" w:cs="Times New Roman"/>
          <w:b/>
          <w:bCs/>
          <w:sz w:val="28"/>
          <w:szCs w:val="28"/>
        </w:rPr>
        <w:t>împotriva reglementărilor</w:t>
      </w:r>
    </w:p>
    <w:p w14:paraId="2ED3659F" w14:textId="02DA210F" w:rsidR="001D2766" w:rsidRPr="001D2766" w:rsidRDefault="002106D9" w:rsidP="001D2766">
      <w:pPr>
        <w:spacing w:after="0" w:line="276" w:lineRule="auto"/>
        <w:ind w:right="-6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06D9">
        <w:rPr>
          <w:rFonts w:ascii="Times New Roman" w:hAnsi="Times New Roman" w:cs="Times New Roman"/>
          <w:b/>
          <w:bCs/>
          <w:sz w:val="28"/>
          <w:szCs w:val="28"/>
        </w:rPr>
        <w:t xml:space="preserve"> locale în materia jocurilor de noroc</w:t>
      </w:r>
    </w:p>
    <w:p w14:paraId="7EEE42CD" w14:textId="77777777" w:rsidR="001D2766" w:rsidRDefault="001D2766" w:rsidP="001D2766">
      <w:pPr>
        <w:spacing w:line="276" w:lineRule="auto"/>
        <w:ind w:right="-6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8336F0" w14:textId="77777777" w:rsidR="002106D9" w:rsidRPr="001D2766" w:rsidRDefault="002106D9" w:rsidP="001D2766">
      <w:pPr>
        <w:spacing w:line="276" w:lineRule="auto"/>
        <w:ind w:right="-61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A37D1" w14:textId="2AADE652" w:rsidR="0058049F" w:rsidRPr="0058049F" w:rsidRDefault="0058049F" w:rsidP="009028C0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</w:t>
      </w:r>
      <w:r w:rsidRPr="0058049F">
        <w:rPr>
          <w:rFonts w:ascii="Times New Roman" w:hAnsi="Times New Roman" w:cs="Times New Roman"/>
          <w:sz w:val="28"/>
          <w:szCs w:val="28"/>
        </w:rPr>
        <w:t xml:space="preserve"> data de 28.05.2026, sub nr. 31423, a fost înregistrată la Primăria Municipiului Brad plângerea prealabilă formulată de </w:t>
      </w:r>
      <w:r>
        <w:rPr>
          <w:rFonts w:ascii="Times New Roman" w:hAnsi="Times New Roman" w:cs="Times New Roman"/>
          <w:sz w:val="28"/>
          <w:szCs w:val="28"/>
        </w:rPr>
        <w:t xml:space="preserve">către </w:t>
      </w:r>
      <w:proofErr w:type="spellStart"/>
      <w:r w:rsidRPr="0058049F">
        <w:rPr>
          <w:rFonts w:ascii="Times New Roman" w:hAnsi="Times New Roman" w:cs="Times New Roman"/>
          <w:sz w:val="28"/>
          <w:szCs w:val="28"/>
        </w:rPr>
        <w:t>petenta</w:t>
      </w:r>
      <w:proofErr w:type="spellEnd"/>
      <w:r w:rsidRPr="0058049F">
        <w:rPr>
          <w:rFonts w:ascii="Times New Roman" w:hAnsi="Times New Roman" w:cs="Times New Roman"/>
          <w:sz w:val="28"/>
          <w:szCs w:val="28"/>
        </w:rPr>
        <w:t xml:space="preserve"> Compania Națională „Loteria Română” S.A., prin care se solicită revocarea în tot sau în parte a reglementărilor locale privind desfășurarea activităților de jocuri de noroc pe raza municipiului Brad, </w:t>
      </w:r>
      <w:proofErr w:type="spellStart"/>
      <w:r w:rsidRPr="0058049F">
        <w:rPr>
          <w:rFonts w:ascii="Times New Roman" w:hAnsi="Times New Roman" w:cs="Times New Roman"/>
          <w:sz w:val="28"/>
          <w:szCs w:val="28"/>
        </w:rPr>
        <w:t>petenta</w:t>
      </w:r>
      <w:proofErr w:type="spellEnd"/>
      <w:r w:rsidRPr="0058049F">
        <w:rPr>
          <w:rFonts w:ascii="Times New Roman" w:hAnsi="Times New Roman" w:cs="Times New Roman"/>
          <w:sz w:val="28"/>
          <w:szCs w:val="28"/>
        </w:rPr>
        <w:t xml:space="preserve"> invocând un regim juridic special și derogatoriu de la procedurile de autorizare și taxare locală.</w:t>
      </w:r>
    </w:p>
    <w:p w14:paraId="47AC226B" w14:textId="77777777" w:rsidR="0058049F" w:rsidRPr="0058049F" w:rsidRDefault="0058049F" w:rsidP="009028C0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49F">
        <w:rPr>
          <w:rFonts w:ascii="Times New Roman" w:hAnsi="Times New Roman" w:cs="Times New Roman"/>
          <w:sz w:val="28"/>
          <w:szCs w:val="28"/>
          <w:u w:val="single"/>
        </w:rPr>
        <w:t>În principal</w:t>
      </w:r>
      <w:r w:rsidRPr="0058049F">
        <w:rPr>
          <w:rFonts w:ascii="Times New Roman" w:hAnsi="Times New Roman" w:cs="Times New Roman"/>
          <w:sz w:val="28"/>
          <w:szCs w:val="28"/>
        </w:rPr>
        <w:t xml:space="preserve">, din punct de vedere strict procedural, plângerea formulată vizează revocarea </w:t>
      </w:r>
      <w:r w:rsidRPr="0058049F">
        <w:rPr>
          <w:rFonts w:ascii="Times New Roman" w:hAnsi="Times New Roman" w:cs="Times New Roman"/>
          <w:i/>
          <w:iCs/>
          <w:sz w:val="28"/>
          <w:szCs w:val="28"/>
        </w:rPr>
        <w:t>Hotărârii Consiliului Local nr. 58/30.04.2026</w:t>
      </w:r>
      <w:r w:rsidRPr="0058049F">
        <w:rPr>
          <w:rFonts w:ascii="Times New Roman" w:hAnsi="Times New Roman" w:cs="Times New Roman"/>
          <w:sz w:val="28"/>
          <w:szCs w:val="28"/>
        </w:rPr>
        <w:t xml:space="preserve">, act administrativ inexistent în materia supusă dezbaterii, </w:t>
      </w:r>
      <w:r w:rsidRPr="006044AF">
        <w:rPr>
          <w:rFonts w:ascii="Times New Roman" w:hAnsi="Times New Roman" w:cs="Times New Roman"/>
          <w:sz w:val="28"/>
          <w:szCs w:val="28"/>
          <w:u w:val="single"/>
        </w:rPr>
        <w:t>fapt ce atrage lipsa de obiect și inadmisibilitatea solicitării în forma prezentată</w:t>
      </w:r>
      <w:r w:rsidRPr="0058049F">
        <w:rPr>
          <w:rFonts w:ascii="Times New Roman" w:hAnsi="Times New Roman" w:cs="Times New Roman"/>
          <w:sz w:val="28"/>
          <w:szCs w:val="28"/>
        </w:rPr>
        <w:t>.</w:t>
      </w:r>
    </w:p>
    <w:p w14:paraId="00E225A4" w14:textId="77777777" w:rsidR="006044AF" w:rsidRDefault="0058049F" w:rsidP="009028C0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44AF">
        <w:rPr>
          <w:rFonts w:ascii="Times New Roman" w:hAnsi="Times New Roman" w:cs="Times New Roman"/>
          <w:sz w:val="28"/>
          <w:szCs w:val="28"/>
          <w:u w:val="single"/>
        </w:rPr>
        <w:t>În subsidiar</w:t>
      </w:r>
      <w:r w:rsidRPr="0058049F">
        <w:rPr>
          <w:rFonts w:ascii="Times New Roman" w:hAnsi="Times New Roman" w:cs="Times New Roman"/>
          <w:sz w:val="28"/>
          <w:szCs w:val="28"/>
        </w:rPr>
        <w:t>, raportat la fondul actului administrativ real aprobat de</w:t>
      </w:r>
      <w:r w:rsidR="006044AF">
        <w:rPr>
          <w:rFonts w:ascii="Times New Roman" w:hAnsi="Times New Roman" w:cs="Times New Roman"/>
          <w:sz w:val="28"/>
          <w:szCs w:val="28"/>
        </w:rPr>
        <w:t xml:space="preserve"> către</w:t>
      </w:r>
      <w:r w:rsidRPr="0058049F">
        <w:rPr>
          <w:rFonts w:ascii="Times New Roman" w:hAnsi="Times New Roman" w:cs="Times New Roman"/>
          <w:sz w:val="28"/>
          <w:szCs w:val="28"/>
        </w:rPr>
        <w:t xml:space="preserve"> autoritatea deliberativă,</w:t>
      </w:r>
      <w:r w:rsidR="006044AF">
        <w:rPr>
          <w:rFonts w:ascii="Times New Roman" w:hAnsi="Times New Roman" w:cs="Times New Roman"/>
          <w:sz w:val="28"/>
          <w:szCs w:val="28"/>
        </w:rPr>
        <w:t xml:space="preserve"> Consiliul Local al Municipiului Brad,</w:t>
      </w:r>
      <w:r w:rsidRPr="0058049F">
        <w:rPr>
          <w:rFonts w:ascii="Times New Roman" w:hAnsi="Times New Roman" w:cs="Times New Roman"/>
          <w:sz w:val="28"/>
          <w:szCs w:val="28"/>
        </w:rPr>
        <w:t xml:space="preserve"> respectiv </w:t>
      </w:r>
      <w:r w:rsidRPr="0058049F">
        <w:rPr>
          <w:rFonts w:ascii="Times New Roman" w:hAnsi="Times New Roman" w:cs="Times New Roman"/>
          <w:i/>
          <w:iCs/>
          <w:sz w:val="28"/>
          <w:szCs w:val="28"/>
        </w:rPr>
        <w:t>Hotărârea Consiliului Local nr. 63/30.04.2026</w:t>
      </w:r>
      <w:r w:rsidRPr="0058049F">
        <w:rPr>
          <w:rFonts w:ascii="Times New Roman" w:hAnsi="Times New Roman" w:cs="Times New Roman"/>
          <w:sz w:val="28"/>
          <w:szCs w:val="28"/>
        </w:rPr>
        <w:t xml:space="preserve">, motivele de nelegalitate invocate de </w:t>
      </w:r>
      <w:r w:rsidR="006044AF">
        <w:rPr>
          <w:rFonts w:ascii="Times New Roman" w:hAnsi="Times New Roman" w:cs="Times New Roman"/>
          <w:sz w:val="28"/>
          <w:szCs w:val="28"/>
        </w:rPr>
        <w:t xml:space="preserve">către </w:t>
      </w:r>
      <w:proofErr w:type="spellStart"/>
      <w:r w:rsidRPr="0058049F">
        <w:rPr>
          <w:rFonts w:ascii="Times New Roman" w:hAnsi="Times New Roman" w:cs="Times New Roman"/>
          <w:sz w:val="28"/>
          <w:szCs w:val="28"/>
        </w:rPr>
        <w:t>petentă</w:t>
      </w:r>
      <w:proofErr w:type="spellEnd"/>
      <w:r w:rsidRPr="0058049F">
        <w:rPr>
          <w:rFonts w:ascii="Times New Roman" w:hAnsi="Times New Roman" w:cs="Times New Roman"/>
          <w:sz w:val="28"/>
          <w:szCs w:val="28"/>
        </w:rPr>
        <w:t xml:space="preserve"> sunt complet nefondate. </w:t>
      </w:r>
    </w:p>
    <w:p w14:paraId="31B14661" w14:textId="2E2E9D58" w:rsidR="0058049F" w:rsidRPr="0058049F" w:rsidRDefault="0058049F" w:rsidP="009028C0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49F">
        <w:rPr>
          <w:rFonts w:ascii="Times New Roman" w:hAnsi="Times New Roman" w:cs="Times New Roman"/>
          <w:sz w:val="28"/>
          <w:szCs w:val="28"/>
        </w:rPr>
        <w:t xml:space="preserve">Regulamentul local a fost adoptat în scopul asigurării ordinii publice, a siguranței cetățenilor și a protecției minorilor, stabilind criterii obiective și nediscriminatorii pentru toți operatorii economici de profil, fără a aduce atingere monopolului de stat deținut de </w:t>
      </w:r>
      <w:r w:rsidR="006044AF">
        <w:rPr>
          <w:rFonts w:ascii="Times New Roman" w:hAnsi="Times New Roman" w:cs="Times New Roman"/>
          <w:sz w:val="28"/>
          <w:szCs w:val="28"/>
        </w:rPr>
        <w:t xml:space="preserve">către </w:t>
      </w:r>
      <w:proofErr w:type="spellStart"/>
      <w:r w:rsidRPr="0058049F">
        <w:rPr>
          <w:rFonts w:ascii="Times New Roman" w:hAnsi="Times New Roman" w:cs="Times New Roman"/>
          <w:sz w:val="28"/>
          <w:szCs w:val="28"/>
        </w:rPr>
        <w:t>petentă</w:t>
      </w:r>
      <w:proofErr w:type="spellEnd"/>
      <w:r w:rsidRPr="0058049F">
        <w:rPr>
          <w:rFonts w:ascii="Times New Roman" w:hAnsi="Times New Roman" w:cs="Times New Roman"/>
          <w:sz w:val="28"/>
          <w:szCs w:val="28"/>
        </w:rPr>
        <w:t xml:space="preserve"> în materia jocurilor loto tradiționale și a lozurilor.</w:t>
      </w:r>
    </w:p>
    <w:p w14:paraId="58CF5C35" w14:textId="25B662C2" w:rsidR="0058049F" w:rsidRPr="0058049F" w:rsidRDefault="0058049F" w:rsidP="009028C0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49F">
        <w:rPr>
          <w:rFonts w:ascii="Times New Roman" w:hAnsi="Times New Roman" w:cs="Times New Roman"/>
          <w:sz w:val="28"/>
          <w:szCs w:val="28"/>
        </w:rPr>
        <w:t xml:space="preserve">Întrucât H.C.L. nr. 63/30.04.2026 a fost adoptată cu respectarea strictă a normelor de fond, formă și transparență decizională, nefiind cenzurată sub niciun aspect în cadrul controlului de legalitate exercitat de </w:t>
      </w:r>
      <w:r w:rsidR="006044AF">
        <w:rPr>
          <w:rFonts w:ascii="Times New Roman" w:hAnsi="Times New Roman" w:cs="Times New Roman"/>
          <w:sz w:val="28"/>
          <w:szCs w:val="28"/>
        </w:rPr>
        <w:t xml:space="preserve">către </w:t>
      </w:r>
      <w:r w:rsidRPr="0058049F">
        <w:rPr>
          <w:rFonts w:ascii="Times New Roman" w:hAnsi="Times New Roman" w:cs="Times New Roman"/>
          <w:sz w:val="28"/>
          <w:szCs w:val="28"/>
        </w:rPr>
        <w:t>Instituția Prefectului Județului Hunedoara, se impune menținerea în totalitate a actului normativ local.</w:t>
      </w:r>
    </w:p>
    <w:p w14:paraId="2D43FB31" w14:textId="5EC7ABCE" w:rsidR="000326B2" w:rsidRDefault="0058049F" w:rsidP="009028C0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49F">
        <w:rPr>
          <w:rFonts w:ascii="Times New Roman" w:hAnsi="Times New Roman" w:cs="Times New Roman"/>
          <w:sz w:val="28"/>
          <w:szCs w:val="28"/>
        </w:rPr>
        <w:t xml:space="preserve">Având în vedere argumentele expuse, care sunt dezvoltate pe larg în </w:t>
      </w:r>
      <w:r w:rsidRPr="0058049F">
        <w:rPr>
          <w:rFonts w:ascii="Times New Roman" w:hAnsi="Times New Roman" w:cs="Times New Roman"/>
          <w:i/>
          <w:iCs/>
          <w:sz w:val="28"/>
          <w:szCs w:val="28"/>
        </w:rPr>
        <w:t>Motivarea respingerii</w:t>
      </w:r>
      <w:r w:rsidRPr="0058049F">
        <w:rPr>
          <w:rFonts w:ascii="Times New Roman" w:hAnsi="Times New Roman" w:cs="Times New Roman"/>
          <w:sz w:val="28"/>
          <w:szCs w:val="28"/>
        </w:rPr>
        <w:t xml:space="preserve"> ce va constitui </w:t>
      </w:r>
      <w:r w:rsidR="006044AF">
        <w:rPr>
          <w:rFonts w:ascii="Times New Roman" w:hAnsi="Times New Roman" w:cs="Times New Roman"/>
          <w:sz w:val="28"/>
          <w:szCs w:val="28"/>
        </w:rPr>
        <w:t>A</w:t>
      </w:r>
      <w:r w:rsidRPr="0058049F">
        <w:rPr>
          <w:rFonts w:ascii="Times New Roman" w:hAnsi="Times New Roman" w:cs="Times New Roman"/>
          <w:sz w:val="28"/>
          <w:szCs w:val="28"/>
        </w:rPr>
        <w:t xml:space="preserve">nexă la hotărâre, am inițiat prezentul proiect de hotărâre </w:t>
      </w:r>
      <w:r w:rsidR="006044AF" w:rsidRPr="00A5520B">
        <w:rPr>
          <w:rFonts w:ascii="Times New Roman" w:hAnsi="Times New Roman" w:cs="Times New Roman"/>
          <w:sz w:val="28"/>
          <w:szCs w:val="28"/>
        </w:rPr>
        <w:lastRenderedPageBreak/>
        <w:t>prin care am propus respingerea plângerii prealabile  formulată de către Compania Națională „Loteria Română”, înregistrată la Primăria Municipiului Brad sub nr. 31423/28.05.2026</w:t>
      </w:r>
      <w:r w:rsidR="006044AF">
        <w:rPr>
          <w:rFonts w:ascii="Times New Roman" w:hAnsi="Times New Roman" w:cs="Times New Roman"/>
          <w:sz w:val="28"/>
          <w:szCs w:val="28"/>
        </w:rPr>
        <w:t>.</w:t>
      </w:r>
    </w:p>
    <w:p w14:paraId="678E92AC" w14:textId="0C48946F" w:rsidR="00A5520B" w:rsidRPr="002106D9" w:rsidRDefault="00A5520B" w:rsidP="009028C0">
      <w:pPr>
        <w:spacing w:after="0" w:line="276" w:lineRule="auto"/>
        <w:ind w:right="-6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106D9">
        <w:rPr>
          <w:rFonts w:ascii="Times New Roman" w:hAnsi="Times New Roman" w:cs="Times New Roman"/>
          <w:sz w:val="28"/>
          <w:szCs w:val="28"/>
        </w:rPr>
        <w:t xml:space="preserve">În contextul celor de mai sus, supun spre dezbatere și aprobare plenului Consiliului Local al Municipiului Brad </w:t>
      </w:r>
      <w:r w:rsidR="006044AF" w:rsidRPr="002106D9">
        <w:rPr>
          <w:rFonts w:ascii="Times New Roman" w:hAnsi="Times New Roman" w:cs="Times New Roman"/>
          <w:sz w:val="28"/>
          <w:szCs w:val="28"/>
        </w:rPr>
        <w:t xml:space="preserve">proiectul de hotărâre </w:t>
      </w:r>
      <w:r w:rsidRPr="002106D9">
        <w:rPr>
          <w:rFonts w:ascii="Times New Roman" w:hAnsi="Times New Roman" w:cs="Times New Roman"/>
          <w:sz w:val="28"/>
          <w:szCs w:val="28"/>
        </w:rPr>
        <w:t>în forma prezentată.</w:t>
      </w:r>
    </w:p>
    <w:p w14:paraId="7D22C411" w14:textId="63B8CDC7" w:rsidR="002106D9" w:rsidRPr="002106D9" w:rsidRDefault="00A5520B" w:rsidP="002106D9">
      <w:pPr>
        <w:spacing w:after="0" w:line="276" w:lineRule="auto"/>
        <w:ind w:right="-613"/>
        <w:jc w:val="both"/>
        <w:rPr>
          <w:rFonts w:ascii="Times New Roman" w:hAnsi="Times New Roman" w:cs="Times New Roman"/>
          <w:sz w:val="28"/>
          <w:szCs w:val="28"/>
        </w:rPr>
      </w:pPr>
      <w:r w:rsidRPr="002106D9">
        <w:rPr>
          <w:rFonts w:ascii="Times New Roman" w:hAnsi="Times New Roman" w:cs="Times New Roman"/>
          <w:sz w:val="28"/>
          <w:szCs w:val="28"/>
        </w:rPr>
        <w:tab/>
        <w:t>Invoc în susținerea propunerii mele prevederile</w:t>
      </w:r>
      <w:r w:rsidR="002106D9" w:rsidRPr="002106D9">
        <w:rPr>
          <w:rFonts w:ascii="Times New Roman" w:eastAsia="Times New Roman" w:hAnsi="Times New Roman" w:cs="Times New Roman"/>
          <w:kern w:val="0"/>
          <w:sz w:val="23"/>
          <w:szCs w:val="23"/>
          <w:lang w:eastAsia="ro-RO"/>
          <w14:ligatures w14:val="none"/>
        </w:rPr>
        <w:t xml:space="preserve"> </w:t>
      </w:r>
      <w:r w:rsidR="002106D9" w:rsidRPr="002106D9">
        <w:rPr>
          <w:rFonts w:ascii="Times New Roman" w:hAnsi="Times New Roman" w:cs="Times New Roman"/>
          <w:sz w:val="28"/>
          <w:szCs w:val="28"/>
        </w:rPr>
        <w:t>Ordonanț</w:t>
      </w:r>
      <w:r w:rsidR="002106D9">
        <w:rPr>
          <w:rFonts w:ascii="Times New Roman" w:hAnsi="Times New Roman" w:cs="Times New Roman"/>
          <w:sz w:val="28"/>
          <w:szCs w:val="28"/>
        </w:rPr>
        <w:t>ei</w:t>
      </w:r>
      <w:r w:rsidR="002106D9" w:rsidRPr="002106D9">
        <w:rPr>
          <w:rFonts w:ascii="Times New Roman" w:hAnsi="Times New Roman" w:cs="Times New Roman"/>
          <w:sz w:val="28"/>
          <w:szCs w:val="28"/>
        </w:rPr>
        <w:t xml:space="preserve"> de Urgentă a Guvernului nr. 77/2009 privind organizarea și exploatarea jocurilor de noroc, cu  modificările și completările ulterioare</w:t>
      </w:r>
      <w:r w:rsidR="002106D9">
        <w:rPr>
          <w:rFonts w:ascii="Times New Roman" w:hAnsi="Times New Roman" w:cs="Times New Roman"/>
          <w:sz w:val="28"/>
          <w:szCs w:val="28"/>
        </w:rPr>
        <w:t xml:space="preserve">, ale </w:t>
      </w:r>
      <w:r w:rsidR="002106D9" w:rsidRPr="002106D9">
        <w:rPr>
          <w:rFonts w:ascii="Times New Roman" w:hAnsi="Times New Roman" w:cs="Times New Roman"/>
          <w:sz w:val="28"/>
          <w:szCs w:val="28"/>
        </w:rPr>
        <w:t>Hotărâr</w:t>
      </w:r>
      <w:r w:rsidR="002106D9">
        <w:rPr>
          <w:rFonts w:ascii="Times New Roman" w:hAnsi="Times New Roman" w:cs="Times New Roman"/>
          <w:sz w:val="28"/>
          <w:szCs w:val="28"/>
        </w:rPr>
        <w:t>ii</w:t>
      </w:r>
      <w:r w:rsidR="002106D9" w:rsidRPr="002106D9">
        <w:rPr>
          <w:rFonts w:ascii="Times New Roman" w:hAnsi="Times New Roman" w:cs="Times New Roman"/>
          <w:sz w:val="28"/>
          <w:szCs w:val="28"/>
        </w:rPr>
        <w:t xml:space="preserve"> Guvernului nr. 111/2016 pentru aprobarea Normelor metodologice de punere în aplicare a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Ordonanţei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a Guvernului nr. 77/2009 privind organizarea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exploatarea jocurilor de noroc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pentru modificarea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completarea Hotărârii Guvernului nr. 298/2013 privind organizarea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Oficiului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pentru Jocuri de Noroc, pentru modificarea Hotărârii Guvernului nr. 870/2009 pentru aprobarea Normelor metodologice de aplicare a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Ordonanţei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a Guvernului nr. 77/2009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pentru abrogarea Hotărârii Guvernului nr. 870/2009 privind organizarea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exploatarea jocurilor de noroc, cu modificările ulterioare</w:t>
      </w:r>
      <w:r w:rsidR="002106D9">
        <w:rPr>
          <w:rFonts w:ascii="Times New Roman" w:hAnsi="Times New Roman" w:cs="Times New Roman"/>
          <w:sz w:val="28"/>
          <w:szCs w:val="28"/>
        </w:rPr>
        <w:t xml:space="preserve">, ale </w:t>
      </w:r>
      <w:r w:rsidR="002106D9" w:rsidRPr="002106D9">
        <w:rPr>
          <w:rFonts w:ascii="Times New Roman" w:hAnsi="Times New Roman" w:cs="Times New Roman"/>
          <w:sz w:val="28"/>
          <w:szCs w:val="28"/>
        </w:rPr>
        <w:t>Ordonanț</w:t>
      </w:r>
      <w:r w:rsidR="002106D9">
        <w:rPr>
          <w:rFonts w:ascii="Times New Roman" w:hAnsi="Times New Roman" w:cs="Times New Roman"/>
          <w:sz w:val="28"/>
          <w:szCs w:val="28"/>
        </w:rPr>
        <w:t>ei</w:t>
      </w:r>
      <w:r w:rsidR="002106D9" w:rsidRPr="002106D9">
        <w:rPr>
          <w:rFonts w:ascii="Times New Roman" w:hAnsi="Times New Roman" w:cs="Times New Roman"/>
          <w:sz w:val="28"/>
          <w:szCs w:val="28"/>
        </w:rPr>
        <w:t xml:space="preserve"> de Urgență a Guvernului nr. 7/2026 pentru modificarea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completarea unor acte normative, precum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pentru adoptarea unor măsuri pentru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creşterea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capacităţii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financiare a </w:t>
      </w:r>
      <w:proofErr w:type="spellStart"/>
      <w:r w:rsidR="002106D9" w:rsidRPr="002106D9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="002106D9" w:rsidRPr="002106D9">
        <w:rPr>
          <w:rFonts w:ascii="Times New Roman" w:hAnsi="Times New Roman" w:cs="Times New Roman"/>
          <w:sz w:val="28"/>
          <w:szCs w:val="28"/>
        </w:rPr>
        <w:t xml:space="preserve"> administrativ-teritoriale, precum și a</w:t>
      </w:r>
      <w:r w:rsidR="002106D9" w:rsidRPr="002106D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106D9" w:rsidRPr="002106D9">
        <w:rPr>
          <w:rFonts w:ascii="Times New Roman" w:hAnsi="Times New Roman" w:cs="Times New Roman"/>
          <w:sz w:val="28"/>
          <w:szCs w:val="28"/>
        </w:rPr>
        <w:t>Legii nr. 227/2015 privind Codul fiscal, republicată, cu modificările și completările ulterioare</w:t>
      </w:r>
      <w:r w:rsidR="002106D9">
        <w:rPr>
          <w:rFonts w:ascii="Times New Roman" w:hAnsi="Times New Roman" w:cs="Times New Roman"/>
          <w:sz w:val="28"/>
          <w:szCs w:val="28"/>
        </w:rPr>
        <w:t xml:space="preserve">, ale </w:t>
      </w:r>
      <w:r w:rsidR="002106D9" w:rsidRPr="002106D9">
        <w:rPr>
          <w:rFonts w:ascii="Times New Roman" w:hAnsi="Times New Roman" w:cs="Times New Roman"/>
          <w:sz w:val="28"/>
          <w:szCs w:val="28"/>
        </w:rPr>
        <w:t>art. 129 alin. (1), alin. (2) lit. b) și alin. (4) lit. c) și alin. (14) din Ordonanța de Urgență a Guvernului nr. 57/2019 privind Codul administrativ, cu modificările și completările ulterioare</w:t>
      </w:r>
      <w:r w:rsidR="002106D9">
        <w:rPr>
          <w:rFonts w:ascii="Times New Roman" w:hAnsi="Times New Roman" w:cs="Times New Roman"/>
          <w:sz w:val="28"/>
          <w:szCs w:val="28"/>
        </w:rPr>
        <w:t xml:space="preserve">, precum și ale </w:t>
      </w:r>
      <w:r w:rsidR="002106D9" w:rsidRPr="002106D9">
        <w:rPr>
          <w:rFonts w:ascii="Times New Roman" w:hAnsi="Times New Roman" w:cs="Times New Roman"/>
          <w:sz w:val="28"/>
          <w:szCs w:val="28"/>
        </w:rPr>
        <w:t>Leg</w:t>
      </w:r>
      <w:r w:rsidR="002106D9">
        <w:rPr>
          <w:rFonts w:ascii="Times New Roman" w:hAnsi="Times New Roman" w:cs="Times New Roman"/>
          <w:sz w:val="28"/>
          <w:szCs w:val="28"/>
        </w:rPr>
        <w:t>ii</w:t>
      </w:r>
      <w:r w:rsidR="002106D9" w:rsidRPr="002106D9">
        <w:rPr>
          <w:rFonts w:ascii="Times New Roman" w:hAnsi="Times New Roman" w:cs="Times New Roman"/>
          <w:sz w:val="28"/>
          <w:szCs w:val="28"/>
        </w:rPr>
        <w:t xml:space="preserve"> contenciosului administrativ nr. 554/2004, cu modificările și completările ulterioare</w:t>
      </w:r>
      <w:r w:rsidR="002106D9">
        <w:rPr>
          <w:rFonts w:ascii="Times New Roman" w:hAnsi="Times New Roman" w:cs="Times New Roman"/>
          <w:sz w:val="28"/>
          <w:szCs w:val="28"/>
        </w:rPr>
        <w:t>.</w:t>
      </w:r>
    </w:p>
    <w:p w14:paraId="05B7F9C3" w14:textId="39C8B0CB" w:rsidR="00A5520B" w:rsidRPr="00A5520B" w:rsidRDefault="00A5520B" w:rsidP="002106D9">
      <w:pPr>
        <w:spacing w:after="0" w:line="276" w:lineRule="auto"/>
        <w:ind w:right="-613"/>
        <w:jc w:val="both"/>
        <w:rPr>
          <w:rFonts w:ascii="Times New Roman" w:hAnsi="Times New Roman" w:cs="Times New Roman"/>
          <w:sz w:val="28"/>
          <w:szCs w:val="28"/>
        </w:rPr>
      </w:pPr>
    </w:p>
    <w:p w14:paraId="1E874998" w14:textId="639DB124" w:rsidR="00A5520B" w:rsidRPr="00ED7C97" w:rsidRDefault="00A5520B" w:rsidP="001B26C9">
      <w:pPr>
        <w:spacing w:after="0" w:line="276" w:lineRule="auto"/>
        <w:ind w:right="-613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62A5D8" w14:textId="77777777" w:rsidR="00707822" w:rsidRPr="00A46A18" w:rsidRDefault="00707822" w:rsidP="00707822">
      <w:pPr>
        <w:pStyle w:val="Listparagraf"/>
        <w:widowControl w:val="0"/>
        <w:autoSpaceDE w:val="0"/>
        <w:autoSpaceDN w:val="0"/>
        <w:spacing w:after="0" w:line="276" w:lineRule="auto"/>
        <w:ind w:left="0" w:right="-1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PRIMAR </w:t>
      </w:r>
    </w:p>
    <w:p w14:paraId="004C7778" w14:textId="1E61DF7B" w:rsidR="0092597D" w:rsidRDefault="00707822" w:rsidP="006D1481">
      <w:pPr>
        <w:pStyle w:val="Listparagraf"/>
        <w:widowControl w:val="0"/>
        <w:autoSpaceDE w:val="0"/>
        <w:autoSpaceDN w:val="0"/>
        <w:spacing w:after="0" w:line="276" w:lineRule="auto"/>
        <w:ind w:left="0" w:right="-1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Florin CAZACU</w:t>
      </w:r>
    </w:p>
    <w:p w14:paraId="4DED8B0D" w14:textId="77777777" w:rsidR="00217676" w:rsidRDefault="00217676" w:rsidP="006D1481">
      <w:pPr>
        <w:pStyle w:val="Listparagraf"/>
        <w:widowControl w:val="0"/>
        <w:autoSpaceDE w:val="0"/>
        <w:autoSpaceDN w:val="0"/>
        <w:spacing w:after="0" w:line="276" w:lineRule="auto"/>
        <w:ind w:left="0" w:right="-1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659E0879" w14:textId="4362B226" w:rsidR="00217676" w:rsidRPr="00217676" w:rsidRDefault="00217676" w:rsidP="00217676">
      <w:pPr>
        <w:pStyle w:val="Listparagraf"/>
        <w:widowControl w:val="0"/>
        <w:autoSpaceDE w:val="0"/>
        <w:autoSpaceDN w:val="0"/>
        <w:spacing w:after="0" w:line="276" w:lineRule="auto"/>
        <w:ind w:left="0" w:right="-15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217676" w:rsidRPr="00217676" w:rsidSect="001D2766"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Arial"/>
        <w:b/>
        <w:bCs/>
        <w:color w:val="000000"/>
        <w:sz w:val="22"/>
        <w:szCs w:val="24"/>
        <w:lang w:val="ro-RO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Arial"/>
        <w:b/>
        <w:bCs/>
        <w:color w:val="000000"/>
        <w:sz w:val="22"/>
        <w:szCs w:val="24"/>
        <w:lang w:val="ro-RO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Arial"/>
        <w:b/>
        <w:bCs/>
        <w:color w:val="000000"/>
        <w:sz w:val="22"/>
        <w:szCs w:val="24"/>
        <w:lang w:val="ro-RO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Arial"/>
        <w:b/>
        <w:bCs/>
        <w:color w:val="000000"/>
        <w:sz w:val="22"/>
        <w:szCs w:val="24"/>
        <w:lang w:val="ro-RO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Arial"/>
        <w:b/>
        <w:bCs/>
        <w:color w:val="000000"/>
        <w:sz w:val="22"/>
        <w:szCs w:val="24"/>
        <w:lang w:val="ro-RO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Arial"/>
        <w:b/>
        <w:bCs/>
        <w:color w:val="000000"/>
        <w:sz w:val="22"/>
        <w:szCs w:val="24"/>
        <w:lang w:val="ro-RO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Arial"/>
        <w:b/>
        <w:bCs/>
        <w:color w:val="000000"/>
        <w:sz w:val="22"/>
        <w:szCs w:val="24"/>
        <w:lang w:val="ro-RO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Arial"/>
        <w:b/>
        <w:bCs/>
        <w:color w:val="000000"/>
        <w:sz w:val="22"/>
        <w:szCs w:val="24"/>
        <w:lang w:val="ro-RO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Arial"/>
        <w:b/>
        <w:bCs/>
        <w:color w:val="000000"/>
        <w:sz w:val="22"/>
        <w:szCs w:val="24"/>
        <w:lang w:val="ro-RO"/>
      </w:rPr>
    </w:lvl>
  </w:abstractNum>
  <w:abstractNum w:abstractNumId="1" w15:restartNumberingAfterBreak="0">
    <w:nsid w:val="50F913E1"/>
    <w:multiLevelType w:val="multilevel"/>
    <w:tmpl w:val="B56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48261">
    <w:abstractNumId w:val="0"/>
  </w:num>
  <w:num w:numId="2" w16cid:durableId="427845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51"/>
    <w:rsid w:val="000326B2"/>
    <w:rsid w:val="00074F47"/>
    <w:rsid w:val="00080F19"/>
    <w:rsid w:val="000879E9"/>
    <w:rsid w:val="000923F2"/>
    <w:rsid w:val="00094C7A"/>
    <w:rsid w:val="000C7B20"/>
    <w:rsid w:val="000F2587"/>
    <w:rsid w:val="001007AA"/>
    <w:rsid w:val="001A7B9D"/>
    <w:rsid w:val="001B26C9"/>
    <w:rsid w:val="001D2766"/>
    <w:rsid w:val="002106D9"/>
    <w:rsid w:val="00217676"/>
    <w:rsid w:val="003F55DA"/>
    <w:rsid w:val="004A25DA"/>
    <w:rsid w:val="0058049F"/>
    <w:rsid w:val="005C4C60"/>
    <w:rsid w:val="006044AF"/>
    <w:rsid w:val="00607927"/>
    <w:rsid w:val="00657925"/>
    <w:rsid w:val="006D1481"/>
    <w:rsid w:val="00707822"/>
    <w:rsid w:val="0073029A"/>
    <w:rsid w:val="007572BE"/>
    <w:rsid w:val="007A77E5"/>
    <w:rsid w:val="008F7C51"/>
    <w:rsid w:val="009014B3"/>
    <w:rsid w:val="009028C0"/>
    <w:rsid w:val="0092597D"/>
    <w:rsid w:val="009278EC"/>
    <w:rsid w:val="00990ABE"/>
    <w:rsid w:val="0099621F"/>
    <w:rsid w:val="009A7058"/>
    <w:rsid w:val="00A02E97"/>
    <w:rsid w:val="00A14AA9"/>
    <w:rsid w:val="00A5520B"/>
    <w:rsid w:val="00AC5A32"/>
    <w:rsid w:val="00B2698E"/>
    <w:rsid w:val="00BE37EB"/>
    <w:rsid w:val="00C36EF2"/>
    <w:rsid w:val="00C66129"/>
    <w:rsid w:val="00C8356B"/>
    <w:rsid w:val="00CE58C4"/>
    <w:rsid w:val="00D237F2"/>
    <w:rsid w:val="00D52F48"/>
    <w:rsid w:val="00D94EA7"/>
    <w:rsid w:val="00DE23E9"/>
    <w:rsid w:val="00E33F25"/>
    <w:rsid w:val="00E957DD"/>
    <w:rsid w:val="00E96CA4"/>
    <w:rsid w:val="00EF5421"/>
    <w:rsid w:val="00F9031E"/>
    <w:rsid w:val="00F9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5A77A"/>
  <w15:chartTrackingRefBased/>
  <w15:docId w15:val="{FAC153CC-32E1-41C0-9C7C-3D706C10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F7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F7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F7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F7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F7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F7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F7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F7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F7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F7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F7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F7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F7C5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F7C5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F7C5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F7C5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F7C5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F7C5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F7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F7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F7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F7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F7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F7C5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F7C5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F7C5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F7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F7C5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F7C5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06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595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Primaria Brad</cp:lastModifiedBy>
  <cp:revision>29</cp:revision>
  <dcterms:created xsi:type="dcterms:W3CDTF">2026-06-23T08:49:00Z</dcterms:created>
  <dcterms:modified xsi:type="dcterms:W3CDTF">2026-06-24T09:11:00Z</dcterms:modified>
</cp:coreProperties>
</file>