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D92B" w14:textId="77777777" w:rsidR="00207498" w:rsidRPr="00FC22C0" w:rsidRDefault="00207498">
      <w:pPr>
        <w:rPr>
          <w:rFonts w:asciiTheme="minorHAnsi" w:hAnsiTheme="minorHAnsi" w:cstheme="minorHAnsi"/>
          <w:lang w:val="ro-RO"/>
        </w:rPr>
      </w:pPr>
    </w:p>
    <w:p w14:paraId="089F203D" w14:textId="77777777" w:rsidR="00245155" w:rsidRPr="00FC22C0" w:rsidRDefault="00245155">
      <w:pPr>
        <w:rPr>
          <w:rFonts w:asciiTheme="minorHAnsi" w:hAnsiTheme="minorHAnsi" w:cstheme="minorHAnsi"/>
          <w:lang w:val="ro-RO"/>
        </w:rPr>
      </w:pPr>
    </w:p>
    <w:p w14:paraId="5BA480ED" w14:textId="77777777" w:rsidR="002C12C0" w:rsidRPr="00FC22C0" w:rsidRDefault="002C12C0">
      <w:pPr>
        <w:rPr>
          <w:rFonts w:asciiTheme="minorHAnsi" w:hAnsiTheme="minorHAnsi" w:cstheme="minorHAnsi"/>
          <w:lang w:val="ro-RO"/>
        </w:rPr>
      </w:pPr>
    </w:p>
    <w:p w14:paraId="50F2E9D9" w14:textId="77777777" w:rsidR="00B96722" w:rsidRPr="00FC22C0" w:rsidRDefault="00B96722" w:rsidP="00810D01">
      <w:pPr>
        <w:pStyle w:val="Titlu3"/>
        <w:spacing w:before="480" w:after="120" w:line="240" w:lineRule="auto"/>
        <w:rPr>
          <w:rFonts w:asciiTheme="minorHAnsi" w:hAnsiTheme="minorHAnsi" w:cstheme="minorHAnsi"/>
        </w:rPr>
      </w:pPr>
      <w:r w:rsidRPr="00FC22C0">
        <w:rPr>
          <w:rFonts w:asciiTheme="minorHAnsi" w:hAnsiTheme="minorHAnsi" w:cstheme="minorHAnsi"/>
        </w:rPr>
        <w:t>REFERAT DE APROBARE</w:t>
      </w:r>
    </w:p>
    <w:p w14:paraId="12021D4D" w14:textId="31EABBBD" w:rsidR="00245155" w:rsidRPr="00FC22C0" w:rsidRDefault="00C5534F" w:rsidP="005703EC">
      <w:pPr>
        <w:pStyle w:val="Titlu3"/>
        <w:spacing w:line="276" w:lineRule="auto"/>
        <w:rPr>
          <w:rFonts w:asciiTheme="minorHAnsi" w:hAnsiTheme="minorHAnsi" w:cstheme="minorHAnsi"/>
        </w:rPr>
      </w:pPr>
      <w:r w:rsidRPr="00FC22C0">
        <w:rPr>
          <w:rFonts w:asciiTheme="minorHAnsi" w:hAnsiTheme="minorHAnsi" w:cstheme="minorHAnsi"/>
        </w:rPr>
        <w:t>a</w:t>
      </w:r>
      <w:r w:rsidR="000B6310" w:rsidRPr="00FC22C0">
        <w:rPr>
          <w:rFonts w:asciiTheme="minorHAnsi" w:hAnsiTheme="minorHAnsi" w:cstheme="minorHAnsi"/>
        </w:rPr>
        <w:t>l</w:t>
      </w:r>
      <w:r w:rsidRPr="00FC22C0">
        <w:rPr>
          <w:rFonts w:asciiTheme="minorHAnsi" w:hAnsiTheme="minorHAnsi" w:cstheme="minorHAnsi"/>
        </w:rPr>
        <w:t xml:space="preserve"> proiectul</w:t>
      </w:r>
      <w:r w:rsidR="00B96722" w:rsidRPr="00FC22C0">
        <w:rPr>
          <w:rFonts w:asciiTheme="minorHAnsi" w:hAnsiTheme="minorHAnsi" w:cstheme="minorHAnsi"/>
        </w:rPr>
        <w:t>ui</w:t>
      </w:r>
      <w:r w:rsidRPr="00FC22C0">
        <w:rPr>
          <w:rFonts w:asciiTheme="minorHAnsi" w:hAnsiTheme="minorHAnsi" w:cstheme="minorHAnsi"/>
        </w:rPr>
        <w:t xml:space="preserve"> de hotărâre </w:t>
      </w:r>
      <w:r w:rsidR="00245155" w:rsidRPr="00FC22C0">
        <w:rPr>
          <w:rFonts w:asciiTheme="minorHAnsi" w:hAnsiTheme="minorHAnsi" w:cstheme="minorHAnsi"/>
        </w:rPr>
        <w:t xml:space="preserve">privind </w:t>
      </w:r>
      <w:bookmarkStart w:id="0" w:name="_Hlk75771121"/>
      <w:r w:rsidR="005703EC" w:rsidRPr="00FC22C0">
        <w:rPr>
          <w:rFonts w:asciiTheme="minorHAnsi" w:hAnsiTheme="minorHAnsi" w:cstheme="minorHAnsi"/>
        </w:rPr>
        <w:t>aprobarea Organigramei resurselor umane şi Statului de funcții de la nivelul Primăriei Comunei Șoldanu, Judeţul Călăraşi, în anul 202</w:t>
      </w:r>
      <w:r w:rsidR="00A67112" w:rsidRPr="00FC22C0">
        <w:rPr>
          <w:rFonts w:asciiTheme="minorHAnsi" w:hAnsiTheme="minorHAnsi" w:cstheme="minorHAnsi"/>
        </w:rPr>
        <w:t>2</w:t>
      </w:r>
      <w:bookmarkEnd w:id="0"/>
    </w:p>
    <w:p w14:paraId="762AC2EC" w14:textId="77777777" w:rsidR="00C5534F" w:rsidRPr="00FC22C0" w:rsidRDefault="00C5534F" w:rsidP="00C5534F">
      <w:pPr>
        <w:jc w:val="both"/>
        <w:rPr>
          <w:rFonts w:asciiTheme="minorHAnsi" w:hAnsiTheme="minorHAnsi" w:cstheme="minorHAnsi"/>
          <w:lang w:val="ro-RO"/>
        </w:rPr>
      </w:pPr>
    </w:p>
    <w:p w14:paraId="6184E187" w14:textId="77777777" w:rsidR="00E00C73" w:rsidRPr="00FC22C0" w:rsidRDefault="00E00C73" w:rsidP="00901A60">
      <w:pPr>
        <w:widowControl w:val="0"/>
        <w:autoSpaceDE w:val="0"/>
        <w:autoSpaceDN w:val="0"/>
        <w:adjustRightInd w:val="0"/>
        <w:spacing w:before="80"/>
        <w:jc w:val="both"/>
        <w:rPr>
          <w:rFonts w:asciiTheme="minorHAnsi" w:hAnsiTheme="minorHAnsi" w:cstheme="minorHAnsi"/>
          <w:bCs/>
          <w:lang w:val="ro-RO"/>
        </w:rPr>
      </w:pPr>
      <w:r w:rsidRPr="00FC22C0">
        <w:rPr>
          <w:rFonts w:asciiTheme="minorHAnsi" w:hAnsiTheme="minorHAnsi" w:cstheme="minorHAnsi"/>
          <w:bCs/>
          <w:lang w:val="ro-RO"/>
        </w:rPr>
        <w:t>Stimați Consilieri ai Consiliului local al comunei Șoldanu</w:t>
      </w:r>
    </w:p>
    <w:p w14:paraId="41CCD361" w14:textId="7CD7D23B" w:rsidR="00E00C73" w:rsidRPr="00FC22C0" w:rsidRDefault="00E00C73" w:rsidP="00901A60">
      <w:pPr>
        <w:widowControl w:val="0"/>
        <w:spacing w:before="80"/>
        <w:jc w:val="both"/>
        <w:rPr>
          <w:rFonts w:asciiTheme="minorHAnsi" w:hAnsiTheme="minorHAnsi" w:cstheme="minorHAnsi"/>
          <w:lang w:val="fr-FR"/>
        </w:rPr>
      </w:pPr>
      <w:r w:rsidRPr="00FC22C0">
        <w:rPr>
          <w:rFonts w:asciiTheme="minorHAnsi" w:hAnsiTheme="minorHAnsi" w:cstheme="minorHAnsi"/>
          <w:lang w:val="fr-FR"/>
        </w:rPr>
        <w:t xml:space="preserve">Subsemnatul, Iulian </w:t>
      </w:r>
      <w:r w:rsidR="00A67112" w:rsidRPr="00FC22C0">
        <w:rPr>
          <w:rFonts w:asciiTheme="minorHAnsi" w:hAnsiTheme="minorHAnsi" w:cstheme="minorHAnsi"/>
          <w:lang w:val="fr-FR"/>
        </w:rPr>
        <w:t>M</w:t>
      </w:r>
      <w:r w:rsidR="002C359A">
        <w:rPr>
          <w:rFonts w:asciiTheme="minorHAnsi" w:hAnsiTheme="minorHAnsi" w:cstheme="minorHAnsi"/>
          <w:lang w:val="fr-FR"/>
        </w:rPr>
        <w:t>A</w:t>
      </w:r>
      <w:r w:rsidR="00A67112" w:rsidRPr="00FC22C0">
        <w:rPr>
          <w:rFonts w:asciiTheme="minorHAnsi" w:hAnsiTheme="minorHAnsi" w:cstheme="minorHAnsi"/>
          <w:lang w:val="fr-FR"/>
        </w:rPr>
        <w:t xml:space="preserve">RIN, Viceprimarul Comunei Șoldanu, pentru Iulian </w:t>
      </w:r>
      <w:r w:rsidRPr="00FC22C0">
        <w:rPr>
          <w:rFonts w:asciiTheme="minorHAnsi" w:hAnsiTheme="minorHAnsi" w:cstheme="minorHAnsi"/>
          <w:lang w:val="fr-FR"/>
        </w:rPr>
        <w:t>GEAMBAȘU,</w:t>
      </w:r>
      <w:r w:rsidR="00A67112" w:rsidRPr="00FC22C0">
        <w:rPr>
          <w:rFonts w:asciiTheme="minorHAnsi" w:hAnsiTheme="minorHAnsi" w:cstheme="minorHAnsi"/>
          <w:lang w:val="fr-FR"/>
        </w:rPr>
        <w:t xml:space="preserve"> P</w:t>
      </w:r>
      <w:r w:rsidRPr="00FC22C0">
        <w:rPr>
          <w:rFonts w:asciiTheme="minorHAnsi" w:hAnsiTheme="minorHAnsi" w:cstheme="minorHAnsi"/>
          <w:lang w:val="fr-FR"/>
        </w:rPr>
        <w:t>rimar</w:t>
      </w:r>
      <w:r w:rsidR="00A67112" w:rsidRPr="00FC22C0">
        <w:rPr>
          <w:rFonts w:asciiTheme="minorHAnsi" w:hAnsiTheme="minorHAnsi" w:cstheme="minorHAnsi"/>
          <w:lang w:val="fr-FR"/>
        </w:rPr>
        <w:t xml:space="preserve">ul </w:t>
      </w:r>
      <w:r w:rsidR="00DF766A" w:rsidRPr="00FC22C0">
        <w:rPr>
          <w:rFonts w:asciiTheme="minorHAnsi" w:hAnsiTheme="minorHAnsi" w:cstheme="minorHAnsi"/>
          <w:lang w:val="fr-FR"/>
        </w:rPr>
        <w:t>C</w:t>
      </w:r>
      <w:r w:rsidRPr="00FC22C0">
        <w:rPr>
          <w:rFonts w:asciiTheme="minorHAnsi" w:hAnsiTheme="minorHAnsi" w:cstheme="minorHAnsi"/>
          <w:lang w:val="fr-FR"/>
        </w:rPr>
        <w:t xml:space="preserve">omunei Șoldanu, </w:t>
      </w:r>
    </w:p>
    <w:p w14:paraId="69D61A2F" w14:textId="77777777" w:rsidR="00E00C73" w:rsidRPr="00FC22C0" w:rsidRDefault="00E00C73" w:rsidP="00901A60">
      <w:pPr>
        <w:widowControl w:val="0"/>
        <w:spacing w:before="80"/>
        <w:jc w:val="both"/>
        <w:rPr>
          <w:rFonts w:asciiTheme="minorHAnsi" w:hAnsiTheme="minorHAnsi" w:cstheme="minorHAnsi"/>
          <w:u w:val="single"/>
          <w:lang w:val="ro-RO"/>
        </w:rPr>
      </w:pPr>
      <w:r w:rsidRPr="00FC22C0">
        <w:rPr>
          <w:rFonts w:asciiTheme="minorHAnsi" w:hAnsiTheme="minorHAnsi" w:cstheme="minorHAnsi"/>
          <w:u w:val="single"/>
          <w:lang w:val="ro-RO"/>
        </w:rPr>
        <w:t>Luând act de:</w:t>
      </w:r>
    </w:p>
    <w:p w14:paraId="55B77722" w14:textId="77777777" w:rsidR="008F5D3C" w:rsidRPr="00FC22C0" w:rsidRDefault="008F5D3C" w:rsidP="008F5D3C">
      <w:pPr>
        <w:widowControl w:val="0"/>
        <w:numPr>
          <w:ilvl w:val="0"/>
          <w:numId w:val="11"/>
        </w:numPr>
        <w:spacing w:before="80"/>
        <w:jc w:val="both"/>
        <w:rPr>
          <w:rFonts w:asciiTheme="minorHAnsi" w:hAnsiTheme="minorHAnsi" w:cstheme="minorHAnsi"/>
          <w:lang w:val="ro-RO"/>
        </w:rPr>
      </w:pPr>
      <w:r w:rsidRPr="00FC22C0">
        <w:rPr>
          <w:rFonts w:asciiTheme="minorHAnsi" w:hAnsiTheme="minorHAnsi" w:cstheme="minorHAnsi"/>
          <w:lang w:val="ro-RO"/>
        </w:rPr>
        <w:t>prevederile art.9 pct.3 din Carta europeană a autonomiei locale, adoptată la Strasburg la 15 octombrie 1985 şi ratificată prin Legea nr. 199/1997;</w:t>
      </w:r>
    </w:p>
    <w:p w14:paraId="7A622911" w14:textId="77777777" w:rsidR="008F5D3C" w:rsidRPr="00FC22C0" w:rsidRDefault="008F5D3C" w:rsidP="008F5D3C">
      <w:pPr>
        <w:widowControl w:val="0"/>
        <w:numPr>
          <w:ilvl w:val="0"/>
          <w:numId w:val="11"/>
        </w:numPr>
        <w:spacing w:before="80"/>
        <w:jc w:val="both"/>
        <w:rPr>
          <w:rFonts w:asciiTheme="minorHAnsi" w:hAnsiTheme="minorHAnsi" w:cstheme="minorHAnsi"/>
          <w:lang w:val="ro-RO"/>
        </w:rPr>
      </w:pPr>
      <w:r w:rsidRPr="00FC22C0">
        <w:rPr>
          <w:rFonts w:asciiTheme="minorHAnsi" w:hAnsiTheme="minorHAnsi" w:cstheme="minorHAnsi"/>
          <w:lang w:val="ro-RO"/>
        </w:rPr>
        <w:t>prevederile art.121 alin.(1) și (2) din Constituția României, republicată, aprobată prin Legea de revizuire a Constituției României nr.429/2003;</w:t>
      </w:r>
    </w:p>
    <w:p w14:paraId="22CE6996" w14:textId="173C4482" w:rsidR="008F5D3C" w:rsidRPr="00FC22C0" w:rsidRDefault="008F5D3C" w:rsidP="008F5D3C">
      <w:pPr>
        <w:widowControl w:val="0"/>
        <w:numPr>
          <w:ilvl w:val="0"/>
          <w:numId w:val="11"/>
        </w:numPr>
        <w:spacing w:before="80"/>
        <w:jc w:val="both"/>
        <w:rPr>
          <w:rFonts w:asciiTheme="minorHAnsi" w:hAnsiTheme="minorHAnsi" w:cstheme="minorHAnsi"/>
          <w:lang w:val="ro-RO"/>
        </w:rPr>
      </w:pPr>
      <w:r w:rsidRPr="00FC22C0">
        <w:rPr>
          <w:rFonts w:asciiTheme="minorHAnsi" w:hAnsiTheme="minorHAnsi" w:cstheme="minorHAnsi"/>
          <w:lang w:val="ro-RO"/>
        </w:rPr>
        <w:t xml:space="preserve">prevederile art.7 alin.(2) din Codul civil al României, aprobat prin Legea nr.287/2009, republicată, </w:t>
      </w:r>
      <w:r w:rsidR="00DF766A" w:rsidRPr="00FC22C0">
        <w:rPr>
          <w:rFonts w:asciiTheme="minorHAnsi" w:hAnsiTheme="minorHAnsi" w:cstheme="minorHAnsi"/>
          <w:lang w:val="ro-RO"/>
        </w:rPr>
        <w:t>cu modificările și completările ulterioare</w:t>
      </w:r>
      <w:r w:rsidRPr="00FC22C0">
        <w:rPr>
          <w:rFonts w:asciiTheme="minorHAnsi" w:hAnsiTheme="minorHAnsi" w:cstheme="minorHAnsi"/>
          <w:lang w:val="ro-RO"/>
        </w:rPr>
        <w:t>;</w:t>
      </w:r>
    </w:p>
    <w:p w14:paraId="56EE0199" w14:textId="7F1F51E3" w:rsidR="00DF766A" w:rsidRPr="00FC22C0" w:rsidRDefault="00DF766A" w:rsidP="00DF766A">
      <w:pPr>
        <w:widowControl w:val="0"/>
        <w:numPr>
          <w:ilvl w:val="0"/>
          <w:numId w:val="11"/>
        </w:numPr>
        <w:spacing w:before="80"/>
        <w:jc w:val="both"/>
        <w:rPr>
          <w:rFonts w:asciiTheme="minorHAnsi" w:hAnsiTheme="minorHAnsi" w:cstheme="minorHAnsi"/>
          <w:lang w:val="ro-RO"/>
        </w:rPr>
      </w:pPr>
      <w:r w:rsidRPr="00FC22C0">
        <w:rPr>
          <w:rFonts w:asciiTheme="minorHAnsi" w:hAnsiTheme="minorHAnsi" w:cstheme="minorHAnsi"/>
          <w:lang w:val="ro-RO"/>
        </w:rPr>
        <w:t>prevederile Legii nr.24/2000 privind normele de tehnică legislativă pentru elaborarea actelor normative, rerepublicată, cu modificările și completările ulterioare;</w:t>
      </w:r>
    </w:p>
    <w:p w14:paraId="63B5756F" w14:textId="14B03C09" w:rsidR="008F5D3C" w:rsidRPr="00FC22C0" w:rsidRDefault="008F5D3C" w:rsidP="008F5D3C">
      <w:pPr>
        <w:widowControl w:val="0"/>
        <w:numPr>
          <w:ilvl w:val="0"/>
          <w:numId w:val="11"/>
        </w:numPr>
        <w:spacing w:before="80"/>
        <w:jc w:val="both"/>
        <w:rPr>
          <w:rFonts w:asciiTheme="minorHAnsi" w:hAnsiTheme="minorHAnsi" w:cstheme="minorHAnsi"/>
          <w:lang w:val="ro-RO"/>
        </w:rPr>
      </w:pPr>
      <w:r w:rsidRPr="00FC22C0">
        <w:rPr>
          <w:rFonts w:asciiTheme="minorHAnsi" w:hAnsiTheme="minorHAnsi" w:cstheme="minorHAnsi"/>
          <w:lang w:val="ro-RO"/>
        </w:rPr>
        <w:t>prevederile art.211 din Ordonanța de urgență a Guvernului nr.57/2019 privind Codul Administrativ</w:t>
      </w:r>
      <w:r w:rsidR="00DF766A" w:rsidRPr="00FC22C0">
        <w:rPr>
          <w:rFonts w:asciiTheme="minorHAnsi" w:hAnsiTheme="minorHAnsi" w:cstheme="minorHAnsi"/>
          <w:lang w:val="ro-RO"/>
        </w:rPr>
        <w:t>, cu modificările și completările ulterioare.</w:t>
      </w:r>
    </w:p>
    <w:p w14:paraId="63020F4C" w14:textId="77777777" w:rsidR="00E00C73" w:rsidRPr="00FC22C0" w:rsidRDefault="00E00C73" w:rsidP="00901A60">
      <w:pPr>
        <w:widowControl w:val="0"/>
        <w:spacing w:before="80"/>
        <w:jc w:val="both"/>
        <w:rPr>
          <w:rFonts w:asciiTheme="minorHAnsi" w:hAnsiTheme="minorHAnsi" w:cstheme="minorHAnsi"/>
          <w:u w:val="single"/>
          <w:lang w:val="fr-FR"/>
        </w:rPr>
      </w:pPr>
      <w:r w:rsidRPr="00FC22C0">
        <w:rPr>
          <w:rFonts w:asciiTheme="minorHAnsi" w:hAnsiTheme="minorHAnsi" w:cstheme="minorHAnsi"/>
          <w:u w:val="single"/>
          <w:lang w:val="fr-FR"/>
        </w:rPr>
        <w:t>Văzând:</w:t>
      </w:r>
    </w:p>
    <w:p w14:paraId="3A2A8A54" w14:textId="77777777" w:rsidR="00FC22C0" w:rsidRPr="00FC22C0" w:rsidRDefault="00DF766A" w:rsidP="0009470A">
      <w:pPr>
        <w:widowControl w:val="0"/>
        <w:numPr>
          <w:ilvl w:val="0"/>
          <w:numId w:val="13"/>
        </w:numPr>
        <w:overflowPunct w:val="0"/>
        <w:autoSpaceDE w:val="0"/>
        <w:autoSpaceDN w:val="0"/>
        <w:adjustRightInd w:val="0"/>
        <w:spacing w:before="80"/>
        <w:jc w:val="both"/>
        <w:textAlignment w:val="baseline"/>
        <w:rPr>
          <w:rFonts w:asciiTheme="minorHAnsi" w:hAnsiTheme="minorHAnsi" w:cstheme="minorHAnsi"/>
          <w:spacing w:val="-2"/>
        </w:rPr>
      </w:pPr>
      <w:r w:rsidRPr="00FC22C0">
        <w:rPr>
          <w:rFonts w:asciiTheme="minorHAnsi" w:hAnsiTheme="minorHAnsi" w:cstheme="minorHAnsi"/>
          <w:spacing w:val="-2"/>
        </w:rPr>
        <w:t>Adresa Instituției Prefectului - Judeţul Călăraşi nr. 4041 din 25.05.2021 privind comunicarea</w:t>
      </w:r>
      <w:r w:rsidR="00FC22C0" w:rsidRPr="00FC22C0">
        <w:rPr>
          <w:rFonts w:asciiTheme="minorHAnsi" w:hAnsiTheme="minorHAnsi" w:cstheme="minorHAnsi"/>
          <w:spacing w:val="-2"/>
        </w:rPr>
        <w:t xml:space="preserve"> </w:t>
      </w:r>
      <w:r w:rsidRPr="00FC22C0">
        <w:rPr>
          <w:rFonts w:asciiTheme="minorHAnsi" w:hAnsiTheme="minorHAnsi" w:cstheme="minorHAnsi"/>
          <w:spacing w:val="-2"/>
        </w:rPr>
        <w:t>numărului total de posturi pentru anul 2021;</w:t>
      </w:r>
    </w:p>
    <w:p w14:paraId="4C74C561" w14:textId="77777777" w:rsidR="00FC22C0" w:rsidRPr="00FC22C0" w:rsidRDefault="00DF766A" w:rsidP="00F06548">
      <w:pPr>
        <w:widowControl w:val="0"/>
        <w:numPr>
          <w:ilvl w:val="0"/>
          <w:numId w:val="13"/>
        </w:numPr>
        <w:overflowPunct w:val="0"/>
        <w:autoSpaceDE w:val="0"/>
        <w:autoSpaceDN w:val="0"/>
        <w:adjustRightInd w:val="0"/>
        <w:spacing w:before="80"/>
        <w:jc w:val="both"/>
        <w:textAlignment w:val="baseline"/>
        <w:rPr>
          <w:rFonts w:asciiTheme="minorHAnsi" w:hAnsiTheme="minorHAnsi" w:cstheme="minorHAnsi"/>
          <w:spacing w:val="-2"/>
        </w:rPr>
      </w:pPr>
      <w:r w:rsidRPr="00FC22C0">
        <w:rPr>
          <w:rFonts w:asciiTheme="minorHAnsi" w:hAnsiTheme="minorHAnsi" w:cstheme="minorHAnsi"/>
          <w:spacing w:val="-2"/>
        </w:rPr>
        <w:t>Hotărârea Consiliului Local al Comunei Șoldanu nr. 8 din 10.02.2022 privind aprobarea bugetului</w:t>
      </w:r>
      <w:r w:rsidR="00FC22C0" w:rsidRPr="00FC22C0">
        <w:rPr>
          <w:rFonts w:asciiTheme="minorHAnsi" w:hAnsiTheme="minorHAnsi" w:cstheme="minorHAnsi"/>
          <w:spacing w:val="-2"/>
        </w:rPr>
        <w:t xml:space="preserve"> </w:t>
      </w:r>
      <w:r w:rsidRPr="00FC22C0">
        <w:rPr>
          <w:rFonts w:asciiTheme="minorHAnsi" w:hAnsiTheme="minorHAnsi" w:cstheme="minorHAnsi"/>
          <w:spacing w:val="-2"/>
        </w:rPr>
        <w:t>local pe anul 2022 al Comunei Șoldanu, Judeţul Călăraşi, cu modificările și completările ulterioare;</w:t>
      </w:r>
    </w:p>
    <w:p w14:paraId="27A34811" w14:textId="77777777" w:rsidR="00FC22C0" w:rsidRPr="00FC22C0" w:rsidRDefault="00DF766A" w:rsidP="00BD5144">
      <w:pPr>
        <w:widowControl w:val="0"/>
        <w:numPr>
          <w:ilvl w:val="0"/>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spacing w:val="-2"/>
        </w:rPr>
        <w:t>Hotărârea Consiliului local al comunei Șoldanu nr. 25 din 29.06.2021 privind aprobarea</w:t>
      </w:r>
      <w:r w:rsidR="00FC22C0" w:rsidRPr="00FC22C0">
        <w:rPr>
          <w:rFonts w:asciiTheme="minorHAnsi" w:hAnsiTheme="minorHAnsi" w:cstheme="minorHAnsi"/>
          <w:spacing w:val="-2"/>
        </w:rPr>
        <w:t xml:space="preserve"> </w:t>
      </w:r>
      <w:r w:rsidRPr="00FC22C0">
        <w:rPr>
          <w:rFonts w:asciiTheme="minorHAnsi" w:hAnsiTheme="minorHAnsi" w:cstheme="minorHAnsi"/>
          <w:spacing w:val="-2"/>
        </w:rPr>
        <w:t>Organigramei resurselor umane şi Statului de funcții de la nivelul Primăriei Comunei Șoldanu,</w:t>
      </w:r>
      <w:r w:rsidR="00FC22C0" w:rsidRPr="00FC22C0">
        <w:rPr>
          <w:rFonts w:asciiTheme="minorHAnsi" w:hAnsiTheme="minorHAnsi" w:cstheme="minorHAnsi"/>
          <w:spacing w:val="-2"/>
        </w:rPr>
        <w:t xml:space="preserve"> </w:t>
      </w:r>
      <w:r w:rsidRPr="00FC22C0">
        <w:rPr>
          <w:rFonts w:asciiTheme="minorHAnsi" w:hAnsiTheme="minorHAnsi" w:cstheme="minorHAnsi"/>
          <w:spacing w:val="-2"/>
        </w:rPr>
        <w:t>Judeţul Călăraşi, în anul 2021;</w:t>
      </w:r>
    </w:p>
    <w:p w14:paraId="49781D90" w14:textId="60894A89" w:rsidR="00BD10A9" w:rsidRPr="00FC22C0" w:rsidRDefault="00DF766A" w:rsidP="00BD5144">
      <w:pPr>
        <w:widowControl w:val="0"/>
        <w:numPr>
          <w:ilvl w:val="0"/>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spacing w:val="-2"/>
        </w:rPr>
        <w:t>Necesitatea optimizării resurselor umane implicate în asigurarea bene</w:t>
      </w:r>
      <w:r w:rsidR="00FC22C0" w:rsidRPr="00FC22C0">
        <w:rPr>
          <w:rFonts w:asciiTheme="minorHAnsi" w:hAnsiTheme="minorHAnsi" w:cstheme="minorHAnsi"/>
          <w:spacing w:val="-2"/>
        </w:rPr>
        <w:t>fi</w:t>
      </w:r>
      <w:r w:rsidRPr="00FC22C0">
        <w:rPr>
          <w:rFonts w:asciiTheme="minorHAnsi" w:hAnsiTheme="minorHAnsi" w:cstheme="minorHAnsi"/>
          <w:spacing w:val="-2"/>
        </w:rPr>
        <w:t>ciilor sociale de la nivelul</w:t>
      </w:r>
      <w:r w:rsidR="00FC22C0" w:rsidRPr="00FC22C0">
        <w:rPr>
          <w:rFonts w:asciiTheme="minorHAnsi" w:hAnsiTheme="minorHAnsi" w:cstheme="minorHAnsi"/>
          <w:spacing w:val="-2"/>
        </w:rPr>
        <w:t xml:space="preserve"> </w:t>
      </w:r>
      <w:r w:rsidR="00FC22C0" w:rsidRPr="00FC22C0">
        <w:rPr>
          <w:rFonts w:asciiTheme="minorHAnsi" w:hAnsiTheme="minorHAnsi" w:cstheme="minorHAnsi"/>
          <w:lang w:val="ro-RO" w:eastAsia="ro-RO"/>
        </w:rPr>
        <w:t>Comunei Șoldanu, Județul Călărași</w:t>
      </w:r>
      <w:r w:rsidR="008F5D3C" w:rsidRPr="00FC22C0">
        <w:rPr>
          <w:rFonts w:asciiTheme="minorHAnsi" w:hAnsiTheme="minorHAnsi" w:cstheme="minorHAnsi"/>
        </w:rPr>
        <w:t>.</w:t>
      </w:r>
    </w:p>
    <w:p w14:paraId="0D8AE142" w14:textId="77777777" w:rsidR="00FC22C0" w:rsidRPr="00FC22C0" w:rsidRDefault="00FC22C0" w:rsidP="00FC22C0">
      <w:pPr>
        <w:autoSpaceDE w:val="0"/>
        <w:autoSpaceDN w:val="0"/>
        <w:adjustRightInd w:val="0"/>
        <w:rPr>
          <w:rFonts w:asciiTheme="minorHAnsi" w:hAnsiTheme="minorHAnsi" w:cstheme="minorHAnsi"/>
          <w:lang w:val="ro-RO" w:eastAsia="ro-RO"/>
        </w:rPr>
      </w:pPr>
      <w:r w:rsidRPr="00FC22C0">
        <w:rPr>
          <w:rFonts w:asciiTheme="minorHAnsi" w:hAnsiTheme="minorHAnsi" w:cstheme="minorHAnsi"/>
          <w:lang w:val="ro-RO" w:eastAsia="ro-RO"/>
        </w:rPr>
        <w:t>Respectând prevederile Legii nr. 52/2003 republicată (r2) privind transparența decizională în</w:t>
      </w:r>
    </w:p>
    <w:p w14:paraId="038CA1D6" w14:textId="23F05308" w:rsidR="00FC22C0" w:rsidRPr="00FC22C0" w:rsidRDefault="00FC22C0" w:rsidP="00FC22C0">
      <w:pPr>
        <w:widowControl w:val="0"/>
        <w:spacing w:before="80"/>
        <w:jc w:val="both"/>
        <w:rPr>
          <w:rFonts w:asciiTheme="minorHAnsi" w:hAnsiTheme="minorHAnsi" w:cstheme="minorHAnsi"/>
          <w:u w:val="single"/>
          <w:lang w:val="fr-FR"/>
        </w:rPr>
      </w:pPr>
      <w:r w:rsidRPr="00FC22C0">
        <w:rPr>
          <w:rFonts w:asciiTheme="minorHAnsi" w:hAnsiTheme="minorHAnsi" w:cstheme="minorHAnsi"/>
          <w:lang w:val="ro-RO" w:eastAsia="ro-RO"/>
        </w:rPr>
        <w:t>administrația publică.</w:t>
      </w:r>
    </w:p>
    <w:p w14:paraId="2012E9AB" w14:textId="13B78C43" w:rsidR="001F45A1" w:rsidRPr="00FC22C0" w:rsidRDefault="001F45A1" w:rsidP="00901A60">
      <w:pPr>
        <w:widowControl w:val="0"/>
        <w:spacing w:before="80"/>
        <w:jc w:val="both"/>
        <w:rPr>
          <w:rFonts w:asciiTheme="minorHAnsi" w:hAnsiTheme="minorHAnsi" w:cstheme="minorHAnsi"/>
          <w:u w:val="single"/>
          <w:lang w:val="fr-FR"/>
        </w:rPr>
      </w:pPr>
      <w:r w:rsidRPr="00FC22C0">
        <w:rPr>
          <w:rFonts w:asciiTheme="minorHAnsi" w:hAnsiTheme="minorHAnsi" w:cstheme="minorHAnsi"/>
          <w:u w:val="single"/>
          <w:lang w:val="fr-FR"/>
        </w:rPr>
        <w:t>Având în vedere:</w:t>
      </w:r>
    </w:p>
    <w:p w14:paraId="109AFC1F" w14:textId="77777777" w:rsidR="002C32C8" w:rsidRPr="00FC22C0" w:rsidRDefault="00826A6F" w:rsidP="00901A60">
      <w:pPr>
        <w:widowControl w:val="0"/>
        <w:numPr>
          <w:ilvl w:val="0"/>
          <w:numId w:val="13"/>
        </w:numPr>
        <w:overflowPunct w:val="0"/>
        <w:autoSpaceDE w:val="0"/>
        <w:autoSpaceDN w:val="0"/>
        <w:adjustRightInd w:val="0"/>
        <w:spacing w:before="80"/>
        <w:ind w:left="357" w:hanging="357"/>
        <w:jc w:val="both"/>
        <w:textAlignment w:val="baseline"/>
        <w:rPr>
          <w:rFonts w:asciiTheme="minorHAnsi" w:hAnsiTheme="minorHAnsi" w:cstheme="minorHAnsi"/>
        </w:rPr>
      </w:pPr>
      <w:r w:rsidRPr="00DF5CC2">
        <w:rPr>
          <w:rFonts w:asciiTheme="minorHAnsi" w:hAnsiTheme="minorHAnsi" w:cstheme="minorHAnsi"/>
          <w:b/>
          <w:bCs/>
        </w:rPr>
        <w:t xml:space="preserve">prevederile </w:t>
      </w:r>
      <w:r w:rsidR="002C32C8" w:rsidRPr="00DF5CC2">
        <w:rPr>
          <w:rFonts w:asciiTheme="minorHAnsi" w:hAnsiTheme="minorHAnsi" w:cstheme="minorHAnsi"/>
          <w:b/>
          <w:bCs/>
        </w:rPr>
        <w:t>Ordonanț</w:t>
      </w:r>
      <w:r w:rsidR="008C6FCC" w:rsidRPr="00DF5CC2">
        <w:rPr>
          <w:rFonts w:asciiTheme="minorHAnsi" w:hAnsiTheme="minorHAnsi" w:cstheme="minorHAnsi"/>
          <w:b/>
          <w:bCs/>
        </w:rPr>
        <w:t>ei</w:t>
      </w:r>
      <w:r w:rsidR="002C32C8" w:rsidRPr="00DF5CC2">
        <w:rPr>
          <w:rFonts w:asciiTheme="minorHAnsi" w:hAnsiTheme="minorHAnsi" w:cstheme="minorHAnsi"/>
          <w:b/>
          <w:bCs/>
        </w:rPr>
        <w:t xml:space="preserve"> de urgență a Guvernului nr.57/2019</w:t>
      </w:r>
      <w:r w:rsidR="002C32C8" w:rsidRPr="00FC22C0">
        <w:rPr>
          <w:rFonts w:asciiTheme="minorHAnsi" w:hAnsiTheme="minorHAnsi" w:cstheme="minorHAnsi"/>
        </w:rPr>
        <w:t xml:space="preserve"> privind Codul Administrativ:</w:t>
      </w:r>
    </w:p>
    <w:p w14:paraId="24C6F12D" w14:textId="5DD6F5AC" w:rsidR="002C32C8" w:rsidRPr="00FC22C0" w:rsidRDefault="00F96533" w:rsidP="002C32C8">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rPr>
        <w:t>art.</w:t>
      </w:r>
      <w:r w:rsidR="005163B5" w:rsidRPr="00FC22C0">
        <w:rPr>
          <w:rFonts w:asciiTheme="minorHAnsi" w:hAnsiTheme="minorHAnsi" w:cstheme="minorHAnsi"/>
        </w:rPr>
        <w:t xml:space="preserve"> </w:t>
      </w:r>
      <w:r w:rsidRPr="00FC22C0">
        <w:rPr>
          <w:rFonts w:asciiTheme="minorHAnsi" w:hAnsiTheme="minorHAnsi" w:cstheme="minorHAnsi"/>
        </w:rPr>
        <w:t>129 alin.</w:t>
      </w:r>
      <w:r w:rsidR="005163B5" w:rsidRPr="00FC22C0">
        <w:rPr>
          <w:rFonts w:asciiTheme="minorHAnsi" w:hAnsiTheme="minorHAnsi" w:cstheme="minorHAnsi"/>
        </w:rPr>
        <w:t xml:space="preserve"> </w:t>
      </w:r>
      <w:r w:rsidRPr="00FC22C0">
        <w:rPr>
          <w:rFonts w:asciiTheme="minorHAnsi" w:hAnsiTheme="minorHAnsi" w:cstheme="minorHAnsi"/>
        </w:rPr>
        <w:t>(2) lit.</w:t>
      </w:r>
      <w:r w:rsidR="005163B5" w:rsidRPr="00FC22C0">
        <w:rPr>
          <w:rFonts w:asciiTheme="minorHAnsi" w:hAnsiTheme="minorHAnsi" w:cstheme="minorHAnsi"/>
        </w:rPr>
        <w:t xml:space="preserve"> </w:t>
      </w:r>
      <w:r w:rsidRPr="00FC22C0">
        <w:rPr>
          <w:rFonts w:asciiTheme="minorHAnsi" w:hAnsiTheme="minorHAnsi" w:cstheme="minorHAnsi"/>
        </w:rPr>
        <w:t>a) și alin.</w:t>
      </w:r>
      <w:r w:rsidR="005163B5" w:rsidRPr="00FC22C0">
        <w:rPr>
          <w:rFonts w:asciiTheme="minorHAnsi" w:hAnsiTheme="minorHAnsi" w:cstheme="minorHAnsi"/>
        </w:rPr>
        <w:t xml:space="preserve"> </w:t>
      </w:r>
      <w:r w:rsidRPr="00FC22C0">
        <w:rPr>
          <w:rFonts w:asciiTheme="minorHAnsi" w:hAnsiTheme="minorHAnsi" w:cstheme="minorHAnsi"/>
        </w:rPr>
        <w:t>(3) lit.</w:t>
      </w:r>
      <w:r w:rsidR="005163B5" w:rsidRPr="00FC22C0">
        <w:rPr>
          <w:rFonts w:asciiTheme="minorHAnsi" w:hAnsiTheme="minorHAnsi" w:cstheme="minorHAnsi"/>
        </w:rPr>
        <w:t xml:space="preserve"> </w:t>
      </w:r>
      <w:r w:rsidRPr="00FC22C0">
        <w:rPr>
          <w:rFonts w:asciiTheme="minorHAnsi" w:hAnsiTheme="minorHAnsi" w:cstheme="minorHAnsi"/>
        </w:rPr>
        <w:t>c)</w:t>
      </w:r>
      <w:r w:rsidR="002C32C8" w:rsidRPr="00FC22C0">
        <w:rPr>
          <w:rFonts w:asciiTheme="minorHAnsi" w:hAnsiTheme="minorHAnsi" w:cstheme="minorHAnsi"/>
        </w:rPr>
        <w:t xml:space="preserve"> - </w:t>
      </w:r>
      <w:r w:rsidR="00826A6F" w:rsidRPr="00DF5CC2">
        <w:rPr>
          <w:rFonts w:asciiTheme="minorHAnsi" w:hAnsiTheme="minorHAnsi" w:cstheme="minorHAnsi"/>
          <w:i/>
          <w:iCs/>
        </w:rPr>
        <w:t xml:space="preserve">Consiliul </w:t>
      </w:r>
      <w:r w:rsidR="00ED3F48" w:rsidRPr="00DF5CC2">
        <w:rPr>
          <w:rFonts w:asciiTheme="minorHAnsi" w:hAnsiTheme="minorHAnsi" w:cstheme="minorHAnsi"/>
          <w:i/>
          <w:iCs/>
        </w:rPr>
        <w:t xml:space="preserve">local </w:t>
      </w:r>
      <w:r w:rsidR="008C6FCC" w:rsidRPr="00DF5CC2">
        <w:rPr>
          <w:rFonts w:asciiTheme="minorHAnsi" w:hAnsiTheme="minorHAnsi" w:cstheme="minorHAnsi"/>
          <w:i/>
          <w:iCs/>
        </w:rPr>
        <w:t>exercita atribuții</w:t>
      </w:r>
      <w:r w:rsidR="006E17DD" w:rsidRPr="00DF5CC2">
        <w:rPr>
          <w:rFonts w:asciiTheme="minorHAnsi" w:hAnsiTheme="minorHAnsi" w:cstheme="minorHAnsi"/>
          <w:i/>
          <w:iCs/>
        </w:rPr>
        <w:t xml:space="preserve"> privind unitatea administrativ-teritoriala, organizarea proprie, precum si organizarea si functionarea aparatului de specialitate al primarului, ale institutiilor publice de interes local si ale societatilor si regiilor autonome de interes local, respectiv organizarea si statul de functii ale aparatului de specialitate al primarului</w:t>
      </w:r>
      <w:r w:rsidR="00D201CC" w:rsidRPr="00FC22C0">
        <w:rPr>
          <w:rFonts w:asciiTheme="minorHAnsi" w:hAnsiTheme="minorHAnsi" w:cstheme="minorHAnsi"/>
        </w:rPr>
        <w:t>;</w:t>
      </w:r>
    </w:p>
    <w:p w14:paraId="18416BB5" w14:textId="09A88823" w:rsidR="00747B4B" w:rsidRDefault="00747B4B" w:rsidP="00771D67">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rPr>
        <w:lastRenderedPageBreak/>
        <w:t>Art</w:t>
      </w:r>
      <w:r w:rsidR="00D85BE9" w:rsidRPr="00FC22C0">
        <w:rPr>
          <w:rFonts w:asciiTheme="minorHAnsi" w:hAnsiTheme="minorHAnsi" w:cstheme="minorHAnsi"/>
        </w:rPr>
        <w:t>.</w:t>
      </w:r>
      <w:r w:rsidRPr="00FC22C0">
        <w:rPr>
          <w:rFonts w:asciiTheme="minorHAnsi" w:hAnsiTheme="minorHAnsi" w:cstheme="minorHAnsi"/>
        </w:rPr>
        <w:t xml:space="preserve"> 158 - </w:t>
      </w:r>
      <w:r w:rsidRPr="00DF5CC2">
        <w:rPr>
          <w:rFonts w:asciiTheme="minorHAnsi" w:hAnsiTheme="minorHAnsi" w:cstheme="minorHAnsi"/>
          <w:i/>
          <w:iCs/>
        </w:rPr>
        <w:t>Cabinetul primarului si viceprimarului - Primarii si viceprimarii comunelor, ai oraselor, ai municipiilor si ai sectoarelor municipiului Bucuresti pot infiinta, in limita numarului maxim de posturi aprobate, cabinetul primarului, respectiv al viceprimarului, in conditiile prevazute de partea a VI-a titlul III capitolul II</w:t>
      </w:r>
      <w:r w:rsidRPr="00FC22C0">
        <w:rPr>
          <w:rFonts w:asciiTheme="minorHAnsi" w:hAnsiTheme="minorHAnsi" w:cstheme="minorHAnsi"/>
        </w:rPr>
        <w:t>.</w:t>
      </w:r>
    </w:p>
    <w:p w14:paraId="30A2187B" w14:textId="28F2120A" w:rsidR="004460E1" w:rsidRPr="00DF5CC2" w:rsidRDefault="00691D3B" w:rsidP="00985999">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i/>
          <w:iCs/>
        </w:rPr>
      </w:pPr>
      <w:r w:rsidRPr="004460E1">
        <w:rPr>
          <w:rFonts w:asciiTheme="minorHAnsi" w:hAnsiTheme="minorHAnsi" w:cstheme="minorHAnsi"/>
        </w:rPr>
        <w:t xml:space="preserve">Art. 244 </w:t>
      </w:r>
      <w:r w:rsidR="004460E1" w:rsidRPr="004460E1">
        <w:rPr>
          <w:rFonts w:asciiTheme="minorHAnsi" w:hAnsiTheme="minorHAnsi" w:cstheme="minorHAnsi"/>
        </w:rPr>
        <w:t>–</w:t>
      </w:r>
      <w:r w:rsidRPr="004460E1">
        <w:rPr>
          <w:rFonts w:asciiTheme="minorHAnsi" w:hAnsiTheme="minorHAnsi" w:cstheme="minorHAnsi"/>
        </w:rPr>
        <w:t xml:space="preserve"> </w:t>
      </w:r>
      <w:r w:rsidR="004460E1" w:rsidRPr="00DF5CC2">
        <w:rPr>
          <w:rFonts w:asciiTheme="minorHAnsi" w:hAnsiTheme="minorHAnsi" w:cstheme="minorHAnsi"/>
          <w:i/>
          <w:iCs/>
        </w:rPr>
        <w:t>Atributiile, numirea si eliberarea din functie a administratorului public</w:t>
      </w:r>
    </w:p>
    <w:p w14:paraId="0641C4D4"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(1) La nivelul comunelor, oraselor, municipiilor si judetelor, primarul, respectiv presedintele consiliului judetean poate propune consiliului local, consiliului judetean, dupa caz, infiintarea functiei de conducere de administrator public, in limita numarului maxim de posturi aprobate.</w:t>
      </w:r>
    </w:p>
    <w:p w14:paraId="2428BE54"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(2) Persoanele care pot ocupa functia de administrator public, de regula, trebuie sa fi absolvit studii superioare economice, administrative, tehnice sau juridice.</w:t>
      </w:r>
    </w:p>
    <w:p w14:paraId="4A1A50AA"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(3) Numirea in functie a administratorului public se face prin dispozitia primarului, respectiv a presedintelui consiliului judetean, dupa caz, care are ca anexa un contract de management cu respectarea cerintelor specifice prevazute la art. 543.</w:t>
      </w:r>
    </w:p>
    <w:p w14:paraId="6E9573C7"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(4) Contractul de management se incheie intre primar, respectiv presedintele consiliului judetean, dupa caz, si administratorul public pe durata determinata. Durata contractului de management al administratorului public nu poate depasi durata mandatului primarului, a presedintelui consiliului judetean, dupa caz, in timpul caruia a fost numit.</w:t>
      </w:r>
    </w:p>
    <w:p w14:paraId="76879A51"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(5) In baza contractului de management, administratorul public poate indeplini atributii de coordonare a unor compartimente ale aparatului de specialitate sau a serviciilor publice de interes local, respectiv judetean, dupa caz.</w:t>
      </w:r>
    </w:p>
    <w:p w14:paraId="4B380D89"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(6) Primarul, respectiv presedintele consiliului judetean poate delega catre administratorul public, in conditiile legii, calitatea de ordonator principal de credite.</w:t>
      </w:r>
    </w:p>
    <w:p w14:paraId="406C2134"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(7) Se excepteaza functia de administrator public de la incadrarea in procentul de 12% alocat functiilor de conducere prevazut la art. 391.</w:t>
      </w:r>
    </w:p>
    <w:p w14:paraId="0F4298F7"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(8) Eliberarea din functie a administratorului public se face prin dispozitia primarului, respectiv a presedintelui consiliului judetean, dupa caz si intervine in urmatoarele situatii:</w:t>
      </w:r>
    </w:p>
    <w:p w14:paraId="6DE3327D"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a) in situatia in care durata contractului de management a expirat;</w:t>
      </w:r>
    </w:p>
    <w:p w14:paraId="4014D487"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b) ca urmare a condamnarii definitive pentru una dintre infractiunile prevazute la art. 542 alin. (1) lit. f);</w:t>
      </w:r>
    </w:p>
    <w:p w14:paraId="7A2A2744" w14:textId="77777777" w:rsidR="004460E1" w:rsidRPr="00DF5CC2"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i/>
          <w:iCs/>
        </w:rPr>
      </w:pPr>
      <w:r w:rsidRPr="00DF5CC2">
        <w:rPr>
          <w:rFonts w:asciiTheme="minorHAnsi" w:hAnsiTheme="minorHAnsi" w:cstheme="minorHAnsi"/>
          <w:i/>
          <w:iCs/>
        </w:rPr>
        <w:t xml:space="preserve">   c) in situatia in care administratorul public nu isi indeplineste obligatiile stabilite in sarcina sa prin contractul de management;</w:t>
      </w:r>
    </w:p>
    <w:p w14:paraId="3E314EF1" w14:textId="77777777" w:rsidR="004460E1" w:rsidRPr="004460E1"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rPr>
      </w:pPr>
      <w:r w:rsidRPr="00DF5CC2">
        <w:rPr>
          <w:rFonts w:asciiTheme="minorHAnsi" w:hAnsiTheme="minorHAnsi" w:cstheme="minorHAnsi"/>
          <w:i/>
          <w:iCs/>
        </w:rPr>
        <w:t xml:space="preserve">   d) in alte situatii prevazute de lege</w:t>
      </w:r>
      <w:r w:rsidRPr="004460E1">
        <w:rPr>
          <w:rFonts w:asciiTheme="minorHAnsi" w:hAnsiTheme="minorHAnsi" w:cstheme="minorHAnsi"/>
        </w:rPr>
        <w:t>.</w:t>
      </w:r>
    </w:p>
    <w:p w14:paraId="2FF82EB0" w14:textId="77777777" w:rsidR="004460E1" w:rsidRPr="004460E1" w:rsidRDefault="004460E1" w:rsidP="004460E1">
      <w:pPr>
        <w:widowControl w:val="0"/>
        <w:overflowPunct w:val="0"/>
        <w:autoSpaceDE w:val="0"/>
        <w:autoSpaceDN w:val="0"/>
        <w:adjustRightInd w:val="0"/>
        <w:spacing w:before="80"/>
        <w:ind w:left="1440"/>
        <w:jc w:val="both"/>
        <w:textAlignment w:val="baseline"/>
        <w:rPr>
          <w:rFonts w:asciiTheme="minorHAnsi" w:hAnsiTheme="minorHAnsi" w:cstheme="minorHAnsi"/>
        </w:rPr>
      </w:pPr>
      <w:r w:rsidRPr="004460E1">
        <w:rPr>
          <w:rFonts w:asciiTheme="minorHAnsi" w:hAnsiTheme="minorHAnsi" w:cstheme="minorHAnsi"/>
        </w:rPr>
        <w:t xml:space="preserve">   (9) </w:t>
      </w:r>
      <w:r w:rsidRPr="00DF5CC2">
        <w:rPr>
          <w:rFonts w:asciiTheme="minorHAnsi" w:hAnsiTheme="minorHAnsi" w:cstheme="minorHAnsi"/>
          <w:i/>
          <w:iCs/>
        </w:rPr>
        <w:t>Prevederile alin. (1)-(8) se aplica in mod corespunzator si subdiviziunilor administrativ-teritoriale</w:t>
      </w:r>
      <w:r w:rsidRPr="004460E1">
        <w:rPr>
          <w:rFonts w:asciiTheme="minorHAnsi" w:hAnsiTheme="minorHAnsi" w:cstheme="minorHAnsi"/>
        </w:rPr>
        <w:t>.</w:t>
      </w:r>
    </w:p>
    <w:p w14:paraId="3FD73A68" w14:textId="77777777" w:rsidR="00775978" w:rsidRPr="00DF5CC2" w:rsidRDefault="00614288" w:rsidP="00775978">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i/>
          <w:iCs/>
          <w:lang w:val="ro-RO"/>
        </w:rPr>
      </w:pPr>
      <w:r w:rsidRPr="00FC22C0">
        <w:rPr>
          <w:rFonts w:asciiTheme="minorHAnsi" w:hAnsiTheme="minorHAnsi" w:cstheme="minorHAnsi"/>
        </w:rPr>
        <w:t xml:space="preserve">Art </w:t>
      </w:r>
      <w:r w:rsidR="00ED3F48" w:rsidRPr="00FC22C0">
        <w:rPr>
          <w:rFonts w:asciiTheme="minorHAnsi" w:hAnsiTheme="minorHAnsi" w:cstheme="minorHAnsi"/>
        </w:rPr>
        <w:t xml:space="preserve">370 </w:t>
      </w:r>
      <w:r w:rsidRPr="00FC22C0">
        <w:rPr>
          <w:rFonts w:asciiTheme="minorHAnsi" w:hAnsiTheme="minorHAnsi" w:cstheme="minorHAnsi"/>
        </w:rPr>
        <w:t>-</w:t>
      </w:r>
      <w:r w:rsidR="00AA7542" w:rsidRPr="00FC22C0">
        <w:rPr>
          <w:rFonts w:asciiTheme="minorHAnsi" w:hAnsiTheme="minorHAnsi" w:cstheme="minorHAnsi"/>
        </w:rPr>
        <w:t xml:space="preserve"> </w:t>
      </w:r>
      <w:r w:rsidR="00AA7542" w:rsidRPr="00FC22C0">
        <w:rPr>
          <w:rFonts w:asciiTheme="minorHAnsi" w:hAnsiTheme="minorHAnsi" w:cstheme="minorHAnsi"/>
          <w:lang w:val="ro-RO"/>
        </w:rPr>
        <w:t xml:space="preserve">(1) </w:t>
      </w:r>
      <w:r w:rsidR="00AA7542" w:rsidRPr="00DF5CC2">
        <w:rPr>
          <w:rFonts w:asciiTheme="minorHAnsi" w:hAnsiTheme="minorHAnsi" w:cstheme="minorHAnsi"/>
          <w:i/>
          <w:iCs/>
          <w:lang w:val="ro-RO"/>
        </w:rPr>
        <w:t>Prerogativele de putere publica sunt exercitate prin activitati cu caracter general si prin activitati cu caracter special.</w:t>
      </w:r>
    </w:p>
    <w:p w14:paraId="447D4A72" w14:textId="10EBC452" w:rsidR="00AA7542" w:rsidRPr="00DF5CC2" w:rsidRDefault="00AA7542" w:rsidP="00775978">
      <w:pPr>
        <w:widowControl w:val="0"/>
        <w:overflowPunct w:val="0"/>
        <w:autoSpaceDE w:val="0"/>
        <w:autoSpaceDN w:val="0"/>
        <w:adjustRightInd w:val="0"/>
        <w:spacing w:before="80"/>
        <w:ind w:left="1440"/>
        <w:jc w:val="both"/>
        <w:textAlignment w:val="baseline"/>
        <w:rPr>
          <w:rFonts w:asciiTheme="minorHAnsi" w:hAnsiTheme="minorHAnsi" w:cstheme="minorHAnsi"/>
          <w:i/>
          <w:iCs/>
          <w:lang w:val="ro-RO"/>
        </w:rPr>
      </w:pPr>
      <w:r w:rsidRPr="00FC22C0">
        <w:rPr>
          <w:rFonts w:asciiTheme="minorHAnsi" w:hAnsiTheme="minorHAnsi" w:cstheme="minorHAnsi"/>
          <w:lang w:val="ro-RO"/>
        </w:rPr>
        <w:t xml:space="preserve">(2) </w:t>
      </w:r>
      <w:r w:rsidRPr="00DF5CC2">
        <w:rPr>
          <w:rFonts w:asciiTheme="minorHAnsi" w:hAnsiTheme="minorHAnsi" w:cstheme="minorHAnsi"/>
          <w:i/>
          <w:iCs/>
          <w:lang w:val="ro-RO"/>
        </w:rPr>
        <w:t>Activitatile cu caracter general care implica exercitarea prerogativelor de putere publica, de catre autoritatile si institutiile publice prevazute la art. 369, sunt urmatoarele:</w:t>
      </w:r>
    </w:p>
    <w:p w14:paraId="48CDE221" w14:textId="77777777" w:rsidR="00374764" w:rsidRPr="00DF5CC2" w:rsidRDefault="00374764" w:rsidP="00374764">
      <w:pPr>
        <w:widowControl w:val="0"/>
        <w:overflowPunct w:val="0"/>
        <w:autoSpaceDE w:val="0"/>
        <w:autoSpaceDN w:val="0"/>
        <w:adjustRightInd w:val="0"/>
        <w:spacing w:before="80"/>
        <w:ind w:left="1080"/>
        <w:jc w:val="both"/>
        <w:textAlignment w:val="baseline"/>
        <w:rPr>
          <w:rFonts w:asciiTheme="minorHAnsi" w:hAnsiTheme="minorHAnsi" w:cstheme="minorHAnsi"/>
          <w:i/>
          <w:iCs/>
          <w:lang w:val="ro-RO"/>
        </w:rPr>
      </w:pPr>
    </w:p>
    <w:p w14:paraId="1DD0302A" w14:textId="77777777" w:rsidR="00374764" w:rsidRPr="00DF5CC2"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lastRenderedPageBreak/>
        <w:t>a) elaborarea proiectelor de acte normative si a altor reglementari specifice autoritatii sau institutiei publice, precum si asigurarea avizarii acestora;</w:t>
      </w:r>
    </w:p>
    <w:p w14:paraId="77D5DEA8" w14:textId="77777777" w:rsidR="00374764" w:rsidRPr="00DF5CC2"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t>b) elaborarea propunerilor de politici publice si strategii, a programelor, a studiilor, analizelor si statisticilor necesare fundamentarii si implementarii politicilor publice, precum si a actelor necesare executarii legilor, in vederea realizarii competentei autoritatii sau institutiei publice;</w:t>
      </w:r>
    </w:p>
    <w:p w14:paraId="6562A7CC" w14:textId="77777777" w:rsidR="00374764" w:rsidRPr="00DF5CC2"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t>c) autorizarea, inspectia, controlul si auditul public;</w:t>
      </w:r>
    </w:p>
    <w:p w14:paraId="6E5DA8FE" w14:textId="77777777" w:rsidR="00374764" w:rsidRPr="00DF5CC2"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t>d) gestionarea resurselor umane si a fondurilor publice;</w:t>
      </w:r>
    </w:p>
    <w:p w14:paraId="2ED51682" w14:textId="77777777" w:rsidR="00374764" w:rsidRPr="00DF5CC2"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t>e) reprezentarea intereselor autoritatii sau institutiei publice in raporturile acesteia cu persoane fizice sau juridice de drept public sau privat, din tara si din strainatate, in limita competentelor stabilite de conducatorul autoritatii sau institutiei publice, precum si reprezentarea in justitie a autoritatii sau institutiei publice in cadrul careia isi desfasoara activitatea;</w:t>
      </w:r>
    </w:p>
    <w:p w14:paraId="5B9004DD" w14:textId="77777777" w:rsidR="00775978" w:rsidRPr="00FC22C0" w:rsidRDefault="00AA7542" w:rsidP="00374764">
      <w:pPr>
        <w:widowControl w:val="0"/>
        <w:overflowPunct w:val="0"/>
        <w:autoSpaceDE w:val="0"/>
        <w:autoSpaceDN w:val="0"/>
        <w:adjustRightInd w:val="0"/>
        <w:spacing w:before="80"/>
        <w:ind w:left="2160"/>
        <w:jc w:val="both"/>
        <w:textAlignment w:val="baseline"/>
        <w:rPr>
          <w:rFonts w:asciiTheme="minorHAnsi" w:hAnsiTheme="minorHAnsi" w:cstheme="minorHAnsi"/>
          <w:lang w:val="ro-RO"/>
        </w:rPr>
      </w:pPr>
      <w:r w:rsidRPr="00DF5CC2">
        <w:rPr>
          <w:rFonts w:asciiTheme="minorHAnsi" w:hAnsiTheme="minorHAnsi" w:cstheme="minorHAnsi"/>
          <w:i/>
          <w:iCs/>
          <w:lang w:val="ro-RO"/>
        </w:rPr>
        <w:t>f) realizarea de activitati in conformitate cu strategiile din domeniul societatii informationale, cu exceptia situatiei in care acestea vizeaza monitorizarea si intretinerea echipamentelor informatice</w:t>
      </w:r>
      <w:r w:rsidRPr="00FC22C0">
        <w:rPr>
          <w:rFonts w:asciiTheme="minorHAnsi" w:hAnsiTheme="minorHAnsi" w:cstheme="minorHAnsi"/>
          <w:lang w:val="ro-RO"/>
        </w:rPr>
        <w:t>.</w:t>
      </w:r>
    </w:p>
    <w:p w14:paraId="159DD00F" w14:textId="3030CF5E" w:rsidR="00AA7542" w:rsidRPr="00DF5CC2" w:rsidRDefault="00AA7542" w:rsidP="00775978">
      <w:pPr>
        <w:widowControl w:val="0"/>
        <w:overflowPunct w:val="0"/>
        <w:autoSpaceDE w:val="0"/>
        <w:autoSpaceDN w:val="0"/>
        <w:adjustRightInd w:val="0"/>
        <w:spacing w:before="80"/>
        <w:ind w:left="1440"/>
        <w:jc w:val="both"/>
        <w:textAlignment w:val="baseline"/>
        <w:rPr>
          <w:rFonts w:asciiTheme="minorHAnsi" w:hAnsiTheme="minorHAnsi" w:cstheme="minorHAnsi"/>
          <w:i/>
          <w:iCs/>
          <w:lang w:val="ro-RO"/>
        </w:rPr>
      </w:pPr>
      <w:r w:rsidRPr="00FC22C0">
        <w:rPr>
          <w:rFonts w:asciiTheme="minorHAnsi" w:hAnsiTheme="minorHAnsi" w:cstheme="minorHAnsi"/>
          <w:lang w:val="ro-RO"/>
        </w:rPr>
        <w:t xml:space="preserve">(3) </w:t>
      </w:r>
      <w:r w:rsidRPr="00DF5CC2">
        <w:rPr>
          <w:rFonts w:asciiTheme="minorHAnsi" w:hAnsiTheme="minorHAnsi" w:cstheme="minorHAnsi"/>
          <w:i/>
          <w:iCs/>
          <w:lang w:val="ro-RO"/>
        </w:rPr>
        <w:t>Activitatile cu caracter special care implica exercitarea prerogativelor de putere publica sunt urmatoarele:</w:t>
      </w:r>
    </w:p>
    <w:p w14:paraId="7BE9BAB0" w14:textId="77777777" w:rsidR="00775978" w:rsidRPr="00DF5CC2" w:rsidRDefault="00AA7542" w:rsidP="00775978">
      <w:pPr>
        <w:widowControl w:val="0"/>
        <w:overflowPunct w:val="0"/>
        <w:autoSpaceDE w:val="0"/>
        <w:autoSpaceDN w:val="0"/>
        <w:adjustRightInd w:val="0"/>
        <w:spacing w:before="80"/>
        <w:ind w:left="2160"/>
        <w:jc w:val="both"/>
        <w:textAlignment w:val="baseline"/>
        <w:rPr>
          <w:rFonts w:asciiTheme="minorHAnsi" w:hAnsiTheme="minorHAnsi" w:cstheme="minorHAnsi"/>
          <w:i/>
          <w:iCs/>
          <w:lang w:val="ro-RO"/>
        </w:rPr>
      </w:pPr>
      <w:r w:rsidRPr="00DF5CC2">
        <w:rPr>
          <w:rFonts w:asciiTheme="minorHAnsi" w:hAnsiTheme="minorHAnsi" w:cstheme="minorHAnsi"/>
          <w:i/>
          <w:iCs/>
          <w:lang w:val="ro-RO"/>
        </w:rPr>
        <w:t>   a) activitati de specialitate necesare realizarii prerogativelor constitutionale ale Parlamentului;</w:t>
      </w:r>
      <w:r w:rsidRPr="00DF5CC2">
        <w:rPr>
          <w:rFonts w:asciiTheme="minorHAnsi" w:hAnsiTheme="minorHAnsi" w:cstheme="minorHAnsi"/>
          <w:i/>
          <w:iCs/>
          <w:lang w:val="ro-RO"/>
        </w:rPr>
        <w:br/>
        <w:t>   b) activitati de specialitate necesare realizarii prerogativelor constitutionale ale Presedintelui Romaniei;</w:t>
      </w:r>
      <w:r w:rsidRPr="00DF5CC2">
        <w:rPr>
          <w:rFonts w:asciiTheme="minorHAnsi" w:hAnsiTheme="minorHAnsi" w:cstheme="minorHAnsi"/>
          <w:i/>
          <w:iCs/>
          <w:lang w:val="ro-RO"/>
        </w:rPr>
        <w:br/>
        <w:t>   c) activitati de avizare a proiectelor de acte normative in vederea sistematizarii, unificarii, coordonarii intregii legislatii si tinerea evidentei oficiale a legislatiei Romaniei;</w:t>
      </w:r>
      <w:r w:rsidRPr="00DF5CC2">
        <w:rPr>
          <w:rFonts w:asciiTheme="minorHAnsi" w:hAnsiTheme="minorHAnsi" w:cstheme="minorHAnsi"/>
          <w:i/>
          <w:iCs/>
          <w:lang w:val="ro-RO"/>
        </w:rPr>
        <w:br/>
        <w:t>   d) activitati de specialitate necesare realizarii politicii externe a statului;</w:t>
      </w:r>
      <w:r w:rsidRPr="00DF5CC2">
        <w:rPr>
          <w:rFonts w:asciiTheme="minorHAnsi" w:hAnsiTheme="minorHAnsi" w:cstheme="minorHAnsi"/>
          <w:i/>
          <w:iCs/>
          <w:lang w:val="ro-RO"/>
        </w:rPr>
        <w:br/>
        <w:t>   e) activitati de specialitate si de asigurare a suportului necesar apararii drepturilor si libertatilor fundamentale ale persoanei, a proprietatii private si publice, prevenirea si descoperirea infractiunilor, respectarea ordinii si linistii publice;</w:t>
      </w:r>
      <w:r w:rsidRPr="00DF5CC2">
        <w:rPr>
          <w:rFonts w:asciiTheme="minorHAnsi" w:hAnsiTheme="minorHAnsi" w:cstheme="minorHAnsi"/>
          <w:i/>
          <w:iCs/>
          <w:lang w:val="ro-RO"/>
        </w:rPr>
        <w:br/>
        <w:t>   f) activitati de specialitate necesare aplicarii regimului juridic al executarii pedepselor si masurilor privative de libertate pronuntate de instantele judecatoresti;</w:t>
      </w:r>
      <w:r w:rsidRPr="00DF5CC2">
        <w:rPr>
          <w:rFonts w:asciiTheme="minorHAnsi" w:hAnsiTheme="minorHAnsi" w:cstheme="minorHAnsi"/>
          <w:i/>
          <w:iCs/>
          <w:lang w:val="ro-RO"/>
        </w:rPr>
        <w:br/>
        <w:t>   g) activitati vamale;</w:t>
      </w:r>
      <w:r w:rsidRPr="00DF5CC2">
        <w:rPr>
          <w:rFonts w:asciiTheme="minorHAnsi" w:hAnsiTheme="minorHAnsi" w:cstheme="minorHAnsi"/>
          <w:i/>
          <w:iCs/>
          <w:lang w:val="ro-RO"/>
        </w:rPr>
        <w:br/>
        <w:t>   h) alte activitati cu caracter special care privesc exercitarea autoritatii publice in domenii de competenta exclusiva a statului, in temeiul si in executarea legilor si a celorlalte acte normative.</w:t>
      </w:r>
    </w:p>
    <w:p w14:paraId="1A3A9BE7" w14:textId="77777777" w:rsidR="00775978" w:rsidRPr="00FC22C0" w:rsidRDefault="00AA7542" w:rsidP="00C249D8">
      <w:pPr>
        <w:widowControl w:val="0"/>
        <w:overflowPunct w:val="0"/>
        <w:autoSpaceDE w:val="0"/>
        <w:autoSpaceDN w:val="0"/>
        <w:adjustRightInd w:val="0"/>
        <w:spacing w:before="80"/>
        <w:ind w:left="1440"/>
        <w:jc w:val="both"/>
        <w:textAlignment w:val="baseline"/>
        <w:rPr>
          <w:rFonts w:asciiTheme="minorHAnsi" w:hAnsiTheme="minorHAnsi" w:cstheme="minorHAnsi"/>
          <w:lang w:val="ro-RO"/>
        </w:rPr>
      </w:pPr>
      <w:r w:rsidRPr="00FC22C0">
        <w:rPr>
          <w:rFonts w:asciiTheme="minorHAnsi" w:hAnsiTheme="minorHAnsi" w:cstheme="minorHAnsi"/>
          <w:lang w:val="ro-RO"/>
        </w:rPr>
        <w:t xml:space="preserve">(4) </w:t>
      </w:r>
      <w:r w:rsidRPr="00DF5CC2">
        <w:rPr>
          <w:rFonts w:asciiTheme="minorHAnsi" w:hAnsiTheme="minorHAnsi" w:cstheme="minorHAnsi"/>
          <w:i/>
          <w:iCs/>
          <w:lang w:val="ro-RO"/>
        </w:rPr>
        <w:t>Stabilirea posturilor in regim de functie publica este obligatorie, in masura in care sunt indeplinite activitati prevazute la alin. (1)-(3), cu exceptia posturilor aferente personalului din categoriile prevazute la art. 382 lit. c), h) si i), precum si a posturilor din cadrul autoritatilor autonome, pentru care categoriile de personal sunt stabilite prin legislatia speciala</w:t>
      </w:r>
      <w:r w:rsidRPr="00FC22C0">
        <w:rPr>
          <w:rFonts w:asciiTheme="minorHAnsi" w:hAnsiTheme="minorHAnsi" w:cstheme="minorHAnsi"/>
          <w:lang w:val="ro-RO"/>
        </w:rPr>
        <w:t>.</w:t>
      </w:r>
    </w:p>
    <w:p w14:paraId="62437E5A" w14:textId="7FE1F32A" w:rsidR="00AA7542" w:rsidRPr="00FC22C0" w:rsidRDefault="00AA7542" w:rsidP="00C249D8">
      <w:pPr>
        <w:widowControl w:val="0"/>
        <w:overflowPunct w:val="0"/>
        <w:autoSpaceDE w:val="0"/>
        <w:autoSpaceDN w:val="0"/>
        <w:adjustRightInd w:val="0"/>
        <w:spacing w:before="80"/>
        <w:ind w:left="1440"/>
        <w:jc w:val="both"/>
        <w:textAlignment w:val="baseline"/>
        <w:rPr>
          <w:rFonts w:asciiTheme="minorHAnsi" w:hAnsiTheme="minorHAnsi" w:cstheme="minorHAnsi"/>
          <w:lang w:val="ro-RO"/>
        </w:rPr>
      </w:pPr>
      <w:r w:rsidRPr="00FC22C0">
        <w:rPr>
          <w:rFonts w:asciiTheme="minorHAnsi" w:hAnsiTheme="minorHAnsi" w:cstheme="minorHAnsi"/>
          <w:lang w:val="ro-RO"/>
        </w:rPr>
        <w:t xml:space="preserve">(5) </w:t>
      </w:r>
      <w:r w:rsidRPr="00DF5CC2">
        <w:rPr>
          <w:rFonts w:asciiTheme="minorHAnsi" w:hAnsiTheme="minorHAnsi" w:cstheme="minorHAnsi"/>
          <w:i/>
          <w:iCs/>
          <w:lang w:val="ro-RO"/>
        </w:rPr>
        <w:t>Functiile publice se stabilesc prin lege</w:t>
      </w:r>
      <w:r w:rsidRPr="00FC22C0">
        <w:rPr>
          <w:rFonts w:asciiTheme="minorHAnsi" w:hAnsiTheme="minorHAnsi" w:cstheme="minorHAnsi"/>
          <w:lang w:val="ro-RO"/>
        </w:rPr>
        <w:t>.</w:t>
      </w:r>
    </w:p>
    <w:p w14:paraId="17FE350F" w14:textId="50C499BE" w:rsidR="003170B4" w:rsidRPr="00FC22C0" w:rsidRDefault="003170B4" w:rsidP="00166EA5">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rPr>
        <w:t>Art</w:t>
      </w:r>
      <w:r w:rsidR="00C249D8" w:rsidRPr="00FC22C0">
        <w:rPr>
          <w:rFonts w:asciiTheme="minorHAnsi" w:hAnsiTheme="minorHAnsi" w:cstheme="minorHAnsi"/>
        </w:rPr>
        <w:t>.</w:t>
      </w:r>
      <w:r w:rsidRPr="00FC22C0">
        <w:rPr>
          <w:rFonts w:asciiTheme="minorHAnsi" w:hAnsiTheme="minorHAnsi" w:cstheme="minorHAnsi"/>
        </w:rPr>
        <w:t xml:space="preserve"> 405 - </w:t>
      </w:r>
      <w:r w:rsidRPr="00DF5CC2">
        <w:rPr>
          <w:rFonts w:asciiTheme="minorHAnsi" w:hAnsiTheme="minorHAnsi" w:cstheme="minorHAnsi"/>
          <w:i/>
          <w:iCs/>
        </w:rPr>
        <w:t xml:space="preserve">Stabilirea structurii de posturi - Structura de posturi se stabileste pe baza activitatilor prevazute la art. 370 alin. (1)-(3), precum si prin raportare la activitatile </w:t>
      </w:r>
      <w:r w:rsidRPr="00DF5CC2">
        <w:rPr>
          <w:rFonts w:asciiTheme="minorHAnsi" w:hAnsiTheme="minorHAnsi" w:cstheme="minorHAnsi"/>
          <w:i/>
          <w:iCs/>
        </w:rPr>
        <w:lastRenderedPageBreak/>
        <w:t>desfasurate de categoriile de personal prevazute la art. 382</w:t>
      </w:r>
      <w:r w:rsidRPr="00FC22C0">
        <w:rPr>
          <w:rFonts w:asciiTheme="minorHAnsi" w:hAnsiTheme="minorHAnsi" w:cstheme="minorHAnsi"/>
        </w:rPr>
        <w:t>.</w:t>
      </w:r>
    </w:p>
    <w:p w14:paraId="27A55BBC" w14:textId="6352E1BD" w:rsidR="00D85BE9" w:rsidRPr="00FC22C0" w:rsidRDefault="00D85BE9" w:rsidP="00711DC5">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rPr>
        <w:t>art. 406</w:t>
      </w:r>
      <w:r w:rsidR="00C249D8" w:rsidRPr="00FC22C0">
        <w:rPr>
          <w:rFonts w:asciiTheme="minorHAnsi" w:hAnsiTheme="minorHAnsi" w:cstheme="minorHAnsi"/>
        </w:rPr>
        <w:t xml:space="preserve"> </w:t>
      </w:r>
      <w:r w:rsidRPr="00FC22C0">
        <w:rPr>
          <w:rFonts w:asciiTheme="minorHAnsi" w:hAnsiTheme="minorHAnsi" w:cstheme="minorHAnsi"/>
        </w:rPr>
        <w:t>-</w:t>
      </w:r>
      <w:r w:rsidR="00C249D8" w:rsidRPr="00FC22C0">
        <w:rPr>
          <w:rFonts w:asciiTheme="minorHAnsi" w:hAnsiTheme="minorHAnsi" w:cstheme="minorHAnsi"/>
        </w:rPr>
        <w:t xml:space="preserve"> </w:t>
      </w:r>
      <w:r w:rsidR="00C249D8" w:rsidRPr="00DF5CC2">
        <w:rPr>
          <w:rFonts w:asciiTheme="minorHAnsi" w:hAnsiTheme="minorHAnsi" w:cstheme="minorHAnsi"/>
          <w:i/>
          <w:iCs/>
        </w:rPr>
        <w:t>Transformarea posturilor de natura contractuala in functii publice: autoritatile si institutiile publice care au prevazute in statele de functii posturi de natura contractuala, care presupun desfasurarea unor activitati dintre cele prevazute la art. 370 alin. (1) -(3), stabilesc functii publice in conditiile prevazute la art. 407</w:t>
      </w:r>
      <w:r w:rsidR="00C249D8" w:rsidRPr="00FC22C0">
        <w:rPr>
          <w:rFonts w:asciiTheme="minorHAnsi" w:hAnsiTheme="minorHAnsi" w:cstheme="minorHAnsi"/>
        </w:rPr>
        <w:t>.</w:t>
      </w:r>
    </w:p>
    <w:p w14:paraId="1C472EC2" w14:textId="25D85D61" w:rsidR="00274268" w:rsidRPr="00FC22C0" w:rsidRDefault="00D85BE9" w:rsidP="00AD7B1C">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rPr>
      </w:pPr>
      <w:r w:rsidRPr="00FC22C0">
        <w:rPr>
          <w:rFonts w:asciiTheme="minorHAnsi" w:hAnsiTheme="minorHAnsi" w:cstheme="minorHAnsi"/>
        </w:rPr>
        <w:t xml:space="preserve">407 </w:t>
      </w:r>
      <w:r w:rsidR="00274268" w:rsidRPr="00FC22C0">
        <w:rPr>
          <w:rFonts w:asciiTheme="minorHAnsi" w:hAnsiTheme="minorHAnsi" w:cstheme="minorHAnsi"/>
        </w:rPr>
        <w:t xml:space="preserve">- </w:t>
      </w:r>
      <w:r w:rsidR="00274268" w:rsidRPr="00DF5CC2">
        <w:rPr>
          <w:rFonts w:asciiTheme="minorHAnsi" w:hAnsiTheme="minorHAnsi" w:cstheme="minorHAnsi"/>
          <w:i/>
          <w:iCs/>
        </w:rPr>
        <w:t>Stabilirea de functii publice: functiile publice se stabilesc pe baza activitatilor prevazute la art. 370 alin. (1)-(3), pentru fiecare autoritate si institutie publica, prin act administrativ al conducatorului acesteia, respectiv prin hotarare a consiliului judetean sau, dupa caz, a consiliului local</w:t>
      </w:r>
      <w:r w:rsidR="00274268" w:rsidRPr="00FC22C0">
        <w:rPr>
          <w:rFonts w:asciiTheme="minorHAnsi" w:hAnsiTheme="minorHAnsi" w:cstheme="minorHAnsi"/>
        </w:rPr>
        <w:t>.</w:t>
      </w:r>
    </w:p>
    <w:p w14:paraId="55437823" w14:textId="175DB490" w:rsidR="00550F47" w:rsidRPr="00DF5CC2" w:rsidRDefault="00D85BE9" w:rsidP="00550F47">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i/>
          <w:iCs/>
        </w:rPr>
      </w:pPr>
      <w:r w:rsidRPr="00FC22C0">
        <w:rPr>
          <w:rFonts w:asciiTheme="minorHAnsi" w:hAnsiTheme="minorHAnsi" w:cstheme="minorHAnsi"/>
        </w:rPr>
        <w:t xml:space="preserve">art. 409 alin. (3) - </w:t>
      </w:r>
      <w:r w:rsidR="00274268" w:rsidRPr="00DF5CC2">
        <w:rPr>
          <w:rFonts w:asciiTheme="minorHAnsi" w:hAnsiTheme="minorHAnsi" w:cstheme="minorHAnsi"/>
          <w:i/>
          <w:iCs/>
        </w:rPr>
        <w:t xml:space="preserve">Comunicarea modificarilor intervenite in situatia posturilor si a functionarilor publici: </w:t>
      </w:r>
      <w:r w:rsidR="00550F47" w:rsidRPr="00DF5CC2">
        <w:rPr>
          <w:rFonts w:asciiTheme="minorHAnsi" w:hAnsiTheme="minorHAnsi" w:cstheme="minorHAnsi"/>
          <w:i/>
          <w:iCs/>
        </w:rPr>
        <w:t>modificarile intervenite in situatia functiilor publice se fac prin acte administrative emise in urmatoarele situatii:</w:t>
      </w:r>
    </w:p>
    <w:p w14:paraId="6A5D232D" w14:textId="77777777" w:rsidR="00550F47" w:rsidRPr="00DF5CC2" w:rsidRDefault="00550F47" w:rsidP="00550F47">
      <w:pPr>
        <w:widowControl w:val="0"/>
        <w:overflowPunct w:val="0"/>
        <w:autoSpaceDE w:val="0"/>
        <w:autoSpaceDN w:val="0"/>
        <w:adjustRightInd w:val="0"/>
        <w:spacing w:before="80"/>
        <w:ind w:left="2160"/>
        <w:jc w:val="both"/>
        <w:textAlignment w:val="baseline"/>
        <w:rPr>
          <w:rFonts w:asciiTheme="minorHAnsi" w:hAnsiTheme="minorHAnsi" w:cstheme="minorHAnsi"/>
          <w:i/>
          <w:iCs/>
        </w:rPr>
      </w:pPr>
      <w:r w:rsidRPr="00DF5CC2">
        <w:rPr>
          <w:rFonts w:asciiTheme="minorHAnsi" w:hAnsiTheme="minorHAnsi" w:cstheme="minorHAnsi"/>
          <w:i/>
          <w:iCs/>
        </w:rPr>
        <w:t xml:space="preserve">   a) intervenirea unor modificari in structura functiilor publice din cadrul autoritatilor sau institutiilor publice, ca urmare a promovarii in clasa si a promovarii in grad profesional a functionarilor publici;</w:t>
      </w:r>
    </w:p>
    <w:p w14:paraId="121B733B" w14:textId="77777777" w:rsidR="00550F47" w:rsidRPr="00DF5CC2" w:rsidRDefault="00550F47" w:rsidP="00550F47">
      <w:pPr>
        <w:widowControl w:val="0"/>
        <w:overflowPunct w:val="0"/>
        <w:autoSpaceDE w:val="0"/>
        <w:autoSpaceDN w:val="0"/>
        <w:adjustRightInd w:val="0"/>
        <w:spacing w:before="80"/>
        <w:ind w:left="2160"/>
        <w:jc w:val="both"/>
        <w:textAlignment w:val="baseline"/>
        <w:rPr>
          <w:rFonts w:asciiTheme="minorHAnsi" w:hAnsiTheme="minorHAnsi" w:cstheme="minorHAnsi"/>
          <w:i/>
          <w:iCs/>
        </w:rPr>
      </w:pPr>
      <w:r w:rsidRPr="00DF5CC2">
        <w:rPr>
          <w:rFonts w:asciiTheme="minorHAnsi" w:hAnsiTheme="minorHAnsi" w:cstheme="minorHAnsi"/>
          <w:i/>
          <w:iCs/>
        </w:rPr>
        <w:t xml:space="preserve">   b) transformarea unei functii publice vacante intr-o functie publica cu o alta denumire sau intr-o functie publica de nivel inferior ori superior, cu incadrarea in numarul maxim de posturi aprobat pentru autoritatea sau institutia publica si in fondurile bugetare anuale alocate.</w:t>
      </w:r>
    </w:p>
    <w:p w14:paraId="78065D06" w14:textId="1453798E" w:rsidR="00FC4138" w:rsidRPr="00FC22C0" w:rsidRDefault="00550F47" w:rsidP="00550F47">
      <w:pPr>
        <w:widowControl w:val="0"/>
        <w:overflowPunct w:val="0"/>
        <w:autoSpaceDE w:val="0"/>
        <w:autoSpaceDN w:val="0"/>
        <w:adjustRightInd w:val="0"/>
        <w:spacing w:before="80"/>
        <w:ind w:left="2160"/>
        <w:jc w:val="both"/>
        <w:textAlignment w:val="baseline"/>
        <w:rPr>
          <w:rFonts w:asciiTheme="minorHAnsi" w:hAnsiTheme="minorHAnsi" w:cstheme="minorHAnsi"/>
        </w:rPr>
      </w:pPr>
      <w:r w:rsidRPr="00DF5CC2">
        <w:rPr>
          <w:rFonts w:asciiTheme="minorHAnsi" w:hAnsiTheme="minorHAnsi" w:cstheme="minorHAnsi"/>
          <w:i/>
          <w:iCs/>
        </w:rPr>
        <w:t xml:space="preserve">   c) modificarea calitatii posturilor in conditiile prevazute la art. 405-407</w:t>
      </w:r>
      <w:r w:rsidRPr="00FC22C0">
        <w:rPr>
          <w:rFonts w:asciiTheme="minorHAnsi" w:hAnsiTheme="minorHAnsi" w:cstheme="minorHAnsi"/>
        </w:rPr>
        <w:t>.</w:t>
      </w:r>
    </w:p>
    <w:p w14:paraId="272B9F20" w14:textId="77777777" w:rsidR="00C5534F" w:rsidRPr="00FC22C0" w:rsidRDefault="00C5534F" w:rsidP="00901A60">
      <w:pPr>
        <w:widowControl w:val="0"/>
        <w:numPr>
          <w:ilvl w:val="0"/>
          <w:numId w:val="13"/>
        </w:numPr>
        <w:overflowPunct w:val="0"/>
        <w:autoSpaceDE w:val="0"/>
        <w:autoSpaceDN w:val="0"/>
        <w:adjustRightInd w:val="0"/>
        <w:spacing w:before="80"/>
        <w:ind w:left="357" w:hanging="357"/>
        <w:jc w:val="both"/>
        <w:textAlignment w:val="baseline"/>
        <w:rPr>
          <w:rFonts w:asciiTheme="minorHAnsi" w:hAnsiTheme="minorHAnsi" w:cstheme="minorHAnsi"/>
        </w:rPr>
      </w:pPr>
      <w:r w:rsidRPr="00FC22C0">
        <w:rPr>
          <w:rFonts w:asciiTheme="minorHAnsi" w:hAnsiTheme="minorHAnsi" w:cstheme="minorHAnsi"/>
          <w:lang w:val="ro-RO"/>
        </w:rPr>
        <w:t xml:space="preserve">dispoziţiile </w:t>
      </w:r>
      <w:r w:rsidRPr="00FC22C0">
        <w:rPr>
          <w:rFonts w:asciiTheme="minorHAnsi" w:hAnsiTheme="minorHAnsi" w:cstheme="minorHAnsi"/>
        </w:rPr>
        <w:t xml:space="preserve">art.III din </w:t>
      </w:r>
      <w:r w:rsidRPr="00DB6E73">
        <w:rPr>
          <w:rFonts w:asciiTheme="minorHAnsi" w:hAnsiTheme="minorHAnsi" w:cstheme="minorHAnsi"/>
          <w:b/>
          <w:bCs/>
          <w:lang w:val="ro-RO"/>
        </w:rPr>
        <w:t>O.U.G. nr. 63/2010</w:t>
      </w:r>
      <w:r w:rsidRPr="00FC22C0">
        <w:rPr>
          <w:rFonts w:asciiTheme="minorHAnsi" w:hAnsiTheme="minorHAnsi" w:cstheme="minorHAnsi"/>
          <w:lang w:val="ro-RO"/>
        </w:rPr>
        <w:t xml:space="preserve"> pentru modificarea şi completarea </w:t>
      </w:r>
      <w:r w:rsidRPr="00DB6E73">
        <w:rPr>
          <w:rFonts w:asciiTheme="minorHAnsi" w:hAnsiTheme="minorHAnsi" w:cstheme="minorHAnsi"/>
          <w:b/>
          <w:bCs/>
          <w:lang w:val="ro-RO"/>
        </w:rPr>
        <w:t>Legii nr.273/2006 privind finanţele publice locale</w:t>
      </w:r>
      <w:r w:rsidRPr="00FC22C0">
        <w:rPr>
          <w:rFonts w:asciiTheme="minorHAnsi" w:hAnsiTheme="minorHAnsi" w:cstheme="minorHAnsi"/>
          <w:lang w:val="ro-RO"/>
        </w:rPr>
        <w:t>, precum şi pentru stabilirea unor măsuri financiare,</w:t>
      </w:r>
      <w:r w:rsidRPr="00FC22C0">
        <w:rPr>
          <w:rFonts w:asciiTheme="minorHAnsi" w:hAnsiTheme="minorHAnsi" w:cstheme="minorHAnsi"/>
        </w:rPr>
        <w:t xml:space="preserve"> </w:t>
      </w:r>
      <w:r w:rsidR="0042546F" w:rsidRPr="00FC22C0">
        <w:rPr>
          <w:rFonts w:asciiTheme="minorHAnsi" w:hAnsiTheme="minorHAnsi" w:cstheme="minorHAnsi"/>
        </w:rPr>
        <w:t>care prevede la alin.</w:t>
      </w:r>
      <w:r w:rsidRPr="00FC22C0">
        <w:rPr>
          <w:rFonts w:asciiTheme="minorHAnsi" w:hAnsiTheme="minorHAnsi" w:cstheme="minorHAnsi"/>
          <w:color w:val="000000"/>
        </w:rPr>
        <w:t>(1)</w:t>
      </w:r>
      <w:r w:rsidR="0042546F" w:rsidRPr="00FC22C0">
        <w:rPr>
          <w:rFonts w:asciiTheme="minorHAnsi" w:hAnsiTheme="minorHAnsi" w:cstheme="minorHAnsi"/>
          <w:color w:val="000000"/>
        </w:rPr>
        <w:t xml:space="preserve"> că </w:t>
      </w:r>
      <w:r w:rsidR="0042546F" w:rsidRPr="00DF5CC2">
        <w:rPr>
          <w:rFonts w:asciiTheme="minorHAnsi" w:hAnsiTheme="minorHAnsi" w:cstheme="minorHAnsi"/>
          <w:i/>
          <w:iCs/>
          <w:color w:val="000000"/>
        </w:rPr>
        <w:t>p</w:t>
      </w:r>
      <w:r w:rsidRPr="00DF5CC2">
        <w:rPr>
          <w:rFonts w:asciiTheme="minorHAnsi" w:hAnsiTheme="minorHAnsi" w:cstheme="minorHAnsi"/>
          <w:i/>
          <w:iCs/>
          <w:color w:val="000000"/>
        </w:rPr>
        <w:t>entru indeplinirea atributiilor prevazute de lege, la stabilirea numarului de posturi din aparatul de specialitate al primarului, aparatul de specialitate al consiliului judetean, precum si din institutiile publice locale infiintate prin hotarari ale autoritatilor deliberative, autoritatile administratiei publice locale se incadreaza in numarul maxim de posturi determinat potrivit anexei care face parte integranta din prezenta ordonanta de urgenta</w:t>
      </w:r>
      <w:r w:rsidR="00D54B84" w:rsidRPr="00FC22C0">
        <w:rPr>
          <w:rFonts w:asciiTheme="minorHAnsi" w:hAnsiTheme="minorHAnsi" w:cstheme="minorHAnsi"/>
          <w:color w:val="000000"/>
        </w:rPr>
        <w:t>;</w:t>
      </w:r>
    </w:p>
    <w:p w14:paraId="4E18FCBE" w14:textId="77777777" w:rsidR="00691D3B" w:rsidRPr="00691D3B" w:rsidRDefault="00DD4131" w:rsidP="00901A60">
      <w:pPr>
        <w:widowControl w:val="0"/>
        <w:numPr>
          <w:ilvl w:val="0"/>
          <w:numId w:val="13"/>
        </w:numPr>
        <w:overflowPunct w:val="0"/>
        <w:autoSpaceDE w:val="0"/>
        <w:autoSpaceDN w:val="0"/>
        <w:adjustRightInd w:val="0"/>
        <w:spacing w:before="80"/>
        <w:ind w:left="357" w:hanging="357"/>
        <w:jc w:val="both"/>
        <w:textAlignment w:val="baseline"/>
        <w:rPr>
          <w:rFonts w:asciiTheme="minorHAnsi" w:hAnsiTheme="minorHAnsi" w:cstheme="minorHAnsi"/>
        </w:rPr>
      </w:pPr>
      <w:r w:rsidRPr="00FC22C0">
        <w:rPr>
          <w:rFonts w:asciiTheme="minorHAnsi" w:hAnsiTheme="minorHAnsi" w:cstheme="minorHAnsi"/>
          <w:color w:val="000000"/>
        </w:rPr>
        <w:t>p</w:t>
      </w:r>
      <w:r w:rsidR="00D54B84" w:rsidRPr="00FC22C0">
        <w:rPr>
          <w:rFonts w:asciiTheme="minorHAnsi" w:hAnsiTheme="minorHAnsi" w:cstheme="minorHAnsi"/>
          <w:color w:val="000000"/>
        </w:rPr>
        <w:t xml:space="preserve">revederile </w:t>
      </w:r>
      <w:r w:rsidR="00D54B84" w:rsidRPr="00DB6E73">
        <w:rPr>
          <w:rFonts w:asciiTheme="minorHAnsi" w:hAnsiTheme="minorHAnsi" w:cstheme="minorHAnsi"/>
          <w:b/>
          <w:bCs/>
          <w:spacing w:val="-2"/>
        </w:rPr>
        <w:t>Legii-cadru nr.153/20170</w:t>
      </w:r>
      <w:r w:rsidR="00D54B84" w:rsidRPr="00FC22C0">
        <w:rPr>
          <w:rFonts w:asciiTheme="minorHAnsi" w:hAnsiTheme="minorHAnsi" w:cstheme="minorHAnsi"/>
          <w:spacing w:val="-2"/>
        </w:rPr>
        <w:t xml:space="preserve"> privind salarizarea personalului plătit din fonduri publice</w:t>
      </w:r>
      <w:r w:rsidR="00691D3B">
        <w:rPr>
          <w:rFonts w:asciiTheme="minorHAnsi" w:hAnsiTheme="minorHAnsi" w:cstheme="minorHAnsi"/>
          <w:spacing w:val="-2"/>
        </w:rPr>
        <w:t>:</w:t>
      </w:r>
    </w:p>
    <w:p w14:paraId="4F84507D" w14:textId="325F7D37" w:rsidR="00D54B84" w:rsidRPr="00DF5CC2" w:rsidRDefault="008314EA" w:rsidP="00691D3B">
      <w:pPr>
        <w:widowControl w:val="0"/>
        <w:numPr>
          <w:ilvl w:val="1"/>
          <w:numId w:val="13"/>
        </w:numPr>
        <w:overflowPunct w:val="0"/>
        <w:autoSpaceDE w:val="0"/>
        <w:autoSpaceDN w:val="0"/>
        <w:adjustRightInd w:val="0"/>
        <w:spacing w:before="80"/>
        <w:jc w:val="both"/>
        <w:textAlignment w:val="baseline"/>
        <w:rPr>
          <w:rFonts w:asciiTheme="minorHAnsi" w:hAnsiTheme="minorHAnsi" w:cstheme="minorHAnsi"/>
          <w:i/>
          <w:iCs/>
        </w:rPr>
      </w:pPr>
      <w:r w:rsidRPr="00FC22C0">
        <w:rPr>
          <w:rFonts w:asciiTheme="minorHAnsi" w:hAnsiTheme="minorHAnsi" w:cstheme="minorHAnsi"/>
          <w:spacing w:val="-2"/>
        </w:rPr>
        <w:t xml:space="preserve"> </w:t>
      </w:r>
      <w:r w:rsidR="00691D3B" w:rsidRPr="00691D3B">
        <w:rPr>
          <w:rFonts w:asciiTheme="minorHAnsi" w:hAnsiTheme="minorHAnsi" w:cstheme="minorHAnsi"/>
          <w:spacing w:val="-2"/>
        </w:rPr>
        <w:t>Not</w:t>
      </w:r>
      <w:r w:rsidR="00691D3B">
        <w:rPr>
          <w:rFonts w:asciiTheme="minorHAnsi" w:hAnsiTheme="minorHAnsi" w:cstheme="minorHAnsi"/>
          <w:spacing w:val="-2"/>
        </w:rPr>
        <w:t>a</w:t>
      </w:r>
      <w:r w:rsidR="00691D3B" w:rsidRPr="00691D3B">
        <w:rPr>
          <w:rFonts w:asciiTheme="minorHAnsi" w:hAnsiTheme="minorHAnsi" w:cstheme="minorHAnsi"/>
          <w:spacing w:val="-2"/>
        </w:rPr>
        <w:t xml:space="preserve"> la Anexa nr. VIII, Capitolul I, secțiunea III, lit. b)</w:t>
      </w:r>
      <w:r w:rsidR="00691D3B">
        <w:rPr>
          <w:rFonts w:asciiTheme="minorHAnsi" w:hAnsiTheme="minorHAnsi" w:cstheme="minorHAnsi"/>
          <w:spacing w:val="-2"/>
        </w:rPr>
        <w:t xml:space="preserve"> - </w:t>
      </w:r>
      <w:r w:rsidR="00DF5CC2" w:rsidRPr="00DF5CC2">
        <w:rPr>
          <w:rFonts w:asciiTheme="minorHAnsi" w:hAnsiTheme="minorHAnsi" w:cstheme="minorHAnsi"/>
          <w:i/>
          <w:iCs/>
          <w:spacing w:val="-2"/>
        </w:rPr>
        <w:t>Salariul de baza individual al administratorului public se stabileste de catre primar, presedintele consiliului judetean sau primarul general al municipiului Bucuresti, in conditiile legii, in functie de tipul unitatii administrativ-teritoriale si de atributiile stabilite in fisa postului, intre limite, astfel: limita minima este nivelul salariului de baza al secretarului unitatii administrativ-teritoriale, iar limita maxima este indemnizatia viceprimarului, a vicepresedintelui consiliului judetean sau a viceprimarului municipiului Bucuresti, dupa caz, care cuprinde si majorarea prevazuta la art. 16 alin. (2).</w:t>
      </w:r>
    </w:p>
    <w:p w14:paraId="2210984A" w14:textId="0D5D254A" w:rsidR="00743AC8" w:rsidRPr="00FC22C0" w:rsidRDefault="00902E24" w:rsidP="00901A60">
      <w:pPr>
        <w:widowControl w:val="0"/>
        <w:spacing w:before="80" w:after="120"/>
        <w:jc w:val="both"/>
        <w:rPr>
          <w:rFonts w:asciiTheme="minorHAnsi" w:hAnsiTheme="minorHAnsi" w:cstheme="minorHAnsi"/>
          <w:b/>
        </w:rPr>
      </w:pPr>
      <w:r w:rsidRPr="00FC22C0">
        <w:rPr>
          <w:rFonts w:asciiTheme="minorHAnsi" w:hAnsiTheme="minorHAnsi" w:cstheme="minorHAnsi"/>
        </w:rPr>
        <w:t xml:space="preserve">Prezint sintetic </w:t>
      </w:r>
      <w:r w:rsidR="00760D1B" w:rsidRPr="00FC22C0">
        <w:rPr>
          <w:rFonts w:asciiTheme="minorHAnsi" w:hAnsiTheme="minorHAnsi" w:cstheme="minorHAnsi"/>
        </w:rPr>
        <w:t>structur</w:t>
      </w:r>
      <w:r w:rsidRPr="00FC22C0">
        <w:rPr>
          <w:rFonts w:asciiTheme="minorHAnsi" w:hAnsiTheme="minorHAnsi" w:cstheme="minorHAnsi"/>
        </w:rPr>
        <w:t>a</w:t>
      </w:r>
      <w:r w:rsidR="00760D1B" w:rsidRPr="00FC22C0">
        <w:rPr>
          <w:rFonts w:asciiTheme="minorHAnsi" w:hAnsiTheme="minorHAnsi" w:cstheme="minorHAnsi"/>
        </w:rPr>
        <w:t xml:space="preserve"> organizatoric</w:t>
      </w:r>
      <w:r w:rsidRPr="00FC22C0">
        <w:rPr>
          <w:rFonts w:asciiTheme="minorHAnsi" w:hAnsiTheme="minorHAnsi" w:cstheme="minorHAnsi"/>
        </w:rPr>
        <w:t>ă a aparatului de specialitate al primarului comunei Șoldanu</w:t>
      </w:r>
      <w:r w:rsidR="00760D1B" w:rsidRPr="00FC22C0">
        <w:rPr>
          <w:rFonts w:asciiTheme="minorHAnsi" w:hAnsiTheme="minorHAnsi" w:cstheme="minorHAnsi"/>
        </w:rPr>
        <w:t xml:space="preserve">, compusă din </w:t>
      </w:r>
      <w:r w:rsidR="00760D1B" w:rsidRPr="00FC22C0">
        <w:rPr>
          <w:rFonts w:asciiTheme="minorHAnsi" w:hAnsiTheme="minorHAnsi" w:cstheme="minorHAnsi"/>
          <w:b/>
        </w:rPr>
        <w:t xml:space="preserve">numărul total de </w:t>
      </w:r>
      <w:r w:rsidR="009C226C" w:rsidRPr="00FC22C0">
        <w:rPr>
          <w:rFonts w:asciiTheme="minorHAnsi" w:hAnsiTheme="minorHAnsi" w:cstheme="minorHAnsi"/>
          <w:b/>
        </w:rPr>
        <w:t>27</w:t>
      </w:r>
      <w:r w:rsidR="00760D1B" w:rsidRPr="00FC22C0">
        <w:rPr>
          <w:rFonts w:asciiTheme="minorHAnsi" w:hAnsiTheme="minorHAnsi" w:cstheme="minorHAnsi"/>
          <w:b/>
        </w:rPr>
        <w:t xml:space="preserve"> posturi: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752"/>
        <w:gridCol w:w="1060"/>
        <w:gridCol w:w="1029"/>
        <w:gridCol w:w="935"/>
      </w:tblGrid>
      <w:tr w:rsidR="009C226C" w:rsidRPr="00FC22C0" w14:paraId="55F92980" w14:textId="77777777" w:rsidTr="00F05711">
        <w:tc>
          <w:tcPr>
            <w:tcW w:w="3454" w:type="pct"/>
            <w:vMerge w:val="restart"/>
            <w:vAlign w:val="center"/>
          </w:tcPr>
          <w:p w14:paraId="2D467897" w14:textId="77777777" w:rsidR="009C226C" w:rsidRPr="00FC22C0" w:rsidRDefault="009C226C" w:rsidP="009C226C">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Funcţia</w:t>
            </w:r>
          </w:p>
        </w:tc>
        <w:tc>
          <w:tcPr>
            <w:tcW w:w="1546" w:type="pct"/>
            <w:gridSpan w:val="3"/>
            <w:vAlign w:val="center"/>
          </w:tcPr>
          <w:p w14:paraId="038D1206" w14:textId="77777777" w:rsidR="009C226C" w:rsidRPr="00FC22C0" w:rsidRDefault="009C226C" w:rsidP="009C226C">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Număr posturi</w:t>
            </w:r>
          </w:p>
        </w:tc>
      </w:tr>
      <w:tr w:rsidR="009C226C" w:rsidRPr="00FC22C0" w14:paraId="5E89BA50" w14:textId="77777777" w:rsidTr="00F05711">
        <w:tc>
          <w:tcPr>
            <w:tcW w:w="3454" w:type="pct"/>
            <w:vMerge/>
            <w:tcBorders>
              <w:bottom w:val="single" w:sz="2" w:space="0" w:color="auto"/>
            </w:tcBorders>
            <w:vAlign w:val="center"/>
          </w:tcPr>
          <w:p w14:paraId="52B9EB9D" w14:textId="77777777" w:rsidR="009C226C" w:rsidRPr="00FC22C0" w:rsidRDefault="009C226C" w:rsidP="009C226C">
            <w:pPr>
              <w:widowControl w:val="0"/>
              <w:jc w:val="center"/>
              <w:outlineLvl w:val="0"/>
              <w:rPr>
                <w:rFonts w:asciiTheme="minorHAnsi" w:eastAsia="Calibri" w:hAnsiTheme="minorHAnsi" w:cstheme="minorHAnsi"/>
                <w:b/>
                <w:bCs/>
                <w:lang w:val="ro-RO"/>
              </w:rPr>
            </w:pPr>
          </w:p>
        </w:tc>
        <w:tc>
          <w:tcPr>
            <w:tcW w:w="542" w:type="pct"/>
            <w:tcBorders>
              <w:bottom w:val="single" w:sz="2" w:space="0" w:color="auto"/>
            </w:tcBorders>
            <w:vAlign w:val="center"/>
          </w:tcPr>
          <w:p w14:paraId="4190D741" w14:textId="77777777" w:rsidR="009C226C" w:rsidRPr="00FC22C0" w:rsidRDefault="009C226C" w:rsidP="009C226C">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Ocupate</w:t>
            </w:r>
          </w:p>
        </w:tc>
        <w:tc>
          <w:tcPr>
            <w:tcW w:w="526" w:type="pct"/>
            <w:tcBorders>
              <w:bottom w:val="single" w:sz="2" w:space="0" w:color="auto"/>
            </w:tcBorders>
            <w:vAlign w:val="center"/>
          </w:tcPr>
          <w:p w14:paraId="6C9E9DB2" w14:textId="77777777" w:rsidR="009C226C" w:rsidRPr="00FC22C0" w:rsidRDefault="009C226C" w:rsidP="009C226C">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Vacante</w:t>
            </w:r>
          </w:p>
        </w:tc>
        <w:tc>
          <w:tcPr>
            <w:tcW w:w="478" w:type="pct"/>
            <w:tcBorders>
              <w:bottom w:val="single" w:sz="2" w:space="0" w:color="auto"/>
            </w:tcBorders>
            <w:vAlign w:val="center"/>
          </w:tcPr>
          <w:p w14:paraId="1C14A1A3" w14:textId="77777777" w:rsidR="009C226C" w:rsidRPr="00FC22C0" w:rsidRDefault="009C226C" w:rsidP="009C226C">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Total</w:t>
            </w:r>
          </w:p>
        </w:tc>
      </w:tr>
      <w:tr w:rsidR="00F05711" w:rsidRPr="00FC22C0" w14:paraId="1A76C422" w14:textId="77777777" w:rsidTr="00F05711">
        <w:tc>
          <w:tcPr>
            <w:tcW w:w="3454" w:type="pct"/>
            <w:shd w:val="clear" w:color="auto" w:fill="C9C9C9"/>
          </w:tcPr>
          <w:p w14:paraId="64BD6F91"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DE DEMNITARI</w:t>
            </w:r>
          </w:p>
        </w:tc>
        <w:tc>
          <w:tcPr>
            <w:tcW w:w="542"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526E0C14" w14:textId="1E215441"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w:t>
            </w:r>
          </w:p>
        </w:tc>
        <w:tc>
          <w:tcPr>
            <w:tcW w:w="52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62D24583" w14:textId="371DBA2A"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7C1A229" w14:textId="46FE0DD3"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w:t>
            </w:r>
          </w:p>
        </w:tc>
      </w:tr>
      <w:tr w:rsidR="00F05711" w:rsidRPr="00FC22C0" w14:paraId="6A7ACBC7" w14:textId="77777777" w:rsidTr="00F05711">
        <w:tc>
          <w:tcPr>
            <w:tcW w:w="3454" w:type="pct"/>
            <w:tcBorders>
              <w:bottom w:val="single" w:sz="2" w:space="0" w:color="auto"/>
            </w:tcBorders>
          </w:tcPr>
          <w:p w14:paraId="594EF988"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DE ÎNALȚI FUNCŢIONARI PUBLICI</w:t>
            </w:r>
          </w:p>
        </w:tc>
        <w:tc>
          <w:tcPr>
            <w:tcW w:w="542" w:type="pct"/>
            <w:tcBorders>
              <w:top w:val="single" w:sz="2" w:space="0" w:color="auto"/>
              <w:left w:val="single" w:sz="2" w:space="0" w:color="auto"/>
              <w:bottom w:val="single" w:sz="2" w:space="0" w:color="auto"/>
              <w:right w:val="single" w:sz="2" w:space="0" w:color="auto"/>
            </w:tcBorders>
            <w:vAlign w:val="center"/>
          </w:tcPr>
          <w:p w14:paraId="45C7C48D" w14:textId="127953D9"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526" w:type="pct"/>
            <w:tcBorders>
              <w:top w:val="single" w:sz="2" w:space="0" w:color="auto"/>
              <w:left w:val="single" w:sz="2" w:space="0" w:color="auto"/>
              <w:bottom w:val="single" w:sz="2" w:space="0" w:color="auto"/>
              <w:right w:val="single" w:sz="2" w:space="0" w:color="auto"/>
            </w:tcBorders>
            <w:vAlign w:val="center"/>
          </w:tcPr>
          <w:p w14:paraId="1BCC2F84" w14:textId="31F4A4A6"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vAlign w:val="center"/>
          </w:tcPr>
          <w:p w14:paraId="034789B6" w14:textId="401C1AB0"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r>
      <w:tr w:rsidR="00F05711" w:rsidRPr="00FC22C0" w14:paraId="73183581" w14:textId="77777777" w:rsidTr="00F05711">
        <w:tc>
          <w:tcPr>
            <w:tcW w:w="3454" w:type="pct"/>
            <w:tcBorders>
              <w:bottom w:val="single" w:sz="2" w:space="0" w:color="auto"/>
            </w:tcBorders>
            <w:shd w:val="clear" w:color="auto" w:fill="FFC000"/>
          </w:tcPr>
          <w:p w14:paraId="03E88823"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DE FUNCŢII PUBLICE DE CONDUCERE</w:t>
            </w:r>
          </w:p>
        </w:tc>
        <w:tc>
          <w:tcPr>
            <w:tcW w:w="542" w:type="pct"/>
            <w:tcBorders>
              <w:top w:val="single" w:sz="2" w:space="0" w:color="auto"/>
              <w:left w:val="single" w:sz="2" w:space="0" w:color="auto"/>
              <w:bottom w:val="single" w:sz="2" w:space="0" w:color="auto"/>
              <w:right w:val="single" w:sz="2" w:space="0" w:color="auto"/>
            </w:tcBorders>
            <w:shd w:val="clear" w:color="auto" w:fill="FFC000"/>
            <w:vAlign w:val="center"/>
          </w:tcPr>
          <w:p w14:paraId="0ABB4DFB" w14:textId="4553CC47"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c>
          <w:tcPr>
            <w:tcW w:w="526" w:type="pct"/>
            <w:tcBorders>
              <w:top w:val="single" w:sz="2" w:space="0" w:color="auto"/>
              <w:left w:val="single" w:sz="2" w:space="0" w:color="auto"/>
              <w:bottom w:val="single" w:sz="2" w:space="0" w:color="auto"/>
              <w:right w:val="single" w:sz="2" w:space="0" w:color="auto"/>
            </w:tcBorders>
            <w:shd w:val="clear" w:color="auto" w:fill="FFC000"/>
            <w:vAlign w:val="center"/>
          </w:tcPr>
          <w:p w14:paraId="4EAB508D" w14:textId="6E0A7FE3"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shd w:val="clear" w:color="auto" w:fill="FFC000"/>
            <w:vAlign w:val="center"/>
          </w:tcPr>
          <w:p w14:paraId="1D3E1E2C" w14:textId="58784F0C"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r>
      <w:tr w:rsidR="00F05711" w:rsidRPr="00FC22C0" w14:paraId="0C4CA0A2" w14:textId="77777777" w:rsidTr="00F05711">
        <w:tc>
          <w:tcPr>
            <w:tcW w:w="3454" w:type="pct"/>
            <w:shd w:val="clear" w:color="auto" w:fill="D9E2F3"/>
          </w:tcPr>
          <w:p w14:paraId="02C9868F"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FUNCŢII PUBLICE DE EXECUŢIE</w:t>
            </w:r>
          </w:p>
        </w:tc>
        <w:tc>
          <w:tcPr>
            <w:tcW w:w="542"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BD69F" w14:textId="54F67528"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10</w:t>
            </w:r>
          </w:p>
        </w:tc>
        <w:tc>
          <w:tcPr>
            <w:tcW w:w="526"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A54DDA" w14:textId="3364B1FC"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w:t>
            </w:r>
          </w:p>
        </w:tc>
        <w:tc>
          <w:tcPr>
            <w:tcW w:w="478"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A8AEF4" w14:textId="3DD0DD6D"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12</w:t>
            </w:r>
          </w:p>
        </w:tc>
      </w:tr>
      <w:tr w:rsidR="00F05711" w:rsidRPr="00FC22C0" w14:paraId="53D3CA94" w14:textId="77777777" w:rsidTr="00F05711">
        <w:tc>
          <w:tcPr>
            <w:tcW w:w="3454" w:type="pct"/>
            <w:tcBorders>
              <w:bottom w:val="single" w:sz="2" w:space="0" w:color="auto"/>
            </w:tcBorders>
          </w:tcPr>
          <w:p w14:paraId="72BB2018"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lastRenderedPageBreak/>
              <w:t>NR. TOTAL DE FUNCŢII CONTRACTUALE DE CONDUCERE</w:t>
            </w:r>
          </w:p>
        </w:tc>
        <w:tc>
          <w:tcPr>
            <w:tcW w:w="542" w:type="pct"/>
            <w:tcBorders>
              <w:top w:val="single" w:sz="2" w:space="0" w:color="auto"/>
              <w:left w:val="single" w:sz="2" w:space="0" w:color="auto"/>
              <w:bottom w:val="single" w:sz="2" w:space="0" w:color="auto"/>
              <w:right w:val="single" w:sz="2" w:space="0" w:color="auto"/>
            </w:tcBorders>
            <w:vAlign w:val="center"/>
          </w:tcPr>
          <w:p w14:paraId="0FCB303C" w14:textId="65883882"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526" w:type="pct"/>
            <w:tcBorders>
              <w:top w:val="single" w:sz="2" w:space="0" w:color="auto"/>
              <w:left w:val="single" w:sz="2" w:space="0" w:color="auto"/>
              <w:bottom w:val="single" w:sz="2" w:space="0" w:color="auto"/>
              <w:right w:val="single" w:sz="2" w:space="0" w:color="auto"/>
            </w:tcBorders>
            <w:vAlign w:val="center"/>
          </w:tcPr>
          <w:p w14:paraId="0106167D" w14:textId="579DA9F8"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c>
          <w:tcPr>
            <w:tcW w:w="478" w:type="pct"/>
            <w:tcBorders>
              <w:top w:val="single" w:sz="2" w:space="0" w:color="auto"/>
              <w:left w:val="single" w:sz="2" w:space="0" w:color="auto"/>
              <w:bottom w:val="single" w:sz="2" w:space="0" w:color="auto"/>
              <w:right w:val="single" w:sz="2" w:space="0" w:color="auto"/>
            </w:tcBorders>
            <w:vAlign w:val="center"/>
          </w:tcPr>
          <w:p w14:paraId="61995EB9" w14:textId="34759B4B"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r>
      <w:tr w:rsidR="00F05711" w:rsidRPr="00FC22C0" w14:paraId="6A04F4AD" w14:textId="77777777" w:rsidTr="00F05711">
        <w:tc>
          <w:tcPr>
            <w:tcW w:w="3454" w:type="pct"/>
            <w:tcBorders>
              <w:bottom w:val="single" w:sz="2" w:space="0" w:color="auto"/>
            </w:tcBorders>
            <w:shd w:val="clear" w:color="auto" w:fill="E7E6E6"/>
          </w:tcPr>
          <w:p w14:paraId="7F0F803B"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FUNCŢII CONTRACTUALE DE EXECUŢIE</w:t>
            </w:r>
          </w:p>
        </w:tc>
        <w:tc>
          <w:tcPr>
            <w:tcW w:w="542"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10B749ED" w14:textId="2DBB5A47"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7</w:t>
            </w:r>
          </w:p>
        </w:tc>
        <w:tc>
          <w:tcPr>
            <w:tcW w:w="526"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629BD18D" w14:textId="4F82031E"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0EC300DE" w14:textId="29DA16F2"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7</w:t>
            </w:r>
          </w:p>
        </w:tc>
      </w:tr>
      <w:tr w:rsidR="00F05711" w:rsidRPr="00FC22C0" w14:paraId="6D8D24EE" w14:textId="77777777" w:rsidTr="00F05711">
        <w:tc>
          <w:tcPr>
            <w:tcW w:w="3454" w:type="pct"/>
            <w:tcBorders>
              <w:bottom w:val="single" w:sz="2" w:space="0" w:color="auto"/>
            </w:tcBorders>
            <w:shd w:val="clear" w:color="auto" w:fill="FFCCCC"/>
          </w:tcPr>
          <w:p w14:paraId="5B2B7B3F"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DE POSTURI DIN CADRUL INSTITUŢIEI/AUTORITĂŢII PUBLICE</w:t>
            </w:r>
          </w:p>
        </w:tc>
        <w:tc>
          <w:tcPr>
            <w:tcW w:w="542" w:type="pct"/>
            <w:tcBorders>
              <w:top w:val="single" w:sz="2" w:space="0" w:color="auto"/>
              <w:left w:val="single" w:sz="2" w:space="0" w:color="auto"/>
              <w:bottom w:val="single" w:sz="2" w:space="0" w:color="auto"/>
              <w:right w:val="single" w:sz="2" w:space="0" w:color="auto"/>
            </w:tcBorders>
            <w:shd w:val="clear" w:color="auto" w:fill="FFCCCC"/>
            <w:vAlign w:val="center"/>
          </w:tcPr>
          <w:p w14:paraId="2E23F708" w14:textId="0CDD02E7"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20</w:t>
            </w:r>
          </w:p>
        </w:tc>
        <w:tc>
          <w:tcPr>
            <w:tcW w:w="526" w:type="pct"/>
            <w:tcBorders>
              <w:top w:val="single" w:sz="2" w:space="0" w:color="auto"/>
              <w:left w:val="single" w:sz="2" w:space="0" w:color="auto"/>
              <w:bottom w:val="single" w:sz="2" w:space="0" w:color="auto"/>
              <w:right w:val="single" w:sz="2" w:space="0" w:color="auto"/>
            </w:tcBorders>
            <w:shd w:val="clear" w:color="auto" w:fill="FFCCCC"/>
            <w:vAlign w:val="center"/>
          </w:tcPr>
          <w:p w14:paraId="34C8AAE6" w14:textId="4560FBB2"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3</w:t>
            </w:r>
          </w:p>
        </w:tc>
        <w:tc>
          <w:tcPr>
            <w:tcW w:w="478" w:type="pct"/>
            <w:tcBorders>
              <w:top w:val="single" w:sz="2" w:space="0" w:color="auto"/>
              <w:left w:val="single" w:sz="2" w:space="0" w:color="auto"/>
              <w:bottom w:val="single" w:sz="2" w:space="0" w:color="auto"/>
              <w:right w:val="single" w:sz="2" w:space="0" w:color="auto"/>
            </w:tcBorders>
            <w:shd w:val="clear" w:color="auto" w:fill="FFCCCC"/>
            <w:vAlign w:val="center"/>
          </w:tcPr>
          <w:p w14:paraId="11510DDA" w14:textId="2FB9B1AE"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23</w:t>
            </w:r>
          </w:p>
        </w:tc>
      </w:tr>
      <w:tr w:rsidR="00F05711" w:rsidRPr="00FC22C0" w14:paraId="3B45C1E2" w14:textId="77777777" w:rsidTr="00F05711">
        <w:tc>
          <w:tcPr>
            <w:tcW w:w="3454" w:type="pct"/>
            <w:tcBorders>
              <w:bottom w:val="single" w:sz="2" w:space="0" w:color="auto"/>
            </w:tcBorders>
            <w:shd w:val="clear" w:color="auto" w:fill="F0ECF4"/>
          </w:tcPr>
          <w:p w14:paraId="5ACEBC44" w14:textId="19A66E6F"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Nr. total de posturi exceptate potrivit art.III alin.(2) din O.U.G.nr.63/2010 pentru modificarea şi completarea Legii nr.273/2006 privind finanţele publice locale, precum şi pentru stabilirea unor măsuri financiare, cu modificările şi completările ulterioare</w:t>
            </w:r>
          </w:p>
        </w:tc>
        <w:tc>
          <w:tcPr>
            <w:tcW w:w="542" w:type="pct"/>
            <w:tcBorders>
              <w:top w:val="single" w:sz="2" w:space="0" w:color="auto"/>
              <w:left w:val="single" w:sz="2" w:space="0" w:color="auto"/>
              <w:bottom w:val="single" w:sz="2" w:space="0" w:color="auto"/>
              <w:right w:val="single" w:sz="2" w:space="0" w:color="auto"/>
            </w:tcBorders>
            <w:shd w:val="clear" w:color="auto" w:fill="F0ECF4"/>
            <w:vAlign w:val="center"/>
          </w:tcPr>
          <w:p w14:paraId="481955A5" w14:textId="5DE58163"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w:t>
            </w:r>
          </w:p>
        </w:tc>
        <w:tc>
          <w:tcPr>
            <w:tcW w:w="526" w:type="pct"/>
            <w:tcBorders>
              <w:top w:val="single" w:sz="2" w:space="0" w:color="auto"/>
              <w:left w:val="single" w:sz="2" w:space="0" w:color="auto"/>
              <w:bottom w:val="single" w:sz="2" w:space="0" w:color="auto"/>
              <w:right w:val="single" w:sz="2" w:space="0" w:color="auto"/>
            </w:tcBorders>
            <w:shd w:val="clear" w:color="auto" w:fill="F0ECF4"/>
            <w:vAlign w:val="center"/>
          </w:tcPr>
          <w:p w14:paraId="0EF765B9" w14:textId="7952FB9E"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shd w:val="clear" w:color="auto" w:fill="F0ECF4"/>
            <w:vAlign w:val="center"/>
          </w:tcPr>
          <w:p w14:paraId="44062853" w14:textId="34C00480"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2</w:t>
            </w:r>
          </w:p>
        </w:tc>
      </w:tr>
      <w:tr w:rsidR="00F05711" w:rsidRPr="00FC22C0" w14:paraId="4A8767EC" w14:textId="77777777" w:rsidTr="00F05711">
        <w:tc>
          <w:tcPr>
            <w:tcW w:w="3454" w:type="pct"/>
            <w:shd w:val="clear" w:color="auto" w:fill="E7E6E6"/>
          </w:tcPr>
          <w:p w14:paraId="7E2BCABF"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Posturi adăugate pentru implementare proiecte finanțate din fonduri externe nerambursabile, potrivit pct.4 din Anexa la OUG nr.60/2010, cu modificările și completările ulterioare</w:t>
            </w:r>
          </w:p>
        </w:tc>
        <w:tc>
          <w:tcPr>
            <w:tcW w:w="542"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710E04CF" w14:textId="61E0190D"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526"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41DB6A1E" w14:textId="1530179B"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3</w:t>
            </w:r>
          </w:p>
        </w:tc>
        <w:tc>
          <w:tcPr>
            <w:tcW w:w="478"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1982D08D" w14:textId="1C3C7500"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3</w:t>
            </w:r>
          </w:p>
        </w:tc>
      </w:tr>
      <w:tr w:rsidR="00F05711" w:rsidRPr="00FC22C0" w14:paraId="5881BF91" w14:textId="77777777" w:rsidTr="00F05711">
        <w:tc>
          <w:tcPr>
            <w:tcW w:w="3454" w:type="pct"/>
            <w:shd w:val="clear" w:color="auto" w:fill="E7E6E6"/>
          </w:tcPr>
          <w:p w14:paraId="47AA9323" w14:textId="77777777" w:rsidR="00F05711" w:rsidRPr="00FC22C0" w:rsidRDefault="00F05711" w:rsidP="00F05711">
            <w:pPr>
              <w:widowControl w:val="0"/>
              <w:jc w:val="center"/>
              <w:outlineLvl w:val="0"/>
              <w:rPr>
                <w:rFonts w:asciiTheme="minorHAnsi" w:eastAsia="Calibri" w:hAnsiTheme="minorHAnsi" w:cstheme="minorHAnsi"/>
                <w:b/>
                <w:bCs/>
                <w:lang w:val="ro-RO"/>
              </w:rPr>
            </w:pPr>
            <w:r w:rsidRPr="00FC22C0">
              <w:rPr>
                <w:rFonts w:asciiTheme="minorHAnsi" w:eastAsia="Calibri" w:hAnsiTheme="minorHAnsi" w:cstheme="minorHAnsi"/>
                <w:b/>
                <w:bCs/>
                <w:lang w:val="ro-RO"/>
              </w:rPr>
              <w:t xml:space="preserve">Posturi suplimentare pentru postimplementare proiecte finanțate din fonduri externe nerambursabile potrivit pct.6 din Anexa la OUG nr.60/2010, cu modificările și completările ulterioare  </w:t>
            </w:r>
          </w:p>
        </w:tc>
        <w:tc>
          <w:tcPr>
            <w:tcW w:w="542"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75DB8DB6" w14:textId="6C20E73A"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c>
          <w:tcPr>
            <w:tcW w:w="526"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02D883D2" w14:textId="3417B5BF"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0</w:t>
            </w:r>
          </w:p>
        </w:tc>
        <w:tc>
          <w:tcPr>
            <w:tcW w:w="478" w:type="pct"/>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4745B6C7" w14:textId="11638B61" w:rsidR="00F05711" w:rsidRPr="00FC22C0" w:rsidRDefault="00F05711" w:rsidP="00F05711">
            <w:pPr>
              <w:widowControl w:val="0"/>
              <w:jc w:val="center"/>
              <w:outlineLvl w:val="0"/>
              <w:rPr>
                <w:rFonts w:asciiTheme="minorHAnsi" w:eastAsia="Calibri" w:hAnsiTheme="minorHAnsi" w:cstheme="minorHAnsi"/>
                <w:b/>
                <w:bCs/>
                <w:lang w:val="ro-RO"/>
              </w:rPr>
            </w:pPr>
            <w:r>
              <w:rPr>
                <w:rFonts w:ascii="OpenSans-Regular" w:eastAsiaTheme="minorHAnsi" w:hAnsi="OpenSans-Regular" w:cs="OpenSans-Regular"/>
                <w:b/>
                <w:bCs/>
                <w:lang w:val="ro-RO"/>
              </w:rPr>
              <w:t>1</w:t>
            </w:r>
          </w:p>
        </w:tc>
      </w:tr>
    </w:tbl>
    <w:p w14:paraId="27AC4D52" w14:textId="4511F231" w:rsidR="00F74C43" w:rsidRPr="00FC22C0" w:rsidRDefault="00902E24" w:rsidP="004627BC">
      <w:pPr>
        <w:spacing w:before="120" w:after="200"/>
        <w:jc w:val="both"/>
        <w:rPr>
          <w:rFonts w:asciiTheme="minorHAnsi" w:eastAsia="Calibri" w:hAnsiTheme="minorHAnsi" w:cstheme="minorHAnsi"/>
        </w:rPr>
      </w:pPr>
      <w:r w:rsidRPr="00FC22C0">
        <w:rPr>
          <w:rFonts w:asciiTheme="minorHAnsi" w:eastAsia="Calibri" w:hAnsiTheme="minorHAnsi" w:cstheme="minorHAnsi"/>
        </w:rPr>
        <w:t xml:space="preserve">Față de elementele prezentate, </w:t>
      </w:r>
      <w:r w:rsidR="009D7998" w:rsidRPr="00FC22C0">
        <w:rPr>
          <w:rFonts w:asciiTheme="minorHAnsi" w:eastAsia="Calibri" w:hAnsiTheme="minorHAnsi" w:cstheme="minorHAnsi"/>
        </w:rPr>
        <w:t>în temeiul art.</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136 alin.</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 coroborate art.</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139 alin.</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 și alin.</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(2) lit.</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a) şi art.</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196 alin.</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(1) lit.</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a) teza întâi din Ordonanța de urgență a Guvernului nr.</w:t>
      </w:r>
      <w:r w:rsidR="00F05711">
        <w:rPr>
          <w:rFonts w:asciiTheme="minorHAnsi" w:eastAsia="Calibri" w:hAnsiTheme="minorHAnsi" w:cstheme="minorHAnsi"/>
        </w:rPr>
        <w:t xml:space="preserve"> </w:t>
      </w:r>
      <w:r w:rsidR="009D7998" w:rsidRPr="00FC22C0">
        <w:rPr>
          <w:rFonts w:asciiTheme="minorHAnsi" w:eastAsia="Calibri" w:hAnsiTheme="minorHAnsi" w:cstheme="minorHAnsi"/>
        </w:rPr>
        <w:t>57/2019 privind Codul Administrativ</w:t>
      </w:r>
      <w:r w:rsidRPr="00FC22C0">
        <w:rPr>
          <w:rFonts w:asciiTheme="minorHAnsi" w:eastAsia="Calibri" w:hAnsiTheme="minorHAnsi" w:cstheme="minorHAnsi"/>
        </w:rPr>
        <w:t xml:space="preserve">, </w:t>
      </w:r>
      <w:r w:rsidR="00810D01" w:rsidRPr="00FC22C0">
        <w:rPr>
          <w:rFonts w:asciiTheme="minorHAnsi" w:eastAsia="Calibri" w:hAnsiTheme="minorHAnsi" w:cstheme="minorHAnsi"/>
        </w:rPr>
        <w:t xml:space="preserve">cu modificările și completările ulterioare, </w:t>
      </w:r>
      <w:r w:rsidRPr="00FC22C0">
        <w:rPr>
          <w:rFonts w:asciiTheme="minorHAnsi" w:eastAsia="Calibri" w:hAnsiTheme="minorHAnsi" w:cstheme="minorHAnsi"/>
        </w:rPr>
        <w:t>propun spre dezbatere și aprobare proiectul de hotărâre nr.</w:t>
      </w:r>
      <w:r w:rsidRPr="00FC22C0">
        <w:rPr>
          <w:rFonts w:asciiTheme="minorHAnsi" w:hAnsiTheme="minorHAnsi" w:cstheme="minorHAnsi"/>
          <w:lang w:val="ro-RO"/>
        </w:rPr>
        <w:t xml:space="preserve"> </w:t>
      </w:r>
      <w:r w:rsidR="00810D01" w:rsidRPr="00FC22C0">
        <w:rPr>
          <w:rFonts w:asciiTheme="minorHAnsi" w:hAnsiTheme="minorHAnsi" w:cstheme="minorHAnsi"/>
          <w:lang w:val="ro-RO"/>
        </w:rPr>
        <w:t>2</w:t>
      </w:r>
      <w:r w:rsidR="003C00E2">
        <w:rPr>
          <w:rFonts w:asciiTheme="minorHAnsi" w:hAnsiTheme="minorHAnsi" w:cstheme="minorHAnsi"/>
          <w:lang w:val="ro-RO"/>
        </w:rPr>
        <w:t>8</w:t>
      </w:r>
      <w:r w:rsidR="00810D01" w:rsidRPr="00FC22C0">
        <w:rPr>
          <w:rFonts w:asciiTheme="minorHAnsi" w:hAnsiTheme="minorHAnsi" w:cstheme="minorHAnsi"/>
          <w:lang w:val="ro-RO"/>
        </w:rPr>
        <w:t xml:space="preserve"> </w:t>
      </w:r>
      <w:r w:rsidR="008E343B" w:rsidRPr="00FC22C0">
        <w:rPr>
          <w:rFonts w:asciiTheme="minorHAnsi" w:hAnsiTheme="minorHAnsi" w:cstheme="minorHAnsi"/>
          <w:lang w:val="ro-RO"/>
        </w:rPr>
        <w:t xml:space="preserve">din </w:t>
      </w:r>
      <w:r w:rsidR="003C00E2">
        <w:rPr>
          <w:rFonts w:asciiTheme="minorHAnsi" w:hAnsiTheme="minorHAnsi" w:cstheme="minorHAnsi"/>
          <w:lang w:val="ro-RO"/>
        </w:rPr>
        <w:t>1</w:t>
      </w:r>
      <w:r w:rsidR="00810D01" w:rsidRPr="00FC22C0">
        <w:rPr>
          <w:rFonts w:asciiTheme="minorHAnsi" w:hAnsiTheme="minorHAnsi" w:cstheme="minorHAnsi"/>
          <w:lang w:val="ro-RO"/>
        </w:rPr>
        <w:t>2.0</w:t>
      </w:r>
      <w:r w:rsidR="003C00E2">
        <w:rPr>
          <w:rFonts w:asciiTheme="minorHAnsi" w:hAnsiTheme="minorHAnsi" w:cstheme="minorHAnsi"/>
          <w:lang w:val="ro-RO"/>
        </w:rPr>
        <w:t>4</w:t>
      </w:r>
      <w:r w:rsidR="00810D01" w:rsidRPr="00FC22C0">
        <w:rPr>
          <w:rFonts w:asciiTheme="minorHAnsi" w:hAnsiTheme="minorHAnsi" w:cstheme="minorHAnsi"/>
          <w:lang w:val="ro-RO"/>
        </w:rPr>
        <w:t>.202</w:t>
      </w:r>
      <w:r w:rsidR="003C00E2">
        <w:rPr>
          <w:rFonts w:asciiTheme="minorHAnsi" w:hAnsiTheme="minorHAnsi" w:cstheme="minorHAnsi"/>
          <w:lang w:val="ro-RO"/>
        </w:rPr>
        <w:t>2</w:t>
      </w:r>
      <w:r w:rsidR="008E343B" w:rsidRPr="00FC22C0">
        <w:rPr>
          <w:rFonts w:asciiTheme="minorHAnsi" w:hAnsiTheme="minorHAnsi" w:cstheme="minorHAnsi"/>
          <w:lang w:val="ro-RO"/>
        </w:rPr>
        <w:t xml:space="preserve"> </w:t>
      </w:r>
      <w:r w:rsidRPr="00FC22C0">
        <w:rPr>
          <w:rFonts w:asciiTheme="minorHAnsi" w:eastAsia="Calibri" w:hAnsiTheme="minorHAnsi" w:cstheme="minorHAnsi"/>
          <w:lang w:val="ro-RO"/>
        </w:rPr>
        <w:t xml:space="preserve">privind </w:t>
      </w:r>
      <w:r w:rsidR="00810D01" w:rsidRPr="00FC22C0">
        <w:rPr>
          <w:rFonts w:asciiTheme="minorHAnsi" w:eastAsia="Calibri" w:hAnsiTheme="minorHAnsi" w:cstheme="minorHAnsi"/>
        </w:rPr>
        <w:t>aprobarea Organigramei resurselor umane şi Statului de funcții de la nivelul Primăriei Comunei Șoldanu, Judeţul Călăraşi, în anul 202</w:t>
      </w:r>
      <w:r w:rsidR="003C00E2">
        <w:rPr>
          <w:rFonts w:asciiTheme="minorHAnsi" w:eastAsia="Calibri" w:hAnsiTheme="minorHAnsi" w:cstheme="minorHAnsi"/>
        </w:rPr>
        <w:t>2</w:t>
      </w:r>
      <w:r w:rsidRPr="00FC22C0">
        <w:rPr>
          <w:rFonts w:asciiTheme="minorHAnsi" w:eastAsia="Calibri" w:hAnsiTheme="minorHAnsi" w:cstheme="minorHAnsi"/>
        </w:rPr>
        <w:t>.</w:t>
      </w:r>
    </w:p>
    <w:p w14:paraId="181EFF2F" w14:textId="759B0ED3" w:rsidR="008D40C1" w:rsidRPr="00FC22C0" w:rsidRDefault="003C00E2" w:rsidP="008D40C1">
      <w:pPr>
        <w:ind w:left="360"/>
        <w:jc w:val="center"/>
        <w:rPr>
          <w:rFonts w:asciiTheme="minorHAnsi" w:hAnsiTheme="minorHAnsi" w:cstheme="minorHAnsi"/>
          <w:b/>
        </w:rPr>
      </w:pPr>
      <w:r>
        <w:rPr>
          <w:rFonts w:asciiTheme="minorHAnsi" w:hAnsiTheme="minorHAnsi" w:cstheme="minorHAnsi"/>
          <w:b/>
        </w:rPr>
        <w:t xml:space="preserve">p. </w:t>
      </w:r>
      <w:r w:rsidR="00662F89" w:rsidRPr="00FC22C0">
        <w:rPr>
          <w:rFonts w:asciiTheme="minorHAnsi" w:hAnsiTheme="minorHAnsi" w:cstheme="minorHAnsi"/>
          <w:b/>
        </w:rPr>
        <w:t>Primarul Comunei Șoldanu</w:t>
      </w:r>
      <w:r w:rsidR="008D40C1" w:rsidRPr="00FC22C0">
        <w:rPr>
          <w:rFonts w:asciiTheme="minorHAnsi" w:hAnsiTheme="minorHAnsi" w:cstheme="minorHAnsi"/>
          <w:b/>
        </w:rPr>
        <w:t>,</w:t>
      </w:r>
    </w:p>
    <w:p w14:paraId="783070FB" w14:textId="4CDF8CC1" w:rsidR="00245155" w:rsidRPr="00FC22C0" w:rsidRDefault="008D40C1" w:rsidP="008D40C1">
      <w:pPr>
        <w:jc w:val="center"/>
        <w:rPr>
          <w:rFonts w:asciiTheme="minorHAnsi" w:hAnsiTheme="minorHAnsi" w:cstheme="minorHAnsi"/>
          <w:b/>
        </w:rPr>
      </w:pPr>
      <w:r w:rsidRPr="00FC22C0">
        <w:rPr>
          <w:rFonts w:asciiTheme="minorHAnsi" w:hAnsiTheme="minorHAnsi" w:cstheme="minorHAnsi"/>
        </w:rPr>
        <w:t xml:space="preserve">        Iulian</w:t>
      </w:r>
      <w:r w:rsidR="00400284" w:rsidRPr="00FC22C0">
        <w:rPr>
          <w:rFonts w:asciiTheme="minorHAnsi" w:hAnsiTheme="minorHAnsi" w:cstheme="minorHAnsi"/>
        </w:rPr>
        <w:t xml:space="preserve"> </w:t>
      </w:r>
      <w:r w:rsidR="003C00E2">
        <w:rPr>
          <w:rFonts w:asciiTheme="minorHAnsi" w:hAnsiTheme="minorHAnsi" w:cstheme="minorHAnsi"/>
        </w:rPr>
        <w:t>MARIN</w:t>
      </w:r>
    </w:p>
    <w:sectPr w:rsidR="00245155" w:rsidRPr="00FC22C0" w:rsidSect="000C60AA">
      <w:footerReference w:type="default" r:id="rId7"/>
      <w:endnotePr>
        <w:numFmt w:val="decimal"/>
        <w:numStart w:val="0"/>
      </w:endnotePr>
      <w:pgSz w:w="12240" w:h="15840"/>
      <w:pgMar w:top="630" w:right="1041" w:bottom="54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E4DE" w14:textId="77777777" w:rsidR="000E1755" w:rsidRDefault="000E1755" w:rsidP="00DD4131">
      <w:r>
        <w:separator/>
      </w:r>
    </w:p>
  </w:endnote>
  <w:endnote w:type="continuationSeparator" w:id="0">
    <w:p w14:paraId="28304286" w14:textId="77777777" w:rsidR="000E1755" w:rsidRDefault="000E1755" w:rsidP="00D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34288"/>
      <w:docPartObj>
        <w:docPartGallery w:val="Page Numbers (Bottom of Page)"/>
        <w:docPartUnique/>
      </w:docPartObj>
    </w:sdtPr>
    <w:sdtEndPr/>
    <w:sdtContent>
      <w:sdt>
        <w:sdtPr>
          <w:id w:val="1728636285"/>
          <w:docPartObj>
            <w:docPartGallery w:val="Page Numbers (Top of Page)"/>
            <w:docPartUnique/>
          </w:docPartObj>
        </w:sdtPr>
        <w:sdtEndPr/>
        <w:sdtContent>
          <w:p w14:paraId="20DC3CAB" w14:textId="7670A3A4" w:rsidR="00DD4131" w:rsidRPr="00810D01" w:rsidRDefault="00810D01" w:rsidP="00810D01">
            <w:pPr>
              <w:pStyle w:val="Subsol"/>
              <w:spacing w:before="120"/>
              <w:jc w:val="center"/>
            </w:pPr>
            <w:r w:rsidRPr="00810D01">
              <w:rPr>
                <w:sz w:val="20"/>
                <w:szCs w:val="20"/>
                <w:highlight w:val="lightGray"/>
                <w:lang w:val="ro-RO"/>
              </w:rPr>
              <w:t xml:space="preserve">Pagină </w:t>
            </w:r>
            <w:r w:rsidRPr="00810D01">
              <w:rPr>
                <w:b/>
                <w:bCs/>
                <w:sz w:val="20"/>
                <w:szCs w:val="20"/>
                <w:highlight w:val="lightGray"/>
              </w:rPr>
              <w:fldChar w:fldCharType="begin"/>
            </w:r>
            <w:r w:rsidRPr="00810D01">
              <w:rPr>
                <w:b/>
                <w:bCs/>
                <w:sz w:val="20"/>
                <w:szCs w:val="20"/>
                <w:highlight w:val="lightGray"/>
              </w:rPr>
              <w:instrText>PAGE</w:instrText>
            </w:r>
            <w:r w:rsidRPr="00810D01">
              <w:rPr>
                <w:b/>
                <w:bCs/>
                <w:sz w:val="20"/>
                <w:szCs w:val="20"/>
                <w:highlight w:val="lightGray"/>
              </w:rPr>
              <w:fldChar w:fldCharType="separate"/>
            </w:r>
            <w:r w:rsidRPr="00810D01">
              <w:rPr>
                <w:b/>
                <w:bCs/>
                <w:sz w:val="20"/>
                <w:szCs w:val="20"/>
                <w:highlight w:val="lightGray"/>
                <w:lang w:val="ro-RO"/>
              </w:rPr>
              <w:t>2</w:t>
            </w:r>
            <w:r w:rsidRPr="00810D01">
              <w:rPr>
                <w:b/>
                <w:bCs/>
                <w:sz w:val="20"/>
                <w:szCs w:val="20"/>
                <w:highlight w:val="lightGray"/>
              </w:rPr>
              <w:fldChar w:fldCharType="end"/>
            </w:r>
            <w:r w:rsidRPr="00810D01">
              <w:rPr>
                <w:sz w:val="20"/>
                <w:szCs w:val="20"/>
                <w:highlight w:val="lightGray"/>
                <w:lang w:val="ro-RO"/>
              </w:rPr>
              <w:t xml:space="preserve"> din </w:t>
            </w:r>
            <w:r w:rsidRPr="00810D01">
              <w:rPr>
                <w:b/>
                <w:bCs/>
                <w:sz w:val="20"/>
                <w:szCs w:val="20"/>
                <w:highlight w:val="lightGray"/>
              </w:rPr>
              <w:fldChar w:fldCharType="begin"/>
            </w:r>
            <w:r w:rsidRPr="00810D01">
              <w:rPr>
                <w:b/>
                <w:bCs/>
                <w:sz w:val="20"/>
                <w:szCs w:val="20"/>
                <w:highlight w:val="lightGray"/>
              </w:rPr>
              <w:instrText>NUMPAGES</w:instrText>
            </w:r>
            <w:r w:rsidRPr="00810D01">
              <w:rPr>
                <w:b/>
                <w:bCs/>
                <w:sz w:val="20"/>
                <w:szCs w:val="20"/>
                <w:highlight w:val="lightGray"/>
              </w:rPr>
              <w:fldChar w:fldCharType="separate"/>
            </w:r>
            <w:r w:rsidRPr="00810D01">
              <w:rPr>
                <w:b/>
                <w:bCs/>
                <w:sz w:val="20"/>
                <w:szCs w:val="20"/>
                <w:highlight w:val="lightGray"/>
                <w:lang w:val="ro-RO"/>
              </w:rPr>
              <w:t>2</w:t>
            </w:r>
            <w:r w:rsidRPr="00810D01">
              <w:rPr>
                <w:b/>
                <w:bCs/>
                <w:sz w:val="20"/>
                <w:szCs w:val="20"/>
                <w:highlight w:val="lightGray"/>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1C16" w14:textId="77777777" w:rsidR="000E1755" w:rsidRDefault="000E1755" w:rsidP="00DD4131">
      <w:r>
        <w:separator/>
      </w:r>
    </w:p>
  </w:footnote>
  <w:footnote w:type="continuationSeparator" w:id="0">
    <w:p w14:paraId="730D663A" w14:textId="77777777" w:rsidR="000E1755" w:rsidRDefault="000E1755" w:rsidP="00DD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56"/>
    <w:multiLevelType w:val="hybridMultilevel"/>
    <w:tmpl w:val="52422CC8"/>
    <w:lvl w:ilvl="0" w:tplc="0418000B">
      <w:start w:val="1"/>
      <w:numFmt w:val="bullet"/>
      <w:lvlText w:val=""/>
      <w:lvlJc w:val="left"/>
      <w:pPr>
        <w:tabs>
          <w:tab w:val="num" w:pos="2600"/>
        </w:tabs>
        <w:ind w:left="26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CAA0A3C"/>
    <w:multiLevelType w:val="multilevel"/>
    <w:tmpl w:val="BE2E624E"/>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135447E"/>
    <w:multiLevelType w:val="hybridMultilevel"/>
    <w:tmpl w:val="72DCE334"/>
    <w:lvl w:ilvl="0" w:tplc="C06C660C">
      <w:start w:val="1"/>
      <w:numFmt w:val="bullet"/>
      <w:suff w:val="space"/>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1B157D7"/>
    <w:multiLevelType w:val="hybridMultilevel"/>
    <w:tmpl w:val="257EC208"/>
    <w:lvl w:ilvl="0" w:tplc="88665174">
      <w:start w:val="1"/>
      <w:numFmt w:val="bullet"/>
      <w:suff w:val="space"/>
      <w:lvlText w:val=""/>
      <w:lvlJc w:val="left"/>
      <w:pPr>
        <w:ind w:left="0" w:firstLine="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503AD2"/>
    <w:multiLevelType w:val="hybridMultilevel"/>
    <w:tmpl w:val="22242E58"/>
    <w:lvl w:ilvl="0" w:tplc="0418000B">
      <w:start w:val="1"/>
      <w:numFmt w:val="bullet"/>
      <w:lvlText w:val=""/>
      <w:lvlJc w:val="left"/>
      <w:pPr>
        <w:tabs>
          <w:tab w:val="num" w:pos="2600"/>
        </w:tabs>
        <w:ind w:left="2600" w:hanging="360"/>
      </w:pPr>
      <w:rPr>
        <w:rFonts w:ascii="Wingdings" w:hAnsi="Wingdings" w:hint="default"/>
      </w:rPr>
    </w:lvl>
    <w:lvl w:ilvl="1" w:tplc="0418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571BF0"/>
    <w:multiLevelType w:val="hybridMultilevel"/>
    <w:tmpl w:val="D7963F1E"/>
    <w:lvl w:ilvl="0" w:tplc="C6C27C92">
      <w:start w:val="1"/>
      <w:numFmt w:val="bullet"/>
      <w:lvlText w:val=""/>
      <w:lvlJc w:val="left"/>
      <w:pPr>
        <w:tabs>
          <w:tab w:val="num" w:pos="360"/>
        </w:tabs>
        <w:ind w:left="360" w:hanging="360"/>
      </w:pPr>
      <w:rPr>
        <w:rFonts w:ascii="Wingdings" w:hAnsi="Wingdings" w:hint="default"/>
        <w:sz w:val="24"/>
      </w:rPr>
    </w:lvl>
    <w:lvl w:ilvl="1" w:tplc="04180017">
      <w:start w:val="1"/>
      <w:numFmt w:val="lowerLetter"/>
      <w:lvlText w:val="%2)"/>
      <w:lvlJc w:val="left"/>
      <w:pPr>
        <w:ind w:left="1440" w:hanging="360"/>
      </w:pPr>
      <w:rPr>
        <w:rFonts w:hint="default"/>
      </w:rPr>
    </w:lvl>
    <w:lvl w:ilvl="2" w:tplc="3E189F18">
      <w:start w:val="11"/>
      <w:numFmt w:val="lowerLetter"/>
      <w:lvlText w:val="%3)"/>
      <w:lvlJc w:val="left"/>
      <w:pPr>
        <w:ind w:left="2160" w:hanging="360"/>
      </w:pPr>
      <w:rPr>
        <w:rFont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9B5382"/>
    <w:multiLevelType w:val="hybridMultilevel"/>
    <w:tmpl w:val="3E244610"/>
    <w:lvl w:ilvl="0" w:tplc="C6C27C92">
      <w:start w:val="1"/>
      <w:numFmt w:val="bullet"/>
      <w:lvlText w:val=""/>
      <w:lvlJc w:val="left"/>
      <w:pPr>
        <w:tabs>
          <w:tab w:val="num" w:pos="360"/>
        </w:tabs>
        <w:ind w:left="360" w:hanging="360"/>
      </w:pPr>
      <w:rPr>
        <w:rFonts w:ascii="Wingdings" w:hAnsi="Wingdings"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B1395E"/>
    <w:multiLevelType w:val="multilevel"/>
    <w:tmpl w:val="52422CC8"/>
    <w:lvl w:ilvl="0">
      <w:start w:val="1"/>
      <w:numFmt w:val="bullet"/>
      <w:lvlText w:val=""/>
      <w:lvlJc w:val="left"/>
      <w:pPr>
        <w:tabs>
          <w:tab w:val="num" w:pos="2600"/>
        </w:tabs>
        <w:ind w:left="26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B465130"/>
    <w:multiLevelType w:val="hybridMultilevel"/>
    <w:tmpl w:val="1EE815D6"/>
    <w:lvl w:ilvl="0" w:tplc="4BCC591A">
      <w:start w:val="1"/>
      <w:numFmt w:val="lowerLetter"/>
      <w:lvlText w:val="%1)"/>
      <w:lvlJc w:val="left"/>
      <w:pPr>
        <w:ind w:left="216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6743136"/>
    <w:multiLevelType w:val="hybridMultilevel"/>
    <w:tmpl w:val="3C5CEC76"/>
    <w:lvl w:ilvl="0" w:tplc="C6C27C92">
      <w:start w:val="1"/>
      <w:numFmt w:val="bullet"/>
      <w:lvlText w:val=""/>
      <w:lvlJc w:val="left"/>
      <w:pPr>
        <w:tabs>
          <w:tab w:val="num" w:pos="360"/>
        </w:tabs>
        <w:ind w:left="360" w:hanging="360"/>
      </w:pPr>
      <w:rPr>
        <w:rFonts w:ascii="Wingdings" w:hAnsi="Wingdings" w:hint="default"/>
        <w:sz w:val="24"/>
      </w:rPr>
    </w:lvl>
    <w:lvl w:ilvl="1" w:tplc="04180017">
      <w:start w:val="1"/>
      <w:numFmt w:val="lowerLetter"/>
      <w:lvlText w:val="%2)"/>
      <w:lvlJc w:val="left"/>
      <w:pPr>
        <w:ind w:left="1440" w:hanging="360"/>
      </w:pPr>
      <w:rPr>
        <w:rFonts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FF7C00"/>
    <w:multiLevelType w:val="hybridMultilevel"/>
    <w:tmpl w:val="9A2E8180"/>
    <w:lvl w:ilvl="0" w:tplc="0418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F3EC7"/>
    <w:multiLevelType w:val="hybridMultilevel"/>
    <w:tmpl w:val="1EE8FED6"/>
    <w:lvl w:ilvl="0" w:tplc="C6C27C92">
      <w:start w:val="1"/>
      <w:numFmt w:val="bullet"/>
      <w:lvlText w:val=""/>
      <w:lvlJc w:val="left"/>
      <w:pPr>
        <w:tabs>
          <w:tab w:val="num" w:pos="360"/>
        </w:tabs>
        <w:ind w:left="360" w:hanging="360"/>
      </w:pPr>
      <w:rPr>
        <w:rFonts w:ascii="Wingdings" w:hAnsi="Wingdings" w:hint="default"/>
        <w:sz w:val="24"/>
      </w:rPr>
    </w:lvl>
    <w:lvl w:ilvl="1" w:tplc="04180003">
      <w:start w:val="1"/>
      <w:numFmt w:val="bullet"/>
      <w:lvlText w:val="o"/>
      <w:lvlJc w:val="left"/>
      <w:pPr>
        <w:ind w:left="1440" w:hanging="360"/>
      </w:pPr>
      <w:rPr>
        <w:rFonts w:ascii="Courier New" w:hAnsi="Courier New" w:cs="Courier New" w:hint="default"/>
      </w:rPr>
    </w:lvl>
    <w:lvl w:ilvl="2" w:tplc="038A139E">
      <w:start w:val="1"/>
      <w:numFmt w:val="decimal"/>
      <w:lvlText w:val="(%3)"/>
      <w:lvlJc w:val="left"/>
      <w:pPr>
        <w:ind w:left="2160" w:hanging="360"/>
      </w:pPr>
      <w:rPr>
        <w:rFonts w:ascii="Times New Roman" w:hAnsi="Times New Roman" w:hint="default"/>
        <w:b w:val="0"/>
        <w:i w:val="0"/>
        <w:sz w:val="24"/>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DF2A6A"/>
    <w:multiLevelType w:val="hybridMultilevel"/>
    <w:tmpl w:val="BBC05456"/>
    <w:lvl w:ilvl="0" w:tplc="C6C27C92">
      <w:start w:val="1"/>
      <w:numFmt w:val="bullet"/>
      <w:lvlText w:val=""/>
      <w:lvlJc w:val="left"/>
      <w:pPr>
        <w:tabs>
          <w:tab w:val="num" w:pos="360"/>
        </w:tabs>
        <w:ind w:left="360" w:hanging="360"/>
      </w:pPr>
      <w:rPr>
        <w:rFonts w:ascii="Wingdings" w:hAnsi="Wingdings" w:hint="default"/>
        <w:sz w:val="24"/>
      </w:rPr>
    </w:lvl>
    <w:lvl w:ilvl="1" w:tplc="04180011">
      <w:start w:val="1"/>
      <w:numFmt w:val="decimal"/>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2264969"/>
    <w:multiLevelType w:val="multilevel"/>
    <w:tmpl w:val="070EEE46"/>
    <w:lvl w:ilvl="0">
      <w:start w:val="1"/>
      <w:numFmt w:val="none"/>
      <w:lvlText w:val=""/>
      <w:legacy w:legacy="1" w:legacySpace="120" w:legacyIndent="360"/>
      <w:lvlJc w:val="left"/>
      <w:pPr>
        <w:ind w:left="360" w:hanging="360"/>
      </w:pPr>
      <w:rPr>
        <w:rFonts w:ascii="Wingdings" w:hAnsi="Wingdings" w:hint="default"/>
        <w:sz w:val="16"/>
      </w:rPr>
    </w:lvl>
    <w:lvl w:ilv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A205010"/>
    <w:multiLevelType w:val="hybridMultilevel"/>
    <w:tmpl w:val="96862696"/>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DA1912"/>
    <w:multiLevelType w:val="hybridMultilevel"/>
    <w:tmpl w:val="9C7482EE"/>
    <w:lvl w:ilvl="0" w:tplc="49187F3C">
      <w:start w:val="1"/>
      <w:numFmt w:val="lowerLetter"/>
      <w:lvlText w:val="%1)"/>
      <w:lvlJc w:val="left"/>
      <w:pPr>
        <w:tabs>
          <w:tab w:val="num" w:pos="600"/>
        </w:tabs>
        <w:ind w:left="600" w:hanging="360"/>
      </w:pPr>
      <w:rPr>
        <w:rFonts w:eastAsia="Times New Roman"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5E523F3E"/>
    <w:multiLevelType w:val="hybridMultilevel"/>
    <w:tmpl w:val="C17E721A"/>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9D8637E"/>
    <w:multiLevelType w:val="hybridMultilevel"/>
    <w:tmpl w:val="5E08CCFE"/>
    <w:lvl w:ilvl="0" w:tplc="0409000B">
      <w:start w:val="1"/>
      <w:numFmt w:val="bullet"/>
      <w:lvlText w:val=""/>
      <w:lvlJc w:val="left"/>
      <w:pPr>
        <w:tabs>
          <w:tab w:val="num" w:pos="1395"/>
        </w:tabs>
        <w:ind w:left="1395" w:hanging="360"/>
      </w:pPr>
      <w:rPr>
        <w:rFonts w:ascii="Wingdings" w:hAnsi="Wingdings"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18" w15:restartNumberingAfterBreak="0">
    <w:nsid w:val="7569195D"/>
    <w:multiLevelType w:val="hybridMultilevel"/>
    <w:tmpl w:val="AC28119A"/>
    <w:lvl w:ilvl="0" w:tplc="4BCC591A">
      <w:start w:val="1"/>
      <w:numFmt w:val="lowerLetter"/>
      <w:lvlText w:val="%1)"/>
      <w:lvlJc w:val="left"/>
      <w:pPr>
        <w:tabs>
          <w:tab w:val="num" w:pos="720"/>
        </w:tabs>
        <w:ind w:left="720" w:hanging="360"/>
      </w:pPr>
      <w:rPr>
        <w:rFonts w:eastAsia="Times New Roma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3444837">
    <w:abstractNumId w:val="17"/>
  </w:num>
  <w:num w:numId="2" w16cid:durableId="1729376005">
    <w:abstractNumId w:val="1"/>
  </w:num>
  <w:num w:numId="3" w16cid:durableId="1795949666">
    <w:abstractNumId w:val="13"/>
  </w:num>
  <w:num w:numId="4" w16cid:durableId="1873573017">
    <w:abstractNumId w:val="16"/>
  </w:num>
  <w:num w:numId="5" w16cid:durableId="1323578750">
    <w:abstractNumId w:val="0"/>
  </w:num>
  <w:num w:numId="6" w16cid:durableId="976881697">
    <w:abstractNumId w:val="7"/>
  </w:num>
  <w:num w:numId="7" w16cid:durableId="1634602566">
    <w:abstractNumId w:val="4"/>
  </w:num>
  <w:num w:numId="8" w16cid:durableId="905532743">
    <w:abstractNumId w:val="18"/>
  </w:num>
  <w:num w:numId="9" w16cid:durableId="1229733177">
    <w:abstractNumId w:val="15"/>
  </w:num>
  <w:num w:numId="10" w16cid:durableId="872693939">
    <w:abstractNumId w:val="14"/>
  </w:num>
  <w:num w:numId="11" w16cid:durableId="1892763878">
    <w:abstractNumId w:val="10"/>
  </w:num>
  <w:num w:numId="12" w16cid:durableId="1983847196">
    <w:abstractNumId w:val="2"/>
  </w:num>
  <w:num w:numId="13" w16cid:durableId="884022169">
    <w:abstractNumId w:val="6"/>
  </w:num>
  <w:num w:numId="14" w16cid:durableId="1171870776">
    <w:abstractNumId w:val="3"/>
  </w:num>
  <w:num w:numId="15" w16cid:durableId="1302659781">
    <w:abstractNumId w:val="12"/>
  </w:num>
  <w:num w:numId="16" w16cid:durableId="274144360">
    <w:abstractNumId w:val="9"/>
  </w:num>
  <w:num w:numId="17" w16cid:durableId="1713379317">
    <w:abstractNumId w:val="5"/>
  </w:num>
  <w:num w:numId="18" w16cid:durableId="1970896778">
    <w:abstractNumId w:val="8"/>
  </w:num>
  <w:num w:numId="19" w16cid:durableId="371266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A5"/>
    <w:rsid w:val="00000750"/>
    <w:rsid w:val="000201F0"/>
    <w:rsid w:val="0003189F"/>
    <w:rsid w:val="00053D6A"/>
    <w:rsid w:val="00072557"/>
    <w:rsid w:val="00091A11"/>
    <w:rsid w:val="000A38F5"/>
    <w:rsid w:val="000A467E"/>
    <w:rsid w:val="000B6310"/>
    <w:rsid w:val="000C60AA"/>
    <w:rsid w:val="000E1755"/>
    <w:rsid w:val="000E67B0"/>
    <w:rsid w:val="000E6D9D"/>
    <w:rsid w:val="000F1D2E"/>
    <w:rsid w:val="0013246E"/>
    <w:rsid w:val="00161BE8"/>
    <w:rsid w:val="0016558D"/>
    <w:rsid w:val="0017475D"/>
    <w:rsid w:val="00191994"/>
    <w:rsid w:val="001F45A1"/>
    <w:rsid w:val="0020171C"/>
    <w:rsid w:val="00207498"/>
    <w:rsid w:val="00221690"/>
    <w:rsid w:val="002422A7"/>
    <w:rsid w:val="00245155"/>
    <w:rsid w:val="00272588"/>
    <w:rsid w:val="00274268"/>
    <w:rsid w:val="00283750"/>
    <w:rsid w:val="002920A5"/>
    <w:rsid w:val="002C12C0"/>
    <w:rsid w:val="002C2295"/>
    <w:rsid w:val="002C25EF"/>
    <w:rsid w:val="002C32C8"/>
    <w:rsid w:val="002C359A"/>
    <w:rsid w:val="002D2BC0"/>
    <w:rsid w:val="002F0C04"/>
    <w:rsid w:val="003170B4"/>
    <w:rsid w:val="00321503"/>
    <w:rsid w:val="00324599"/>
    <w:rsid w:val="003628EC"/>
    <w:rsid w:val="00364542"/>
    <w:rsid w:val="00370F0D"/>
    <w:rsid w:val="00374764"/>
    <w:rsid w:val="00380893"/>
    <w:rsid w:val="003B74D1"/>
    <w:rsid w:val="003C00E2"/>
    <w:rsid w:val="003D4CB3"/>
    <w:rsid w:val="003F0582"/>
    <w:rsid w:val="00400284"/>
    <w:rsid w:val="004136F8"/>
    <w:rsid w:val="0042546F"/>
    <w:rsid w:val="00427822"/>
    <w:rsid w:val="00443F7B"/>
    <w:rsid w:val="004452EB"/>
    <w:rsid w:val="004460E1"/>
    <w:rsid w:val="004627BC"/>
    <w:rsid w:val="004652B6"/>
    <w:rsid w:val="00471B09"/>
    <w:rsid w:val="004B032D"/>
    <w:rsid w:val="004B3C9C"/>
    <w:rsid w:val="004E0737"/>
    <w:rsid w:val="00506F5F"/>
    <w:rsid w:val="005163B5"/>
    <w:rsid w:val="00536333"/>
    <w:rsid w:val="005467E6"/>
    <w:rsid w:val="00550F47"/>
    <w:rsid w:val="005573EB"/>
    <w:rsid w:val="005703EC"/>
    <w:rsid w:val="00577028"/>
    <w:rsid w:val="005937E7"/>
    <w:rsid w:val="00594DE3"/>
    <w:rsid w:val="005D6076"/>
    <w:rsid w:val="005E40F9"/>
    <w:rsid w:val="006129B1"/>
    <w:rsid w:val="00614288"/>
    <w:rsid w:val="00662F89"/>
    <w:rsid w:val="0067462D"/>
    <w:rsid w:val="00681DB0"/>
    <w:rsid w:val="00683C37"/>
    <w:rsid w:val="00691D3B"/>
    <w:rsid w:val="006A07F7"/>
    <w:rsid w:val="006A0ABD"/>
    <w:rsid w:val="006B7272"/>
    <w:rsid w:val="006E04A9"/>
    <w:rsid w:val="006E17DD"/>
    <w:rsid w:val="006E3BCD"/>
    <w:rsid w:val="00700537"/>
    <w:rsid w:val="00733774"/>
    <w:rsid w:val="0073597B"/>
    <w:rsid w:val="00743AC8"/>
    <w:rsid w:val="00747997"/>
    <w:rsid w:val="00747B4B"/>
    <w:rsid w:val="00760D1B"/>
    <w:rsid w:val="00775978"/>
    <w:rsid w:val="007832D4"/>
    <w:rsid w:val="007A0464"/>
    <w:rsid w:val="007A543E"/>
    <w:rsid w:val="007E6259"/>
    <w:rsid w:val="007F1592"/>
    <w:rsid w:val="008106FA"/>
    <w:rsid w:val="00810D01"/>
    <w:rsid w:val="008223EC"/>
    <w:rsid w:val="00826A6F"/>
    <w:rsid w:val="008314EA"/>
    <w:rsid w:val="00831640"/>
    <w:rsid w:val="00834E38"/>
    <w:rsid w:val="00841E70"/>
    <w:rsid w:val="00894399"/>
    <w:rsid w:val="008A4DB0"/>
    <w:rsid w:val="008C6FCC"/>
    <w:rsid w:val="008D40C1"/>
    <w:rsid w:val="008E343B"/>
    <w:rsid w:val="008F5D3C"/>
    <w:rsid w:val="00901A60"/>
    <w:rsid w:val="00902E24"/>
    <w:rsid w:val="00906BDA"/>
    <w:rsid w:val="00912C41"/>
    <w:rsid w:val="00914CD8"/>
    <w:rsid w:val="00933128"/>
    <w:rsid w:val="00966526"/>
    <w:rsid w:val="009B16EE"/>
    <w:rsid w:val="009C226C"/>
    <w:rsid w:val="009D7998"/>
    <w:rsid w:val="009E3EFF"/>
    <w:rsid w:val="009E7812"/>
    <w:rsid w:val="009F1147"/>
    <w:rsid w:val="00A0140F"/>
    <w:rsid w:val="00A41986"/>
    <w:rsid w:val="00A67112"/>
    <w:rsid w:val="00A721BE"/>
    <w:rsid w:val="00A7270C"/>
    <w:rsid w:val="00AA7542"/>
    <w:rsid w:val="00AC5617"/>
    <w:rsid w:val="00B0240B"/>
    <w:rsid w:val="00B5335F"/>
    <w:rsid w:val="00B5448A"/>
    <w:rsid w:val="00B622AE"/>
    <w:rsid w:val="00B86344"/>
    <w:rsid w:val="00B92775"/>
    <w:rsid w:val="00B96722"/>
    <w:rsid w:val="00BA4DBB"/>
    <w:rsid w:val="00BB245D"/>
    <w:rsid w:val="00BD10A9"/>
    <w:rsid w:val="00BF1047"/>
    <w:rsid w:val="00BF561D"/>
    <w:rsid w:val="00C02977"/>
    <w:rsid w:val="00C249D8"/>
    <w:rsid w:val="00C5534F"/>
    <w:rsid w:val="00C8716A"/>
    <w:rsid w:val="00C9741E"/>
    <w:rsid w:val="00CA5BD7"/>
    <w:rsid w:val="00CC5C9D"/>
    <w:rsid w:val="00CD3B8C"/>
    <w:rsid w:val="00CD5480"/>
    <w:rsid w:val="00CD77A3"/>
    <w:rsid w:val="00D16508"/>
    <w:rsid w:val="00D201CC"/>
    <w:rsid w:val="00D22585"/>
    <w:rsid w:val="00D313DF"/>
    <w:rsid w:val="00D354A5"/>
    <w:rsid w:val="00D45222"/>
    <w:rsid w:val="00D54B84"/>
    <w:rsid w:val="00D84C9B"/>
    <w:rsid w:val="00D85BE9"/>
    <w:rsid w:val="00DA68C8"/>
    <w:rsid w:val="00DB5FC7"/>
    <w:rsid w:val="00DB6E73"/>
    <w:rsid w:val="00DD4131"/>
    <w:rsid w:val="00DF5CC2"/>
    <w:rsid w:val="00DF766A"/>
    <w:rsid w:val="00E00C73"/>
    <w:rsid w:val="00E27B0F"/>
    <w:rsid w:val="00E4147E"/>
    <w:rsid w:val="00EB1B7F"/>
    <w:rsid w:val="00EC2CD0"/>
    <w:rsid w:val="00EC4201"/>
    <w:rsid w:val="00EC6E08"/>
    <w:rsid w:val="00ED3F48"/>
    <w:rsid w:val="00F05711"/>
    <w:rsid w:val="00F11A15"/>
    <w:rsid w:val="00F336CE"/>
    <w:rsid w:val="00F613D6"/>
    <w:rsid w:val="00F620D2"/>
    <w:rsid w:val="00F720C1"/>
    <w:rsid w:val="00F74C43"/>
    <w:rsid w:val="00F76B82"/>
    <w:rsid w:val="00F90101"/>
    <w:rsid w:val="00F926F0"/>
    <w:rsid w:val="00F936BF"/>
    <w:rsid w:val="00F96533"/>
    <w:rsid w:val="00FC22C0"/>
    <w:rsid w:val="00FC3D7C"/>
    <w:rsid w:val="00FC4138"/>
    <w:rsid w:val="00FC7E79"/>
    <w:rsid w:val="00FF09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24BC9B"/>
  <w15:docId w15:val="{15EF7DD1-CF7F-474D-9439-4F19554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7F7"/>
    <w:rPr>
      <w:sz w:val="24"/>
      <w:szCs w:val="24"/>
      <w:lang w:val="en-US" w:eastAsia="en-US"/>
    </w:rPr>
  </w:style>
  <w:style w:type="paragraph" w:styleId="Titlu1">
    <w:name w:val="heading 1"/>
    <w:basedOn w:val="Normal"/>
    <w:next w:val="Normal"/>
    <w:qFormat/>
    <w:pPr>
      <w:keepNext/>
      <w:outlineLvl w:val="0"/>
    </w:pPr>
    <w:rPr>
      <w:rFonts w:ascii="Courier New" w:hAnsi="Courier New"/>
      <w:color w:val="FF0000"/>
      <w:lang w:val="ro-RO"/>
    </w:rPr>
  </w:style>
  <w:style w:type="paragraph" w:styleId="Titlu2">
    <w:name w:val="heading 2"/>
    <w:basedOn w:val="Normal"/>
    <w:next w:val="Normal"/>
    <w:qFormat/>
    <w:pPr>
      <w:keepNext/>
      <w:spacing w:line="360" w:lineRule="auto"/>
      <w:jc w:val="both"/>
      <w:outlineLvl w:val="1"/>
    </w:pPr>
    <w:rPr>
      <w:rFonts w:ascii="Courier New" w:hAnsi="Courier New"/>
      <w:lang w:val="ro-RO"/>
    </w:rPr>
  </w:style>
  <w:style w:type="paragraph" w:styleId="Titlu3">
    <w:name w:val="heading 3"/>
    <w:basedOn w:val="Normal"/>
    <w:next w:val="Normal"/>
    <w:qFormat/>
    <w:pPr>
      <w:keepNext/>
      <w:spacing w:line="360" w:lineRule="auto"/>
      <w:jc w:val="center"/>
      <w:outlineLvl w:val="2"/>
    </w:pPr>
    <w:rPr>
      <w:rFonts w:ascii="Courier New" w:hAnsi="Courier New"/>
      <w:b/>
      <w:lang w:val="ro-RO"/>
    </w:rPr>
  </w:style>
  <w:style w:type="paragraph" w:styleId="Titlu4">
    <w:name w:val="heading 4"/>
    <w:basedOn w:val="Normal"/>
    <w:next w:val="Normal"/>
    <w:qFormat/>
    <w:pPr>
      <w:keepNext/>
      <w:outlineLvl w:val="3"/>
    </w:pPr>
    <w:rPr>
      <w:b/>
      <w:color w:val="FF0000"/>
      <w:sz w:val="28"/>
      <w:lang w:val="ro-RO"/>
    </w:rPr>
  </w:style>
  <w:style w:type="paragraph" w:styleId="Titlu5">
    <w:name w:val="heading 5"/>
    <w:basedOn w:val="Normal"/>
    <w:next w:val="Normal"/>
    <w:qFormat/>
    <w:pPr>
      <w:keepNext/>
      <w:outlineLvl w:val="4"/>
    </w:pPr>
    <w:rPr>
      <w:i/>
      <w:lang w:val="ro-RO"/>
    </w:rPr>
  </w:style>
  <w:style w:type="paragraph" w:styleId="Titlu9">
    <w:name w:val="heading 9"/>
    <w:basedOn w:val="Normal"/>
    <w:next w:val="Normal"/>
    <w:qFormat/>
    <w:pPr>
      <w:keepNext/>
      <w:jc w:val="center"/>
      <w:outlineLvl w:val="8"/>
    </w:pPr>
    <w:rPr>
      <w:rFonts w:ascii="Arial" w:hAnsi="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pPr>
      <w:jc w:val="both"/>
    </w:pPr>
    <w:rPr>
      <w:rFonts w:ascii="Courier New" w:hAnsi="Courier New"/>
      <w:lang w:val="ro-RO"/>
    </w:rPr>
  </w:style>
  <w:style w:type="paragraph" w:styleId="Corptext2">
    <w:name w:val="Body Text 2"/>
    <w:basedOn w:val="Normal"/>
    <w:rPr>
      <w:rFonts w:ascii="Courier New" w:hAnsi="Courier New"/>
      <w:lang w:val="ro-RO"/>
    </w:rPr>
  </w:style>
  <w:style w:type="character" w:customStyle="1" w:styleId="ln2tparagraf">
    <w:name w:val="ln2tparagraf"/>
    <w:basedOn w:val="Fontdeparagrafimplicit"/>
    <w:rsid w:val="00966526"/>
  </w:style>
  <w:style w:type="character" w:customStyle="1" w:styleId="ln2paragraf1">
    <w:name w:val="ln2paragraf1"/>
    <w:basedOn w:val="Fontdeparagrafimplicit"/>
    <w:rsid w:val="00966526"/>
  </w:style>
  <w:style w:type="paragraph" w:styleId="TextnBalon">
    <w:name w:val="Balloon Text"/>
    <w:basedOn w:val="Normal"/>
    <w:semiHidden/>
    <w:rsid w:val="006B7272"/>
    <w:rPr>
      <w:rFonts w:ascii="Tahoma" w:hAnsi="Tahoma" w:cs="Tahoma"/>
      <w:sz w:val="16"/>
      <w:szCs w:val="16"/>
    </w:rPr>
  </w:style>
  <w:style w:type="character" w:customStyle="1" w:styleId="ln2articol1">
    <w:name w:val="ln2articol1"/>
    <w:basedOn w:val="Fontdeparagrafimplicit"/>
    <w:rsid w:val="00321503"/>
  </w:style>
  <w:style w:type="character" w:customStyle="1" w:styleId="ln2tarticol">
    <w:name w:val="ln2tarticol"/>
    <w:basedOn w:val="Fontdeparagrafimplicit"/>
    <w:rsid w:val="00321503"/>
  </w:style>
  <w:style w:type="character" w:styleId="Robust">
    <w:name w:val="Strong"/>
    <w:qFormat/>
    <w:rsid w:val="00321503"/>
    <w:rPr>
      <w:b/>
      <w:bCs/>
    </w:rPr>
  </w:style>
  <w:style w:type="character" w:customStyle="1" w:styleId="ln2litera1">
    <w:name w:val="ln2litera1"/>
    <w:basedOn w:val="Fontdeparagrafimplicit"/>
    <w:rsid w:val="00321503"/>
  </w:style>
  <w:style w:type="character" w:customStyle="1" w:styleId="ln2linie">
    <w:name w:val="ln2linie"/>
    <w:basedOn w:val="Fontdeparagrafimplicit"/>
    <w:rsid w:val="00321503"/>
  </w:style>
  <w:style w:type="paragraph" w:customStyle="1" w:styleId="CharCharCharCharCharCharCharCharCharChar">
    <w:name w:val="Char Char Char Char Char Char Char Char Char Char"/>
    <w:basedOn w:val="Normal"/>
    <w:rsid w:val="00C8716A"/>
    <w:pPr>
      <w:spacing w:after="160" w:line="240" w:lineRule="exact"/>
    </w:pPr>
    <w:rPr>
      <w:rFonts w:ascii="Verdana" w:hAnsi="Verdana"/>
    </w:rPr>
  </w:style>
  <w:style w:type="character" w:styleId="Numrdepagin">
    <w:name w:val="page number"/>
    <w:basedOn w:val="Fontdeparagrafimplicit"/>
    <w:rsid w:val="00841E70"/>
  </w:style>
  <w:style w:type="character" w:styleId="Hyperlink">
    <w:name w:val="Hyperlink"/>
    <w:rsid w:val="003F0582"/>
    <w:rPr>
      <w:color w:val="0000FF"/>
      <w:u w:val="single"/>
    </w:rPr>
  </w:style>
  <w:style w:type="paragraph" w:styleId="Antet">
    <w:name w:val="header"/>
    <w:basedOn w:val="Normal"/>
    <w:link w:val="AntetCaracter"/>
    <w:rsid w:val="00DD4131"/>
    <w:pPr>
      <w:tabs>
        <w:tab w:val="center" w:pos="4513"/>
        <w:tab w:val="right" w:pos="9026"/>
      </w:tabs>
    </w:pPr>
  </w:style>
  <w:style w:type="character" w:customStyle="1" w:styleId="AntetCaracter">
    <w:name w:val="Antet Caracter"/>
    <w:link w:val="Antet"/>
    <w:rsid w:val="00DD4131"/>
    <w:rPr>
      <w:sz w:val="24"/>
      <w:szCs w:val="24"/>
      <w:lang w:val="en-US" w:eastAsia="en-US"/>
    </w:rPr>
  </w:style>
  <w:style w:type="paragraph" w:styleId="Subsol">
    <w:name w:val="footer"/>
    <w:basedOn w:val="Normal"/>
    <w:link w:val="SubsolCaracter"/>
    <w:uiPriority w:val="99"/>
    <w:rsid w:val="00DD4131"/>
    <w:pPr>
      <w:tabs>
        <w:tab w:val="center" w:pos="4513"/>
        <w:tab w:val="right" w:pos="9026"/>
      </w:tabs>
    </w:pPr>
  </w:style>
  <w:style w:type="character" w:customStyle="1" w:styleId="SubsolCaracter">
    <w:name w:val="Subsol Caracter"/>
    <w:link w:val="Subsol"/>
    <w:uiPriority w:val="99"/>
    <w:rsid w:val="00DD41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7543">
      <w:bodyDiv w:val="1"/>
      <w:marLeft w:val="0"/>
      <w:marRight w:val="0"/>
      <w:marTop w:val="0"/>
      <w:marBottom w:val="0"/>
      <w:divBdr>
        <w:top w:val="none" w:sz="0" w:space="0" w:color="auto"/>
        <w:left w:val="none" w:sz="0" w:space="0" w:color="auto"/>
        <w:bottom w:val="none" w:sz="0" w:space="0" w:color="auto"/>
        <w:right w:val="none" w:sz="0" w:space="0" w:color="auto"/>
      </w:divBdr>
    </w:div>
    <w:div w:id="251934436">
      <w:bodyDiv w:val="1"/>
      <w:marLeft w:val="0"/>
      <w:marRight w:val="0"/>
      <w:marTop w:val="0"/>
      <w:marBottom w:val="0"/>
      <w:divBdr>
        <w:top w:val="none" w:sz="0" w:space="0" w:color="auto"/>
        <w:left w:val="none" w:sz="0" w:space="0" w:color="auto"/>
        <w:bottom w:val="none" w:sz="0" w:space="0" w:color="auto"/>
        <w:right w:val="none" w:sz="0" w:space="0" w:color="auto"/>
      </w:divBdr>
    </w:div>
    <w:div w:id="635379861">
      <w:bodyDiv w:val="1"/>
      <w:marLeft w:val="0"/>
      <w:marRight w:val="0"/>
      <w:marTop w:val="0"/>
      <w:marBottom w:val="0"/>
      <w:divBdr>
        <w:top w:val="none" w:sz="0" w:space="0" w:color="auto"/>
        <w:left w:val="none" w:sz="0" w:space="0" w:color="auto"/>
        <w:bottom w:val="none" w:sz="0" w:space="0" w:color="auto"/>
        <w:right w:val="none" w:sz="0" w:space="0" w:color="auto"/>
      </w:divBdr>
    </w:div>
    <w:div w:id="1096751691">
      <w:bodyDiv w:val="1"/>
      <w:marLeft w:val="0"/>
      <w:marRight w:val="0"/>
      <w:marTop w:val="0"/>
      <w:marBottom w:val="0"/>
      <w:divBdr>
        <w:top w:val="none" w:sz="0" w:space="0" w:color="auto"/>
        <w:left w:val="none" w:sz="0" w:space="0" w:color="auto"/>
        <w:bottom w:val="none" w:sz="0" w:space="0" w:color="auto"/>
        <w:right w:val="none" w:sz="0" w:space="0" w:color="auto"/>
      </w:divBdr>
    </w:div>
    <w:div w:id="1927034873">
      <w:bodyDiv w:val="1"/>
      <w:marLeft w:val="0"/>
      <w:marRight w:val="0"/>
      <w:marTop w:val="0"/>
      <w:marBottom w:val="0"/>
      <w:divBdr>
        <w:top w:val="none" w:sz="0" w:space="0" w:color="auto"/>
        <w:left w:val="none" w:sz="0" w:space="0" w:color="auto"/>
        <w:bottom w:val="none" w:sz="0" w:space="0" w:color="auto"/>
        <w:right w:val="none" w:sz="0" w:space="0" w:color="auto"/>
      </w:divBdr>
    </w:div>
    <w:div w:id="20134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1786</Words>
  <Characters>11382</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JUDE?UL CALARAaI</vt:lpstr>
      <vt:lpstr>JUDE?UL CALARAaI</vt:lpstr>
    </vt:vector>
  </TitlesOfParts>
  <Company>GUV</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JUDE?UL CALARAaI</dc:title>
  <dc:creator>PRIMARIA SOLDANU</dc:creator>
  <cp:lastModifiedBy>Traian Hulea</cp:lastModifiedBy>
  <cp:revision>3</cp:revision>
  <cp:lastPrinted>2020-10-12T05:34:00Z</cp:lastPrinted>
  <dcterms:created xsi:type="dcterms:W3CDTF">2022-04-14T12:01:00Z</dcterms:created>
  <dcterms:modified xsi:type="dcterms:W3CDTF">2022-04-14T12:47:00Z</dcterms:modified>
</cp:coreProperties>
</file>