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35AF" w14:textId="77777777" w:rsidR="003B0F04" w:rsidRPr="00583DAE" w:rsidRDefault="003B0F04" w:rsidP="003B0F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val="ro-RO"/>
        </w:rPr>
      </w:pPr>
    </w:p>
    <w:p w14:paraId="694063D8" w14:textId="77777777" w:rsidR="004279FB" w:rsidRPr="00583DAE" w:rsidRDefault="004279FB" w:rsidP="004279FB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1E054CB3" w14:textId="1D3083E3" w:rsidR="003B0F04" w:rsidRPr="00583DAE" w:rsidRDefault="003B0F04" w:rsidP="00824E22">
      <w:pPr>
        <w:keepNext/>
        <w:overflowPunct/>
        <w:autoSpaceDE/>
        <w:autoSpaceDN/>
        <w:adjustRightInd/>
        <w:spacing w:before="720"/>
        <w:jc w:val="center"/>
        <w:textAlignment w:val="auto"/>
        <w:outlineLvl w:val="2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83DAE">
        <w:rPr>
          <w:rFonts w:asciiTheme="minorHAnsi" w:hAnsiTheme="minorHAnsi" w:cstheme="minorHAnsi"/>
          <w:b/>
          <w:sz w:val="28"/>
          <w:szCs w:val="28"/>
          <w:lang w:val="ro-RO"/>
        </w:rPr>
        <w:t>RAPORT DE SPECIALITATE</w:t>
      </w:r>
    </w:p>
    <w:p w14:paraId="4C5C2580" w14:textId="09556ABE" w:rsidR="00245155" w:rsidRPr="00824E22" w:rsidRDefault="003B0F04" w:rsidP="00051C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4E22">
        <w:rPr>
          <w:rFonts w:asciiTheme="minorHAnsi" w:hAnsiTheme="minorHAnsi" w:cstheme="minorHAnsi"/>
          <w:b/>
          <w:sz w:val="24"/>
          <w:szCs w:val="24"/>
        </w:rPr>
        <w:t xml:space="preserve">privind proiectul de hotărâre privind </w:t>
      </w:r>
      <w:r w:rsidR="00051C06" w:rsidRPr="00824E22">
        <w:rPr>
          <w:rFonts w:asciiTheme="minorHAnsi" w:hAnsiTheme="minorHAnsi" w:cstheme="minorHAnsi"/>
          <w:b/>
          <w:sz w:val="24"/>
          <w:szCs w:val="24"/>
        </w:rPr>
        <w:t>aprobarea Organigramei resurselor umane şi Statului de funcții de la nivelul</w:t>
      </w:r>
      <w:r w:rsidR="00051C06" w:rsidRPr="0082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1C06" w:rsidRPr="00824E22">
        <w:rPr>
          <w:rFonts w:asciiTheme="minorHAnsi" w:hAnsiTheme="minorHAnsi" w:cstheme="minorHAnsi"/>
          <w:b/>
          <w:sz w:val="24"/>
          <w:szCs w:val="24"/>
        </w:rPr>
        <w:t>Primăriei Comunei Șoldanu, Judeţul Călăraşi, în anul 2022</w:t>
      </w:r>
    </w:p>
    <w:p w14:paraId="06177B5E" w14:textId="77777777" w:rsidR="003B0F04" w:rsidRPr="00824E22" w:rsidRDefault="003B0F04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4DE46CC9" w14:textId="0355061C" w:rsidR="00971E17" w:rsidRPr="00824E22" w:rsidRDefault="0024515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ab/>
        <w:t>Subsemna</w:t>
      </w:r>
      <w:r w:rsidR="00666C76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tul, Traian HULEA, </w:t>
      </w:r>
      <w:r w:rsidR="009E4B72" w:rsidRPr="00824E22">
        <w:rPr>
          <w:rFonts w:asciiTheme="minorHAnsi" w:hAnsiTheme="minorHAnsi" w:cstheme="minorHAnsi"/>
          <w:sz w:val="24"/>
          <w:szCs w:val="24"/>
          <w:lang w:val="ro-RO"/>
        </w:rPr>
        <w:t>S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ecretar</w:t>
      </w:r>
      <w:r w:rsidR="00BA4DBB" w:rsidRPr="00824E22">
        <w:rPr>
          <w:rFonts w:asciiTheme="minorHAnsi" w:hAnsiTheme="minorHAnsi" w:cstheme="minorHAnsi"/>
          <w:sz w:val="24"/>
          <w:szCs w:val="24"/>
          <w:lang w:val="ro-RO"/>
        </w:rPr>
        <w:t>ul</w:t>
      </w:r>
      <w:r w:rsidR="009E4B72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general al C</w:t>
      </w:r>
      <w:r w:rsidR="00BA4DBB" w:rsidRPr="00824E22">
        <w:rPr>
          <w:rFonts w:asciiTheme="minorHAnsi" w:hAnsiTheme="minorHAnsi" w:cstheme="minorHAnsi"/>
          <w:sz w:val="24"/>
          <w:szCs w:val="24"/>
          <w:lang w:val="ro-RO"/>
        </w:rPr>
        <w:t>omunei Şoldanu</w:t>
      </w:r>
      <w:r w:rsidR="00971E17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</w:p>
    <w:p w14:paraId="4F2E383B" w14:textId="77777777" w:rsidR="00971E17" w:rsidRPr="00824E22" w:rsidRDefault="00971E17" w:rsidP="007F440A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Văzând: </w:t>
      </w:r>
    </w:p>
    <w:p w14:paraId="3B3007C6" w14:textId="7ED1D91A" w:rsidR="00BB1A03" w:rsidRPr="00824E22" w:rsidRDefault="00971E17" w:rsidP="00BB1A0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Proiectul de hotărâre înregistrat </w:t>
      </w:r>
      <w:r w:rsidR="00546940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în </w:t>
      </w:r>
      <w:r w:rsidR="00EA1B51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Registrul pentru evidența proiectelor de hotărâri ale consiliului local cu nr. 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8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din 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12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0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4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>.20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1 </w:t>
      </w:r>
      <w:r w:rsidR="00BB1A03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privind 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aprobarea Organigramei resurselor umane şi Statului de funcții de la nivelul Primăriei Comunei Șoldanu, Judeţul Călăraşi, în anul 202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8970A1" w:rsidRPr="00824E22">
        <w:rPr>
          <w:rFonts w:asciiTheme="minorHAnsi" w:hAnsiTheme="minorHAnsi" w:cstheme="minorHAnsi"/>
          <w:sz w:val="24"/>
          <w:szCs w:val="24"/>
          <w:lang w:val="ro-RO"/>
        </w:rPr>
        <w:t>,</w:t>
      </w:r>
    </w:p>
    <w:p w14:paraId="3CA716B0" w14:textId="23070C08" w:rsidR="00245155" w:rsidRPr="00824E22" w:rsidRDefault="00BB1A03" w:rsidP="00551BD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Ref</w:t>
      </w:r>
      <w:r w:rsidR="00551BD2" w:rsidRPr="00824E22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ratul de aprobare </w:t>
      </w:r>
      <w:r w:rsidR="00551BD2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a proiectului de hotărâre privind 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aprobarea Organigramei resurselor umane şi Statului de funcții de la nivelul Primăriei Comunei Șoldanu, Judeţul Călăraşi, în anul 202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551BD2" w:rsidRPr="00824E22">
        <w:rPr>
          <w:rFonts w:asciiTheme="minorHAnsi" w:hAnsiTheme="minorHAnsi" w:cstheme="minorHAnsi"/>
          <w:sz w:val="24"/>
          <w:szCs w:val="24"/>
          <w:lang w:val="ro-RO"/>
        </w:rPr>
        <w:t>, în</w:t>
      </w:r>
      <w:r w:rsidR="008970A1" w:rsidRPr="00824E22">
        <w:rPr>
          <w:rFonts w:asciiTheme="minorHAnsi" w:hAnsiTheme="minorHAnsi" w:cstheme="minorHAnsi"/>
          <w:sz w:val="24"/>
          <w:szCs w:val="24"/>
          <w:lang w:val="ro-RO"/>
        </w:rPr>
        <w:t>registrat cu nr.</w:t>
      </w:r>
      <w:r w:rsidR="0082795F" w:rsidRPr="00824E22">
        <w:rPr>
          <w:rFonts w:asciiTheme="minorHAnsi" w:hAnsiTheme="minorHAnsi" w:cstheme="minorHAnsi"/>
          <w:sz w:val="24"/>
          <w:szCs w:val="24"/>
        </w:rPr>
        <w:t xml:space="preserve"> </w:t>
      </w:r>
      <w:r w:rsidR="00051C06" w:rsidRPr="00824E22">
        <w:rPr>
          <w:rFonts w:asciiTheme="minorHAnsi" w:hAnsiTheme="minorHAnsi" w:cstheme="minorHAnsi"/>
          <w:sz w:val="24"/>
          <w:szCs w:val="24"/>
        </w:rPr>
        <w:t>2345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din 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14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0</w:t>
      </w:r>
      <w:r w:rsidR="00051C06" w:rsidRPr="00824E22">
        <w:rPr>
          <w:rFonts w:asciiTheme="minorHAnsi" w:hAnsiTheme="minorHAnsi" w:cstheme="minorHAnsi"/>
          <w:sz w:val="24"/>
          <w:szCs w:val="24"/>
          <w:lang w:val="ro-RO"/>
        </w:rPr>
        <w:t>4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>.20</w:t>
      </w:r>
      <w:r w:rsidR="007F440A"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>1</w:t>
      </w:r>
      <w:r w:rsidR="008517ED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, întocmit de inițiator, </w:t>
      </w:r>
      <w:r w:rsidR="00F549A0" w:rsidRPr="00824E22">
        <w:rPr>
          <w:rFonts w:asciiTheme="minorHAnsi" w:hAnsiTheme="minorHAnsi" w:cstheme="minorHAnsi"/>
          <w:sz w:val="24"/>
          <w:szCs w:val="24"/>
          <w:lang w:val="ro-RO"/>
        </w:rPr>
        <w:t>Iulian MARIN, pentru Primarul Comunei</w:t>
      </w:r>
      <w:r w:rsidR="008517ED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Șoldanu</w:t>
      </w:r>
      <w:r w:rsidR="00F549A0" w:rsidRPr="00824E22">
        <w:rPr>
          <w:rFonts w:asciiTheme="minorHAnsi" w:hAnsiTheme="minorHAnsi" w:cstheme="minorHAnsi"/>
          <w:sz w:val="24"/>
          <w:szCs w:val="24"/>
          <w:lang w:val="ro-RO"/>
        </w:rPr>
        <w:t>, Iulian GEAMBAȘU</w:t>
      </w:r>
      <w:r w:rsidR="0082795F" w:rsidRPr="00824E22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14:paraId="711E3D05" w14:textId="1EAAA6DA" w:rsidR="008970A1" w:rsidRPr="00824E22" w:rsidRDefault="004A1004" w:rsidP="007F440A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b/>
          <w:bCs/>
          <w:sz w:val="24"/>
          <w:szCs w:val="24"/>
          <w:lang w:val="ro-RO"/>
        </w:rPr>
        <w:t>Analizând temeiul juridic al inițierii, conținut de prevederile</w:t>
      </w:r>
      <w:r w:rsidR="008970A1" w:rsidRPr="00824E22">
        <w:rPr>
          <w:rFonts w:asciiTheme="minorHAnsi" w:hAnsiTheme="minorHAnsi" w:cstheme="minorHAnsi"/>
          <w:b/>
          <w:bCs/>
          <w:sz w:val="24"/>
          <w:szCs w:val="24"/>
          <w:lang w:val="ro-RO"/>
        </w:rPr>
        <w:t>:</w:t>
      </w:r>
    </w:p>
    <w:p w14:paraId="7B27B57D" w14:textId="6CD15739" w:rsidR="000D712B" w:rsidRPr="00824E22" w:rsidRDefault="00051AF7" w:rsidP="008A4A1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art. 129 alin. (2) lit. a) și alin. (3) lit. c), art. 158, art. 370, art. 405-407 și art. 409 alin. (3) din Ordonanța de urgență a Guvernului nr. 57/2019 privind Codul Administrativ, cu modificările și completările ulterioare</w:t>
      </w:r>
      <w:r w:rsidR="000D712B" w:rsidRPr="00824E22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50011919" w14:textId="6AC67C2E" w:rsidR="00051AF7" w:rsidRPr="00824E22" w:rsidRDefault="00051AF7" w:rsidP="00051AF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Legii-cadru nr. 153/2017 privind salarizarea personalului plătit din fonduri publice;</w:t>
      </w:r>
    </w:p>
    <w:p w14:paraId="76992848" w14:textId="270A6359" w:rsidR="004A1004" w:rsidRPr="00824E22" w:rsidRDefault="00051AF7" w:rsidP="004A100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Ordonanței de urgență a Guvernului nr. 63/2010 pentru modi</w:t>
      </w:r>
      <w:r w:rsidR="003E0BE5" w:rsidRPr="00824E22">
        <w:rPr>
          <w:rFonts w:asciiTheme="minorHAnsi" w:hAnsiTheme="minorHAnsi" w:cstheme="minorHAnsi"/>
          <w:sz w:val="24"/>
          <w:szCs w:val="24"/>
          <w:lang w:val="ro-RO"/>
        </w:rPr>
        <w:t>fi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carea şi completarea</w:t>
      </w:r>
      <w:r w:rsidR="003E0BE5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Legii nr. 273/2006 privind </w:t>
      </w:r>
      <w:r w:rsidR="003E0BE5" w:rsidRPr="00824E22">
        <w:rPr>
          <w:rFonts w:asciiTheme="minorHAnsi" w:hAnsiTheme="minorHAnsi" w:cstheme="minorHAnsi"/>
          <w:sz w:val="24"/>
          <w:szCs w:val="24"/>
          <w:lang w:val="ro-RO"/>
        </w:rPr>
        <w:t>fi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nanțele publice locale, precum şi pentru stabilirea unor măsuri</w:t>
      </w:r>
      <w:r w:rsidR="003E0BE5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financiare</w:t>
      </w:r>
      <w:r w:rsidR="004A1004" w:rsidRPr="00824E22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14:paraId="223F873A" w14:textId="0B58EF65" w:rsidR="004A1004" w:rsidRPr="00824E22" w:rsidRDefault="004A1004" w:rsidP="002051DF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b/>
          <w:bCs/>
          <w:sz w:val="24"/>
          <w:szCs w:val="24"/>
          <w:lang w:val="ro-RO"/>
        </w:rPr>
        <w:t>Ținând cont de:</w:t>
      </w:r>
    </w:p>
    <w:p w14:paraId="75CE2E8F" w14:textId="77777777" w:rsidR="00583DAE" w:rsidRPr="00824E22" w:rsidRDefault="00583DAE" w:rsidP="00583D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Adresa Instituției Prefectului - Jude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ţ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ul C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ra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ş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i nr. 4041 din 25.05.2021 privind comunicarea num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rului total de posturi pentru anul 2021;</w:t>
      </w:r>
    </w:p>
    <w:p w14:paraId="01DD2A00" w14:textId="77777777" w:rsidR="00583DAE" w:rsidRPr="00824E22" w:rsidRDefault="00583DAE" w:rsidP="00583D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Hot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rârea Consiliului Local al Comunei Șoldanu nr. 8 din 10.02.2022 privind aprobarea bugetului local pe anul 2022 al Comunei Șoldanu, Jude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ţ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ul C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ra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ş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i, cu modific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rile și complet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rile ulterioare;</w:t>
      </w:r>
    </w:p>
    <w:p w14:paraId="1CA0F3D4" w14:textId="77777777" w:rsidR="00583DAE" w:rsidRPr="00824E22" w:rsidRDefault="00583DAE" w:rsidP="00583D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Hot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rârea Consiliului local al comunei Șoldanu nr. 25 din 29.06.2021 privind aprobarea Organigramei resurselor umane 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ş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i Statului de funcții de la nivelul Prim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riei Comunei Șoldanu, Jude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ţ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ul C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ra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ş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i, în anul 2021;</w:t>
      </w:r>
    </w:p>
    <w:p w14:paraId="6DE49C34" w14:textId="65B6DDD6" w:rsidR="004A1004" w:rsidRPr="00824E22" w:rsidRDefault="00583DAE" w:rsidP="00583DAE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Necesitatea optimiz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rii resurselor umane implicate în asigurarea beneficiilor sociale de la nivelul Comunei Șoldanu, Județul C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824E22">
        <w:rPr>
          <w:rFonts w:asciiTheme="minorHAnsi" w:hAnsiTheme="minorHAnsi" w:cstheme="minorHAnsi" w:hint="eastAsia"/>
          <w:sz w:val="24"/>
          <w:szCs w:val="24"/>
          <w:lang w:val="ro-RO"/>
        </w:rPr>
        <w:t>ă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rași</w:t>
      </w:r>
      <w:r w:rsidR="002051DF" w:rsidRPr="00824E22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14:paraId="059AE130" w14:textId="30FA53BF" w:rsidR="0009135A" w:rsidRPr="00824E22" w:rsidRDefault="00974D72" w:rsidP="008F4E9F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b/>
          <w:bCs/>
          <w:sz w:val="24"/>
          <w:szCs w:val="24"/>
          <w:lang w:val="ro-RO"/>
        </w:rPr>
        <w:t>Luând în considerare</w:t>
      </w:r>
      <w:r w:rsidR="00135F99" w:rsidRPr="00824E22">
        <w:rPr>
          <w:rFonts w:asciiTheme="minorHAnsi" w:hAnsiTheme="minorHAnsi" w:cstheme="minorHAnsi"/>
          <w:b/>
          <w:bCs/>
          <w:sz w:val="24"/>
          <w:szCs w:val="24"/>
          <w:lang w:val="ro-RO"/>
        </w:rPr>
        <w:t>:</w:t>
      </w:r>
    </w:p>
    <w:p w14:paraId="19DC2CC6" w14:textId="37FA8845" w:rsidR="00135F99" w:rsidRPr="00824E22" w:rsidRDefault="00135F99" w:rsidP="00177CD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prevederile art. 9 pct. 3 din Carta europeană a autonomiei locale, adoptată la Strasbourg la 15 octombrie 1985 şi ratificată prin Legea nr. 199/1997;</w:t>
      </w:r>
    </w:p>
    <w:p w14:paraId="13E3EE6E" w14:textId="013DA915" w:rsidR="00135F99" w:rsidRPr="00824E22" w:rsidRDefault="00135F99" w:rsidP="008E639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prevederile art. 121 alin. (1) și (2) din Constituția României, republicată, aprobată prin Legea de revizuire a Constituției României nr. 429/2003;</w:t>
      </w:r>
    </w:p>
    <w:p w14:paraId="1A3C3903" w14:textId="54DF389D" w:rsidR="00135F99" w:rsidRPr="00824E22" w:rsidRDefault="00135F99" w:rsidP="009B59B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prevederile art. 7 alin. (2) din Codul civil al României, aprobat prin Legea nr. 287/2009, republicată, modificată și completată;</w:t>
      </w:r>
    </w:p>
    <w:p w14:paraId="34CFC5A0" w14:textId="0282895B" w:rsidR="00135F99" w:rsidRPr="00824E22" w:rsidRDefault="00135F99" w:rsidP="00851BF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prevederile art. 211 din Ordonanța de urgență a Guvernului nr. 57/2019 privind Codul administrativ, cu modificările și completările ulterioare;</w:t>
      </w:r>
    </w:p>
    <w:p w14:paraId="0E6B94D7" w14:textId="55D490D9" w:rsidR="00135F99" w:rsidRPr="00824E22" w:rsidRDefault="00135F99" w:rsidP="0054740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t>prevederile Legii nr. 24/2000 privind normele de tehnică legislativă pentru elaborarea actelor normative, rerepublicată, modificată și completată.</w:t>
      </w:r>
    </w:p>
    <w:p w14:paraId="37B19693" w14:textId="2CFE83D9" w:rsidR="00302859" w:rsidRPr="00824E22" w:rsidRDefault="008F4E9F" w:rsidP="004279FB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24E22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Faţă de cele prezentate și </w:t>
      </w:r>
      <w:r w:rsidR="00302859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constatând că </w:t>
      </w:r>
      <w:r w:rsidR="00B7084D" w:rsidRPr="00824E22">
        <w:rPr>
          <w:rFonts w:asciiTheme="minorHAnsi" w:hAnsiTheme="minorHAnsi" w:cstheme="minorHAnsi"/>
          <w:sz w:val="24"/>
          <w:szCs w:val="24"/>
          <w:lang w:val="ro-RO"/>
        </w:rPr>
        <w:t>P</w:t>
      </w:r>
      <w:r w:rsidR="00302859" w:rsidRPr="00824E22">
        <w:rPr>
          <w:rFonts w:asciiTheme="minorHAnsi" w:hAnsiTheme="minorHAnsi" w:cstheme="minorHAnsi"/>
          <w:sz w:val="24"/>
          <w:szCs w:val="24"/>
          <w:lang w:val="ro-RO"/>
        </w:rPr>
        <w:t>roiectul de hotărâre propus</w:t>
      </w:r>
      <w:r w:rsidR="00B7084D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cu nr. 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491FE8" w:rsidRPr="00824E22">
        <w:rPr>
          <w:rFonts w:asciiTheme="minorHAnsi" w:hAnsiTheme="minorHAnsi" w:cstheme="minorHAnsi"/>
          <w:sz w:val="24"/>
          <w:szCs w:val="24"/>
          <w:lang w:val="ro-RO"/>
        </w:rPr>
        <w:t>8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 din </w:t>
      </w:r>
      <w:r w:rsidR="00491FE8" w:rsidRPr="00824E22">
        <w:rPr>
          <w:rFonts w:asciiTheme="minorHAnsi" w:hAnsiTheme="minorHAnsi" w:cstheme="minorHAnsi"/>
          <w:sz w:val="24"/>
          <w:szCs w:val="24"/>
          <w:lang w:val="ro-RO"/>
        </w:rPr>
        <w:t>12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>.0</w:t>
      </w:r>
      <w:r w:rsidR="00491FE8" w:rsidRPr="00824E22">
        <w:rPr>
          <w:rFonts w:asciiTheme="minorHAnsi" w:hAnsiTheme="minorHAnsi" w:cstheme="minorHAnsi"/>
          <w:sz w:val="24"/>
          <w:szCs w:val="24"/>
          <w:lang w:val="ro-RO"/>
        </w:rPr>
        <w:t>4</w:t>
      </w:r>
      <w:r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.2021 </w:t>
      </w:r>
      <w:r w:rsidR="00302859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nu contravine legii nici prin conţinut, nici prin redactare, îndeplinind cerinţele de legalitate, că acesta îndeplineşte cerinţele de oportunitate şi necesitate, propun Consiliului </w:t>
      </w:r>
      <w:r w:rsidR="00D45F12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Local </w:t>
      </w:r>
      <w:r w:rsidR="00302859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al </w:t>
      </w:r>
      <w:r w:rsidR="00D45F12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Comunei </w:t>
      </w:r>
      <w:r w:rsidR="00302859" w:rsidRPr="00824E22">
        <w:rPr>
          <w:rFonts w:asciiTheme="minorHAnsi" w:hAnsiTheme="minorHAnsi" w:cstheme="minorHAnsi"/>
          <w:sz w:val="24"/>
          <w:szCs w:val="24"/>
          <w:lang w:val="ro-RO"/>
        </w:rPr>
        <w:t xml:space="preserve">Şoldanu dezbaterea și adoptarea unei hotărâri privind </w:t>
      </w:r>
      <w:r w:rsidR="00D45F12" w:rsidRPr="00824E22">
        <w:rPr>
          <w:rFonts w:asciiTheme="minorHAnsi" w:hAnsiTheme="minorHAnsi" w:cstheme="minorHAnsi"/>
          <w:sz w:val="24"/>
          <w:szCs w:val="24"/>
          <w:lang w:val="ro-RO"/>
        </w:rPr>
        <w:t>aprobarea Organigramei resurselor umane şi Statului de funcții de la nivelul Primăriei Comunei Șoldanu, Judeţul Călăraşi, în anul 202</w:t>
      </w:r>
      <w:r w:rsidR="00824E22" w:rsidRPr="00824E22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A57F41" w:rsidRPr="00824E22">
        <w:rPr>
          <w:rFonts w:asciiTheme="minorHAnsi" w:hAnsiTheme="minorHAnsi" w:cstheme="minorHAnsi"/>
          <w:sz w:val="24"/>
          <w:szCs w:val="24"/>
          <w:lang w:val="ro-RO"/>
        </w:rPr>
        <w:t>, în forma în care a fost inițiat</w:t>
      </w:r>
      <w:r w:rsidR="00302859" w:rsidRPr="00824E22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14:paraId="631C7BF2" w14:textId="77777777" w:rsidR="00D45F12" w:rsidRPr="00583DAE" w:rsidRDefault="00D45F12" w:rsidP="005634B9">
      <w:pPr>
        <w:jc w:val="both"/>
        <w:rPr>
          <w:rFonts w:asciiTheme="minorHAnsi" w:hAnsiTheme="minorHAnsi" w:cstheme="minorHAnsi"/>
          <w:sz w:val="23"/>
          <w:szCs w:val="23"/>
          <w:lang w:val="ro-RO"/>
        </w:rPr>
      </w:pPr>
    </w:p>
    <w:p w14:paraId="64B93AAB" w14:textId="262965BB" w:rsidR="00245155" w:rsidRPr="00583DAE" w:rsidRDefault="00A57F41" w:rsidP="00A57F41">
      <w:pPr>
        <w:tabs>
          <w:tab w:val="left" w:pos="3285"/>
          <w:tab w:val="center" w:pos="5251"/>
        </w:tabs>
        <w:jc w:val="center"/>
        <w:rPr>
          <w:rFonts w:asciiTheme="minorHAnsi" w:hAnsiTheme="minorHAnsi" w:cstheme="minorHAnsi"/>
          <w:b/>
          <w:sz w:val="22"/>
          <w:szCs w:val="18"/>
          <w:lang w:val="ro-RO"/>
        </w:rPr>
      </w:pPr>
      <w:r w:rsidRPr="00583DAE">
        <w:rPr>
          <w:rFonts w:asciiTheme="minorHAnsi" w:hAnsiTheme="minorHAnsi" w:cstheme="minorHAnsi"/>
          <w:b/>
          <w:sz w:val="22"/>
          <w:szCs w:val="22"/>
          <w:lang w:val="ro-RO"/>
        </w:rPr>
        <w:t>S</w:t>
      </w:r>
      <w:r w:rsidRPr="00583DAE">
        <w:rPr>
          <w:rFonts w:asciiTheme="minorHAnsi" w:hAnsiTheme="minorHAnsi" w:cstheme="minorHAnsi"/>
          <w:b/>
          <w:sz w:val="22"/>
          <w:szCs w:val="18"/>
          <w:lang w:val="ro-RO"/>
        </w:rPr>
        <w:t>ecretar</w:t>
      </w:r>
      <w:r w:rsidR="004279FB" w:rsidRPr="00583DAE">
        <w:rPr>
          <w:rFonts w:asciiTheme="minorHAnsi" w:hAnsiTheme="minorHAnsi" w:cstheme="minorHAnsi"/>
          <w:b/>
          <w:sz w:val="22"/>
          <w:szCs w:val="18"/>
          <w:lang w:val="ro-RO"/>
        </w:rPr>
        <w:t>ul general al C</w:t>
      </w:r>
      <w:r w:rsidRPr="00583DAE">
        <w:rPr>
          <w:rFonts w:asciiTheme="minorHAnsi" w:hAnsiTheme="minorHAnsi" w:cstheme="minorHAnsi"/>
          <w:b/>
          <w:sz w:val="22"/>
          <w:szCs w:val="18"/>
          <w:lang w:val="ro-RO"/>
        </w:rPr>
        <w:t>omun</w:t>
      </w:r>
      <w:r w:rsidR="004279FB" w:rsidRPr="00583DAE">
        <w:rPr>
          <w:rFonts w:asciiTheme="minorHAnsi" w:hAnsiTheme="minorHAnsi" w:cstheme="minorHAnsi"/>
          <w:b/>
          <w:sz w:val="22"/>
          <w:szCs w:val="18"/>
          <w:lang w:val="ro-RO"/>
        </w:rPr>
        <w:t>ei</w:t>
      </w:r>
      <w:r w:rsidRPr="00583DAE">
        <w:rPr>
          <w:rFonts w:asciiTheme="minorHAnsi" w:hAnsiTheme="minorHAnsi" w:cstheme="minorHAnsi"/>
          <w:b/>
          <w:sz w:val="22"/>
          <w:szCs w:val="18"/>
          <w:lang w:val="ro-RO"/>
        </w:rPr>
        <w:t xml:space="preserve"> Șoldanu,</w:t>
      </w:r>
    </w:p>
    <w:p w14:paraId="2AB2C3CD" w14:textId="15DB56D2" w:rsidR="00245155" w:rsidRPr="00583DAE" w:rsidRDefault="00A57F41" w:rsidP="004279FB">
      <w:pPr>
        <w:pStyle w:val="Corptext2"/>
        <w:jc w:val="center"/>
        <w:rPr>
          <w:rFonts w:asciiTheme="minorHAnsi" w:hAnsiTheme="minorHAnsi" w:cstheme="minorHAnsi"/>
          <w:sz w:val="22"/>
          <w:szCs w:val="18"/>
        </w:rPr>
      </w:pPr>
      <w:r w:rsidRPr="00583DAE">
        <w:rPr>
          <w:rFonts w:asciiTheme="minorHAnsi" w:hAnsiTheme="minorHAnsi" w:cstheme="minorHAnsi"/>
          <w:sz w:val="22"/>
          <w:szCs w:val="18"/>
        </w:rPr>
        <w:t>Traian HULEA</w:t>
      </w:r>
    </w:p>
    <w:sectPr w:rsidR="00245155" w:rsidRPr="00583DAE" w:rsidSect="000C60AA">
      <w:footerReference w:type="default" r:id="rId7"/>
      <w:endnotePr>
        <w:numFmt w:val="decimal"/>
        <w:numStart w:val="0"/>
      </w:endnotePr>
      <w:pgSz w:w="12240" w:h="15840"/>
      <w:pgMar w:top="630" w:right="1041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F08E" w14:textId="77777777" w:rsidR="00824E22" w:rsidRDefault="00824E22" w:rsidP="00824E22">
      <w:r>
        <w:separator/>
      </w:r>
    </w:p>
  </w:endnote>
  <w:endnote w:type="continuationSeparator" w:id="0">
    <w:p w14:paraId="07D4BFA8" w14:textId="77777777" w:rsidR="00824E22" w:rsidRDefault="00824E22" w:rsidP="008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highlight w:val="lightGray"/>
      </w:rPr>
      <w:id w:val="-743628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highlight w:val="lightGray"/>
          </w:rPr>
          <w:id w:val="1728636285"/>
          <w:docPartObj>
            <w:docPartGallery w:val="Page Numbers (Top of Page)"/>
            <w:docPartUnique/>
          </w:docPartObj>
        </w:sdtPr>
        <w:sdtContent>
          <w:p w14:paraId="737F0358" w14:textId="223BFAB4" w:rsidR="00824E22" w:rsidRPr="00824E22" w:rsidRDefault="00824E22" w:rsidP="00824E22">
            <w:pPr>
              <w:pStyle w:val="Subsol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24E22">
              <w:rPr>
                <w:rFonts w:asciiTheme="minorHAnsi" w:hAnsiTheme="minorHAnsi" w:cstheme="minorHAnsi"/>
                <w:highlight w:val="lightGray"/>
                <w:lang w:val="ro-RO"/>
              </w:rPr>
              <w:t xml:space="preserve">Pagina </w:t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fldChar w:fldCharType="begin"/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instrText>PAGE</w:instrText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fldChar w:fldCharType="separate"/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  <w:lang w:val="ro-RO"/>
              </w:rPr>
              <w:t>2</w:t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fldChar w:fldCharType="end"/>
            </w:r>
            <w:r w:rsidRPr="00824E22">
              <w:rPr>
                <w:rFonts w:asciiTheme="minorHAnsi" w:hAnsiTheme="minorHAnsi" w:cstheme="minorHAnsi"/>
                <w:highlight w:val="lightGray"/>
                <w:lang w:val="ro-RO"/>
              </w:rPr>
              <w:t xml:space="preserve"> din </w:t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fldChar w:fldCharType="begin"/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instrText>NUMPAGES</w:instrText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fldChar w:fldCharType="separate"/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  <w:lang w:val="ro-RO"/>
              </w:rPr>
              <w:t>2</w:t>
            </w:r>
            <w:r w:rsidRPr="00824E22">
              <w:rPr>
                <w:rFonts w:asciiTheme="minorHAnsi" w:hAnsiTheme="minorHAnsi" w:cstheme="minorHAnsi"/>
                <w:b/>
                <w:bCs/>
                <w:highlight w:val="lightGray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FCD" w14:textId="77777777" w:rsidR="00824E22" w:rsidRDefault="00824E22" w:rsidP="00824E22">
      <w:r>
        <w:separator/>
      </w:r>
    </w:p>
  </w:footnote>
  <w:footnote w:type="continuationSeparator" w:id="0">
    <w:p w14:paraId="00BB9DFB" w14:textId="77777777" w:rsidR="00824E22" w:rsidRDefault="00824E22" w:rsidP="0082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A3C"/>
    <w:multiLevelType w:val="multilevel"/>
    <w:tmpl w:val="BE2E624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9503AD2"/>
    <w:multiLevelType w:val="hybridMultilevel"/>
    <w:tmpl w:val="22242E58"/>
    <w:lvl w:ilvl="0" w:tplc="0418000B">
      <w:start w:val="1"/>
      <w:numFmt w:val="bullet"/>
      <w:lvlText w:val="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264969"/>
    <w:multiLevelType w:val="multilevel"/>
    <w:tmpl w:val="070EEE4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9D8637E"/>
    <w:multiLevelType w:val="hybridMultilevel"/>
    <w:tmpl w:val="472CD086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7DA16B0D"/>
    <w:multiLevelType w:val="hybridMultilevel"/>
    <w:tmpl w:val="5A922A82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524741">
    <w:abstractNumId w:val="3"/>
  </w:num>
  <w:num w:numId="2" w16cid:durableId="418644430">
    <w:abstractNumId w:val="0"/>
  </w:num>
  <w:num w:numId="3" w16cid:durableId="251934043">
    <w:abstractNumId w:val="2"/>
  </w:num>
  <w:num w:numId="4" w16cid:durableId="1096244825">
    <w:abstractNumId w:val="1"/>
  </w:num>
  <w:num w:numId="5" w16cid:durableId="1811359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A5"/>
    <w:rsid w:val="0004556D"/>
    <w:rsid w:val="00051AF7"/>
    <w:rsid w:val="00051C06"/>
    <w:rsid w:val="0009135A"/>
    <w:rsid w:val="00091A11"/>
    <w:rsid w:val="000A38F5"/>
    <w:rsid w:val="000C60AA"/>
    <w:rsid w:val="000D712B"/>
    <w:rsid w:val="000E11A5"/>
    <w:rsid w:val="001148A0"/>
    <w:rsid w:val="00135F99"/>
    <w:rsid w:val="0016558D"/>
    <w:rsid w:val="002051DF"/>
    <w:rsid w:val="00213805"/>
    <w:rsid w:val="00225628"/>
    <w:rsid w:val="002336A7"/>
    <w:rsid w:val="00245155"/>
    <w:rsid w:val="002A4CE6"/>
    <w:rsid w:val="002C12C0"/>
    <w:rsid w:val="002C2295"/>
    <w:rsid w:val="00302859"/>
    <w:rsid w:val="0030398F"/>
    <w:rsid w:val="00321503"/>
    <w:rsid w:val="00361016"/>
    <w:rsid w:val="00370F0D"/>
    <w:rsid w:val="00390078"/>
    <w:rsid w:val="003A1B9D"/>
    <w:rsid w:val="003B0F04"/>
    <w:rsid w:val="003E0BE5"/>
    <w:rsid w:val="003E714E"/>
    <w:rsid w:val="004136F8"/>
    <w:rsid w:val="004279FB"/>
    <w:rsid w:val="00443C9A"/>
    <w:rsid w:val="00491F5B"/>
    <w:rsid w:val="00491FE8"/>
    <w:rsid w:val="004A1004"/>
    <w:rsid w:val="004B032D"/>
    <w:rsid w:val="00536333"/>
    <w:rsid w:val="00546940"/>
    <w:rsid w:val="00551BD2"/>
    <w:rsid w:val="005634B9"/>
    <w:rsid w:val="00577028"/>
    <w:rsid w:val="00577B25"/>
    <w:rsid w:val="00583DAE"/>
    <w:rsid w:val="0060022E"/>
    <w:rsid w:val="006129B1"/>
    <w:rsid w:val="00666C76"/>
    <w:rsid w:val="006B7272"/>
    <w:rsid w:val="00700537"/>
    <w:rsid w:val="007139E8"/>
    <w:rsid w:val="00754743"/>
    <w:rsid w:val="007A0464"/>
    <w:rsid w:val="007E6259"/>
    <w:rsid w:val="007F440A"/>
    <w:rsid w:val="00824E22"/>
    <w:rsid w:val="0082795F"/>
    <w:rsid w:val="008517ED"/>
    <w:rsid w:val="008970A1"/>
    <w:rsid w:val="008F4E9F"/>
    <w:rsid w:val="00966526"/>
    <w:rsid w:val="00971E17"/>
    <w:rsid w:val="00974D72"/>
    <w:rsid w:val="009C7BB5"/>
    <w:rsid w:val="009E284C"/>
    <w:rsid w:val="009E4B72"/>
    <w:rsid w:val="009E5B14"/>
    <w:rsid w:val="00A41986"/>
    <w:rsid w:val="00A57F41"/>
    <w:rsid w:val="00B0240B"/>
    <w:rsid w:val="00B7084D"/>
    <w:rsid w:val="00B92775"/>
    <w:rsid w:val="00BA4DBB"/>
    <w:rsid w:val="00BB1A03"/>
    <w:rsid w:val="00BF1047"/>
    <w:rsid w:val="00C02977"/>
    <w:rsid w:val="00C8716A"/>
    <w:rsid w:val="00CA5BD7"/>
    <w:rsid w:val="00CD3B8C"/>
    <w:rsid w:val="00D16508"/>
    <w:rsid w:val="00D354A5"/>
    <w:rsid w:val="00D45222"/>
    <w:rsid w:val="00D45F12"/>
    <w:rsid w:val="00DB5FC7"/>
    <w:rsid w:val="00E4147E"/>
    <w:rsid w:val="00E53A7C"/>
    <w:rsid w:val="00EA1B51"/>
    <w:rsid w:val="00EC6E08"/>
    <w:rsid w:val="00F336CE"/>
    <w:rsid w:val="00F4461D"/>
    <w:rsid w:val="00F45356"/>
    <w:rsid w:val="00F549A0"/>
    <w:rsid w:val="00F613D6"/>
    <w:rsid w:val="00F616E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29A96"/>
  <w15:docId w15:val="{E988371A-B28E-402C-9FDE-9FB5A9E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Courier New" w:hAnsi="Courier New"/>
      <w:color w:val="FF0000"/>
      <w:sz w:val="24"/>
      <w:lang w:val="ro-RO"/>
    </w:rPr>
  </w:style>
  <w:style w:type="paragraph" w:styleId="Titlu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Courier New" w:hAnsi="Courier New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Courier New" w:hAnsi="Courier New"/>
      <w:b/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color w:val="FF0000"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lang w:val="ro-RO"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jc w:val="both"/>
    </w:pPr>
    <w:rPr>
      <w:rFonts w:ascii="Courier New" w:hAnsi="Courier New"/>
      <w:sz w:val="24"/>
      <w:lang w:val="ro-RO"/>
    </w:rPr>
  </w:style>
  <w:style w:type="paragraph" w:styleId="Corptext2">
    <w:name w:val="Body Text 2"/>
    <w:basedOn w:val="Normal"/>
    <w:rPr>
      <w:rFonts w:ascii="Courier New" w:hAnsi="Courier New"/>
      <w:sz w:val="24"/>
      <w:lang w:val="ro-RO"/>
    </w:rPr>
  </w:style>
  <w:style w:type="character" w:customStyle="1" w:styleId="ln2tparagraf">
    <w:name w:val="ln2tparagraf"/>
    <w:basedOn w:val="Fontdeparagrafimplicit"/>
    <w:rsid w:val="00966526"/>
  </w:style>
  <w:style w:type="character" w:customStyle="1" w:styleId="ln2paragraf1">
    <w:name w:val="ln2paragraf1"/>
    <w:basedOn w:val="Fontdeparagrafimplicit"/>
    <w:rsid w:val="00966526"/>
  </w:style>
  <w:style w:type="paragraph" w:styleId="TextnBalon">
    <w:name w:val="Balloon Text"/>
    <w:basedOn w:val="Normal"/>
    <w:semiHidden/>
    <w:rsid w:val="006B7272"/>
    <w:rPr>
      <w:rFonts w:ascii="Tahoma" w:hAnsi="Tahoma" w:cs="Tahoma"/>
      <w:sz w:val="16"/>
      <w:szCs w:val="16"/>
    </w:rPr>
  </w:style>
  <w:style w:type="character" w:customStyle="1" w:styleId="ln2articol1">
    <w:name w:val="ln2articol1"/>
    <w:basedOn w:val="Fontdeparagrafimplicit"/>
    <w:rsid w:val="00321503"/>
  </w:style>
  <w:style w:type="character" w:customStyle="1" w:styleId="ln2tarticol">
    <w:name w:val="ln2tarticol"/>
    <w:basedOn w:val="Fontdeparagrafimplicit"/>
    <w:rsid w:val="00321503"/>
  </w:style>
  <w:style w:type="character" w:styleId="Robust">
    <w:name w:val="Strong"/>
    <w:basedOn w:val="Fontdeparagrafimplicit"/>
    <w:qFormat/>
    <w:rsid w:val="00321503"/>
    <w:rPr>
      <w:b/>
      <w:bCs/>
    </w:rPr>
  </w:style>
  <w:style w:type="character" w:customStyle="1" w:styleId="ln2litera1">
    <w:name w:val="ln2litera1"/>
    <w:basedOn w:val="Fontdeparagrafimplicit"/>
    <w:rsid w:val="00321503"/>
  </w:style>
  <w:style w:type="character" w:customStyle="1" w:styleId="ln2linie">
    <w:name w:val="ln2linie"/>
    <w:basedOn w:val="Fontdeparagrafimplicit"/>
    <w:rsid w:val="00321503"/>
  </w:style>
  <w:style w:type="paragraph" w:customStyle="1" w:styleId="CharCharCharCharCharCharCharCharCharChar">
    <w:name w:val="Char Char Char Char Char Char Char Char Char Char"/>
    <w:basedOn w:val="Normal"/>
    <w:rsid w:val="00C8716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</w:rPr>
  </w:style>
  <w:style w:type="table" w:styleId="Tabelgril">
    <w:name w:val="Table Grid"/>
    <w:basedOn w:val="TabelNormal"/>
    <w:rsid w:val="009C7B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824E2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824E22"/>
    <w:rPr>
      <w:rFonts w:ascii="MS Sans Serif" w:hAnsi="MS Sans Serif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824E2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4E22"/>
    <w:rPr>
      <w:rFonts w:ascii="MS Sans Serif" w:hAnsi="MS Sans Seri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JUDE?UL CALARAaI</vt:lpstr>
      <vt:lpstr>JUDE?UL CALARAaI</vt:lpstr>
    </vt:vector>
  </TitlesOfParts>
  <Company>GUV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JUDE?UL CALARAaI</dc:title>
  <dc:creator>PRIMARIA SOLDANU</dc:creator>
  <cp:lastModifiedBy>Traian Hulea</cp:lastModifiedBy>
  <cp:revision>2</cp:revision>
  <cp:lastPrinted>2013-07-15T19:49:00Z</cp:lastPrinted>
  <dcterms:created xsi:type="dcterms:W3CDTF">2022-04-18T12:12:00Z</dcterms:created>
  <dcterms:modified xsi:type="dcterms:W3CDTF">2022-04-18T12:12:00Z</dcterms:modified>
</cp:coreProperties>
</file>