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72" w:type="dxa"/>
        <w:tblLayout w:type="fixed"/>
        <w:tblLook w:val="04A0" w:firstRow="1" w:lastRow="0" w:firstColumn="1" w:lastColumn="0" w:noHBand="0" w:noVBand="1"/>
      </w:tblPr>
      <w:tblGrid>
        <w:gridCol w:w="1406"/>
        <w:gridCol w:w="5223"/>
        <w:gridCol w:w="2743"/>
      </w:tblGrid>
      <w:tr w:rsidR="00051499" w:rsidRPr="009226AC" w14:paraId="23AECB93" w14:textId="77777777" w:rsidTr="0028061B">
        <w:trPr>
          <w:trHeight w:val="248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EFD0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06AAC43A" wp14:editId="6036A8A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C8BB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</w:p>
          <w:p w14:paraId="610D9825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929C61" w14:textId="77777777" w:rsidR="00051499" w:rsidRPr="009226AC" w:rsidRDefault="00051499" w:rsidP="008F0F9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NR.__________/__________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661" w14:textId="77777777" w:rsidR="00051499" w:rsidRPr="009226AC" w:rsidRDefault="00051499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2BF108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in" o:ole="">
                  <v:imagedata r:id="rId7" o:title=""/>
                </v:shape>
                <o:OLEObject Type="Embed" ProgID="PBrush" ShapeID="_x0000_i1025" DrawAspect="Content" ObjectID="_1714376229" r:id="rId8"/>
              </w:object>
            </w:r>
          </w:p>
          <w:p w14:paraId="457B3BB8" w14:textId="77777777" w:rsidR="00051499" w:rsidRPr="009226AC" w:rsidRDefault="00051499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58E89D49">
                <v:shape id="_x0000_i1026" type="#_x0000_t75" style="width:135pt;height:59.25pt" o:ole="">
                  <v:imagedata r:id="rId9" o:title=""/>
                </v:shape>
                <o:OLEObject Type="Embed" ProgID="PBrush" ShapeID="_x0000_i1026" DrawAspect="Content" ObjectID="_1714376230" r:id="rId10"/>
              </w:object>
            </w:r>
          </w:p>
        </w:tc>
      </w:tr>
    </w:tbl>
    <w:p w14:paraId="03C4960E" w14:textId="77777777" w:rsidR="00051499" w:rsidRPr="009226A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</w:t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27BD4DC9" w14:textId="77777777" w:rsidR="00051499" w:rsidRPr="009226AC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b/>
          <w:i/>
          <w:sz w:val="24"/>
          <w:szCs w:val="24"/>
          <w:lang w:val="ro-RO"/>
        </w:rPr>
        <w:t>Referat de aprobare</w:t>
      </w:r>
    </w:p>
    <w:p w14:paraId="507B7123" w14:textId="77777777" w:rsidR="00F01593" w:rsidRDefault="00F01593" w:rsidP="00F01593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61748,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14:paraId="2AB025DB" w14:textId="77777777" w:rsidR="00F01593" w:rsidRPr="00CF7957" w:rsidRDefault="00F01593" w:rsidP="00F01593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61748,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Drobeta Turnu Severin,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Parcul  Gării</w:t>
      </w:r>
    </w:p>
    <w:p w14:paraId="42A909BE" w14:textId="77777777" w:rsidR="00F01593" w:rsidRPr="00CF7957" w:rsidRDefault="00F01593" w:rsidP="00F01593">
      <w:pPr>
        <w:pStyle w:val="Corptext2"/>
        <w:jc w:val="both"/>
        <w:rPr>
          <w:b w:val="0"/>
          <w:szCs w:val="28"/>
          <w:lang w:val="ro-RO"/>
        </w:rPr>
      </w:pPr>
    </w:p>
    <w:p w14:paraId="41A1A922" w14:textId="77777777" w:rsidR="00051499" w:rsidRPr="009226AC" w:rsidRDefault="00051499" w:rsidP="00051499">
      <w:pPr>
        <w:pStyle w:val="Corptext2"/>
        <w:jc w:val="both"/>
        <w:rPr>
          <w:b w:val="0"/>
          <w:sz w:val="24"/>
          <w:szCs w:val="24"/>
          <w:lang w:val="ro-RO"/>
        </w:rPr>
      </w:pPr>
    </w:p>
    <w:p w14:paraId="3490029F" w14:textId="77777777" w:rsidR="009A10EC" w:rsidRDefault="009226AC" w:rsidP="009A10EC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030BA497" w14:textId="77777777" w:rsidR="009A10EC" w:rsidRDefault="00082BC8" w:rsidP="009A10EC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F01593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9A10EC">
        <w:rPr>
          <w:rFonts w:ascii="Times New Roman" w:hAnsi="Times New Roman"/>
          <w:sz w:val="24"/>
          <w:szCs w:val="24"/>
          <w:lang w:val="ro-RO"/>
        </w:rPr>
        <w:t>O</w:t>
      </w:r>
      <w:r w:rsidR="00F01593" w:rsidRPr="00897C8B">
        <w:rPr>
          <w:rFonts w:ascii="Times New Roman" w:hAnsi="Times New Roman"/>
          <w:sz w:val="24"/>
          <w:szCs w:val="24"/>
          <w:lang w:val="ro-RO"/>
        </w:rPr>
        <w:t xml:space="preserve">portunitatea </w:t>
      </w:r>
      <w:r w:rsidR="00897C8B" w:rsidRPr="00897C8B">
        <w:rPr>
          <w:rFonts w:ascii="Times New Roman" w:hAnsi="Times New Roman"/>
          <w:sz w:val="24"/>
          <w:szCs w:val="24"/>
          <w:lang w:val="ro-RO"/>
        </w:rPr>
        <w:t>identificării unor soluții pentru realizarea de investiții pe terenurile aparținând domeniului public al municipiului Drobeta Turnu Severin</w:t>
      </w:r>
      <w:r w:rsidR="00897C8B" w:rsidRPr="00897C8B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67E99F09" w14:textId="5E2D1857" w:rsidR="00F01593" w:rsidRPr="009A10EC" w:rsidRDefault="00F51181" w:rsidP="009A10EC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- </w:t>
      </w:r>
      <w:r w:rsidR="009A10EC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 xml:space="preserve">dresa nr.10576/18.03.2022 a Serviciului de Dezvoltare Locală și Managementul Proiectelor prin care se solicită clarificarea situației juridice </w:t>
      </w:r>
      <w:r w:rsidR="00117463">
        <w:rPr>
          <w:rFonts w:ascii="Times New Roman" w:hAnsi="Times New Roman"/>
          <w:sz w:val="24"/>
          <w:szCs w:val="24"/>
          <w:lang w:val="ro-RO"/>
        </w:rPr>
        <w:t>a terenului destinat obiectivului  de investiții</w:t>
      </w:r>
      <w:r w:rsidR="00F01593" w:rsidRPr="00F01593">
        <w:rPr>
          <w:rFonts w:ascii="Times New Roman" w:hAnsi="Times New Roman"/>
          <w:sz w:val="24"/>
          <w:szCs w:val="24"/>
          <w:lang w:val="ro-RO"/>
        </w:rPr>
        <w:t>;</w:t>
      </w:r>
    </w:p>
    <w:p w14:paraId="03309707" w14:textId="002CA492" w:rsidR="00051499" w:rsidRPr="009226AC" w:rsidRDefault="009A10EC" w:rsidP="009A10EC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-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 (2) din Legea nr. 287 / 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7A1EA6C7" w14:textId="59EFA381" w:rsidR="00051499" w:rsidRPr="009A10EC" w:rsidRDefault="009A10EC" w:rsidP="009A10EC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A10EC">
        <w:rPr>
          <w:rFonts w:ascii="Times New Roman" w:hAnsi="Times New Roman"/>
          <w:sz w:val="24"/>
          <w:szCs w:val="24"/>
          <w:lang w:val="ro-RO"/>
        </w:rPr>
        <w:t xml:space="preserve">  - </w:t>
      </w:r>
      <w:r w:rsidR="009226AC" w:rsidRPr="009A10E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A10EC">
        <w:rPr>
          <w:rFonts w:ascii="Times New Roman" w:hAnsi="Times New Roman"/>
          <w:sz w:val="24"/>
          <w:szCs w:val="24"/>
          <w:lang w:val="ro-RO"/>
        </w:rPr>
        <w:t>iile art. 880 alin (1) din Legea nr. 287 / 200</w:t>
      </w:r>
      <w:r w:rsidR="009226AC" w:rsidRPr="009A10E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A10E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9A10E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9A10E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9A10E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A10E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9A10E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04F12C31" w14:textId="3203037E" w:rsidR="009226AC" w:rsidRPr="009A10EC" w:rsidRDefault="009A10EC" w:rsidP="009A10EC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9A10EC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9226AC" w:rsidRPr="009A10E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A10EC">
        <w:rPr>
          <w:rFonts w:ascii="Times New Roman" w:hAnsi="Times New Roman"/>
          <w:sz w:val="24"/>
          <w:szCs w:val="24"/>
          <w:lang w:val="ro-RO"/>
        </w:rPr>
        <w:t>iile art. 25 alin (2) din Lege</w:t>
      </w:r>
      <w:r w:rsidR="009226AC" w:rsidRPr="009A10E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A10E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9A10E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A10EC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3338FCA3" w14:textId="33284A5C" w:rsidR="00796F02" w:rsidRPr="00796F02" w:rsidRDefault="009A10EC" w:rsidP="009A10EC">
      <w:pPr>
        <w:pStyle w:val="Listparagraf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4DE4F225" w14:textId="0803379F" w:rsidR="00051499" w:rsidRPr="009226AC" w:rsidRDefault="00796F02" w:rsidP="00117463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96F02">
        <w:rPr>
          <w:rFonts w:ascii="Times New Roman" w:hAnsi="Times New Roman"/>
          <w:sz w:val="24"/>
          <w:szCs w:val="24"/>
          <w:lang w:val="ro-RO"/>
        </w:rPr>
        <w:t>P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>ro</w:t>
      </w:r>
      <w:r w:rsidR="00047735" w:rsidRPr="00796F02">
        <w:rPr>
          <w:rFonts w:ascii="Times New Roman" w:hAnsi="Times New Roman"/>
          <w:sz w:val="24"/>
          <w:szCs w:val="24"/>
          <w:lang w:val="ro-RO"/>
        </w:rPr>
        <w:t>pun ca î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 xml:space="preserve">n </w:t>
      </w:r>
      <w:proofErr w:type="spellStart"/>
      <w:r w:rsidR="009226AC" w:rsidRPr="00796F02">
        <w:rPr>
          <w:rFonts w:ascii="Times New Roman" w:hAnsi="Times New Roman"/>
          <w:sz w:val="24"/>
          <w:szCs w:val="24"/>
          <w:lang w:val="ro-RO"/>
        </w:rPr>
        <w:t>sedința</w:t>
      </w:r>
      <w:proofErr w:type="spellEnd"/>
      <w:r w:rsidR="009226AC" w:rsidRPr="00796F02">
        <w:rPr>
          <w:rFonts w:ascii="Times New Roman" w:hAnsi="Times New Roman"/>
          <w:sz w:val="24"/>
          <w:szCs w:val="24"/>
          <w:lang w:val="ro-RO"/>
        </w:rPr>
        <w:t xml:space="preserve"> ordinară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 a Consiliului Local al Municipiului Drobeta Turnu Severin din luna </w:t>
      </w:r>
      <w:r w:rsidR="008D0A9B">
        <w:rPr>
          <w:rFonts w:ascii="Times New Roman" w:hAnsi="Times New Roman"/>
          <w:sz w:val="24"/>
          <w:szCs w:val="24"/>
          <w:lang w:val="ro-RO"/>
        </w:rPr>
        <w:t>ma</w:t>
      </w:r>
      <w:r w:rsidR="00F01593">
        <w:rPr>
          <w:rFonts w:ascii="Times New Roman" w:hAnsi="Times New Roman"/>
          <w:sz w:val="24"/>
          <w:szCs w:val="24"/>
          <w:lang w:val="ro-RO"/>
        </w:rPr>
        <w:t>i</w:t>
      </w:r>
      <w:r w:rsidR="008D0A9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>2022 să fie dezbă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tut </w:t>
      </w:r>
      <w:r w:rsidR="00047735" w:rsidRPr="00796F02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>i  adoptat  proiectul de  hotărâ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>r</w:t>
      </w:r>
      <w:r w:rsidR="00047735" w:rsidRPr="00796F02">
        <w:rPr>
          <w:rFonts w:ascii="Times New Roman" w:hAnsi="Times New Roman"/>
          <w:sz w:val="24"/>
          <w:szCs w:val="24"/>
          <w:lang w:val="ro-RO"/>
        </w:rPr>
        <w:t xml:space="preserve">e privind 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 xml:space="preserve"> aprobarea documentaț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iei tehnice cadastrale cu propunerea de dezmembrare a imobilului </w:t>
      </w:r>
      <w:r w:rsidR="009226AC" w:rsidRPr="00796F02">
        <w:rPr>
          <w:rFonts w:ascii="Times New Roman" w:hAnsi="Times New Roman"/>
          <w:sz w:val="24"/>
          <w:szCs w:val="24"/>
          <w:lang w:val="ro-RO"/>
        </w:rPr>
        <w:t>teren, î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>nscris in CF a UAT Drobeta Turnu Severin</w:t>
      </w:r>
      <w:r w:rsidR="00F01593">
        <w:rPr>
          <w:rFonts w:ascii="Times New Roman" w:hAnsi="Times New Roman"/>
          <w:sz w:val="24"/>
          <w:szCs w:val="24"/>
          <w:lang w:val="ro-RO"/>
        </w:rPr>
        <w:t xml:space="preserve"> 61748</w:t>
      </w:r>
      <w:r w:rsidR="001C0373" w:rsidRPr="00796F02">
        <w:rPr>
          <w:rFonts w:ascii="Times New Roman" w:hAnsi="Times New Roman"/>
          <w:sz w:val="24"/>
          <w:szCs w:val="24"/>
          <w:lang w:val="ro-RO"/>
        </w:rPr>
        <w:t xml:space="preserve"> avâ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 xml:space="preserve">nd NC </w:t>
      </w:r>
      <w:r w:rsidR="00F01593">
        <w:rPr>
          <w:rFonts w:ascii="Times New Roman" w:hAnsi="Times New Roman"/>
          <w:sz w:val="24"/>
          <w:szCs w:val="24"/>
          <w:lang w:val="ro-RO"/>
        </w:rPr>
        <w:t>617478</w:t>
      </w:r>
      <w:r w:rsidR="006F4B50">
        <w:rPr>
          <w:rFonts w:ascii="Times New Roman" w:hAnsi="Times New Roman"/>
          <w:sz w:val="24"/>
          <w:szCs w:val="24"/>
          <w:lang w:val="ro-RO"/>
        </w:rPr>
        <w:t>,  situat î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>n Drobeta Turnu Severin</w:t>
      </w:r>
      <w:r w:rsidR="008D0A9B">
        <w:rPr>
          <w:rFonts w:ascii="Times New Roman" w:hAnsi="Times New Roman"/>
          <w:sz w:val="24"/>
          <w:szCs w:val="24"/>
          <w:lang w:val="ro-RO"/>
        </w:rPr>
        <w:t>,</w:t>
      </w:r>
      <w:r w:rsidR="008D0A9B" w:rsidRPr="008D0A9B">
        <w:rPr>
          <w:rFonts w:ascii="Times New Roman" w:hAnsi="Times New Roman"/>
          <w:bCs/>
          <w:iCs/>
          <w:sz w:val="26"/>
          <w:szCs w:val="26"/>
          <w:lang w:val="ro-RO"/>
        </w:rPr>
        <w:t xml:space="preserve"> </w:t>
      </w:r>
      <w:r w:rsidR="00F01593">
        <w:rPr>
          <w:rFonts w:ascii="Times New Roman" w:hAnsi="Times New Roman"/>
          <w:bCs/>
          <w:iCs/>
          <w:sz w:val="24"/>
          <w:szCs w:val="24"/>
          <w:lang w:val="ro-RO"/>
        </w:rPr>
        <w:t>Parcul Gării</w:t>
      </w:r>
      <w:r w:rsidR="00051499" w:rsidRPr="00796F02">
        <w:rPr>
          <w:rFonts w:ascii="Times New Roman" w:hAnsi="Times New Roman"/>
          <w:sz w:val="24"/>
          <w:szCs w:val="24"/>
          <w:lang w:val="ro-RO"/>
        </w:rPr>
        <w:t>.</w:t>
      </w:r>
    </w:p>
    <w:p w14:paraId="632A5B31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6AF95A43" w14:textId="77777777" w:rsidR="00051499" w:rsidRPr="009226AC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VICEPRIMAR</w:t>
      </w:r>
    </w:p>
    <w:p w14:paraId="18AED840" w14:textId="2BB96C29" w:rsidR="009226CA" w:rsidRPr="009A10EC" w:rsidRDefault="00051499" w:rsidP="009A10EC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DANIEL OLIMPIU C</w:t>
      </w:r>
      <w:r w:rsidR="001C0373">
        <w:rPr>
          <w:rFonts w:ascii="Times New Roman" w:hAnsi="Times New Roman"/>
          <w:sz w:val="24"/>
          <w:szCs w:val="24"/>
          <w:lang w:val="ro-RO"/>
        </w:rPr>
        <w:t>Î</w:t>
      </w:r>
      <w:r w:rsidRPr="009226AC">
        <w:rPr>
          <w:rFonts w:ascii="Times New Roman" w:hAnsi="Times New Roman"/>
          <w:sz w:val="24"/>
          <w:szCs w:val="24"/>
          <w:lang w:val="ro-RO"/>
        </w:rPr>
        <w:t>RJAN</w:t>
      </w:r>
    </w:p>
    <w:sectPr w:rsidR="009226CA" w:rsidRPr="009A10E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2346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num w:numId="1" w16cid:durableId="41736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47735"/>
    <w:rsid w:val="00051499"/>
    <w:rsid w:val="00082BC8"/>
    <w:rsid w:val="00117463"/>
    <w:rsid w:val="001C0373"/>
    <w:rsid w:val="0028061B"/>
    <w:rsid w:val="004D3FD3"/>
    <w:rsid w:val="0054150B"/>
    <w:rsid w:val="005F6621"/>
    <w:rsid w:val="006A74F3"/>
    <w:rsid w:val="006D1CAD"/>
    <w:rsid w:val="006F4B50"/>
    <w:rsid w:val="007606B9"/>
    <w:rsid w:val="00796F02"/>
    <w:rsid w:val="00897C8B"/>
    <w:rsid w:val="008B3B76"/>
    <w:rsid w:val="008D0A9B"/>
    <w:rsid w:val="009226AC"/>
    <w:rsid w:val="009226CA"/>
    <w:rsid w:val="009A10EC"/>
    <w:rsid w:val="00AF07CE"/>
    <w:rsid w:val="00B52447"/>
    <w:rsid w:val="00F01593"/>
    <w:rsid w:val="00F5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0D55"/>
  <w15:docId w15:val="{05DAFE20-3E64-42E3-81D7-63EF0B4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414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14</cp:revision>
  <cp:lastPrinted>2022-05-18T07:46:00Z</cp:lastPrinted>
  <dcterms:created xsi:type="dcterms:W3CDTF">2022-02-14T11:28:00Z</dcterms:created>
  <dcterms:modified xsi:type="dcterms:W3CDTF">2022-05-18T07:51:00Z</dcterms:modified>
</cp:coreProperties>
</file>