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7672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N</w:t>
            </w:r>
            <w:r w:rsidR="0076721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76721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16966421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16966422" r:id="rId10"/>
              </w:object>
            </w:r>
          </w:p>
        </w:tc>
      </w:tr>
    </w:tbl>
    <w:p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BE4DB8" w:rsidRDefault="00BE4DB8" w:rsidP="00BE4DB8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61518,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:rsidR="002410F8" w:rsidRPr="00CF7957" w:rsidRDefault="00BE4DB8" w:rsidP="00BE4DB8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61518,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Aleea Constructorilor</w:t>
      </w:r>
    </w:p>
    <w:p w:rsidR="00051499" w:rsidRPr="009226AC" w:rsidRDefault="00051499" w:rsidP="00051499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73120" w:rsidRPr="006164EB" w:rsidRDefault="00020571" w:rsidP="002410F8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6164EB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473120" w:rsidRPr="006164EB">
        <w:rPr>
          <w:rFonts w:ascii="Times New Roman" w:hAnsi="Times New Roman"/>
          <w:sz w:val="24"/>
          <w:szCs w:val="24"/>
          <w:lang w:val="ro-RO"/>
        </w:rPr>
        <w:t>Procesul Verbal nr. 8913/08.03.2022 prin care Subcomisia nr. 2</w:t>
      </w:r>
      <w:r w:rsidR="00835FE8" w:rsidRPr="006164EB">
        <w:rPr>
          <w:rFonts w:ascii="Times New Roman" w:hAnsi="Times New Roman"/>
          <w:sz w:val="24"/>
          <w:szCs w:val="24"/>
          <w:lang w:val="ro-RO"/>
        </w:rPr>
        <w:t>, constituită în baza Dispoziției Primarului</w:t>
      </w:r>
      <w:r w:rsidR="006164EB" w:rsidRPr="00616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5FE8" w:rsidRPr="006164EB">
        <w:rPr>
          <w:rFonts w:ascii="Times New Roman" w:hAnsi="Times New Roman"/>
          <w:sz w:val="24"/>
          <w:szCs w:val="24"/>
          <w:lang w:val="ro-RO"/>
        </w:rPr>
        <w:t>nr. 502/17.06.2020 privind constituirea comisiei speciale de inventariere</w:t>
      </w:r>
      <w:r w:rsidR="00473120" w:rsidRPr="00616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06E4A">
        <w:rPr>
          <w:rFonts w:ascii="Times New Roman" w:hAnsi="Times New Roman"/>
          <w:sz w:val="24"/>
          <w:szCs w:val="24"/>
          <w:lang w:val="ro-RO"/>
        </w:rPr>
        <w:t>a</w:t>
      </w:r>
      <w:r w:rsidR="00473120" w:rsidRPr="006164EB">
        <w:rPr>
          <w:rFonts w:ascii="Times New Roman" w:hAnsi="Times New Roman"/>
          <w:sz w:val="24"/>
          <w:szCs w:val="24"/>
          <w:lang w:val="ro-RO"/>
        </w:rPr>
        <w:t xml:space="preserve"> domeniul public și privat al Municipiul Drobeta Turnu – Severin apreciază că se impune dezme</w:t>
      </w:r>
      <w:r w:rsidR="007C0C8B" w:rsidRPr="006164EB">
        <w:rPr>
          <w:rFonts w:ascii="Times New Roman" w:hAnsi="Times New Roman"/>
          <w:sz w:val="24"/>
          <w:szCs w:val="24"/>
          <w:lang w:val="ro-RO"/>
        </w:rPr>
        <w:t>mbrarea terenului având NC 61518, cu suprafață de 2</w:t>
      </w:r>
      <w:r w:rsidR="0016747B" w:rsidRPr="006164EB">
        <w:rPr>
          <w:rFonts w:ascii="Times New Roman" w:hAnsi="Times New Roman"/>
          <w:sz w:val="24"/>
          <w:szCs w:val="24"/>
          <w:lang w:val="ro-RO"/>
        </w:rPr>
        <w:t>5</w:t>
      </w:r>
      <w:r w:rsidR="007C0C8B" w:rsidRPr="006164EB">
        <w:rPr>
          <w:rFonts w:ascii="Times New Roman" w:hAnsi="Times New Roman"/>
          <w:sz w:val="24"/>
          <w:szCs w:val="24"/>
          <w:lang w:val="ro-RO"/>
        </w:rPr>
        <w:t>0</w:t>
      </w:r>
      <w:r w:rsidR="0016747B" w:rsidRPr="006164EB">
        <w:rPr>
          <w:rFonts w:ascii="Times New Roman" w:hAnsi="Times New Roman"/>
          <w:sz w:val="24"/>
          <w:szCs w:val="24"/>
          <w:lang w:val="ro-RO"/>
        </w:rPr>
        <w:t>38</w:t>
      </w:r>
      <w:r w:rsidR="007C0C8B" w:rsidRPr="006164EB">
        <w:rPr>
          <w:rFonts w:ascii="Times New Roman" w:hAnsi="Times New Roman"/>
          <w:sz w:val="24"/>
          <w:szCs w:val="24"/>
          <w:lang w:val="ro-RO"/>
        </w:rPr>
        <w:t xml:space="preserve"> mp, </w:t>
      </w:r>
      <w:r w:rsidR="0016747B" w:rsidRPr="006164EB">
        <w:rPr>
          <w:rFonts w:ascii="Times New Roman" w:hAnsi="Times New Roman"/>
          <w:sz w:val="24"/>
          <w:szCs w:val="24"/>
          <w:lang w:val="ro-RO"/>
        </w:rPr>
        <w:t>în două loturi și anume</w:t>
      </w:r>
      <w:r w:rsidR="0016747B" w:rsidRPr="006164EB">
        <w:rPr>
          <w:rFonts w:ascii="Times New Roman" w:hAnsi="Times New Roman"/>
          <w:sz w:val="24"/>
          <w:szCs w:val="24"/>
        </w:rPr>
        <w:t>:</w:t>
      </w:r>
      <w:r w:rsidR="0016747B" w:rsidRPr="006164EB">
        <w:rPr>
          <w:rFonts w:ascii="Times New Roman" w:hAnsi="Times New Roman"/>
          <w:sz w:val="24"/>
          <w:szCs w:val="24"/>
          <w:lang w:val="ro-RO"/>
        </w:rPr>
        <w:t xml:space="preserve"> Lot 1 cu suprafață de 21043 mp, </w:t>
      </w:r>
      <w:r w:rsidR="007C0C8B" w:rsidRPr="006164EB">
        <w:rPr>
          <w:rFonts w:ascii="Times New Roman" w:hAnsi="Times New Roman"/>
          <w:sz w:val="24"/>
          <w:szCs w:val="24"/>
          <w:lang w:val="ro-RO"/>
        </w:rPr>
        <w:t>reprezentând teren ce rămâne în proprietatea Municipiului Dr. Tr. Severin</w:t>
      </w:r>
      <w:r w:rsidRPr="006164EB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0012EE" w:rsidRPr="006164EB">
        <w:rPr>
          <w:rFonts w:ascii="Times New Roman" w:hAnsi="Times New Roman"/>
          <w:sz w:val="24"/>
          <w:szCs w:val="24"/>
          <w:lang w:val="ro-RO"/>
        </w:rPr>
        <w:t>i Lot 2 cu o suprafață</w:t>
      </w:r>
      <w:r w:rsidRPr="006164EB">
        <w:rPr>
          <w:rFonts w:ascii="Times New Roman" w:hAnsi="Times New Roman"/>
          <w:sz w:val="24"/>
          <w:szCs w:val="24"/>
          <w:lang w:val="ro-RO"/>
        </w:rPr>
        <w:t xml:space="preserve"> de 3995 mp, re</w:t>
      </w:r>
      <w:r w:rsidR="000012EE" w:rsidRPr="006164EB">
        <w:rPr>
          <w:rFonts w:ascii="Times New Roman" w:hAnsi="Times New Roman"/>
          <w:sz w:val="24"/>
          <w:szCs w:val="24"/>
          <w:lang w:val="ro-RO"/>
        </w:rPr>
        <w:t>prezentând suprafața de teren, ce trebuie restituită către S.C. Energoconstrucția S.A.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 (2) din Legea nr. 287 / 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880 alin (1) din Legea nr. 287 / 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3D0163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acest context, p</w:t>
      </w:r>
      <w:r w:rsidRPr="00796F02">
        <w:rPr>
          <w:rFonts w:ascii="Times New Roman" w:hAnsi="Times New Roman"/>
          <w:sz w:val="24"/>
          <w:szCs w:val="24"/>
          <w:lang w:val="ro-RO"/>
        </w:rPr>
        <w:t>ropun ca în sedința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>Consiliului Local al Municipiului Drobeta Turnu Severin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C3FB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să </w:t>
      </w:r>
      <w:r>
        <w:rPr>
          <w:rFonts w:ascii="Times New Roman" w:hAnsi="Times New Roman"/>
          <w:sz w:val="24"/>
          <w:szCs w:val="24"/>
          <w:lang w:val="ro-RO"/>
        </w:rPr>
        <w:t>se supună spre dezbatere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și  adopta</w:t>
      </w:r>
      <w:r>
        <w:rPr>
          <w:rFonts w:ascii="Times New Roman" w:hAnsi="Times New Roman"/>
          <w:sz w:val="24"/>
          <w:szCs w:val="24"/>
          <w:lang w:val="ro-RO"/>
        </w:rPr>
        <w:t>re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 proiectul de  hotărâre privind  aprobarea documentației tehnice cadastrale cu propunerea de dezmembrare a imobilului teren, înscris in </w:t>
      </w:r>
      <w:r w:rsidRPr="003D0163">
        <w:rPr>
          <w:rFonts w:ascii="Times New Roman" w:hAnsi="Times New Roman"/>
          <w:sz w:val="24"/>
          <w:szCs w:val="24"/>
          <w:lang w:val="ro-RO"/>
        </w:rPr>
        <w:t>CF a UAT Drobeta Turnu Severin 6</w:t>
      </w:r>
      <w:r w:rsidR="00AC3FB5">
        <w:rPr>
          <w:rFonts w:ascii="Times New Roman" w:hAnsi="Times New Roman"/>
          <w:sz w:val="24"/>
          <w:szCs w:val="24"/>
          <w:lang w:val="ro-RO"/>
        </w:rPr>
        <w:t>1518</w:t>
      </w:r>
      <w:r w:rsidRPr="003D0163">
        <w:rPr>
          <w:rFonts w:ascii="Times New Roman" w:hAnsi="Times New Roman"/>
          <w:sz w:val="24"/>
          <w:szCs w:val="24"/>
          <w:lang w:val="ro-RO"/>
        </w:rPr>
        <w:t xml:space="preserve">, având </w:t>
      </w:r>
      <w:r w:rsidRPr="003D0163">
        <w:rPr>
          <w:rFonts w:ascii="Times New Roman" w:hAnsi="Times New Roman"/>
          <w:bCs/>
          <w:iCs/>
          <w:sz w:val="24"/>
          <w:szCs w:val="24"/>
          <w:lang w:val="ro-RO"/>
        </w:rPr>
        <w:t xml:space="preserve">NC </w:t>
      </w:r>
      <w:r w:rsidRPr="003D0163">
        <w:rPr>
          <w:rFonts w:ascii="Times New Roman" w:hAnsi="Times New Roman"/>
          <w:sz w:val="24"/>
          <w:szCs w:val="24"/>
          <w:lang w:val="ro-RO"/>
        </w:rPr>
        <w:t>6</w:t>
      </w:r>
      <w:r w:rsidR="00AC3FB5">
        <w:rPr>
          <w:rFonts w:ascii="Times New Roman" w:hAnsi="Times New Roman"/>
          <w:sz w:val="24"/>
          <w:szCs w:val="24"/>
          <w:lang w:val="ro-RO"/>
        </w:rPr>
        <w:t>1518</w:t>
      </w:r>
      <w:r w:rsidRPr="003D0163">
        <w:rPr>
          <w:rFonts w:ascii="Times New Roman" w:hAnsi="Times New Roman"/>
          <w:bCs/>
          <w:iCs/>
          <w:sz w:val="24"/>
          <w:szCs w:val="24"/>
          <w:lang w:val="ro-RO"/>
        </w:rPr>
        <w:t>,</w:t>
      </w:r>
      <w:r w:rsidRPr="003D01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4B50" w:rsidRPr="003D0163">
        <w:rPr>
          <w:rFonts w:ascii="Times New Roman" w:hAnsi="Times New Roman"/>
          <w:sz w:val="24"/>
          <w:szCs w:val="24"/>
          <w:lang w:val="ro-RO"/>
        </w:rPr>
        <w:t>situat î</w:t>
      </w:r>
      <w:r w:rsidR="00051499" w:rsidRPr="003D0163">
        <w:rPr>
          <w:rFonts w:ascii="Times New Roman" w:hAnsi="Times New Roman"/>
          <w:sz w:val="24"/>
          <w:szCs w:val="24"/>
          <w:lang w:val="ro-RO"/>
        </w:rPr>
        <w:t>n Drobeta Turnu Severin</w:t>
      </w:r>
      <w:r w:rsidR="008D0A9B" w:rsidRPr="003D0163">
        <w:rPr>
          <w:rFonts w:ascii="Times New Roman" w:hAnsi="Times New Roman"/>
          <w:sz w:val="24"/>
          <w:szCs w:val="24"/>
          <w:lang w:val="ro-RO"/>
        </w:rPr>
        <w:t>,</w:t>
      </w:r>
      <w:r w:rsidR="002410F8" w:rsidRPr="003D01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FB5">
        <w:rPr>
          <w:rFonts w:ascii="Times New Roman" w:hAnsi="Times New Roman"/>
          <w:bCs/>
          <w:iCs/>
          <w:sz w:val="24"/>
          <w:szCs w:val="24"/>
          <w:lang w:val="ro-RO"/>
        </w:rPr>
        <w:t>Aleea Constructorilor</w:t>
      </w:r>
      <w:r w:rsidR="00345390" w:rsidRPr="003D0163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051499" w:rsidRPr="009226AC" w:rsidRDefault="00051499" w:rsidP="001C0373">
      <w:pPr>
        <w:rPr>
          <w:rFonts w:ascii="Times New Roman" w:hAnsi="Times New Roman"/>
          <w:sz w:val="24"/>
          <w:szCs w:val="24"/>
          <w:lang w:val="ro-RO"/>
        </w:rPr>
      </w:pP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VICEPRIMAR</w:t>
      </w:r>
    </w:p>
    <w:p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DANIEL OLIMPIU C</w:t>
      </w:r>
      <w:r w:rsidR="001C0373">
        <w:rPr>
          <w:rFonts w:ascii="Times New Roman" w:hAnsi="Times New Roman"/>
          <w:sz w:val="24"/>
          <w:szCs w:val="24"/>
          <w:lang w:val="ro-RO"/>
        </w:rPr>
        <w:t>Î</w:t>
      </w:r>
      <w:r w:rsidRPr="009226AC">
        <w:rPr>
          <w:rFonts w:ascii="Times New Roman" w:hAnsi="Times New Roman"/>
          <w:sz w:val="24"/>
          <w:szCs w:val="24"/>
          <w:lang w:val="ro-RO"/>
        </w:rPr>
        <w:t>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20571"/>
    <w:rsid w:val="00047735"/>
    <w:rsid w:val="00051499"/>
    <w:rsid w:val="00082BC8"/>
    <w:rsid w:val="000D435B"/>
    <w:rsid w:val="00165D74"/>
    <w:rsid w:val="0016747B"/>
    <w:rsid w:val="001C0373"/>
    <w:rsid w:val="001C3266"/>
    <w:rsid w:val="002410F8"/>
    <w:rsid w:val="0028061B"/>
    <w:rsid w:val="00345390"/>
    <w:rsid w:val="003636C2"/>
    <w:rsid w:val="003D0163"/>
    <w:rsid w:val="00473120"/>
    <w:rsid w:val="004D3FD3"/>
    <w:rsid w:val="0054150B"/>
    <w:rsid w:val="00547A42"/>
    <w:rsid w:val="00593AB1"/>
    <w:rsid w:val="005F6621"/>
    <w:rsid w:val="006164EB"/>
    <w:rsid w:val="006D1CAD"/>
    <w:rsid w:val="006F4B50"/>
    <w:rsid w:val="007606B9"/>
    <w:rsid w:val="0076721F"/>
    <w:rsid w:val="00796F02"/>
    <w:rsid w:val="007C0C8B"/>
    <w:rsid w:val="00834E0D"/>
    <w:rsid w:val="00835FE8"/>
    <w:rsid w:val="008B3B76"/>
    <w:rsid w:val="008D0A9B"/>
    <w:rsid w:val="009226AC"/>
    <w:rsid w:val="009226CA"/>
    <w:rsid w:val="00941E70"/>
    <w:rsid w:val="00AC3FB5"/>
    <w:rsid w:val="00AE7D9D"/>
    <w:rsid w:val="00AF07CE"/>
    <w:rsid w:val="00B52447"/>
    <w:rsid w:val="00BE4DB8"/>
    <w:rsid w:val="00C53F80"/>
    <w:rsid w:val="00D6690F"/>
    <w:rsid w:val="00E06E4A"/>
    <w:rsid w:val="00EA09EC"/>
    <w:rsid w:val="00F5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35</cp:revision>
  <cp:lastPrinted>2022-06-17T07:11:00Z</cp:lastPrinted>
  <dcterms:created xsi:type="dcterms:W3CDTF">2022-02-14T11:28:00Z</dcterms:created>
  <dcterms:modified xsi:type="dcterms:W3CDTF">2022-06-17T07:20:00Z</dcterms:modified>
</cp:coreProperties>
</file>