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2355"/>
        </w:tabs>
        <w:jc w:val="center"/>
        <w:rPr>
          <w:b/>
          <w:color w:val="333333"/>
          <w:lang w:val="en-US" w:eastAsia="en-US"/>
        </w:rPr>
      </w:pPr>
    </w:p>
    <w:p>
      <w:pPr>
        <w:tabs>
          <w:tab w:val="left" w:pos="2355"/>
        </w:tabs>
        <w:jc w:val="center"/>
        <w:rPr>
          <w:b/>
          <w:color w:val="333333"/>
        </w:rPr>
      </w:pPr>
      <w:r>
        <w:rPr>
          <w:b/>
          <w:color w:val="333333"/>
          <w:lang w:val="en-US" w:eastAsia="en-US"/>
        </w:rPr>
        <w:t>ROMANIA</w:t>
      </w:r>
    </w:p>
    <w:p>
      <w:pPr>
        <w:jc w:val="center"/>
        <w:rPr>
          <w:b/>
          <w:lang w:val="pt-BR"/>
        </w:rPr>
      </w:pPr>
      <w:r>
        <w:rPr>
          <w:b/>
          <w:lang w:val="pt-BR"/>
        </w:rPr>
        <w:t>JUDETUL GALATI</w:t>
      </w:r>
    </w:p>
    <w:p>
      <w:pPr>
        <w:jc w:val="center"/>
        <w:rPr>
          <w:b/>
          <w:lang w:val="it-IT"/>
        </w:rPr>
      </w:pPr>
      <w:r>
        <w:rPr>
          <w:b/>
          <w:lang w:val="it-IT"/>
        </w:rPr>
        <w:t>COMUNA GRIVITA</w:t>
      </w:r>
    </w:p>
    <w:p>
      <w:pPr>
        <w:pBdr>
          <w:bottom w:val="single" w:color="auto" w:sz="12" w:space="1"/>
        </w:pBdr>
        <w:jc w:val="center"/>
        <w:rPr>
          <w:b/>
          <w:lang w:val="it-IT"/>
        </w:rPr>
      </w:pPr>
      <w:r>
        <w:rPr>
          <w:b/>
          <w:lang w:val="it-IT"/>
        </w:rPr>
        <w:t>CONSILIUL LOCAL</w:t>
      </w:r>
    </w:p>
    <w:p>
      <w:pPr>
        <w:spacing w:after="0" w:line="240" w:lineRule="auto"/>
      </w:pPr>
    </w:p>
    <w:p>
      <w:pPr>
        <w:spacing w:after="0" w:line="240" w:lineRule="auto"/>
        <w:jc w:val="right"/>
      </w:pPr>
    </w:p>
    <w:p>
      <w:pPr>
        <w:spacing w:after="0" w:line="240" w:lineRule="auto"/>
        <w:jc w:val="center"/>
        <w:rPr>
          <w:rFonts w:hint="default"/>
          <w:b/>
          <w:bCs/>
          <w:sz w:val="20"/>
          <w:szCs w:val="20"/>
          <w:lang w:val="ro-RO"/>
        </w:rPr>
      </w:pPr>
      <w:r>
        <w:rPr>
          <w:rFonts w:hint="default"/>
          <w:sz w:val="20"/>
          <w:szCs w:val="20"/>
          <w:lang w:val="ro-RO"/>
        </w:rPr>
        <w:t xml:space="preserve">                                                                </w:t>
      </w:r>
      <w:r>
        <w:rPr>
          <w:rFonts w:hint="default"/>
          <w:b/>
          <w:bCs/>
          <w:sz w:val="20"/>
          <w:szCs w:val="20"/>
          <w:lang w:val="ro-RO"/>
        </w:rPr>
        <w:t xml:space="preserve">           ANEXA</w:t>
      </w:r>
    </w:p>
    <w:p>
      <w:pPr>
        <w:spacing w:after="0" w:line="240" w:lineRule="auto"/>
        <w:jc w:val="right"/>
        <w:rPr>
          <w:rFonts w:hint="default"/>
          <w:b/>
          <w:bCs/>
          <w:lang w:val="ro-RO"/>
        </w:rPr>
      </w:pPr>
      <w:r>
        <w:rPr>
          <w:rFonts w:hint="default"/>
          <w:b/>
          <w:bCs/>
          <w:sz w:val="20"/>
          <w:szCs w:val="20"/>
          <w:lang w:val="ro-RO"/>
        </w:rPr>
        <w:t>LA HOTARAREA CONSILIULUI LOCAL AL COMUNEI GRIVITA NR.______/__________</w:t>
      </w:r>
    </w:p>
    <w:p>
      <w:pPr>
        <w:rPr>
          <w:b/>
          <w:bCs/>
        </w:rPr>
      </w:pPr>
    </w:p>
    <w:p>
      <w:pPr>
        <w:jc w:val="center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Completarea inventarului bunurilor care apartin domeniului public al comunei Grivita, judetul Galati</w:t>
      </w:r>
    </w:p>
    <w:p>
      <w:pPr>
        <w:jc w:val="center"/>
        <w:rPr>
          <w:rFonts w:hint="default"/>
          <w:b/>
          <w:bCs/>
          <w:lang w:val="en-US"/>
        </w:rPr>
      </w:pPr>
    </w:p>
    <w:p>
      <w:pPr>
        <w:jc w:val="left"/>
        <w:rPr>
          <w:rFonts w:hint="default"/>
          <w:b/>
          <w:bCs/>
          <w:sz w:val="28"/>
          <w:szCs w:val="28"/>
          <w:lang w:val="ro-RO"/>
        </w:rPr>
      </w:pPr>
      <w:r>
        <w:rPr>
          <w:rFonts w:hint="default"/>
          <w:b/>
          <w:bCs/>
          <w:sz w:val="28"/>
          <w:szCs w:val="28"/>
          <w:lang w:val="ro-RO"/>
        </w:rPr>
        <w:t>Sectiunea II Bunuri mobile</w:t>
      </w:r>
    </w:p>
    <w:p>
      <w:pPr>
        <w:jc w:val="left"/>
        <w:rPr>
          <w:rFonts w:hint="default"/>
          <w:b/>
          <w:bCs/>
          <w:sz w:val="28"/>
          <w:szCs w:val="28"/>
          <w:lang w:val="ro-RO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1256"/>
        <w:gridCol w:w="1549"/>
        <w:gridCol w:w="4629"/>
        <w:gridCol w:w="1680"/>
        <w:gridCol w:w="2064"/>
        <w:gridCol w:w="24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36" w:type="dxa"/>
          </w:tcPr>
          <w:p>
            <w:pPr>
              <w:widowControl w:val="0"/>
              <w:jc w:val="center"/>
              <w:rPr>
                <w:rFonts w:hint="default"/>
                <w:b/>
                <w:bCs/>
                <w:vertAlign w:val="baseline"/>
                <w:lang w:val="ro-RO"/>
              </w:rPr>
            </w:pPr>
            <w:r>
              <w:rPr>
                <w:rFonts w:hint="default"/>
                <w:b/>
                <w:bCs/>
                <w:vertAlign w:val="baseline"/>
                <w:lang w:val="ro-RO"/>
              </w:rPr>
              <w:t xml:space="preserve">Nr. Crt. </w:t>
            </w:r>
          </w:p>
        </w:tc>
        <w:tc>
          <w:tcPr>
            <w:tcW w:w="1256" w:type="dxa"/>
          </w:tcPr>
          <w:p>
            <w:pPr>
              <w:widowControl w:val="0"/>
              <w:jc w:val="center"/>
              <w:rPr>
                <w:rFonts w:hint="default"/>
                <w:b/>
                <w:bCs/>
                <w:vertAlign w:val="baseline"/>
                <w:lang w:val="ro-RO"/>
              </w:rPr>
            </w:pPr>
            <w:r>
              <w:rPr>
                <w:rFonts w:hint="default"/>
                <w:b/>
                <w:bCs/>
                <w:vertAlign w:val="baseline"/>
                <w:lang w:val="ro-RO"/>
              </w:rPr>
              <w:t>Cod de clasificare</w:t>
            </w:r>
          </w:p>
        </w:tc>
        <w:tc>
          <w:tcPr>
            <w:tcW w:w="1549" w:type="dxa"/>
          </w:tcPr>
          <w:p>
            <w:pPr>
              <w:widowControl w:val="0"/>
              <w:jc w:val="center"/>
              <w:rPr>
                <w:rFonts w:hint="default"/>
                <w:b/>
                <w:bCs/>
                <w:vertAlign w:val="baseline"/>
                <w:lang w:val="ro-RO"/>
              </w:rPr>
            </w:pPr>
            <w:r>
              <w:rPr>
                <w:rFonts w:hint="default"/>
                <w:b/>
                <w:bCs/>
                <w:vertAlign w:val="baseline"/>
                <w:lang w:val="ro-RO"/>
              </w:rPr>
              <w:t xml:space="preserve">Denumirea bunului </w:t>
            </w:r>
          </w:p>
        </w:tc>
        <w:tc>
          <w:tcPr>
            <w:tcW w:w="4629" w:type="dxa"/>
          </w:tcPr>
          <w:p>
            <w:pPr>
              <w:widowControl w:val="0"/>
              <w:jc w:val="center"/>
              <w:rPr>
                <w:rFonts w:hint="default"/>
                <w:b/>
                <w:bCs/>
                <w:vertAlign w:val="baseline"/>
                <w:lang w:val="ro-RO"/>
              </w:rPr>
            </w:pPr>
            <w:r>
              <w:rPr>
                <w:rFonts w:hint="default"/>
                <w:b/>
                <w:bCs/>
                <w:vertAlign w:val="baseline"/>
                <w:lang w:val="ro-RO"/>
              </w:rPr>
              <w:t>Elemente de identificare</w:t>
            </w:r>
          </w:p>
        </w:tc>
        <w:tc>
          <w:tcPr>
            <w:tcW w:w="1680" w:type="dxa"/>
          </w:tcPr>
          <w:p>
            <w:pPr>
              <w:widowControl w:val="0"/>
              <w:jc w:val="center"/>
              <w:rPr>
                <w:rFonts w:hint="default"/>
                <w:b/>
                <w:bCs/>
                <w:vertAlign w:val="baseline"/>
                <w:lang w:val="ro-RO"/>
              </w:rPr>
            </w:pPr>
            <w:r>
              <w:rPr>
                <w:rFonts w:hint="default"/>
                <w:b/>
                <w:bCs/>
                <w:vertAlign w:val="baseline"/>
                <w:lang w:val="ro-RO"/>
              </w:rPr>
              <w:t>Anul dobandirii</w:t>
            </w:r>
          </w:p>
          <w:p>
            <w:pPr>
              <w:widowControl w:val="0"/>
              <w:jc w:val="center"/>
              <w:rPr>
                <w:rFonts w:hint="default"/>
                <w:b/>
                <w:bCs/>
                <w:vertAlign w:val="baseline"/>
                <w:lang w:val="ro-RO"/>
              </w:rPr>
            </w:pPr>
            <w:r>
              <w:rPr>
                <w:rFonts w:hint="default"/>
                <w:b/>
                <w:bCs/>
                <w:vertAlign w:val="baseline"/>
                <w:lang w:val="ro-RO"/>
              </w:rPr>
              <w:t xml:space="preserve">si/sau </w:t>
            </w:r>
          </w:p>
        </w:tc>
        <w:tc>
          <w:tcPr>
            <w:tcW w:w="2064" w:type="dxa"/>
          </w:tcPr>
          <w:p>
            <w:pPr>
              <w:widowControl w:val="0"/>
              <w:jc w:val="center"/>
              <w:rPr>
                <w:rFonts w:hint="default"/>
                <w:b/>
                <w:bCs/>
                <w:vertAlign w:val="baseline"/>
                <w:lang w:val="ro-RO"/>
              </w:rPr>
            </w:pPr>
            <w:r>
              <w:rPr>
                <w:rFonts w:hint="default"/>
                <w:b/>
                <w:bCs/>
                <w:vertAlign w:val="baseline"/>
                <w:lang w:val="ro-RO"/>
              </w:rPr>
              <w:t>Valoarea de inventar  (</w:t>
            </w:r>
            <w:r>
              <w:rPr>
                <w:rFonts w:hint="default"/>
                <w:b/>
                <w:bCs/>
                <w:vertAlign w:val="baseline"/>
                <w:lang w:val="en-US"/>
              </w:rPr>
              <w:t xml:space="preserve">mii </w:t>
            </w:r>
            <w:r>
              <w:rPr>
                <w:rFonts w:hint="default"/>
                <w:b/>
                <w:bCs/>
                <w:vertAlign w:val="baseline"/>
                <w:lang w:val="ro-RO"/>
              </w:rPr>
              <w:t>lei)</w:t>
            </w:r>
          </w:p>
        </w:tc>
        <w:tc>
          <w:tcPr>
            <w:tcW w:w="2472" w:type="dxa"/>
          </w:tcPr>
          <w:p>
            <w:pPr>
              <w:widowControl w:val="0"/>
              <w:jc w:val="center"/>
              <w:rPr>
                <w:rFonts w:hint="default"/>
                <w:b/>
                <w:bCs/>
                <w:vertAlign w:val="baseline"/>
                <w:lang w:val="ro-RO"/>
              </w:rPr>
            </w:pPr>
            <w:r>
              <w:rPr>
                <w:rFonts w:hint="default"/>
                <w:b/>
                <w:bCs/>
                <w:vertAlign w:val="baseline"/>
                <w:lang w:val="ro-RO"/>
              </w:rPr>
              <w:t>Situatia juridica actuala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>
            <w:pPr>
              <w:widowControl w:val="0"/>
              <w:jc w:val="center"/>
              <w:rPr>
                <w:rFonts w:hint="default"/>
                <w:b/>
                <w:bCs/>
                <w:vertAlign w:val="baseline"/>
                <w:lang w:val="ro-RO"/>
              </w:rPr>
            </w:pPr>
            <w:r>
              <w:rPr>
                <w:rFonts w:hint="default"/>
                <w:b/>
                <w:bCs/>
                <w:vertAlign w:val="baseline"/>
                <w:lang w:val="ro-RO"/>
              </w:rPr>
              <w:t>0</w:t>
            </w:r>
          </w:p>
        </w:tc>
        <w:tc>
          <w:tcPr>
            <w:tcW w:w="1256" w:type="dxa"/>
          </w:tcPr>
          <w:p>
            <w:pPr>
              <w:widowControl w:val="0"/>
              <w:jc w:val="center"/>
              <w:rPr>
                <w:rFonts w:hint="default"/>
                <w:b/>
                <w:bCs/>
                <w:vertAlign w:val="baseline"/>
                <w:lang w:val="ro-RO"/>
              </w:rPr>
            </w:pPr>
            <w:r>
              <w:rPr>
                <w:rFonts w:hint="default"/>
                <w:b/>
                <w:bCs/>
                <w:vertAlign w:val="baseline"/>
                <w:lang w:val="ro-RO"/>
              </w:rPr>
              <w:t>1</w:t>
            </w:r>
          </w:p>
        </w:tc>
        <w:tc>
          <w:tcPr>
            <w:tcW w:w="1549" w:type="dxa"/>
          </w:tcPr>
          <w:p>
            <w:pPr>
              <w:widowControl w:val="0"/>
              <w:jc w:val="center"/>
              <w:rPr>
                <w:rFonts w:hint="default"/>
                <w:b/>
                <w:bCs/>
                <w:vertAlign w:val="baseline"/>
                <w:lang w:val="ro-RO"/>
              </w:rPr>
            </w:pPr>
            <w:r>
              <w:rPr>
                <w:rFonts w:hint="default"/>
                <w:b/>
                <w:bCs/>
                <w:vertAlign w:val="baseline"/>
                <w:lang w:val="ro-RO"/>
              </w:rPr>
              <w:t>2</w:t>
            </w:r>
          </w:p>
        </w:tc>
        <w:tc>
          <w:tcPr>
            <w:tcW w:w="4629" w:type="dxa"/>
          </w:tcPr>
          <w:p>
            <w:pPr>
              <w:widowControl w:val="0"/>
              <w:jc w:val="center"/>
              <w:rPr>
                <w:rFonts w:hint="default"/>
                <w:b/>
                <w:bCs/>
                <w:vertAlign w:val="baseline"/>
                <w:lang w:val="ro-RO"/>
              </w:rPr>
            </w:pPr>
            <w:r>
              <w:rPr>
                <w:rFonts w:hint="default"/>
                <w:b/>
                <w:bCs/>
                <w:vertAlign w:val="baseline"/>
                <w:lang w:val="ro-RO"/>
              </w:rPr>
              <w:t>3</w:t>
            </w:r>
          </w:p>
        </w:tc>
        <w:tc>
          <w:tcPr>
            <w:tcW w:w="1680" w:type="dxa"/>
          </w:tcPr>
          <w:p>
            <w:pPr>
              <w:widowControl w:val="0"/>
              <w:jc w:val="center"/>
              <w:rPr>
                <w:rFonts w:hint="default"/>
                <w:b/>
                <w:bCs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vertAlign w:val="baseline"/>
                <w:lang w:val="en-US"/>
              </w:rPr>
              <w:t>4</w:t>
            </w:r>
          </w:p>
        </w:tc>
        <w:tc>
          <w:tcPr>
            <w:tcW w:w="2064" w:type="dxa"/>
          </w:tcPr>
          <w:p>
            <w:pPr>
              <w:widowControl w:val="0"/>
              <w:jc w:val="center"/>
              <w:rPr>
                <w:rFonts w:hint="default"/>
                <w:b/>
                <w:bCs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vertAlign w:val="baseline"/>
                <w:lang w:val="en-US"/>
              </w:rPr>
              <w:t>5</w:t>
            </w:r>
          </w:p>
        </w:tc>
        <w:tc>
          <w:tcPr>
            <w:tcW w:w="2472" w:type="dxa"/>
          </w:tcPr>
          <w:p>
            <w:pPr>
              <w:widowControl w:val="0"/>
              <w:jc w:val="center"/>
              <w:rPr>
                <w:rFonts w:hint="default"/>
                <w:b/>
                <w:bCs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vertAlign w:val="baseline"/>
                <w:lang w:val="en-US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4" w:hRule="atLeast"/>
        </w:trPr>
        <w:tc>
          <w:tcPr>
            <w:tcW w:w="636" w:type="dxa"/>
          </w:tcPr>
          <w:p>
            <w:pPr>
              <w:widowControl w:val="0"/>
              <w:jc w:val="center"/>
              <w:rPr>
                <w:rFonts w:hint="default"/>
                <w:b/>
                <w:bCs/>
                <w:vertAlign w:val="baseline"/>
                <w:lang w:val="ro-RO"/>
              </w:rPr>
            </w:pPr>
          </w:p>
          <w:p>
            <w:pPr>
              <w:widowControl w:val="0"/>
              <w:jc w:val="center"/>
              <w:rPr>
                <w:rFonts w:hint="default"/>
                <w:b/>
                <w:bCs/>
                <w:vertAlign w:val="baseline"/>
                <w:lang w:val="ro-RO"/>
              </w:rPr>
            </w:pPr>
            <w:r>
              <w:rPr>
                <w:rFonts w:hint="default"/>
                <w:b/>
                <w:bCs/>
                <w:vertAlign w:val="baseline"/>
                <w:lang w:val="ro-RO"/>
              </w:rPr>
              <w:t>1.</w:t>
            </w:r>
          </w:p>
        </w:tc>
        <w:tc>
          <w:tcPr>
            <w:tcW w:w="1256" w:type="dxa"/>
          </w:tcPr>
          <w:p>
            <w:pPr>
              <w:widowControl w:val="0"/>
              <w:jc w:val="center"/>
              <w:rPr>
                <w:rFonts w:hint="default"/>
                <w:b/>
                <w:bCs/>
                <w:vertAlign w:val="baseline"/>
                <w:lang w:val="ro-RO"/>
              </w:rPr>
            </w:pPr>
          </w:p>
          <w:p>
            <w:pPr>
              <w:widowControl w:val="0"/>
              <w:jc w:val="center"/>
              <w:rPr>
                <w:rFonts w:hint="default"/>
                <w:b/>
                <w:bCs/>
                <w:vertAlign w:val="baseline"/>
                <w:lang w:val="ro-RO"/>
              </w:rPr>
            </w:pPr>
            <w:r>
              <w:rPr>
                <w:rFonts w:hint="default"/>
                <w:b/>
                <w:bCs/>
                <w:vertAlign w:val="baseline"/>
                <w:lang w:val="ro-RO"/>
              </w:rPr>
              <w:t>3.3.5</w:t>
            </w:r>
          </w:p>
        </w:tc>
        <w:tc>
          <w:tcPr>
            <w:tcW w:w="1549" w:type="dxa"/>
          </w:tcPr>
          <w:p>
            <w:pPr>
              <w:widowControl w:val="0"/>
              <w:jc w:val="center"/>
              <w:rPr>
                <w:rFonts w:hint="default"/>
                <w:b/>
                <w:bCs/>
                <w:vertAlign w:val="baseline"/>
                <w:lang w:val="ro-RO"/>
              </w:rPr>
            </w:pPr>
            <w:r>
              <w:rPr>
                <w:rFonts w:hint="default"/>
                <w:b/>
                <w:bCs/>
                <w:vertAlign w:val="baseline"/>
                <w:lang w:val="ro-RO"/>
              </w:rPr>
              <w:t xml:space="preserve">Sistem de monitorizare video </w:t>
            </w:r>
          </w:p>
        </w:tc>
        <w:tc>
          <w:tcPr>
            <w:tcW w:w="4629" w:type="dxa"/>
            <w:vAlign w:val="center"/>
          </w:tcPr>
          <w:p>
            <w:pPr>
              <w:widowControl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NVR HIKVISION DS-7732NI-I4</w:t>
            </w:r>
            <w:r>
              <w:rPr>
                <w:rFonts w:hint="default"/>
                <w:b/>
                <w:bCs/>
                <w:lang w:val="en-US"/>
              </w:rPr>
              <w:t xml:space="preserve"> </w:t>
            </w:r>
            <w:r>
              <w:rPr>
                <w:rFonts w:hint="default"/>
                <w:lang w:val="ro-RO"/>
              </w:rPr>
              <w:t>- 4 bucati</w:t>
            </w:r>
          </w:p>
          <w:p>
            <w:pPr>
              <w:widowControl w:val="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o-RO" w:bidi="ar-SA"/>
              </w:rPr>
            </w:pPr>
            <w:r>
              <w:rPr>
                <w:b/>
                <w:bCs/>
              </w:rPr>
              <w:t>Camera video HIKVISION DS-2CD2T45FWD</w:t>
            </w:r>
            <w:r>
              <w:t>-</w:t>
            </w:r>
            <w:r>
              <w:rPr>
                <w:b/>
                <w:bCs/>
              </w:rPr>
              <w:t>I8</w:t>
            </w:r>
            <w:r>
              <w:rPr>
                <w:rFonts w:hint="default"/>
                <w:b/>
                <w:bCs/>
                <w:lang w:val="ro-RO"/>
              </w:rPr>
              <w:t xml:space="preserve">- </w:t>
            </w:r>
            <w:r>
              <w:rPr>
                <w:rFonts w:hint="default"/>
                <w:b w:val="0"/>
                <w:bCs w:val="0"/>
                <w:lang w:val="ro-RO"/>
              </w:rPr>
              <w:t>16 bucati</w:t>
            </w:r>
            <w:r>
              <w:rPr>
                <w:rFonts w:hint="default"/>
                <w:b w:val="0"/>
                <w:bCs w:val="0"/>
                <w:lang w:val="en-US"/>
              </w:rPr>
              <w:t>( 2 bucati  strada Tache Anastasiu,  1 bucata strada V.I. Popa, 1 bucata strada Salciei, 1 bucata strada Herataului, 1 bucata strada Viilor, 1 bucata strada Prunilor, sat Calmatui si 4 bucati strada Valea Calmatuiului, 2 bucati strada Dealul de Apus, 1 bucata strada Stadionului, 1 bucata strada Visinilor, 1 bucata strada Prunilor, sat Grivita)</w:t>
            </w:r>
          </w:p>
          <w:p>
            <w:pPr>
              <w:widowControl w:val="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o-RO" w:bidi="ar-SA"/>
              </w:rPr>
            </w:pPr>
            <w:r>
              <w:rPr>
                <w:b/>
                <w:bCs/>
              </w:rPr>
              <w:t>Camera video HIKVISION DS-2CD4A26FWD-IZS/P</w:t>
            </w:r>
            <w:r>
              <w:rPr>
                <w:rFonts w:hint="default"/>
                <w:b/>
                <w:bCs/>
                <w:lang w:val="ro-RO"/>
              </w:rPr>
              <w:t xml:space="preserve"> - </w:t>
            </w:r>
            <w:r>
              <w:rPr>
                <w:rFonts w:hint="default"/>
                <w:b w:val="0"/>
                <w:bCs w:val="0"/>
                <w:lang w:val="ro-RO"/>
              </w:rPr>
              <w:t>4 bucati</w:t>
            </w:r>
            <w:r>
              <w:rPr>
                <w:rFonts w:hint="default"/>
                <w:b w:val="0"/>
                <w:bCs w:val="0"/>
                <w:lang w:val="en-US"/>
              </w:rPr>
              <w:t xml:space="preserve"> (2 camere sat Calmatui, strata Tache Anastasiu si 2 camere sat Grivita, strada Badalan)</w:t>
            </w:r>
          </w:p>
          <w:p>
            <w:pPr>
              <w:widowControl w:val="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o-RO" w:eastAsia="ro-RO" w:bidi="ar-SA"/>
              </w:rPr>
            </w:pPr>
            <w:r>
              <w:rPr>
                <w:b/>
                <w:bCs/>
              </w:rPr>
              <w:t>Doza HIKVISION</w:t>
            </w:r>
            <w:r>
              <w:rPr>
                <w:rFonts w:hint="default"/>
                <w:lang w:val="ro-RO"/>
              </w:rPr>
              <w:t>- 20 bucati</w:t>
            </w:r>
          </w:p>
          <w:p>
            <w:pPr>
              <w:widowControl w:val="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ro-RO" w:eastAsia="ro-RO" w:bidi="ar-SA"/>
              </w:rPr>
            </w:pPr>
            <w:r>
              <w:rPr>
                <w:b/>
                <w:bCs/>
                <w:highlight w:val="none"/>
              </w:rPr>
              <w:t>Media Convertor WDM TP-Link - MC112CS</w:t>
            </w:r>
            <w:r>
              <w:rPr>
                <w:rFonts w:hint="default"/>
                <w:highlight w:val="none"/>
                <w:lang w:val="ro-RO"/>
              </w:rPr>
              <w:t>- 20 bucati</w:t>
            </w:r>
          </w:p>
          <w:p>
            <w:pPr>
              <w:widowControl w:val="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ro-RO" w:eastAsia="ro-RO" w:bidi="ar-SA"/>
              </w:rPr>
            </w:pPr>
            <w:r>
              <w:rPr>
                <w:b/>
                <w:bCs/>
                <w:highlight w:val="none"/>
              </w:rPr>
              <w:t>Media Convertor WDM TP-Link - MC111CS</w:t>
            </w:r>
            <w:r>
              <w:rPr>
                <w:rFonts w:hint="default"/>
                <w:highlight w:val="none"/>
                <w:lang w:val="ro-RO"/>
              </w:rPr>
              <w:t>- 20 bucati</w:t>
            </w:r>
          </w:p>
          <w:p>
            <w:pPr>
              <w:widowControl w:val="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o-RO" w:bidi="ar-SA"/>
              </w:rPr>
            </w:pPr>
            <w:r>
              <w:rPr>
                <w:b/>
                <w:bCs/>
              </w:rPr>
              <w:t>TV led LG diag 42'' - 106cm</w:t>
            </w:r>
            <w:r>
              <w:rPr>
                <w:rFonts w:hint="default"/>
                <w:lang w:val="ro-RO"/>
              </w:rPr>
              <w:t xml:space="preserve"> - 2 bucati </w:t>
            </w:r>
            <w:r>
              <w:rPr>
                <w:rFonts w:hint="default"/>
                <w:lang w:val="en-US"/>
              </w:rPr>
              <w:t>(1 bucata Calmatui, Str. V.I. Popa nr. 3 si 1 bucata Grivita, Str. Badalan, nr. 16</w:t>
            </w:r>
            <w:bookmarkStart w:id="0" w:name="_GoBack"/>
            <w:bookmarkEnd w:id="0"/>
            <w:r>
              <w:rPr>
                <w:rFonts w:hint="default"/>
                <w:lang w:val="en-US"/>
              </w:rPr>
              <w:t>)</w:t>
            </w:r>
          </w:p>
          <w:p>
            <w:pPr>
              <w:widowControl w:val="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o-RO" w:eastAsia="ro-RO" w:bidi="ar-SA"/>
              </w:rPr>
            </w:pPr>
            <w:r>
              <w:rPr>
                <w:b/>
                <w:bCs/>
              </w:rPr>
              <w:t>Cablu VGA</w:t>
            </w:r>
            <w:r>
              <w:rPr>
                <w:rFonts w:hint="default"/>
                <w:lang w:val="ro-RO"/>
              </w:rPr>
              <w:t>- 1 bucata</w:t>
            </w:r>
          </w:p>
          <w:p>
            <w:pPr>
              <w:widowControl w:val="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o-RO" w:eastAsia="ro-RO" w:bidi="ar-SA"/>
              </w:rPr>
            </w:pPr>
            <w:r>
              <w:rPr>
                <w:b/>
                <w:bCs/>
              </w:rPr>
              <w:t>Cablu HDMI</w:t>
            </w:r>
            <w:r>
              <w:rPr>
                <w:rFonts w:hint="default"/>
                <w:lang w:val="ro-RO"/>
              </w:rPr>
              <w:t>- 1 bucata</w:t>
            </w:r>
          </w:p>
          <w:p>
            <w:pPr>
              <w:widowControl w:val="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o-RO" w:eastAsia="ro-RO" w:bidi="ar-SA"/>
              </w:rPr>
            </w:pPr>
            <w:r>
              <w:rPr>
                <w:b/>
                <w:bCs/>
              </w:rPr>
              <w:t>FIBRA OPTICA Nextra CTC 1,6KN 8 fibre SM G652D</w:t>
            </w:r>
            <w:r>
              <w:rPr>
                <w:rFonts w:hint="default"/>
                <w:lang w:val="ro-RO"/>
              </w:rPr>
              <w:t>- 4000 metri</w:t>
            </w:r>
          </w:p>
          <w:p>
            <w:pPr>
              <w:widowControl w:val="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o-RO" w:eastAsia="ro-RO" w:bidi="ar-SA"/>
              </w:rPr>
            </w:pPr>
            <w:r>
              <w:rPr>
                <w:b/>
                <w:bCs/>
              </w:rPr>
              <w:t>FIBRA OPTICA Nextra CTC 1,6KN 24 fibre SM G652D</w:t>
            </w:r>
            <w:r>
              <w:rPr>
                <w:rFonts w:hint="default"/>
                <w:lang w:val="ro-RO"/>
              </w:rPr>
              <w:t>- 2000 metri</w:t>
            </w:r>
          </w:p>
          <w:p>
            <w:pPr>
              <w:widowControl w:val="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o-RO" w:eastAsia="ro-RO" w:bidi="ar-SA"/>
              </w:rPr>
            </w:pPr>
            <w:r>
              <w:rPr>
                <w:b/>
                <w:bCs/>
              </w:rPr>
              <w:t>Echipamente echipat stalpi (armorozi, bracute, etc)</w:t>
            </w:r>
            <w:r>
              <w:rPr>
                <w:rFonts w:hint="default"/>
                <w:lang w:val="ro-RO"/>
              </w:rPr>
              <w:t>- 200 bucati</w:t>
            </w:r>
          </w:p>
          <w:p>
            <w:pPr>
              <w:widowControl w:val="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o-RO" w:eastAsia="ro-RO" w:bidi="ar-SA"/>
              </w:rPr>
            </w:pPr>
            <w:r>
              <w:rPr>
                <w:b/>
                <w:bCs/>
              </w:rPr>
              <w:t>Encloser cilindric etans pt 96 suduri Braun Group - FOSC400A8-96</w:t>
            </w:r>
            <w:r>
              <w:rPr>
                <w:rFonts w:hint="default"/>
                <w:lang w:val="ro-RO"/>
              </w:rPr>
              <w:t>- 10 bucati</w:t>
            </w:r>
          </w:p>
          <w:p>
            <w:pPr>
              <w:widowControl w:val="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o-RO" w:eastAsia="ro-RO" w:bidi="ar-SA"/>
              </w:rPr>
            </w:pPr>
            <w:r>
              <w:rPr>
                <w:b/>
                <w:bCs/>
              </w:rPr>
              <w:t>Sursa alimentare TRAF 12V/5A +ACC</w:t>
            </w:r>
            <w:r>
              <w:rPr>
                <w:rFonts w:hint="default"/>
                <w:lang w:val="ro-RO"/>
              </w:rPr>
              <w:t>- 20 bucati</w:t>
            </w:r>
          </w:p>
          <w:p>
            <w:pPr>
              <w:widowControl w:val="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o-RO" w:eastAsia="ro-RO" w:bidi="ar-SA"/>
              </w:rPr>
            </w:pPr>
            <w:r>
              <w:rPr>
                <w:b/>
                <w:bCs/>
              </w:rPr>
              <w:t>HDD WD Purple WD82PURZ 8TB</w:t>
            </w:r>
            <w:r>
              <w:rPr>
                <w:rFonts w:hint="default"/>
                <w:lang w:val="ro-RO"/>
              </w:rPr>
              <w:t>- 6 bucati</w:t>
            </w:r>
          </w:p>
          <w:p>
            <w:pPr>
              <w:widowControl w:val="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o-RO" w:eastAsia="ro-RO" w:bidi="ar-SA"/>
              </w:rPr>
            </w:pPr>
            <w:r>
              <w:rPr>
                <w:b/>
                <w:bCs/>
              </w:rPr>
              <w:t>UPS NJOY Isis 2000L</w:t>
            </w:r>
            <w:r>
              <w:rPr>
                <w:rFonts w:hint="default"/>
                <w:lang w:val="ro-RO"/>
              </w:rPr>
              <w:t>- 2 bucati</w:t>
            </w:r>
          </w:p>
          <w:p>
            <w:pPr>
              <w:widowControl w:val="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o-RO" w:eastAsia="ro-RO" w:bidi="ar-SA"/>
              </w:rPr>
            </w:pPr>
            <w:r>
              <w:rPr>
                <w:b/>
                <w:bCs/>
              </w:rPr>
              <w:t>Sasiu 14 sloturi media convertoare rackabil TP-Link - MC1400-9V</w:t>
            </w:r>
            <w:r>
              <w:rPr>
                <w:rFonts w:hint="default"/>
                <w:lang w:val="ro-RO"/>
              </w:rPr>
              <w:t>- 2 bucati</w:t>
            </w:r>
          </w:p>
          <w:p>
            <w:pPr>
              <w:widowControl w:val="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o-RO" w:eastAsia="ro-RO" w:bidi="ar-SA"/>
              </w:rPr>
            </w:pPr>
            <w:r>
              <w:rPr>
                <w:b/>
                <w:bCs/>
              </w:rPr>
              <w:t>Switch TP-LINK TL-SF1024D 24 porturi 10/100Mbps</w:t>
            </w:r>
            <w:r>
              <w:rPr>
                <w:rFonts w:hint="default"/>
                <w:lang w:val="ro-RO"/>
              </w:rPr>
              <w:t>- 2 bucati</w:t>
            </w:r>
          </w:p>
          <w:p>
            <w:pPr>
              <w:widowControl w:val="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o-RO" w:eastAsia="ro-RO" w:bidi="ar-SA"/>
              </w:rPr>
            </w:pPr>
            <w:r>
              <w:rPr>
                <w:b/>
                <w:bCs/>
              </w:rPr>
              <w:t>Dulap rack wall mount 18U 19",</w:t>
            </w:r>
            <w:r>
              <w:t xml:space="preserve"> </w:t>
            </w:r>
            <w:r>
              <w:rPr>
                <w:b/>
                <w:bCs/>
              </w:rPr>
              <w:t>LMS Data - CAB-W18-550</w:t>
            </w:r>
            <w:r>
              <w:rPr>
                <w:rFonts w:hint="default"/>
                <w:lang w:val="ro-RO"/>
              </w:rPr>
              <w:t>- 2 bucati</w:t>
            </w:r>
          </w:p>
          <w:p>
            <w:pPr>
              <w:widowControl w:val="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o-RO" w:eastAsia="ro-RO" w:bidi="ar-SA"/>
              </w:rPr>
            </w:pPr>
            <w:r>
              <w:rPr>
                <w:b/>
                <w:bCs/>
              </w:rPr>
              <w:t>Conector RJ45</w:t>
            </w:r>
            <w:r>
              <w:rPr>
                <w:rFonts w:hint="default"/>
                <w:lang w:val="ro-RO"/>
              </w:rPr>
              <w:t>- 200 bucati</w:t>
            </w:r>
          </w:p>
          <w:p>
            <w:pPr>
              <w:widowControl w:val="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o-RO" w:eastAsia="ro-RO" w:bidi="ar-SA"/>
              </w:rPr>
            </w:pPr>
            <w:r>
              <w:rPr>
                <w:b/>
                <w:bCs/>
              </w:rPr>
              <w:t>Cablu bransament aerian TYIR 1X10+1X16</w:t>
            </w:r>
            <w:r>
              <w:rPr>
                <w:rFonts w:hint="default"/>
                <w:lang w:val="ro-RO"/>
              </w:rPr>
              <w:t>- 6000 metri</w:t>
            </w:r>
          </w:p>
          <w:p>
            <w:pPr>
              <w:widowControl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Cablu Nextra FTP Cat6A, AWG23 cupru solid, FLUKE PASS</w:t>
            </w:r>
          </w:p>
          <w:p>
            <w:pPr>
              <w:widowControl w:val="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o-RO" w:eastAsia="ro-RO" w:bidi="ar-SA"/>
              </w:rPr>
            </w:pPr>
            <w:r>
              <w:rPr>
                <w:b/>
                <w:bCs/>
              </w:rPr>
              <w:t>NextraCOM - XTFTP6A-LSZH</w:t>
            </w:r>
            <w:r>
              <w:rPr>
                <w:rFonts w:hint="default"/>
                <w:lang w:val="ro-RO"/>
              </w:rPr>
              <w:t>- 500 metri</w:t>
            </w:r>
          </w:p>
          <w:p>
            <w:pPr>
              <w:widowControl w:val="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o-RO" w:eastAsia="ro-RO" w:bidi="ar-SA"/>
              </w:rPr>
            </w:pPr>
            <w:r>
              <w:rPr>
                <w:b/>
                <w:bCs/>
              </w:rPr>
              <w:t>Cutie etan</w:t>
            </w:r>
            <w:r>
              <w:rPr>
                <w:b/>
                <w:bCs/>
                <w:lang w:val="en-US"/>
              </w:rPr>
              <w:t>sa electrica</w:t>
            </w:r>
            <w:r>
              <w:rPr>
                <w:rFonts w:hint="default"/>
                <w:lang w:val="ro-RO"/>
              </w:rPr>
              <w:t>- 20 bucati</w:t>
            </w:r>
          </w:p>
          <w:p>
            <w:pPr>
              <w:widowControl w:val="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o-RO" w:eastAsia="ro-RO" w:bidi="ar-SA"/>
              </w:rPr>
            </w:pPr>
            <w:r>
              <w:rPr>
                <w:b/>
                <w:bCs/>
              </w:rPr>
              <w:t>Cablu MYY-UP 2x1.5</w:t>
            </w:r>
            <w:r>
              <w:rPr>
                <w:rFonts w:hint="default"/>
                <w:lang w:val="ro-RO"/>
              </w:rPr>
              <w:t>- 200 metri</w:t>
            </w:r>
          </w:p>
          <w:p>
            <w:pPr>
              <w:widowControl w:val="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o-RO" w:eastAsia="ro-RO" w:bidi="ar-SA"/>
              </w:rPr>
            </w:pPr>
            <w:r>
              <w:rPr>
                <w:b/>
                <w:bCs/>
              </w:rPr>
              <w:t>Materiale auxiliare (platbanda, etc.)</w:t>
            </w:r>
            <w:r>
              <w:rPr>
                <w:rFonts w:hint="default"/>
                <w:lang w:val="ro-RO"/>
              </w:rPr>
              <w:t>- 1 bucati</w:t>
            </w:r>
          </w:p>
        </w:tc>
        <w:tc>
          <w:tcPr>
            <w:tcW w:w="1680" w:type="dxa"/>
          </w:tcPr>
          <w:p>
            <w:pPr>
              <w:widowControl w:val="0"/>
              <w:jc w:val="center"/>
              <w:rPr>
                <w:rFonts w:hint="default"/>
                <w:b/>
                <w:bCs/>
                <w:vertAlign w:val="baseline"/>
                <w:lang w:val="ro-RO"/>
              </w:rPr>
            </w:pPr>
          </w:p>
          <w:p>
            <w:pPr>
              <w:widowControl w:val="0"/>
              <w:jc w:val="center"/>
              <w:rPr>
                <w:rFonts w:hint="default"/>
                <w:b/>
                <w:bCs/>
                <w:vertAlign w:val="baseline"/>
                <w:lang w:val="ro-RO"/>
              </w:rPr>
            </w:pPr>
            <w:r>
              <w:rPr>
                <w:rFonts w:hint="default"/>
                <w:b/>
                <w:bCs/>
                <w:vertAlign w:val="baseline"/>
                <w:lang w:val="ro-RO"/>
              </w:rPr>
              <w:t>2021</w:t>
            </w:r>
          </w:p>
        </w:tc>
        <w:tc>
          <w:tcPr>
            <w:tcW w:w="2064" w:type="dxa"/>
          </w:tcPr>
          <w:p>
            <w:pPr>
              <w:widowControl w:val="0"/>
              <w:jc w:val="both"/>
              <w:rPr>
                <w:rFonts w:hint="default"/>
                <w:b/>
                <w:bCs/>
                <w:highlight w:val="none"/>
                <w:vertAlign w:val="baseline"/>
                <w:lang w:val="en-US"/>
              </w:rPr>
            </w:pPr>
          </w:p>
          <w:p>
            <w:pPr>
              <w:widowControl w:val="0"/>
              <w:jc w:val="center"/>
              <w:rPr>
                <w:rFonts w:hint="default"/>
                <w:b/>
                <w:bCs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highlight w:val="none"/>
                <w:vertAlign w:val="baseline"/>
                <w:lang w:val="en-US"/>
              </w:rPr>
              <w:t>192,15</w:t>
            </w:r>
          </w:p>
        </w:tc>
        <w:tc>
          <w:tcPr>
            <w:tcW w:w="2472" w:type="dxa"/>
          </w:tcPr>
          <w:p>
            <w:pPr>
              <w:widowControl w:val="0"/>
              <w:jc w:val="center"/>
              <w:rPr>
                <w:rFonts w:hint="default"/>
                <w:b/>
                <w:bCs/>
                <w:highlight w:val="none"/>
                <w:vertAlign w:val="baseline"/>
                <w:lang w:val="ro-RO"/>
              </w:rPr>
            </w:pPr>
          </w:p>
          <w:p>
            <w:pPr>
              <w:widowControl w:val="0"/>
              <w:jc w:val="center"/>
              <w:rPr>
                <w:rFonts w:hint="default"/>
                <w:b/>
                <w:bCs/>
                <w:highlight w:val="none"/>
                <w:vertAlign w:val="baseline"/>
                <w:lang w:val="ro-RO"/>
              </w:rPr>
            </w:pPr>
            <w:r>
              <w:rPr>
                <w:rFonts w:hint="default"/>
                <w:b/>
                <w:bCs/>
                <w:highlight w:val="none"/>
                <w:vertAlign w:val="baseline"/>
                <w:lang w:val="ro-RO"/>
              </w:rPr>
              <w:t>Proces verbal de receptie la terminarea lucrarilor nr. 7 din 29.10.2021</w:t>
            </w:r>
            <w:r>
              <w:rPr>
                <w:rFonts w:hint="default"/>
                <w:b/>
                <w:bCs/>
                <w:highlight w:val="none"/>
                <w:vertAlign w:val="baseline"/>
                <w:lang w:val="en-US"/>
              </w:rPr>
              <w:t>, H.C.L. nr.3 din 20.01.2022</w:t>
            </w:r>
            <w:r>
              <w:rPr>
                <w:rFonts w:hint="default"/>
                <w:b/>
                <w:bCs/>
                <w:highlight w:val="none"/>
                <w:vertAlign w:val="baseline"/>
                <w:lang w:val="ro-RO"/>
              </w:rPr>
              <w:t xml:space="preserve"> </w:t>
            </w:r>
          </w:p>
        </w:tc>
      </w:tr>
    </w:tbl>
    <w:p>
      <w:pPr>
        <w:jc w:val="center"/>
        <w:rPr>
          <w:rFonts w:hint="default"/>
          <w:b/>
          <w:bCs/>
          <w:lang w:val="ro-RO"/>
        </w:rPr>
      </w:pPr>
    </w:p>
    <w:p>
      <w:pPr>
        <w:jc w:val="center"/>
        <w:rPr>
          <w:rFonts w:hint="default"/>
          <w:b/>
          <w:bCs/>
          <w:lang w:val="ro-RO"/>
        </w:rPr>
      </w:pPr>
      <w:r>
        <w:rPr>
          <w:rFonts w:hint="default"/>
          <w:b/>
          <w:bCs/>
          <w:lang w:val="ro-RO"/>
        </w:rPr>
        <w:t>INITIATOR,</w:t>
      </w:r>
    </w:p>
    <w:p>
      <w:pPr>
        <w:jc w:val="center"/>
        <w:rPr>
          <w:rFonts w:hint="default"/>
          <w:b/>
          <w:bCs/>
          <w:lang w:val="ro-RO"/>
        </w:rPr>
      </w:pPr>
      <w:r>
        <w:rPr>
          <w:rFonts w:hint="default"/>
          <w:b/>
          <w:bCs/>
          <w:lang w:val="ro-RO"/>
        </w:rPr>
        <w:t xml:space="preserve">PRIMAR </w:t>
      </w:r>
    </w:p>
    <w:p>
      <w:pPr>
        <w:jc w:val="center"/>
        <w:rPr>
          <w:rFonts w:hint="default"/>
          <w:b/>
          <w:bCs/>
          <w:lang w:val="ro-RO"/>
        </w:rPr>
      </w:pPr>
      <w:r>
        <w:rPr>
          <w:rFonts w:hint="default"/>
          <w:b/>
          <w:bCs/>
          <w:lang w:val="ro-RO"/>
        </w:rPr>
        <w:t>CHEBAC NITA</w:t>
      </w:r>
    </w:p>
    <w:sectPr>
      <w:pgSz w:w="15840" w:h="12240" w:orient="landscape"/>
      <w:pgMar w:top="1440" w:right="450" w:bottom="1440" w:left="864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2B0358"/>
    <w:rsid w:val="16BB7878"/>
    <w:rsid w:val="174826F9"/>
    <w:rsid w:val="1A2765B1"/>
    <w:rsid w:val="27C412D1"/>
    <w:rsid w:val="419B7E84"/>
    <w:rsid w:val="545144D3"/>
    <w:rsid w:val="5C741233"/>
    <w:rsid w:val="625A1ABA"/>
    <w:rsid w:val="692B0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o-RO" w:eastAsia="ro-RO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67</TotalTime>
  <ScaleCrop>false</ScaleCrop>
  <LinksUpToDate>false</LinksUpToDate>
  <CharactersWithSpaces>0</CharactersWithSpaces>
  <Application>WPS Office_11.2.0.11029_F1E327BC-269C-435d-A152-05C5408002CA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2022-01-06T08:44:00Z</dcterms:created>
  <dc:creator>achizitii</dc:creator>
  <cp:lastModifiedBy>achizitii</cp:lastModifiedBy>
  <dcterms:modified xsi:type="dcterms:W3CDTF">2022-03-17T08:49:11Z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1033-11.2.0.11029</vt:lpwstr>
  </property>
  <property fmtid="{D5CDD505-2E9C-101B-9397-08002B2CF9AE}" pid="3" name="ICV">
    <vt:lpwstr>373D44FEF3DD4B69A0E89D0A2A340843</vt:lpwstr>
  </property>
</Properties>
</file>